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00.jpeg" ContentType="image/jpeg"/>
  <Override PartName="/word/media/image33.jpeg" ContentType="image/jpeg"/>
  <Override PartName="/word/media/image34.jpeg" ContentType="image/jpeg"/>
  <Override PartName="/word/media/image48.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53.jpeg" ContentType="image/jpeg"/>
  <Override PartName="/word/media/image149.jpeg" ContentType="image/jpeg"/>
  <Override PartName="/word/media/image140.jpeg" ContentType="image/jpeg"/>
  <Override PartName="/word/media/image141.jpeg" ContentType="image/jpeg"/>
  <Override PartName="/word/media/image44.jpeg" ContentType="image/jpeg"/>
  <Override PartName="/word/media/image135.jpeg" ContentType="image/jpeg"/>
  <Override PartName="/word/media/image56.jpeg" ContentType="image/jpeg"/>
  <Override PartName="/word/media/image162.jpeg" ContentType="image/jpeg"/>
  <Override PartName="/word/media/image158.jpeg" ContentType="image/jpeg"/>
  <Override PartName="/word/media/image45.jpeg" ContentType="image/jpeg"/>
  <Override PartName="/word/media/image136.jpeg" ContentType="image/jpeg"/>
  <Override PartName="/word/media/image57.jpeg" ContentType="image/jpeg"/>
  <Override PartName="/word/media/image163.jpeg" ContentType="image/jpeg"/>
  <Override PartName="/word/media/image46.jpeg" ContentType="image/jpeg"/>
  <Override PartName="/word/media/image137.jpeg" ContentType="image/jpeg"/>
  <Override PartName="/word/media/image58.jpeg" ContentType="image/jpeg"/>
  <Override PartName="/word/media/image164.jpeg" ContentType="image/jpeg"/>
  <Override PartName="/word/media/image47.jpeg" ContentType="image/jpeg"/>
  <Override PartName="/word/media/image165.jpeg" ContentType="image/jpeg"/>
  <Override PartName="/word/media/image43.jpeg" ContentType="image/jpeg"/>
  <Override PartName="/word/media/image134.jpeg" ContentType="image/jpeg"/>
  <Override PartName="/word/media/image55.jpeg" ContentType="image/jpeg"/>
  <Override PartName="/word/media/image161.jpeg" ContentType="image/jpeg"/>
  <Override PartName="/word/media/image16.jpeg" ContentType="image/jpeg"/>
  <Override PartName="/word/media/image49.jpeg" ContentType="image/jpeg"/>
  <Override PartName="/word/media/image167.jpeg" ContentType="image/jpeg"/>
  <Override PartName="/word/media/image150.jpeg" ContentType="image/jpeg"/>
  <Override PartName="/word/media/image142.jpeg" ContentType="image/jpeg"/>
  <Override PartName="/word/media/image168.jpeg" ContentType="image/jpeg"/>
  <Override PartName="/word/media/image151.jpeg" ContentType="image/jpeg"/>
  <Override PartName="/word/media/image143.jpeg" ContentType="image/jpeg"/>
  <Override PartName="/word/media/image166.gif" ContentType="image/gif"/>
  <Override PartName="/word/media/image38.jpeg" ContentType="image/jpeg"/>
  <Override PartName="/word/media/image97.jpeg" ContentType="image/jpeg"/>
  <Override PartName="/word/media/image169.jpeg" ContentType="image/jpeg"/>
  <Override PartName="/word/media/image152.jpeg" ContentType="image/jpeg"/>
  <Override PartName="/word/media/image170.jpeg" ContentType="image/jpeg"/>
  <Override PartName="/word/media/image144.jpeg" ContentType="image/jpeg"/>
  <Override PartName="/word/media/image133.jpeg" ContentType="image/jpeg"/>
  <Override PartName="/word/media/image54.jpeg" ContentType="image/jpeg"/>
  <Override PartName="/word/media/image160.jpeg" ContentType="image/jpeg"/>
  <Override PartName="/word/media/image15.jpeg" ContentType="image/jpeg"/>
  <Override PartName="/word/media/image157.jpeg" ContentType="image/jpeg"/>
  <Override PartName="/word/media/image156.jpeg" ContentType="image/jpeg"/>
  <Override PartName="/word/media/image129.jpeg" ContentType="image/jpeg"/>
  <Override PartName="/word/media/image155.jpeg" ContentType="image/jpeg"/>
  <Override PartName="/word/media/image128.jpeg" ContentType="image/jpeg"/>
  <Override PartName="/word/media/image154.jpeg" ContentType="image/jpeg"/>
  <Override PartName="/word/media/image153.jpeg" ContentType="image/jpeg"/>
  <Override PartName="/word/media/image146.jpeg" ContentType="image/jpeg"/>
  <Override PartName="/word/media/image139.jpeg" ContentType="image/jpeg"/>
  <Override PartName="/word/media/image50.jpeg" ContentType="image/jpeg"/>
  <Override PartName="/word/media/image171.jpeg" ContentType="image/jpeg"/>
  <Override PartName="/word/media/image145.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88.jpeg" ContentType="image/jpeg"/>
  <Override PartName="/word/media/image108.jpeg" ContentType="image/jpeg"/>
  <Override PartName="/word/media/image12.jpeg" ContentType="image/jpeg"/>
  <Override PartName="/word/media/image174.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p>
      <w:pPr>
        <w:pStyle w:val="TextBody"/>
        <w:bidi w:val="0"/>
        <w:spacing w:before="60" w:after="60"/>
        <w:jc w:val="center"/>
        <w:rPr/>
      </w:pPr>
      <w:r>
        <w:rPr/>
      </w:r>
    </w:p>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UNITED STATES</w:t>
      </w:r>
    </w:p>
    <w:p>
      <w:pPr>
        <w:pStyle w:val="TextBody"/>
        <w:bidi w:val="0"/>
        <w:spacing w:lineRule="auto" w:line="288" w:before="0" w:after="0"/>
        <w:jc w:val="center"/>
        <w:rPr>
          <w:rFonts w:ascii="Calibri;sans-serif" w:hAnsi="Calibri;sans-serif"/>
          <w:b/>
          <w:color w:val="000000"/>
          <w:sz w:val="24"/>
        </w:rPr>
      </w:pPr>
      <w:r>
        <w:rPr>
          <w:rFonts w:ascii="Calibri;sans-serif" w:hAnsi="Calibri;sans-serif"/>
          <w:b/>
          <w:color w:val="000000"/>
          <w:sz w:val="24"/>
        </w:rPr>
        <w:t>SECURITIES AND EXCHANGE COMMISSION</w:t>
      </w:r>
    </w:p>
    <w:p>
      <w:pPr>
        <w:pStyle w:val="TextBody"/>
        <w:bidi w:val="0"/>
        <w:spacing w:lineRule="auto" w:line="288" w:before="0" w:after="0"/>
        <w:jc w:val="center"/>
        <w:rPr>
          <w:rFonts w:ascii="Calibri;sans-serif" w:hAnsi="Calibri;sans-serif"/>
          <w:b/>
          <w:color w:val="000000"/>
          <w:sz w:val="18"/>
        </w:rPr>
      </w:pPr>
      <w:r>
        <w:rPr>
          <w:rFonts w:ascii="Calibri;sans-serif" w:hAnsi="Calibri;sans-serif"/>
          <w:b/>
          <w:color w:val="000000"/>
          <w:sz w:val="18"/>
        </w:rPr>
        <w:t>Washington, D.C. 20549</w:t>
      </w:r>
    </w:p>
    <w:p>
      <w:pPr>
        <w:pStyle w:val="TextBody"/>
        <w:bidi w:val="0"/>
        <w:spacing w:lineRule="auto" w:line="288" w:before="160" w:after="160"/>
        <w:jc w:val="center"/>
        <w:rPr>
          <w:rFonts w:ascii="Calibri;sans-serif" w:hAnsi="Calibri;sans-serif"/>
          <w:b/>
          <w:color w:val="000000"/>
          <w:sz w:val="24"/>
        </w:rPr>
      </w:pPr>
      <w:r>
        <w:rPr>
          <w:rFonts w:ascii="Calibri;sans-serif" w:hAnsi="Calibri;sans-serif"/>
          <w:b/>
          <w:color w:val="000000"/>
          <w:sz w:val="24"/>
        </w:rPr>
        <w:t>SCHEDULE 14A</w:t>
      </w:r>
    </w:p>
    <w:p>
      <w:pPr>
        <w:pStyle w:val="TextBody"/>
        <w:bidi w:val="0"/>
        <w:spacing w:lineRule="auto" w:line="288" w:before="0" w:after="0"/>
        <w:jc w:val="center"/>
        <w:rPr>
          <w:rFonts w:ascii="Calibri;sans-serif" w:hAnsi="Calibri;sans-serif"/>
          <w:b/>
          <w:color w:val="000000"/>
          <w:sz w:val="18"/>
        </w:rPr>
      </w:pPr>
      <w:r>
        <w:rPr>
          <w:rFonts w:ascii="Calibri;sans-serif" w:hAnsi="Calibri;sans-serif"/>
          <w:b/>
          <w:color w:val="000000"/>
          <w:sz w:val="18"/>
        </w:rPr>
        <w:t>Proxy Statement Pursuant to Section 14(a)</w:t>
      </w:r>
    </w:p>
    <w:p>
      <w:pPr>
        <w:pStyle w:val="TextBody"/>
        <w:bidi w:val="0"/>
        <w:spacing w:lineRule="auto" w:line="288" w:before="0" w:after="0"/>
        <w:jc w:val="center"/>
        <w:rPr>
          <w:rFonts w:ascii="Calibri;sans-serif" w:hAnsi="Calibri;sans-serif"/>
          <w:b/>
          <w:color w:val="000000"/>
          <w:sz w:val="18"/>
        </w:rPr>
      </w:pPr>
      <w:r>
        <w:rPr>
          <w:rFonts w:ascii="Calibri;sans-serif" w:hAnsi="Calibri;sans-serif"/>
          <w:b/>
          <w:color w:val="000000"/>
          <w:sz w:val="18"/>
        </w:rPr>
        <w:t>of the Securities Exchange Act of 1934</w:t>
      </w:r>
    </w:p>
    <w:p>
      <w:pPr>
        <w:pStyle w:val="TextBody"/>
        <w:bidi w:val="0"/>
        <w:spacing w:lineRule="auto" w:line="288" w:before="100" w:after="120"/>
        <w:jc w:val="left"/>
        <w:rPr/>
      </w:pPr>
      <w:r>
        <w:rPr>
          <w:color w:val="000000"/>
        </w:rPr>
        <w:t> </w:t>
      </w:r>
      <w:r>
        <w:rPr/>
        <w:drawing>
          <wp:inline distT="0" distB="0" distL="0" distR="0">
            <wp:extent cx="123825" cy="123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 cy="123825"/>
                    </a:xfrm>
                    <a:prstGeom prst="rect">
                      <a:avLst/>
                    </a:prstGeom>
                  </pic:spPr>
                </pic:pic>
              </a:graphicData>
            </a:graphic>
          </wp:inline>
        </w:drawing>
      </w:r>
      <w:r>
        <w:rPr>
          <w:color w:val="000000"/>
        </w:rPr>
        <w:t xml:space="preserve"> </w:t>
      </w:r>
      <w:r>
        <w:rPr>
          <w:rFonts w:ascii="Calibri;sans-serif" w:hAnsi="Calibri;sans-serif"/>
          <w:b w:val="false"/>
          <w:color w:val="000000"/>
          <w:sz w:val="18"/>
        </w:rPr>
        <w:t>Filed by the Registrant </w:t>
      </w:r>
    </w:p>
    <w:p>
      <w:pPr>
        <w:pStyle w:val="TextBody"/>
        <w:bidi w:val="0"/>
        <w:spacing w:lineRule="auto" w:line="288" w:before="100" w:after="120"/>
        <w:jc w:val="left"/>
        <w:rPr/>
      </w:pPr>
      <w:r>
        <w:rPr/>
        <w:drawing>
          <wp:inline distT="0" distB="0" distL="0" distR="0">
            <wp:extent cx="133350" cy="123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3350" cy="123825"/>
                    </a:xfrm>
                    <a:prstGeom prst="rect">
                      <a:avLst/>
                    </a:prstGeom>
                  </pic:spPr>
                </pic:pic>
              </a:graphicData>
            </a:graphic>
          </wp:inline>
        </w:drawing>
      </w:r>
      <w:r>
        <w:rPr>
          <w:color w:val="000000"/>
        </w:rPr>
        <w:t xml:space="preserve"> </w:t>
      </w:r>
      <w:r>
        <w:rPr>
          <w:rFonts w:ascii="Calibri;sans-serif" w:hAnsi="Calibri;sans-serif"/>
          <w:b w:val="false"/>
          <w:color w:val="000000"/>
          <w:sz w:val="18"/>
        </w:rPr>
        <w:t xml:space="preserve">Filed by a Party other than the Registrant </w:t>
      </w:r>
    </w:p>
    <w:p>
      <w:pPr>
        <w:pStyle w:val="TextBody"/>
        <w:bidi w:val="0"/>
        <w:spacing w:lineRule="auto" w:line="288" w:before="100" w:after="120"/>
        <w:jc w:val="left"/>
        <w:rPr>
          <w:rFonts w:ascii="Calibri;sans-serif" w:hAnsi="Calibri;sans-serif"/>
          <w:b w:val="false"/>
          <w:color w:val="000000"/>
          <w:sz w:val="18"/>
        </w:rPr>
      </w:pPr>
      <w:r>
        <w:rPr>
          <w:rFonts w:ascii="Calibri;sans-serif" w:hAnsi="Calibri;sans-serif"/>
          <w:b w:val="false"/>
          <w:color w:val="000000"/>
          <w:sz w:val="18"/>
        </w:rPr>
        <w:t>Check the appropriate box:</w:t>
      </w:r>
    </w:p>
    <w:tbl>
      <w:tblPr>
        <w:tblW w:w="6416" w:type="dxa"/>
        <w:jc w:val="left"/>
        <w:tblInd w:w="0" w:type="dxa"/>
        <w:tblLayout w:type="fixed"/>
        <w:tblCellMar>
          <w:top w:w="28" w:type="dxa"/>
          <w:left w:w="28" w:type="dxa"/>
          <w:bottom w:w="28" w:type="dxa"/>
          <w:right w:w="28" w:type="dxa"/>
        </w:tblCellMar>
      </w:tblPr>
      <w:tblGrid>
        <w:gridCol w:w="124"/>
        <w:gridCol w:w="109"/>
        <w:gridCol w:w="109"/>
        <w:gridCol w:w="1777"/>
        <w:gridCol w:w="1777"/>
        <w:gridCol w:w="25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3350" cy="123825"/>
                          </a:xfrm>
                          <a:prstGeom prst="rect">
                            <a:avLst/>
                          </a:prstGeom>
                        </pic:spPr>
                      </pic:pic>
                    </a:graphicData>
                  </a:graphic>
                </wp:inline>
              </w:drawing>
            </w:r>
          </w:p>
        </w:tc>
        <w:tc>
          <w:tcPr>
            <w:tcW w:w="60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Calibri;sans-serif" w:hAnsi="Calibri;sans-serif"/>
                <w:b w:val="false"/>
                <w:color w:val="000000"/>
                <w:sz w:val="18"/>
              </w:rPr>
            </w:pPr>
            <w:r>
              <w:rPr>
                <w:rFonts w:ascii="Calibri;sans-serif" w:hAnsi="Calibri;sans-serif"/>
                <w:b w:val="false"/>
                <w:color w:val="000000"/>
                <w:sz w:val="18"/>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3350" cy="123825"/>
                          </a:xfrm>
                          <a:prstGeom prst="rect">
                            <a:avLst/>
                          </a:prstGeom>
                        </pic:spPr>
                      </pic:pic>
                    </a:graphicData>
                  </a:graphic>
                </wp:inline>
              </w:drawing>
            </w:r>
          </w:p>
        </w:tc>
        <w:tc>
          <w:tcPr>
            <w:tcW w:w="60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Calibri;sans-serif" w:hAnsi="Calibri;sans-serif"/>
                <w:b/>
                <w:color w:val="000000"/>
                <w:sz w:val="18"/>
              </w:rPr>
            </w:pPr>
            <w:r>
              <w:rPr>
                <w:rFonts w:ascii="Calibri;sans-serif" w:hAnsi="Calibri;sans-serif"/>
                <w:b/>
                <w:color w:val="000000"/>
                <w:sz w:val="18"/>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3350" cy="123825"/>
                          </a:xfrm>
                          <a:prstGeom prst="rect">
                            <a:avLst/>
                          </a:prstGeom>
                        </pic:spPr>
                      </pic:pic>
                    </a:graphicData>
                  </a:graphic>
                </wp:inline>
              </w:drawing>
            </w:r>
          </w:p>
        </w:tc>
        <w:tc>
          <w:tcPr>
            <w:tcW w:w="60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Calibri;sans-serif" w:hAnsi="Calibri;sans-serif"/>
                <w:b w:val="false"/>
                <w:color w:val="000000"/>
                <w:sz w:val="18"/>
              </w:rPr>
            </w:pPr>
            <w:r>
              <w:rPr>
                <w:rFonts w:ascii="Calibri;sans-serif" w:hAnsi="Calibri;sans-serif"/>
                <w:b w:val="false"/>
                <w:color w:val="000000"/>
                <w:sz w:val="18"/>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3350" cy="123825"/>
                          </a:xfrm>
                          <a:prstGeom prst="rect">
                            <a:avLst/>
                          </a:prstGeom>
                        </pic:spPr>
                      </pic:pic>
                    </a:graphicData>
                  </a:graphic>
                </wp:inline>
              </w:drawing>
            </w:r>
          </w:p>
        </w:tc>
        <w:tc>
          <w:tcPr>
            <w:tcW w:w="60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Calibri;sans-serif" w:hAnsi="Calibri;sans-serif"/>
                <w:b w:val="false"/>
                <w:color w:val="000000"/>
                <w:sz w:val="18"/>
              </w:rPr>
            </w:pPr>
            <w:r>
              <w:rPr>
                <w:rFonts w:ascii="Calibri;sans-serif" w:hAnsi="Calibri;sans-serif"/>
                <w:b w:val="false"/>
                <w:color w:val="000000"/>
                <w:sz w:val="18"/>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3350" cy="123825"/>
                          </a:xfrm>
                          <a:prstGeom prst="rect">
                            <a:avLst/>
                          </a:prstGeom>
                        </pic:spPr>
                      </pic:pic>
                    </a:graphicData>
                  </a:graphic>
                </wp:inline>
              </w:drawing>
            </w:r>
          </w:p>
        </w:tc>
        <w:tc>
          <w:tcPr>
            <w:tcW w:w="60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Calibri;sans-serif" w:hAnsi="Calibri;sans-serif"/>
                <w:b w:val="false"/>
                <w:color w:val="000000"/>
                <w:sz w:val="18"/>
              </w:rPr>
            </w:pPr>
            <w:r>
              <w:rPr>
                <w:rFonts w:ascii="Calibri;sans-serif" w:hAnsi="Calibri;sans-serif"/>
                <w:b w:val="false"/>
                <w:color w:val="000000"/>
                <w:sz w:val="18"/>
              </w:rPr>
              <w:t>Soliciting Material Pursuant to §240.14a-12</w:t>
            </w:r>
          </w:p>
        </w:tc>
      </w:tr>
    </w:tbl>
    <w:p>
      <w:pPr>
        <w:pStyle w:val="TextBody"/>
        <w:bidi w:val="0"/>
        <w:spacing w:lineRule="auto" w:line="288" w:before="120" w:after="120"/>
        <w:jc w:val="center"/>
        <w:rPr>
          <w:rFonts w:ascii="Calibri;sans-serif" w:hAnsi="Calibri;sans-serif"/>
          <w:b/>
          <w:color w:val="000000"/>
          <w:sz w:val="24"/>
        </w:rPr>
      </w:pPr>
      <w:r>
        <w:rPr>
          <w:rFonts w:ascii="Calibri;sans-serif" w:hAnsi="Calibri;sans-serif"/>
          <w:b/>
          <w:color w:val="000000"/>
          <w:sz w:val="24"/>
        </w:rPr>
        <w:t>Northrop Grumman Corporation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Calibri;sans-serif" w:hAnsi="Calibri;sans-serif"/>
          <w:b w:val="false"/>
          <w:color w:val="000000"/>
          <w:sz w:val="16"/>
        </w:rPr>
      </w:pPr>
      <w:r>
        <w:rPr>
          <w:rFonts w:ascii="Calibri;sans-serif" w:hAnsi="Calibri;sans-serif"/>
          <w:b w:val="false"/>
          <w:color w:val="000000"/>
          <w:sz w:val="16"/>
        </w:rPr>
        <w:t>(Name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Calibri;sans-serif" w:hAnsi="Calibri;sans-serif"/>
          <w:b w:val="false"/>
          <w:color w:val="000000"/>
          <w:sz w:val="16"/>
        </w:rPr>
      </w:pPr>
      <w:r>
        <w:rPr>
          <w:rFonts w:ascii="Calibri;sans-serif" w:hAnsi="Calibri;sans-serif"/>
          <w:b w:val="false"/>
          <w:color w:val="000000"/>
          <w:sz w:val="16"/>
        </w:rPr>
        <w:t>(Name of Person(s) Filing Proxy Statement, if other than the Registrant)</w:t>
      </w:r>
    </w:p>
    <w:p>
      <w:pPr>
        <w:pStyle w:val="TextBody"/>
        <w:bidi w:val="0"/>
        <w:spacing w:lineRule="auto" w:line="288" w:before="120" w:after="283"/>
        <w:jc w:val="left"/>
        <w:rPr>
          <w:rFonts w:ascii="Calibri;sans-serif" w:hAnsi="Calibri;sans-serif"/>
          <w:b w:val="false"/>
          <w:color w:val="000000"/>
          <w:sz w:val="18"/>
        </w:rPr>
      </w:pPr>
      <w:r>
        <w:rPr>
          <w:rFonts w:ascii="Calibri;sans-serif" w:hAnsi="Calibri;sans-serif"/>
          <w:b w:val="false"/>
          <w:color w:val="000000"/>
          <w:sz w:val="18"/>
        </w:rPr>
        <w:t>Payment of Filing Fee:</w:t>
      </w:r>
    </w:p>
    <w:tbl>
      <w:tblPr>
        <w:tblW w:w="82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3350" cy="1238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Calibri;sans-serif" w:hAnsi="Calibri;sans-serif"/>
                <w:b w:val="false"/>
                <w:color w:val="000000"/>
                <w:sz w:val="18"/>
              </w:rPr>
            </w:pPr>
            <w:r>
              <w:rPr>
                <w:rFonts w:ascii="Calibri;sans-serif" w:hAnsi="Calibri;sans-serif"/>
                <w:b w:val="false"/>
                <w:color w:val="000000"/>
                <w:sz w:val="18"/>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3350" cy="1238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Calibri;sans-serif" w:hAnsi="Calibri;sans-serif"/>
                <w:b w:val="false"/>
                <w:color w:val="000000"/>
                <w:sz w:val="18"/>
              </w:rPr>
            </w:pPr>
            <w:r>
              <w:rPr>
                <w:rFonts w:ascii="Calibri;sans-serif" w:hAnsi="Calibri;sans-serif"/>
                <w:b w:val="false"/>
                <w:color w:val="000000"/>
                <w:sz w:val="18"/>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 cy="123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3350" cy="1238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Calibri;sans-serif" w:hAnsi="Calibri;sans-serif"/>
                <w:b w:val="false"/>
                <w:color w:val="000000"/>
                <w:sz w:val="18"/>
              </w:rPr>
            </w:pPr>
            <w:r>
              <w:rPr>
                <w:rFonts w:ascii="Calibri;sans-serif" w:hAnsi="Calibri;sans-serif"/>
                <w:b w:val="false"/>
                <w:color w:val="000000"/>
                <w:sz w:val="18"/>
              </w:rPr>
              <w:t>Fee computed on table in exhibit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51460"/>
                <wp:effectExtent l="0" t="0" r="0" b="0"/>
                <wp:wrapNone/>
                <wp:docPr id="1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0" w:after="120"/>
        <w:jc w:val="center"/>
        <w:rPr/>
      </w:pPr>
      <w:r>
        <w:rPr/>
        <w:drawing>
          <wp:inline distT="0" distB="0" distL="0" distR="0">
            <wp:extent cx="7543800" cy="9829800"/>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251460"/>
                <wp:effectExtent l="0" t="0" r="0" b="0"/>
                <wp:wrapNone/>
                <wp:docPr id="1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Our Values</w:t>
      </w:r>
    </w:p>
    <w:p>
      <w:pPr>
        <w:pStyle w:val="TextBody"/>
        <w:bidi w:val="0"/>
        <w:spacing w:lineRule="auto" w:line="288" w:before="120" w:after="1000"/>
        <w:jc w:val="left"/>
        <w:rPr>
          <w:rFonts w:ascii="Futura Std Book;sans-serif" w:hAnsi="Futura Std Book;sans-serif"/>
          <w:b w:val="false"/>
          <w:color w:val="000000"/>
          <w:sz w:val="26"/>
        </w:rPr>
      </w:pPr>
      <w:r>
        <w:rPr>
          <w:rFonts w:ascii="Futura Std Book;sans-serif" w:hAnsi="Futura Std Book;sans-serif"/>
          <w:b w:val="false"/>
          <w:color w:val="000000"/>
          <w:sz w:val="26"/>
        </w:rPr>
        <w:t xml:space="preserve">Our Values form the foundation of our pioneering culture and enable us to deliver for our shareholders. Our Values define our operating principles as we face an increasingly complex world. They reflect who we are and how we behave, and they articulate what is important to us. </w:t>
      </w:r>
    </w:p>
    <w:tbl>
      <w:tblPr>
        <w:tblW w:w="10205" w:type="dxa"/>
        <w:jc w:val="left"/>
        <w:tblInd w:w="0" w:type="dxa"/>
        <w:tblLayout w:type="fixed"/>
        <w:tblCellMar>
          <w:top w:w="28" w:type="dxa"/>
          <w:left w:w="28" w:type="dxa"/>
          <w:bottom w:w="28" w:type="dxa"/>
          <w:right w:w="28" w:type="dxa"/>
        </w:tblCellMar>
      </w:tblPr>
      <w:tblGrid>
        <w:gridCol w:w="870"/>
        <w:gridCol w:w="579"/>
        <w:gridCol w:w="554"/>
        <w:gridCol w:w="2402"/>
        <w:gridCol w:w="2402"/>
        <w:gridCol w:w="3398"/>
      </w:tblGrid>
      <w:tr>
        <w:trPr/>
        <w:tc>
          <w:tcPr>
            <w:tcW w:w="87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left"/>
              <w:rPr>
                <w:color w:val="FFFFFF"/>
              </w:rPr>
            </w:pPr>
            <w:r>
              <w:rPr>
                <w:color w:val="FFFFFF"/>
              </w:rPr>
              <w:t> </w:t>
            </w:r>
          </w:p>
        </w:tc>
        <w:tc>
          <w:tcPr>
            <w:tcW w:w="820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 Do the</w:t>
            </w:r>
          </w:p>
          <w:p>
            <w:pPr>
              <w:pStyle w:val="TableContents"/>
              <w:bidi w:val="0"/>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Right Thing</w:t>
            </w:r>
          </w:p>
        </w:tc>
        <w:tc>
          <w:tcPr>
            <w:tcW w:w="820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We earn trust, act with ethics, integrity and transparency, treat everyone with respect and value diverse perspectives.</w:t>
            </w:r>
          </w:p>
        </w:tc>
      </w:tr>
      <w:tr>
        <w:trPr/>
        <w:tc>
          <w:tcPr>
            <w:tcW w:w="2003"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 Do What We</w:t>
            </w:r>
          </w:p>
          <w:p>
            <w:pPr>
              <w:pStyle w:val="TableContents"/>
              <w:bidi w:val="0"/>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Promise</w:t>
            </w:r>
          </w:p>
        </w:tc>
        <w:tc>
          <w:tcPr>
            <w:tcW w:w="820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We own the delivery of results, focused on quality outcomes.</w:t>
            </w:r>
          </w:p>
        </w:tc>
      </w:tr>
      <w:tr>
        <w:trPr/>
        <w:tc>
          <w:tcPr>
            <w:tcW w:w="2003"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 Commit to</w:t>
            </w:r>
          </w:p>
          <w:p>
            <w:pPr>
              <w:pStyle w:val="TableContents"/>
              <w:bidi w:val="0"/>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Shared Success</w:t>
            </w:r>
          </w:p>
        </w:tc>
        <w:tc>
          <w:tcPr>
            <w:tcW w:w="820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We work together to focus on the mission and take accountability for the sustainable success of our people, customers, shareholders, suppliers and communities.</w:t>
            </w:r>
          </w:p>
        </w:tc>
      </w:tr>
      <w:tr>
        <w:trPr/>
        <w:tc>
          <w:tcPr>
            <w:tcW w:w="2003"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32"/>
              </w:rPr>
            </w:pPr>
            <w:r>
              <w:rPr>
                <w:rFonts w:ascii="Futura Std Book;sans-serif" w:hAnsi="Futura Std Book;sans-serif"/>
                <w:b w:val="false"/>
                <w:color w:val="000000"/>
                <w:sz w:val="32"/>
              </w:rPr>
              <w:t>We</w:t>
            </w:r>
          </w:p>
          <w:p>
            <w:pPr>
              <w:pStyle w:val="TableContents"/>
              <w:bidi w:val="0"/>
              <w:spacing w:lineRule="auto" w:line="288" w:before="0" w:after="0"/>
              <w:jc w:val="left"/>
              <w:rPr>
                <w:rFonts w:ascii="Futura Std Book;sans-serif" w:hAnsi="Futura Std Book;sans-serif"/>
                <w:b/>
                <w:color w:val="29378D"/>
                <w:sz w:val="32"/>
              </w:rPr>
            </w:pPr>
            <w:r>
              <w:rPr>
                <w:rFonts w:ascii="Futura Std Book;sans-serif" w:hAnsi="Futura Std Book;sans-serif"/>
                <w:b/>
                <w:color w:val="29378D"/>
                <w:sz w:val="32"/>
              </w:rPr>
              <w:t>Pioneer</w:t>
            </w:r>
          </w:p>
        </w:tc>
        <w:tc>
          <w:tcPr>
            <w:tcW w:w="820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4"/>
              </w:rPr>
            </w:pPr>
            <w:r>
              <w:rPr>
                <w:rFonts w:ascii="Futura Std Book;sans-serif" w:hAnsi="Futura Std Book;sans-serif"/>
                <w:b w:val="false"/>
                <w:color w:val="000000"/>
                <w:sz w:val="24"/>
              </w:rPr>
              <w:t>With fierce curiosity, dedication and innovation, we seek to solve the world’s most challenging problems.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251460"/>
                <wp:effectExtent l="0" t="0" r="0" b="0"/>
                <wp:wrapNone/>
                <wp:docPr id="14"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Letter from the Board of Directors</w:t>
      </w:r>
    </w:p>
    <w:p>
      <w:pPr>
        <w:pStyle w:val="TextBody"/>
        <w:bidi w:val="0"/>
        <w:spacing w:lineRule="auto" w:line="288" w:before="120" w:after="120"/>
        <w:jc w:val="left"/>
        <w:rPr>
          <w:rFonts w:ascii="Futura Std Book;sans-serif" w:hAnsi="Futura Std Book;sans-serif"/>
          <w:b w:val="false"/>
          <w:color w:val="000000"/>
          <w:sz w:val="20"/>
        </w:rPr>
      </w:pPr>
      <w:r>
        <w:rPr>
          <w:rFonts w:ascii="Futura Std Book;sans-serif" w:hAnsi="Futura Std Book;sans-serif"/>
          <w:b w:val="false"/>
          <w:color w:val="000000"/>
          <w:sz w:val="20"/>
        </w:rPr>
        <w:t>April 4, 2025</w:t>
      </w:r>
    </w:p>
    <w:p>
      <w:pPr>
        <w:pStyle w:val="TextBody"/>
        <w:bidi w:val="0"/>
        <w:spacing w:lineRule="auto" w:line="288" w:before="300" w:after="160"/>
        <w:jc w:val="left"/>
        <w:rPr>
          <w:rFonts w:ascii="Futura Std Book;sans-serif" w:hAnsi="Futura Std Book;sans-serif"/>
          <w:b/>
          <w:color w:val="29378D"/>
          <w:sz w:val="30"/>
        </w:rPr>
      </w:pPr>
      <w:r>
        <w:rPr>
          <w:rFonts w:ascii="Futura Std Book;sans-serif" w:hAnsi="Futura Std Book;sans-serif"/>
          <w:b/>
          <w:color w:val="29378D"/>
          <w:sz w:val="30"/>
        </w:rPr>
        <w:t>Dear Fellow Shareholders,</w:t>
      </w:r>
    </w:p>
    <w:p>
      <w:pPr>
        <w:pStyle w:val="TextBody"/>
        <w:bidi w:val="0"/>
        <w:spacing w:lineRule="auto" w:line="268" w:before="0" w:after="0"/>
        <w:jc w:val="both"/>
        <w:rPr>
          <w:rFonts w:ascii="Futura Std Book;sans-serif" w:hAnsi="Futura Std Book;sans-serif"/>
          <w:b w:val="false"/>
          <w:color w:val="000000"/>
          <w:sz w:val="20"/>
        </w:rPr>
      </w:pPr>
      <w:r>
        <w:rPr>
          <w:rFonts w:ascii="Futura Std Book;sans-serif" w:hAnsi="Futura Std Book;sans-serif"/>
          <w:b w:val="false"/>
          <w:color w:val="000000"/>
          <w:sz w:val="20"/>
        </w:rPr>
        <w:t xml:space="preserve">We invite you to participate in Northrop Grumman Corporation’s 2025 Annual Meeting of Shareholders on Wednesday, May 21, 2025, beginning at 8 a.m. ET. The accompanying Proxy Statement explains more about the matters to be voted on at the Annual Meeting, proxy voting instructions and other information regarding participation. </w:t>
      </w:r>
    </w:p>
    <w:p>
      <w:pPr>
        <w:pStyle w:val="TextBody"/>
        <w:bidi w:val="0"/>
        <w:spacing w:before="0" w:after="0"/>
        <w:jc w:val="both"/>
        <w:rPr/>
      </w:pPr>
      <w:r>
        <w:rPr/>
      </w:r>
    </w:p>
    <w:p>
      <w:pPr>
        <w:pStyle w:val="TextBody"/>
        <w:bidi w:val="0"/>
        <w:spacing w:lineRule="auto" w:line="268" w:before="0" w:after="0"/>
        <w:jc w:val="both"/>
        <w:rPr/>
      </w:pPr>
      <w:r>
        <w:rPr>
          <w:rFonts w:ascii="Futura Std Book;sans-serif" w:hAnsi="Futura Std Book;sans-serif"/>
          <w:b w:val="false"/>
          <w:color w:val="000000"/>
          <w:sz w:val="20"/>
          <w:shd w:fill="FFFFFF" w:val="clear"/>
        </w:rPr>
        <w:t>At Northrop Grumman, we remain steadfast in our mission to deliver cutting-edge technologies and game-changing innovations that are paramount to our national security. More than ever before, the solutions we deliver for our customers help achieve our customers’ goal of peace through strength. We are driven each day to perform at the highest level, knowing that our products and services are contributing to a safer world and brighter future.</w:t>
      </w:r>
      <w:r>
        <w:rPr>
          <w:color w:val="000000"/>
        </w:rPr>
        <w:t xml:space="preserve"> </w:t>
      </w:r>
    </w:p>
    <w:p>
      <w:pPr>
        <w:pStyle w:val="TextBody"/>
        <w:bidi w:val="0"/>
        <w:spacing w:before="0" w:after="0"/>
        <w:jc w:val="both"/>
        <w:rPr/>
      </w:pPr>
      <w:r>
        <w:rPr/>
      </w:r>
    </w:p>
    <w:p>
      <w:pPr>
        <w:pStyle w:val="TextBody"/>
        <w:bidi w:val="0"/>
        <w:spacing w:lineRule="auto" w:line="268" w:before="0" w:after="0"/>
        <w:jc w:val="left"/>
        <w:rPr/>
      </w:pPr>
      <w:r>
        <w:rPr>
          <w:rFonts w:ascii="Futura Std Book;sans-serif" w:hAnsi="Futura Std Book;sans-serif"/>
          <w:b w:val="false"/>
          <w:color w:val="000000"/>
          <w:sz w:val="20"/>
          <w:shd w:fill="FFFFFF" w:val="clear"/>
        </w:rPr>
        <w:t>We continue to execute our long-term business strategy, creating value for our customers and shareholders. Our strategy is underpinned by maintaining technology leadership, a laser focus on performance, and deploying capital in value creating ways. We’ve invested over $3.5 billion in capex over the past two years to position the Company for future success, while returning $3.7 billion, or over 100% of free cash flow*, to shareholders in 2024.</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Futura Std Book;sans-serif" w:hAnsi="Futura Std Book;sans-serif"/>
          <w:b w:val="false"/>
          <w:color w:val="000000"/>
          <w:sz w:val="20"/>
          <w:shd w:fill="FFFFFF" w:val="clear"/>
        </w:rPr>
      </w:pPr>
      <w:r>
        <w:rPr>
          <w:rFonts w:ascii="Futura Std Book;sans-serif" w:hAnsi="Futura Std Book;sans-serif"/>
          <w:b w:val="false"/>
          <w:color w:val="000000"/>
          <w:sz w:val="20"/>
          <w:shd w:fill="FFFFFF" w:val="clear"/>
        </w:rPr>
        <w:t xml:space="preserve">Proof that our strategy is working is reflected in our strong 2024 financial results. We achieved a new record backlog in 2024 of $91.5 billion, driven by continued strong demand for our products and services. Our annual sales grew by 4.4 percent to $41 billion, and have now increased by 30% organically over the past five years. Strong program performance led to an increase in operating income, and we generated $4.4 billion of operating cash flow with free cash flow* growing by 25 percent to $2.6 billion. </w:t>
      </w:r>
    </w:p>
    <w:p>
      <w:pPr>
        <w:pStyle w:val="TextBody"/>
        <w:bidi w:val="0"/>
        <w:spacing w:before="0" w:after="0"/>
        <w:jc w:val="both"/>
        <w:rPr/>
      </w:pPr>
      <w:r>
        <w:rPr/>
      </w:r>
    </w:p>
    <w:p>
      <w:pPr>
        <w:pStyle w:val="TextBody"/>
        <w:bidi w:val="0"/>
        <w:spacing w:lineRule="auto" w:line="268" w:before="0" w:after="0"/>
        <w:jc w:val="both"/>
        <w:rPr>
          <w:rFonts w:ascii="Futura Std Book;sans-serif" w:hAnsi="Futura Std Book;sans-serif"/>
          <w:b w:val="false"/>
          <w:color w:val="000000"/>
          <w:sz w:val="20"/>
          <w:shd w:fill="FFFFFF" w:val="clear"/>
        </w:rPr>
      </w:pPr>
      <w:r>
        <w:rPr>
          <w:rFonts w:ascii="Futura Std Book;sans-serif" w:hAnsi="Futura Std Book;sans-serif"/>
          <w:b w:val="false"/>
          <w:color w:val="000000"/>
          <w:sz w:val="20"/>
          <w:shd w:fill="FFFFFF" w:val="clear"/>
        </w:rPr>
        <w:t xml:space="preserve">Looking ahead, our team, strategy and culture strengthen our position for the future. With 97,000 of the world’s best problem solvers united around our values, our actions demonstrate to our customers, suppliers and communities, every day, that we uphold our promises, do the right thing and commit to shared success. </w:t>
      </w:r>
    </w:p>
    <w:p>
      <w:pPr>
        <w:pStyle w:val="TextBody"/>
        <w:bidi w:val="0"/>
        <w:spacing w:before="0" w:after="0"/>
        <w:jc w:val="both"/>
        <w:rPr/>
      </w:pPr>
      <w:r>
        <w:rPr/>
      </w:r>
    </w:p>
    <w:p>
      <w:pPr>
        <w:pStyle w:val="TextBody"/>
        <w:bidi w:val="0"/>
        <w:spacing w:lineRule="auto" w:line="268" w:before="0" w:after="0"/>
        <w:jc w:val="both"/>
        <w:rPr>
          <w:rFonts w:ascii="Futura Std Book;sans-serif" w:hAnsi="Futura Std Book;sans-serif"/>
          <w:b w:val="false"/>
          <w:color w:val="000000"/>
          <w:sz w:val="20"/>
          <w:shd w:fill="FFFFFF" w:val="clear"/>
        </w:rPr>
      </w:pPr>
      <w:r>
        <w:rPr>
          <w:rFonts w:ascii="Futura Std Book;sans-serif" w:hAnsi="Futura Std Book;sans-serif"/>
          <w:b w:val="false"/>
          <w:color w:val="000000"/>
          <w:sz w:val="20"/>
          <w:shd w:fill="FFFFFF" w:val="clear"/>
        </w:rPr>
        <w:t>With a talented team, robust portfolio and strong business strategy, we are confident we will continue to lead our industry and deliver for our customers and shareholders.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Futura Std Book;sans-serif" w:hAnsi="Futura Std Book;sans-serif"/>
          <w:b w:val="false"/>
          <w:color w:val="000000"/>
          <w:sz w:val="20"/>
        </w:rPr>
      </w:pPr>
      <w:r>
        <w:rPr>
          <w:rFonts w:ascii="Futura Std Book;sans-serif" w:hAnsi="Futura Std Book;sans-serif"/>
          <w:b w:val="false"/>
          <w:color w:val="000000"/>
          <w:sz w:val="20"/>
        </w:rPr>
        <w:t>*This metric is a non-GAAP financial measure. For more information, see ”Appendix A - Use of Non-GAAP Financial Measures.”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554990"/>
                <wp:effectExtent l="0" t="0" r="0" b="0"/>
                <wp:wrapNone/>
                <wp:docPr id="15" name="Frame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Letter from the Board of Directors</w:t>
      </w:r>
    </w:p>
    <w:p>
      <w:pPr>
        <w:pStyle w:val="TextBody"/>
        <w:bidi w:val="0"/>
        <w:spacing w:lineRule="auto" w:line="256" w:before="0" w:after="0"/>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Your vote is important, and we value receiving feedback from our shareholders. </w:t>
      </w:r>
    </w:p>
    <w:p>
      <w:pPr>
        <w:pStyle w:val="TextBody"/>
        <w:bidi w:val="0"/>
        <w:spacing w:before="0" w:after="0"/>
        <w:jc w:val="left"/>
        <w:rPr/>
      </w:pPr>
      <w:r>
        <w:rPr/>
      </w:r>
    </w:p>
    <w:p>
      <w:pPr>
        <w:pStyle w:val="TextBody"/>
        <w:bidi w:val="0"/>
        <w:spacing w:lineRule="auto" w:line="256" w:before="0" w:after="0"/>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On behalf of the entire leadership team, thank you for your continued support of Northrop Grumman. </w:t>
      </w:r>
    </w:p>
    <w:p>
      <w:pPr>
        <w:pStyle w:val="TextBody"/>
        <w:bidi w:val="0"/>
        <w:spacing w:before="220" w:after="120"/>
        <w:jc w:val="left"/>
        <w:rPr/>
      </w:pPr>
      <w:r>
        <w:rPr/>
      </w:r>
    </w:p>
    <w:p>
      <w:pPr>
        <w:pStyle w:val="TextBody"/>
        <w:bidi w:val="0"/>
        <w:spacing w:lineRule="auto" w:line="288" w:before="120" w:after="120"/>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Sincerely, </w:t>
      </w:r>
    </w:p>
    <w:tbl>
      <w:tblPr>
        <w:tblW w:w="8862" w:type="dxa"/>
        <w:jc w:val="left"/>
        <w:tblInd w:w="0" w:type="dxa"/>
        <w:tblLayout w:type="fixed"/>
        <w:tblCellMar>
          <w:top w:w="28" w:type="dxa"/>
          <w:left w:w="28" w:type="dxa"/>
          <w:bottom w:w="28" w:type="dxa"/>
          <w:right w:w="28" w:type="dxa"/>
        </w:tblCellMar>
      </w:tblPr>
      <w:tblGrid>
        <w:gridCol w:w="1015"/>
        <w:gridCol w:w="892"/>
        <w:gridCol w:w="894"/>
        <w:gridCol w:w="109"/>
        <w:gridCol w:w="109"/>
        <w:gridCol w:w="109"/>
        <w:gridCol w:w="822"/>
        <w:gridCol w:w="822"/>
        <w:gridCol w:w="827"/>
        <w:gridCol w:w="109"/>
        <w:gridCol w:w="109"/>
        <w:gridCol w:w="109"/>
        <w:gridCol w:w="860"/>
        <w:gridCol w:w="860"/>
        <w:gridCol w:w="1216"/>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333500" cy="3810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333500" cy="3810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43000" cy="66675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143000" cy="6667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781175" cy="40005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781175" cy="400050"/>
                          </a:xfrm>
                          <a:prstGeom prst="rect">
                            <a:avLst/>
                          </a:prstGeom>
                        </pic:spPr>
                      </pic:pic>
                    </a:graphicData>
                  </a:graphic>
                </wp:inline>
              </w:drawing>
            </w:r>
          </w:p>
        </w:tc>
      </w:tr>
      <w:tr>
        <w:trPr/>
        <w:tc>
          <w:tcPr>
            <w:tcW w:w="28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r>
      <w:tr>
        <w:trPr/>
        <w:tc>
          <w:tcPr>
            <w:tcW w:w="280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14500" cy="1905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714500" cy="190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14475" cy="3143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514475" cy="314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685925" cy="3905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685925" cy="390525"/>
                          </a:xfrm>
                          <a:prstGeom prst="rect">
                            <a:avLst/>
                          </a:prstGeom>
                        </pic:spPr>
                      </pic:pic>
                    </a:graphicData>
                  </a:graphic>
                </wp:inline>
              </w:drawing>
            </w:r>
          </w:p>
        </w:tc>
      </w:tr>
      <w:tr>
        <w:trPr/>
        <w:tc>
          <w:tcPr>
            <w:tcW w:w="28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Graham N. Robinson</w:t>
            </w:r>
          </w:p>
        </w:tc>
      </w:tr>
      <w:tr>
        <w:trPr/>
        <w:tc>
          <w:tcPr>
            <w:tcW w:w="280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09625" cy="5810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809625" cy="5810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200150" cy="29527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200150" cy="2952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552575" cy="3905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552575" cy="390525"/>
                          </a:xfrm>
                          <a:prstGeom prst="rect">
                            <a:avLst/>
                          </a:prstGeom>
                        </pic:spPr>
                      </pic:pic>
                    </a:graphicData>
                  </a:graphic>
                </wp:inline>
              </w:drawing>
            </w:r>
          </w:p>
        </w:tc>
      </w:tr>
      <w:tr>
        <w:trPr/>
        <w:tc>
          <w:tcPr>
            <w:tcW w:w="28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Kimberly A. 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r>
      <w:tr>
        <w:trPr/>
        <w:tc>
          <w:tcPr>
            <w:tcW w:w="280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28750" cy="5715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428750" cy="5715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257300" cy="4667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257300" cy="4667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0" cy="4191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524000" cy="419100"/>
                          </a:xfrm>
                          <a:prstGeom prst="rect">
                            <a:avLst/>
                          </a:prstGeom>
                        </pic:spPr>
                      </pic:pic>
                    </a:graphicData>
                  </a:graphic>
                </wp:inline>
              </w:drawing>
            </w:r>
          </w:p>
        </w:tc>
      </w:tr>
      <w:tr>
        <w:trPr/>
        <w:tc>
          <w:tcPr>
            <w:tcW w:w="28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r>
      <w:tr>
        <w:trPr/>
        <w:tc>
          <w:tcPr>
            <w:tcW w:w="280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57300" cy="3905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257300" cy="3905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Mary A. Winston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34695"/>
                <wp:effectExtent l="0" t="0" r="0" b="0"/>
                <wp:wrapNone/>
                <wp:docPr id="29" name="Frame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240"/>
        <w:jc w:val="left"/>
        <w:rPr>
          <w:rFonts w:ascii="Futura Std Book;sans-serif" w:hAnsi="Futura Std Book;sans-serif"/>
          <w:b/>
          <w:color w:val="29378D"/>
          <w:sz w:val="48"/>
        </w:rPr>
      </w:pPr>
      <w:r>
        <w:rPr>
          <w:rFonts w:ascii="Futura Std Book;sans-serif" w:hAnsi="Futura Std Book;sans-serif"/>
          <w:b/>
          <w:color w:val="29378D"/>
          <w:sz w:val="48"/>
        </w:rPr>
        <w:t>Notice of 2025 Annual Meeting of Shareholders</w:t>
      </w:r>
    </w:p>
    <w:tbl>
      <w:tblPr>
        <w:tblW w:w="10205" w:type="dxa"/>
        <w:jc w:val="left"/>
        <w:tblInd w:w="0" w:type="dxa"/>
        <w:tblLayout w:type="fixed"/>
        <w:tblCellMar>
          <w:top w:w="28" w:type="dxa"/>
          <w:left w:w="28" w:type="dxa"/>
          <w:bottom w:w="28" w:type="dxa"/>
          <w:right w:w="28" w:type="dxa"/>
        </w:tblCellMar>
      </w:tblPr>
      <w:tblGrid>
        <w:gridCol w:w="270"/>
        <w:gridCol w:w="237"/>
        <w:gridCol w:w="239"/>
        <w:gridCol w:w="535"/>
        <w:gridCol w:w="535"/>
        <w:gridCol w:w="537"/>
        <w:gridCol w:w="243"/>
        <w:gridCol w:w="243"/>
        <w:gridCol w:w="245"/>
        <w:gridCol w:w="1133"/>
        <w:gridCol w:w="1133"/>
        <w:gridCol w:w="1134"/>
        <w:gridCol w:w="238"/>
        <w:gridCol w:w="238"/>
        <w:gridCol w:w="240"/>
        <w:gridCol w:w="878"/>
        <w:gridCol w:w="878"/>
        <w:gridCol w:w="1249"/>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746" w:type="dxa"/>
            <w:gridSpan w:val="3"/>
            <w:tcBorders/>
            <w:tcMar>
              <w:top w:w="0" w:type="dxa"/>
              <w:left w:w="0" w:type="dxa"/>
              <w:bottom w:w="0" w:type="dxa"/>
              <w:right w:w="0" w:type="dxa"/>
            </w:tcMar>
            <w:vAlign w:val="center"/>
          </w:tcPr>
          <w:p>
            <w:pPr>
              <w:pStyle w:val="TableContents"/>
              <w:bidi w:val="0"/>
              <w:spacing w:lineRule="auto" w:line="288" w:before="20" w:after="20"/>
              <w:jc w:val="left"/>
              <w:rPr/>
            </w:pPr>
            <w:r>
              <w:rPr/>
              <w:drawing>
                <wp:inline distT="0" distB="0" distL="0" distR="0">
                  <wp:extent cx="371475" cy="37147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371475" cy="371475"/>
                          </a:xfrm>
                          <a:prstGeom prst="rect">
                            <a:avLst/>
                          </a:prstGeom>
                        </pic:spPr>
                      </pic:pic>
                    </a:graphicData>
                  </a:graphic>
                </wp:inline>
              </w:drawing>
            </w:r>
            <w:r>
              <w:rPr>
                <w:color w:val="000000"/>
              </w:rPr>
              <w:t> </w:t>
            </w:r>
          </w:p>
        </w:tc>
        <w:tc>
          <w:tcPr>
            <w:tcW w:w="1607"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color w:val="00249C"/>
                <w:sz w:val="16"/>
              </w:rPr>
            </w:pPr>
            <w:r>
              <w:rPr>
                <w:rFonts w:ascii="Futura Std Book;sans-serif" w:hAnsi="Futura Std Book;sans-serif"/>
                <w:b/>
                <w:color w:val="00249C"/>
                <w:sz w:val="16"/>
              </w:rPr>
              <w:t>DATE AND TIME</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May 21, 2025</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(Wednesday) </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8:00 AM Eastern Daylight Time</w:t>
            </w:r>
          </w:p>
        </w:tc>
        <w:tc>
          <w:tcPr>
            <w:tcW w:w="731" w:type="dxa"/>
            <w:gridSpan w:val="3"/>
            <w:tcBorders/>
            <w:tcMar>
              <w:top w:w="0" w:type="dxa"/>
              <w:left w:w="0" w:type="dxa"/>
              <w:bottom w:w="0" w:type="dxa"/>
              <w:right w:w="0" w:type="dxa"/>
            </w:tcMar>
            <w:vAlign w:val="center"/>
          </w:tcPr>
          <w:p>
            <w:pPr>
              <w:pStyle w:val="TableContents"/>
              <w:bidi w:val="0"/>
              <w:spacing w:lineRule="auto" w:line="288" w:before="20" w:after="20"/>
              <w:jc w:val="left"/>
              <w:rPr/>
            </w:pPr>
            <w:r>
              <w:rPr/>
              <w:drawing>
                <wp:inline distT="0" distB="0" distL="0" distR="0">
                  <wp:extent cx="371475" cy="37147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371475" cy="371475"/>
                          </a:xfrm>
                          <a:prstGeom prst="rect">
                            <a:avLst/>
                          </a:prstGeom>
                        </pic:spPr>
                      </pic:pic>
                    </a:graphicData>
                  </a:graphic>
                </wp:inline>
              </w:drawing>
            </w:r>
            <w:r>
              <w:rPr>
                <w:color w:val="000000"/>
              </w:rPr>
              <w:t> </w:t>
            </w:r>
          </w:p>
        </w:tc>
        <w:tc>
          <w:tcPr>
            <w:tcW w:w="3400"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color w:val="29378D"/>
                <w:sz w:val="16"/>
              </w:rPr>
            </w:pPr>
            <w:r>
              <w:rPr>
                <w:rFonts w:ascii="Futura Std Book;sans-serif" w:hAnsi="Futura Std Book;sans-serif"/>
                <w:b/>
                <w:color w:val="29378D"/>
                <w:sz w:val="16"/>
              </w:rPr>
              <w:t>LOCATION</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Online via live webcast at:</w:t>
            </w:r>
          </w:p>
          <w:p>
            <w:pPr>
              <w:pStyle w:val="TableContents"/>
              <w:bidi w:val="0"/>
              <w:spacing w:lineRule="auto" w:line="288" w:before="20" w:after="20"/>
              <w:jc w:val="left"/>
              <w:rPr>
                <w:rFonts w:ascii="Futura Std Book;sans-serif" w:hAnsi="Futura Std Book;sans-serif"/>
                <w:b w:val="false"/>
                <w:color w:val="29378D"/>
                <w:sz w:val="16"/>
              </w:rPr>
            </w:pPr>
            <w:r>
              <w:rPr>
                <w:rFonts w:ascii="Futura Std Book;sans-serif" w:hAnsi="Futura Std Book;sans-serif"/>
                <w:b w:val="false"/>
                <w:color w:val="29378D"/>
                <w:sz w:val="16"/>
              </w:rPr>
              <w:t>www.virtualshareholdermeeting.com/NOC2025</w:t>
            </w:r>
          </w:p>
        </w:tc>
        <w:tc>
          <w:tcPr>
            <w:tcW w:w="716" w:type="dxa"/>
            <w:gridSpan w:val="3"/>
            <w:tcBorders/>
            <w:tcMar>
              <w:top w:w="0" w:type="dxa"/>
              <w:left w:w="0" w:type="dxa"/>
              <w:bottom w:w="0" w:type="dxa"/>
              <w:right w:w="0" w:type="dxa"/>
            </w:tcMar>
            <w:vAlign w:val="center"/>
          </w:tcPr>
          <w:p>
            <w:pPr>
              <w:pStyle w:val="TableContents"/>
              <w:bidi w:val="0"/>
              <w:spacing w:lineRule="auto" w:line="288" w:before="20" w:after="20"/>
              <w:jc w:val="left"/>
              <w:rPr/>
            </w:pPr>
            <w:r>
              <w:rPr/>
              <w:drawing>
                <wp:inline distT="0" distB="0" distL="0" distR="0">
                  <wp:extent cx="361950" cy="361950"/>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361950" cy="361950"/>
                          </a:xfrm>
                          <a:prstGeom prst="rect">
                            <a:avLst/>
                          </a:prstGeom>
                        </pic:spPr>
                      </pic:pic>
                    </a:graphicData>
                  </a:graphic>
                </wp:inline>
              </w:drawing>
            </w:r>
            <w:r>
              <w:rPr>
                <w:color w:val="000000"/>
              </w:rPr>
              <w:t> </w:t>
            </w:r>
          </w:p>
        </w:tc>
        <w:tc>
          <w:tcPr>
            <w:tcW w:w="3005"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color w:val="00249C"/>
                <w:sz w:val="16"/>
              </w:rPr>
            </w:pPr>
            <w:r>
              <w:rPr>
                <w:rFonts w:ascii="Futura Std Book;sans-serif" w:hAnsi="Futura Std Book;sans-serif"/>
                <w:b/>
                <w:color w:val="00249C"/>
                <w:sz w:val="16"/>
              </w:rPr>
              <w:t>WHO CAN VOTE</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Shareholders of record at the close of business on March 25, 2025 are entitled to vote at the Annual Meeting</w:t>
            </w:r>
          </w:p>
        </w:tc>
      </w:tr>
    </w:tbl>
    <w:p>
      <w:pPr>
        <w:pStyle w:val="TextBody"/>
        <w:bidi w:val="0"/>
        <w:spacing w:lineRule="auto" w:line="288" w:before="120" w:after="283"/>
        <w:jc w:val="left"/>
        <w:rPr>
          <w:rFonts w:ascii="Futura Std Book;sans-serif" w:hAnsi="Futura Std Book;sans-serif"/>
          <w:b/>
          <w:color w:val="29378D"/>
          <w:sz w:val="30"/>
        </w:rPr>
      </w:pPr>
      <w:r>
        <w:rPr>
          <w:rFonts w:ascii="Futura Std Book;sans-serif" w:hAnsi="Futura Std Book;sans-serif"/>
          <w:b/>
          <w:color w:val="29378D"/>
          <w:sz w:val="30"/>
        </w:rPr>
        <w:t>Voting Items</w:t>
      </w:r>
    </w:p>
    <w:tbl>
      <w:tblPr>
        <w:tblW w:w="10205" w:type="dxa"/>
        <w:jc w:val="left"/>
        <w:tblInd w:w="0" w:type="dxa"/>
        <w:tblLayout w:type="fixed"/>
        <w:tblCellMar>
          <w:top w:w="28" w:type="dxa"/>
          <w:left w:w="28" w:type="dxa"/>
          <w:bottom w:w="28" w:type="dxa"/>
          <w:right w:w="28" w:type="dxa"/>
        </w:tblCellMar>
      </w:tblPr>
      <w:tblGrid>
        <w:gridCol w:w="155"/>
        <w:gridCol w:w="137"/>
        <w:gridCol w:w="137"/>
        <w:gridCol w:w="2432"/>
        <w:gridCol w:w="2395"/>
        <w:gridCol w:w="2395"/>
        <w:gridCol w:w="544"/>
        <w:gridCol w:w="544"/>
        <w:gridCol w:w="546"/>
        <w:gridCol w:w="268"/>
        <w:gridCol w:w="268"/>
        <w:gridCol w:w="384"/>
      </w:tblGrid>
      <w:tr>
        <w:trPr/>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765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Proposals</w:t>
            </w:r>
          </w:p>
        </w:tc>
        <w:tc>
          <w:tcPr>
            <w:tcW w:w="1634" w:type="dxa"/>
            <w:gridSpan w:val="3"/>
            <w:tcBorders/>
            <w:tcMar>
              <w:top w:w="0" w:type="dxa"/>
              <w:left w:w="0" w:type="dxa"/>
              <w:bottom w:w="0" w:type="dxa"/>
              <w:right w:w="0" w:type="dxa"/>
            </w:tcMar>
            <w:vAlign w:val="center"/>
          </w:tcPr>
          <w:p>
            <w:pPr>
              <w:pStyle w:val="TableContents"/>
              <w:bidi w:val="0"/>
              <w:spacing w:lineRule="auto" w:line="276" w:before="20" w:after="20"/>
              <w:jc w:val="left"/>
              <w:rPr/>
            </w:pPr>
            <w:r>
              <w:rPr>
                <w:rFonts w:ascii="Futura Std Book;sans-serif" w:hAnsi="Futura Std Book;sans-serif"/>
                <w:b/>
                <w:color w:val="000000"/>
                <w:sz w:val="14"/>
              </w:rPr>
              <w:t>Board Vote</w:t>
            </w:r>
            <w:r>
              <w:rPr>
                <w:rFonts w:ascii="Futura Std Book;sans-serif" w:hAnsi="Futura Std Book;sans-serif"/>
                <w:b w:val="false"/>
                <w:color w:val="000000"/>
                <w:sz w:val="14"/>
              </w:rPr>
              <w:br/>
            </w:r>
            <w:r>
              <w:rPr>
                <w:rFonts w:ascii="Futura Std Book;sans-serif" w:hAnsi="Futura Std Book;sans-serif"/>
                <w:b/>
                <w:color w:val="000000"/>
                <w:sz w:val="14"/>
              </w:rPr>
              <w:t>Recommendations</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76" w:before="20" w:after="20"/>
              <w:jc w:val="left"/>
              <w:rPr/>
            </w:pPr>
            <w:r>
              <w:rPr>
                <w:rFonts w:ascii="Futura Std Book;sans-serif" w:hAnsi="Futura Std Book;sans-serif"/>
                <w:b/>
                <w:color w:val="000000"/>
                <w:sz w:val="14"/>
              </w:rPr>
              <w:t>For Further</w:t>
            </w:r>
            <w:r>
              <w:rPr>
                <w:rFonts w:ascii="Futura Std Book;sans-serif" w:hAnsi="Futura Std Book;sans-serif"/>
                <w:b w:val="false"/>
                <w:color w:val="000000"/>
                <w:sz w:val="14"/>
              </w:rPr>
              <w:br/>
            </w:r>
            <w:r>
              <w:rPr>
                <w:rFonts w:ascii="Futura Std Book;sans-serif" w:hAnsi="Futura Std Book;sans-serif"/>
                <w:b/>
                <w:color w:val="000000"/>
                <w:sz w:val="14"/>
              </w:rPr>
              <w:t>Details</w:t>
            </w:r>
          </w:p>
        </w:tc>
      </w:tr>
      <w:tr>
        <w:trPr/>
        <w:tc>
          <w:tcPr>
            <w:tcW w:w="42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1.</w:t>
            </w:r>
          </w:p>
        </w:tc>
        <w:tc>
          <w:tcPr>
            <w:tcW w:w="722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Election of Directors</w:t>
            </w:r>
          </w:p>
        </w:tc>
        <w:tc>
          <w:tcPr>
            <w:tcW w:w="163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left"/>
              <w:rPr/>
            </w:pPr>
            <w:r>
              <w:rPr>
                <w:color w:val="29378D"/>
              </w:rPr>
              <w:t>“</w:t>
            </w:r>
            <w:r>
              <w:rPr>
                <w:rFonts w:ascii="Futura Std Book;sans-serif" w:hAnsi="Futura Std Book;sans-serif"/>
                <w:b/>
                <w:color w:val="29378D"/>
                <w:sz w:val="18"/>
              </w:rPr>
              <w:t>FOR”</w:t>
            </w:r>
            <w:r>
              <w:rPr>
                <w:color w:val="000000"/>
              </w:rPr>
              <w:t xml:space="preserve"> </w:t>
            </w:r>
            <w:r>
              <w:rPr>
                <w:rFonts w:ascii="Futura Std Book;sans-serif" w:hAnsi="Futura Std Book;sans-serif"/>
                <w:b w:val="false"/>
                <w:color w:val="000000"/>
                <w:sz w:val="18"/>
              </w:rPr>
              <w:t>each</w:t>
              <w:br/>
              <w:t>Director Nominee</w:t>
            </w:r>
          </w:p>
        </w:tc>
        <w:tc>
          <w:tcPr>
            <w:tcW w:w="920" w:type="dxa"/>
            <w:gridSpan w:val="3"/>
            <w:tcBorders>
              <w:top w:val="single" w:sz="8" w:space="0" w:color="29378D"/>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Page </w:t>
            </w:r>
            <w:hyperlink w:anchor="idc6f358a7ea345daa8bbc8a5ea69f8d5_37">
              <w:r>
                <w:rPr>
                  <w:rStyle w:val="InternetLink"/>
                  <w:rFonts w:ascii="Futura Std Book;sans-serif" w:hAnsi="Futura Std Book;sans-serif"/>
                  <w:b w:val="false"/>
                  <w:strike w:val="false"/>
                  <w:dstrike w:val="false"/>
                  <w:color w:val="000000"/>
                  <w:sz w:val="18"/>
                  <w:u w:val="none"/>
                  <w:effect w:val="none"/>
                </w:rPr>
                <w:t>15</w:t>
              </w:r>
            </w:hyperlink>
          </w:p>
        </w:tc>
      </w:tr>
      <w:tr>
        <w:trPr/>
        <w:tc>
          <w:tcPr>
            <w:tcW w:w="42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w:t>
            </w:r>
          </w:p>
        </w:tc>
        <w:tc>
          <w:tcPr>
            <w:tcW w:w="722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Advisory Vote on Compensation of Named Executive Officers</w:t>
            </w:r>
          </w:p>
        </w:tc>
        <w:tc>
          <w:tcPr>
            <w:tcW w:w="16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29378D"/>
              </w:rPr>
            </w:pPr>
            <w:r>
              <w:rPr>
                <w:color w:val="29378D"/>
              </w:rPr>
              <w:t>“</w:t>
            </w:r>
            <w:r>
              <w:rPr>
                <w:rFonts w:ascii="Futura Std Book;sans-serif" w:hAnsi="Futura Std Book;sans-serif"/>
                <w:b/>
                <w:color w:val="29378D"/>
                <w:sz w:val="18"/>
              </w:rPr>
              <w:t>FOR”</w:t>
            </w:r>
          </w:p>
        </w:tc>
        <w:tc>
          <w:tcPr>
            <w:tcW w:w="920" w:type="dxa"/>
            <w:gridSpan w:val="3"/>
            <w:tcBorders>
              <w:top w:val="single" w:sz="4" w:space="0" w:color="BCBEC0"/>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Page </w:t>
            </w:r>
            <w:hyperlink w:anchor="idc6f358a7ea345daa8bbc8a5ea69f8d5_100">
              <w:r>
                <w:rPr>
                  <w:rStyle w:val="InternetLink"/>
                  <w:rFonts w:ascii="Futura Std Book;sans-serif" w:hAnsi="Futura Std Book;sans-serif"/>
                  <w:b w:val="false"/>
                  <w:strike w:val="false"/>
                  <w:dstrike w:val="false"/>
                  <w:color w:val="000000"/>
                  <w:sz w:val="18"/>
                  <w:u w:val="none"/>
                  <w:effect w:val="none"/>
                </w:rPr>
                <w:t>47</w:t>
              </w:r>
            </w:hyperlink>
          </w:p>
        </w:tc>
      </w:tr>
      <w:tr>
        <w:trPr/>
        <w:tc>
          <w:tcPr>
            <w:tcW w:w="42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3.</w:t>
            </w:r>
          </w:p>
        </w:tc>
        <w:tc>
          <w:tcPr>
            <w:tcW w:w="722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Ratification of Appointment of Independent Auditor</w:t>
            </w:r>
          </w:p>
        </w:tc>
        <w:tc>
          <w:tcPr>
            <w:tcW w:w="16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29378D"/>
              </w:rPr>
            </w:pPr>
            <w:r>
              <w:rPr>
                <w:color w:val="29378D"/>
              </w:rPr>
              <w:t>“</w:t>
            </w:r>
            <w:r>
              <w:rPr>
                <w:rFonts w:ascii="Futura Std Book;sans-serif" w:hAnsi="Futura Std Book;sans-serif"/>
                <w:b/>
                <w:color w:val="29378D"/>
                <w:sz w:val="18"/>
              </w:rPr>
              <w:t>FOR”</w:t>
            </w:r>
          </w:p>
        </w:tc>
        <w:tc>
          <w:tcPr>
            <w:tcW w:w="920" w:type="dxa"/>
            <w:gridSpan w:val="3"/>
            <w:tcBorders>
              <w:top w:val="single" w:sz="4" w:space="0" w:color="BCBEC0"/>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Page </w:t>
            </w:r>
            <w:hyperlink w:anchor="idc6f358a7ea345daa8bbc8a5ea69f8d5_175">
              <w:r>
                <w:rPr>
                  <w:rStyle w:val="InternetLink"/>
                  <w:rFonts w:ascii="Futura Std Book;sans-serif" w:hAnsi="Futura Std Book;sans-serif"/>
                  <w:b w:val="false"/>
                  <w:strike w:val="false"/>
                  <w:dstrike w:val="false"/>
                  <w:color w:val="000000"/>
                  <w:sz w:val="18"/>
                  <w:u w:val="none"/>
                  <w:effect w:val="none"/>
                </w:rPr>
                <w:t>89</w:t>
              </w:r>
            </w:hyperlink>
          </w:p>
        </w:tc>
      </w:tr>
      <w:tr>
        <w:trPr/>
        <w:tc>
          <w:tcPr>
            <w:tcW w:w="42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6"/>
              </w:rPr>
            </w:pPr>
            <w:r>
              <w:rPr>
                <w:rFonts w:ascii="Futura Std Book;sans-serif" w:hAnsi="Futura Std Book;sans-serif"/>
                <w:b/>
                <w:color w:val="00249C"/>
                <w:sz w:val="16"/>
              </w:rPr>
              <w:t>4.</w:t>
            </w:r>
          </w:p>
        </w:tc>
        <w:tc>
          <w:tcPr>
            <w:tcW w:w="722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 Proposal to Support Improved Clawback Policy regarding Unearned Executive Pay</w:t>
            </w:r>
          </w:p>
        </w:tc>
        <w:tc>
          <w:tcPr>
            <w:tcW w:w="16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249C"/>
              </w:rPr>
            </w:pPr>
            <w:r>
              <w:rPr>
                <w:color w:val="00249C"/>
              </w:rPr>
              <w:t>“</w:t>
            </w:r>
            <w:r>
              <w:rPr>
                <w:rFonts w:ascii="Futura Std Book;sans-serif" w:hAnsi="Futura Std Book;sans-serif"/>
                <w:b/>
                <w:color w:val="00249C"/>
                <w:sz w:val="18"/>
              </w:rPr>
              <w:t>AGAINST”</w:t>
            </w:r>
          </w:p>
        </w:tc>
        <w:tc>
          <w:tcPr>
            <w:tcW w:w="920" w:type="dxa"/>
            <w:gridSpan w:val="3"/>
            <w:tcBorders>
              <w:top w:val="single" w:sz="4" w:space="0" w:color="BCBEC0"/>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Page </w:t>
            </w:r>
            <w:hyperlink w:anchor="idc6f358a7ea345daa8bbc8a5ea69f8d5_193">
              <w:r>
                <w:rPr>
                  <w:rStyle w:val="InternetLink"/>
                  <w:rFonts w:ascii="Futura Std Book;sans-serif" w:hAnsi="Futura Std Book;sans-serif"/>
                  <w:b w:val="false"/>
                  <w:strike w:val="false"/>
                  <w:dstrike w:val="false"/>
                  <w:color w:val="000000"/>
                  <w:sz w:val="18"/>
                  <w:u w:val="none"/>
                  <w:effect w:val="none"/>
                </w:rPr>
                <w:t>92</w:t>
              </w:r>
            </w:hyperlink>
          </w:p>
        </w:tc>
      </w:tr>
    </w:tbl>
    <w:p>
      <w:pPr>
        <w:pStyle w:val="TextBody"/>
        <w:bidi w:val="0"/>
        <w:spacing w:lineRule="auto" w:line="288" w:before="120" w:after="120"/>
        <w:jc w:val="left"/>
        <w:rPr/>
      </w:pPr>
      <w:r>
        <w:rPr>
          <w:rFonts w:ascii="Futura Std Book;sans-serif" w:hAnsi="Futura Std Book;sans-serif"/>
          <w:b w:val="false"/>
          <w:color w:val="000000"/>
          <w:sz w:val="18"/>
        </w:rPr>
        <w:t xml:space="preserve">Shareholders will also act on any other business as may properly come before the Annual Meeting or any adjournment or postponement thereof by or at the direction of the Board of Directors. The Annual Meeting will be conducted exclusively online through a live webcast in order to facilitate shareholder attendance and participation. You can find detailed instructions on how to attend on page </w:t>
      </w:r>
      <w:hyperlink w:anchor="idc6f358a7ea345daa8bbc8a5ea69f8d5_217">
        <w:r>
          <w:rPr>
            <w:rStyle w:val="InternetLink"/>
            <w:rFonts w:ascii="Futura Std Book;sans-serif" w:hAnsi="Futura Std Book;sans-serif"/>
            <w:b w:val="false"/>
            <w:strike w:val="false"/>
            <w:dstrike w:val="false"/>
            <w:color w:val="000000"/>
            <w:sz w:val="18"/>
            <w:u w:val="none"/>
            <w:effect w:val="none"/>
          </w:rPr>
          <w:t>98</w:t>
        </w:r>
      </w:hyperlink>
      <w:r>
        <w:rPr>
          <w:rFonts w:ascii="Futura Std Book;sans-serif" w:hAnsi="Futura Std Book;sans-serif"/>
          <w:b w:val="false"/>
          <w:color w:val="000000"/>
          <w:sz w:val="18"/>
        </w:rPr>
        <w:t xml:space="preserve"> of this Proxy Statement.</w:t>
      </w:r>
    </w:p>
    <w:p>
      <w:pPr>
        <w:pStyle w:val="TextBody"/>
        <w:bidi w:val="0"/>
        <w:spacing w:lineRule="auto" w:line="288" w:before="120" w:after="120"/>
        <w:jc w:val="left"/>
        <w:rPr/>
      </w:pPr>
      <w:r>
        <w:rPr>
          <w:rFonts w:ascii="Futura Std Book;sans-serif" w:hAnsi="Futura Std Book;sans-serif"/>
          <w:b w:val="false"/>
          <w:color w:val="000000"/>
          <w:sz w:val="18"/>
        </w:rPr>
        <w:t xml:space="preserve">Your vote is important. Please promptly submit your vote by internet or telephone, or by signing, dating and returning a proxy card or voting instruction form in the postage-prepaid envelope provided so that your shares will be represented and voted at the meeting. A paper copy of the proxy materials may be obtained by logging on to </w:t>
      </w:r>
      <w:r>
        <w:rPr>
          <w:rFonts w:ascii="Futura Std Book;sans-serif" w:hAnsi="Futura Std Book;sans-serif"/>
          <w:b w:val="false"/>
          <w:i/>
          <w:color w:val="000000"/>
          <w:sz w:val="18"/>
        </w:rPr>
        <w:t>www.proxyvote.com</w:t>
      </w:r>
      <w:r>
        <w:rPr>
          <w:color w:val="000000"/>
        </w:rPr>
        <w:t xml:space="preserve"> </w:t>
      </w:r>
      <w:r>
        <w:rPr>
          <w:rFonts w:ascii="Futura Std Book;sans-serif" w:hAnsi="Futura Std Book;sans-serif"/>
          <w:b w:val="false"/>
          <w:color w:val="000000"/>
          <w:sz w:val="18"/>
        </w:rPr>
        <w:t>and following the instructions given.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By order of the Board of Directors,</w:t>
      </w:r>
    </w:p>
    <w:p>
      <w:pPr>
        <w:pStyle w:val="TextBody"/>
        <w:bidi w:val="0"/>
        <w:spacing w:before="0" w:after="0"/>
        <w:jc w:val="left"/>
        <w:rPr/>
      </w:pPr>
      <w:r>
        <w:rPr/>
        <w:drawing>
          <wp:inline distT="0" distB="0" distL="0" distR="0">
            <wp:extent cx="1247775" cy="400050"/>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1247775" cy="400050"/>
                    </a:xfrm>
                    <a:prstGeom prst="rect">
                      <a:avLst/>
                    </a:prstGeom>
                  </pic:spPr>
                </pic:pic>
              </a:graphicData>
            </a:graphic>
          </wp:inline>
        </w:drawing>
      </w:r>
    </w:p>
    <w:p>
      <w:pPr>
        <w:pStyle w:val="TextBody"/>
        <w:bidi w:val="0"/>
        <w:spacing w:lineRule="auto" w:line="276" w:before="40" w:after="140"/>
        <w:jc w:val="left"/>
        <w:rPr/>
      </w:pPr>
      <w:r>
        <w:rPr>
          <w:rFonts w:ascii="Futura Std Book;sans-serif" w:hAnsi="Futura Std Book;sans-serif"/>
          <w:b/>
          <w:color w:val="29378D"/>
          <w:sz w:val="18"/>
        </w:rPr>
        <w:t>Jennifer C. McGarey</w:t>
        <w:br/>
      </w:r>
      <w:r>
        <w:rPr>
          <w:rFonts w:ascii="Futura Std Book;sans-serif" w:hAnsi="Futura Std Book;sans-serif"/>
          <w:b w:val="false"/>
          <w:color w:val="000000"/>
          <w:sz w:val="18"/>
        </w:rPr>
        <w:t>Corporate Vice President and Secretary</w:t>
      </w:r>
    </w:p>
    <w:p>
      <w:pPr>
        <w:pStyle w:val="TextBody"/>
        <w:bidi w:val="0"/>
        <w:spacing w:before="40" w:after="40"/>
        <w:jc w:val="left"/>
        <w:rPr/>
      </w:pPr>
      <w:r>
        <w:rPr/>
      </w:r>
    </w:p>
    <w:tbl>
      <w:tblPr>
        <w:tblW w:w="10205" w:type="dxa"/>
        <w:jc w:val="left"/>
        <w:tblInd w:w="0" w:type="dxa"/>
        <w:tblLayout w:type="fixed"/>
        <w:tblCellMar>
          <w:top w:w="28" w:type="dxa"/>
          <w:left w:w="28" w:type="dxa"/>
          <w:bottom w:w="28" w:type="dxa"/>
          <w:right w:w="28" w:type="dxa"/>
        </w:tblCellMar>
      </w:tblPr>
      <w:tblGrid>
        <w:gridCol w:w="248"/>
        <w:gridCol w:w="218"/>
        <w:gridCol w:w="220"/>
        <w:gridCol w:w="1055"/>
        <w:gridCol w:w="1055"/>
        <w:gridCol w:w="1057"/>
        <w:gridCol w:w="223"/>
        <w:gridCol w:w="223"/>
        <w:gridCol w:w="225"/>
        <w:gridCol w:w="775"/>
        <w:gridCol w:w="734"/>
        <w:gridCol w:w="736"/>
        <w:gridCol w:w="1004"/>
        <w:gridCol w:w="1004"/>
        <w:gridCol w:w="1428"/>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6769"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30"/>
              </w:rPr>
            </w:pPr>
            <w:r>
              <w:rPr>
                <w:rFonts w:ascii="Futura Std Book;sans-serif" w:hAnsi="Futura Std Book;sans-serif"/>
                <w:b/>
                <w:color w:val="29378D"/>
                <w:sz w:val="30"/>
              </w:rPr>
              <w:t>How to Vote</w:t>
            </w:r>
          </w:p>
        </w:tc>
        <w:tc>
          <w:tcPr>
            <w:tcW w:w="3436" w:type="dxa"/>
            <w:gridSpan w:val="3"/>
            <w:vMerge w:val="restart"/>
            <w:tcBorders>
              <w:top w:val="single" w:sz="8" w:space="0" w:color="29378D"/>
              <w:left w:val="single" w:sz="8" w:space="0" w:color="29378D"/>
              <w:bottom w:val="single" w:sz="8" w:space="0" w:color="29378D"/>
              <w:right w:val="single" w:sz="8" w:space="0" w:color="29378D"/>
            </w:tcBorders>
            <w:tcMar>
              <w:top w:w="30" w:type="dxa"/>
              <w:bottom w:w="30" w:type="dxa"/>
            </w:tcMar>
            <w:vAlign w:val="center"/>
          </w:tcPr>
          <w:p>
            <w:pPr>
              <w:pStyle w:val="TableContents"/>
              <w:bidi w:val="0"/>
              <w:spacing w:lineRule="auto" w:line="288" w:before="0" w:after="0"/>
              <w:jc w:val="left"/>
              <w:rPr>
                <w:rFonts w:ascii="Futura Std Book;sans-serif" w:hAnsi="Futura Std Book;sans-serif"/>
                <w:b/>
                <w:color w:val="29378D"/>
                <w:sz w:val="17"/>
              </w:rPr>
            </w:pPr>
            <w:r>
              <w:rPr>
                <w:rFonts w:ascii="Futura Std Book;sans-serif" w:hAnsi="Futura Std Book;sans-serif"/>
                <w:b/>
                <w:color w:val="29378D"/>
                <w:sz w:val="17"/>
              </w:rPr>
              <w:t>Important Notice Regarding the Availability of Proxy Materials for the Shareholders Meeting to be held on May 21, 2025:</w:t>
            </w:r>
          </w:p>
          <w:p>
            <w:pPr>
              <w:pStyle w:val="TableContents"/>
              <w:bidi w:val="0"/>
              <w:spacing w:lineRule="auto" w:line="288" w:before="0" w:after="0"/>
              <w:jc w:val="left"/>
              <w:rPr/>
            </w:pPr>
            <w:r>
              <w:rPr>
                <w:rFonts w:ascii="Futura Std Book;sans-serif" w:hAnsi="Futura Std Book;sans-serif"/>
                <w:b/>
                <w:color w:val="29378D"/>
                <w:sz w:val="17"/>
              </w:rPr>
              <w:t xml:space="preserve">The Proxy Statement for the 2025 Annual Meeting of Shareholders and the Annual Report for the year ended December 31, 2024 are available at: </w:t>
            </w:r>
            <w:r>
              <w:rPr>
                <w:rFonts w:ascii="Futura Std Book;sans-serif" w:hAnsi="Futura Std Book;sans-serif"/>
                <w:b/>
                <w:i/>
                <w:color w:val="29378D"/>
                <w:sz w:val="17"/>
              </w:rPr>
              <w:t>www.proxyvote.com.</w:t>
            </w:r>
          </w:p>
        </w:tc>
      </w:tr>
      <w:tr>
        <w:trPr/>
        <w:tc>
          <w:tcPr>
            <w:tcW w:w="686" w:type="dxa"/>
            <w:gridSpan w:val="3"/>
            <w:tcBorders/>
            <w:tcMar>
              <w:top w:w="0" w:type="dxa"/>
              <w:left w:w="0" w:type="dxa"/>
              <w:bottom w:w="0" w:type="dxa"/>
              <w:right w:w="0" w:type="dxa"/>
            </w:tcMar>
            <w:vAlign w:val="center"/>
          </w:tcPr>
          <w:p>
            <w:pPr>
              <w:pStyle w:val="TableContents"/>
              <w:bidi w:val="0"/>
              <w:spacing w:before="20" w:after="120"/>
              <w:jc w:val="left"/>
              <w:rPr/>
            </w:pPr>
            <w:r>
              <w:rPr/>
              <w:drawing>
                <wp:inline distT="0" distB="0" distL="0" distR="0">
                  <wp:extent cx="371475" cy="371475"/>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371475" cy="371475"/>
                          </a:xfrm>
                          <a:prstGeom prst="rect">
                            <a:avLst/>
                          </a:prstGeom>
                        </pic:spPr>
                      </pic:pic>
                    </a:graphicData>
                  </a:graphic>
                </wp:inline>
              </w:drawing>
            </w:r>
          </w:p>
        </w:tc>
        <w:tc>
          <w:tcPr>
            <w:tcW w:w="3167"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color w:val="29378D"/>
                <w:sz w:val="16"/>
              </w:rPr>
            </w:pPr>
            <w:r>
              <w:rPr>
                <w:rFonts w:ascii="Futura Std Book;sans-serif" w:hAnsi="Futura Std Book;sans-serif"/>
                <w:b/>
                <w:color w:val="29378D"/>
                <w:sz w:val="16"/>
              </w:rPr>
              <w:t>INTERNET</w:t>
            </w:r>
          </w:p>
          <w:p>
            <w:pPr>
              <w:pStyle w:val="TableContents"/>
              <w:bidi w:val="0"/>
              <w:spacing w:lineRule="auto" w:line="276" w:before="20" w:after="20"/>
              <w:jc w:val="left"/>
              <w:rPr>
                <w:rFonts w:ascii="Futura Std Book;sans-serif" w:hAnsi="Futura Std Book;sans-serif"/>
                <w:b w:val="false"/>
                <w:i/>
                <w:color w:val="29378D"/>
                <w:sz w:val="18"/>
              </w:rPr>
            </w:pPr>
            <w:r>
              <w:rPr>
                <w:rFonts w:ascii="Futura Std Book;sans-serif" w:hAnsi="Futura Std Book;sans-serif"/>
                <w:b w:val="false"/>
                <w:i/>
                <w:color w:val="29378D"/>
                <w:sz w:val="18"/>
              </w:rPr>
              <w:t>www.proxyvote.com</w:t>
            </w:r>
          </w:p>
        </w:tc>
        <w:tc>
          <w:tcPr>
            <w:tcW w:w="671" w:type="dxa"/>
            <w:gridSpan w:val="3"/>
            <w:tcBorders/>
            <w:tcMar>
              <w:top w:w="0" w:type="dxa"/>
              <w:left w:w="0" w:type="dxa"/>
              <w:bottom w:w="0" w:type="dxa"/>
              <w:right w:w="0" w:type="dxa"/>
            </w:tcMar>
            <w:vAlign w:val="center"/>
          </w:tcPr>
          <w:p>
            <w:pPr>
              <w:pStyle w:val="TableContents"/>
              <w:bidi w:val="0"/>
              <w:spacing w:before="20" w:after="120"/>
              <w:jc w:val="left"/>
              <w:rPr/>
            </w:pPr>
            <w:r>
              <w:rPr/>
              <w:drawing>
                <wp:inline distT="0" distB="0" distL="0" distR="0">
                  <wp:extent cx="371475" cy="371475"/>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371475" cy="371475"/>
                          </a:xfrm>
                          <a:prstGeom prst="rect">
                            <a:avLst/>
                          </a:prstGeom>
                        </pic:spPr>
                      </pic:pic>
                    </a:graphicData>
                  </a:graphic>
                </wp:inline>
              </w:drawing>
            </w:r>
          </w:p>
        </w:tc>
        <w:tc>
          <w:tcPr>
            <w:tcW w:w="2245" w:type="dxa"/>
            <w:gridSpan w:val="3"/>
            <w:tcBorders>
              <w:right w:val="single" w:sz="8" w:space="0" w:color="29378D"/>
            </w:tcBorders>
            <w:tcMar>
              <w:top w:w="0" w:type="dxa"/>
              <w:left w:w="0" w:type="dxa"/>
              <w:bottom w:w="0" w:type="dxa"/>
            </w:tcMar>
            <w:vAlign w:val="center"/>
          </w:tcPr>
          <w:p>
            <w:pPr>
              <w:pStyle w:val="TableContents"/>
              <w:bidi w:val="0"/>
              <w:spacing w:lineRule="auto" w:line="288" w:before="20" w:after="20"/>
              <w:jc w:val="left"/>
              <w:rPr>
                <w:rFonts w:ascii="Futura Std Book;sans-serif" w:hAnsi="Futura Std Book;sans-serif"/>
                <w:b/>
                <w:color w:val="00249C"/>
                <w:sz w:val="16"/>
              </w:rPr>
            </w:pPr>
            <w:r>
              <w:rPr>
                <w:rFonts w:ascii="Futura Std Book;sans-serif" w:hAnsi="Futura Std Book;sans-serif"/>
                <w:b/>
                <w:color w:val="00249C"/>
                <w:sz w:val="16"/>
              </w:rPr>
              <w:t>TELEPHONE</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800-690-6903</w:t>
            </w:r>
          </w:p>
        </w:tc>
        <w:tc>
          <w:tcPr>
            <w:tcW w:w="3436" w:type="dxa"/>
            <w:gridSpan w:val="3"/>
            <w:vMerge w:val="continue"/>
            <w:tcBorders>
              <w:top w:val="single" w:sz="8" w:space="0" w:color="29378D"/>
              <w:left w:val="single" w:sz="8" w:space="0" w:color="29378D"/>
              <w:bottom w:val="single" w:sz="8" w:space="0" w:color="29378D"/>
              <w:right w:val="single" w:sz="8" w:space="0" w:color="29378D"/>
            </w:tcBorders>
            <w:tcMar>
              <w:top w:w="30" w:type="dxa"/>
              <w:bottom w:w="30" w:type="dxa"/>
            </w:tcMar>
            <w:vAlign w:val="center"/>
          </w:tcPr>
          <w:p>
            <w:pPr>
              <w:pStyle w:val="Normal"/>
              <w:bidi w:val="0"/>
              <w:jc w:val="left"/>
              <w:rPr/>
            </w:pPr>
            <w:r>
              <w:rPr/>
            </w:r>
          </w:p>
        </w:tc>
      </w:tr>
      <w:tr>
        <w:trPr/>
        <w:tc>
          <w:tcPr>
            <w:tcW w:w="686" w:type="dxa"/>
            <w:gridSpan w:val="3"/>
            <w:tcBorders/>
            <w:tcMar>
              <w:top w:w="0" w:type="dxa"/>
              <w:left w:w="0" w:type="dxa"/>
              <w:bottom w:w="0" w:type="dxa"/>
              <w:right w:w="0" w:type="dxa"/>
            </w:tcMar>
            <w:vAlign w:val="center"/>
          </w:tcPr>
          <w:p>
            <w:pPr>
              <w:pStyle w:val="TableContents"/>
              <w:bidi w:val="0"/>
              <w:spacing w:before="20" w:after="20"/>
              <w:jc w:val="left"/>
              <w:rPr/>
            </w:pPr>
            <w:r>
              <w:rPr/>
              <w:drawing>
                <wp:inline distT="0" distB="0" distL="0" distR="0">
                  <wp:extent cx="371475" cy="371475"/>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371475" cy="371475"/>
                          </a:xfrm>
                          <a:prstGeom prst="rect">
                            <a:avLst/>
                          </a:prstGeom>
                        </pic:spPr>
                      </pic:pic>
                    </a:graphicData>
                  </a:graphic>
                </wp:inline>
              </w:drawing>
            </w:r>
          </w:p>
        </w:tc>
        <w:tc>
          <w:tcPr>
            <w:tcW w:w="3167" w:type="dxa"/>
            <w:gridSpan w:val="3"/>
            <w:tcBorders/>
            <w:tcMar>
              <w:top w:w="0" w:type="dxa"/>
              <w:left w:w="0" w:type="dxa"/>
              <w:bottom w:w="0" w:type="dxa"/>
              <w:right w:w="0" w:type="dxa"/>
            </w:tcMar>
            <w:vAlign w:val="center"/>
          </w:tcPr>
          <w:p>
            <w:pPr>
              <w:pStyle w:val="TableContents"/>
              <w:bidi w:val="0"/>
              <w:spacing w:lineRule="auto" w:line="276" w:before="20" w:after="20"/>
              <w:jc w:val="left"/>
              <w:rPr>
                <w:rFonts w:ascii="Futura Std Book;sans-serif" w:hAnsi="Futura Std Book;sans-serif"/>
                <w:b/>
                <w:color w:val="29378D"/>
                <w:sz w:val="16"/>
              </w:rPr>
            </w:pPr>
            <w:r>
              <w:rPr>
                <w:rFonts w:ascii="Futura Std Book;sans-serif" w:hAnsi="Futura Std Book;sans-serif"/>
                <w:b/>
                <w:color w:val="29378D"/>
                <w:sz w:val="16"/>
              </w:rPr>
              <w:t>MAIL</w:t>
            </w:r>
          </w:p>
          <w:p>
            <w:pPr>
              <w:pStyle w:val="TableContents"/>
              <w:bidi w:val="0"/>
              <w:spacing w:lineRule="auto" w:line="276" w:before="20" w:after="20"/>
              <w:jc w:val="left"/>
              <w:rPr/>
            </w:pPr>
            <w:r>
              <w:rPr>
                <w:rFonts w:ascii="Futura Std Book;sans-serif" w:hAnsi="Futura Std Book;sans-serif"/>
                <w:b w:val="false"/>
                <w:color w:val="000000"/>
                <w:sz w:val="18"/>
              </w:rPr>
              <w:t xml:space="preserve">Mark, sign, date and promptly mail a proxy card in the postage-paid envelope. A paper copy of the proxy materials may be obtained at </w:t>
            </w:r>
            <w:r>
              <w:rPr>
                <w:rFonts w:ascii="Futura Std Book;sans-serif" w:hAnsi="Futura Std Book;sans-serif"/>
                <w:b w:val="false"/>
                <w:i/>
                <w:color w:val="000000"/>
                <w:sz w:val="18"/>
              </w:rPr>
              <w:t>www.proxyvote.com</w:t>
            </w:r>
          </w:p>
        </w:tc>
        <w:tc>
          <w:tcPr>
            <w:tcW w:w="6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1475" cy="371475"/>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371475" cy="371475"/>
                          </a:xfrm>
                          <a:prstGeom prst="rect">
                            <a:avLst/>
                          </a:prstGeom>
                        </pic:spPr>
                      </pic:pic>
                    </a:graphicData>
                  </a:graphic>
                </wp:inline>
              </w:drawing>
            </w:r>
          </w:p>
        </w:tc>
        <w:tc>
          <w:tcPr>
            <w:tcW w:w="2245" w:type="dxa"/>
            <w:gridSpan w:val="3"/>
            <w:tcBorders>
              <w:right w:val="single" w:sz="8" w:space="0" w:color="29378D"/>
            </w:tcBorders>
            <w:tcMar>
              <w:top w:w="0" w:type="dxa"/>
              <w:left w:w="0" w:type="dxa"/>
              <w:bottom w:w="0" w:type="dxa"/>
            </w:tcMar>
            <w:vAlign w:val="center"/>
          </w:tcPr>
          <w:p>
            <w:pPr>
              <w:pStyle w:val="TableContents"/>
              <w:bidi w:val="0"/>
              <w:spacing w:lineRule="auto" w:line="288" w:before="120" w:after="120"/>
              <w:jc w:val="left"/>
              <w:rPr/>
            </w:pPr>
            <w:r>
              <w:rPr>
                <w:rFonts w:ascii="Futura Std Book;sans-serif" w:hAnsi="Futura Std Book;sans-serif"/>
                <w:b/>
                <w:color w:val="29378D"/>
                <w:sz w:val="16"/>
              </w:rPr>
              <w:t xml:space="preserve">QR CODE </w:t>
            </w:r>
            <w:r>
              <w:rPr>
                <w:rFonts w:ascii="Futura Std Book;sans-serif" w:hAnsi="Futura Std Book;sans-serif"/>
                <w:b w:val="false"/>
                <w:color w:val="000000"/>
                <w:sz w:val="18"/>
              </w:rPr>
              <w:t>Registered shareholders may vote by scanning the QR code on their proxy card or notice with their mobile device.</w:t>
            </w:r>
          </w:p>
        </w:tc>
        <w:tc>
          <w:tcPr>
            <w:tcW w:w="3436" w:type="dxa"/>
            <w:gridSpan w:val="3"/>
            <w:vMerge w:val="continue"/>
            <w:tcBorders>
              <w:top w:val="single" w:sz="8" w:space="0" w:color="29378D"/>
              <w:left w:val="single" w:sz="8" w:space="0" w:color="29378D"/>
              <w:bottom w:val="single" w:sz="8" w:space="0" w:color="29378D"/>
              <w:right w:val="single" w:sz="8" w:space="0" w:color="29378D"/>
            </w:tcBorders>
            <w:tcMar>
              <w:top w:w="30" w:type="dxa"/>
              <w:bottom w:w="30" w:type="dxa"/>
            </w:tcMar>
            <w:vAlign w:val="center"/>
          </w:tcPr>
          <w:p>
            <w:pPr>
              <w:pStyle w:val="Normal"/>
              <w:bidi w:val="0"/>
              <w:jc w:val="left"/>
              <w:rPr/>
            </w:pPr>
            <w:r>
              <w:rPr/>
            </w:r>
          </w:p>
        </w:tc>
      </w:tr>
      <w:tr>
        <w:trPr/>
        <w:tc>
          <w:tcPr>
            <w:tcW w:w="68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71475" cy="485775"/>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371475" cy="485775"/>
                          </a:xfrm>
                          <a:prstGeom prst="rect">
                            <a:avLst/>
                          </a:prstGeom>
                        </pic:spPr>
                      </pic:pic>
                    </a:graphicData>
                  </a:graphic>
                </wp:inline>
              </w:drawing>
            </w:r>
          </w:p>
        </w:tc>
        <w:tc>
          <w:tcPr>
            <w:tcW w:w="6083" w:type="dxa"/>
            <w:gridSpan w:val="9"/>
            <w:tcBorders>
              <w:right w:val="single" w:sz="8" w:space="0" w:color="29378D"/>
            </w:tcBorders>
            <w:tcMar>
              <w:top w:w="0" w:type="dxa"/>
              <w:left w:w="0" w:type="dxa"/>
              <w:bottom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DURING THE ANNUAL MEETING</w:t>
            </w:r>
          </w:p>
          <w:p>
            <w:pPr>
              <w:pStyle w:val="TableContents"/>
              <w:bidi w:val="0"/>
              <w:spacing w:lineRule="auto" w:line="276" w:before="0" w:after="0"/>
              <w:jc w:val="left"/>
              <w:rPr/>
            </w:pPr>
            <w:r>
              <w:rPr>
                <w:rFonts w:ascii="Futura Std Book;sans-serif" w:hAnsi="Futura Std Book;sans-serif"/>
                <w:b w:val="false"/>
                <w:color w:val="000000"/>
                <w:sz w:val="18"/>
              </w:rPr>
              <w:t>Registered shareholders may vote during the Annual Meeting online at w</w:t>
            </w:r>
            <w:r>
              <w:rPr>
                <w:rFonts w:ascii="Futura Std Book;sans-serif" w:hAnsi="Futura Std Book;sans-serif"/>
                <w:b w:val="false"/>
                <w:i/>
                <w:color w:val="000000"/>
                <w:sz w:val="18"/>
              </w:rPr>
              <w:t>ww.virtualshareholdermeeting.com/NOC2025</w:t>
            </w:r>
            <w:r>
              <w:rPr>
                <w:rFonts w:ascii="Futura Std Book;sans-serif" w:hAnsi="Futura Std Book;sans-serif"/>
                <w:b w:val="false"/>
                <w:color w:val="000000"/>
                <w:sz w:val="18"/>
              </w:rPr>
              <w:t>. If you have already voted online, by telephone, by QR code or by mail, your vote during the Annual Meeting will supersede your earlier vote.</w:t>
            </w:r>
          </w:p>
        </w:tc>
        <w:tc>
          <w:tcPr>
            <w:tcW w:w="3436" w:type="dxa"/>
            <w:gridSpan w:val="3"/>
            <w:vMerge w:val="continue"/>
            <w:tcBorders>
              <w:top w:val="single" w:sz="8" w:space="0" w:color="29378D"/>
              <w:left w:val="single" w:sz="8" w:space="0" w:color="29378D"/>
              <w:bottom w:val="single" w:sz="8" w:space="0" w:color="29378D"/>
              <w:right w:val="single" w:sz="8" w:space="0" w:color="29378D"/>
            </w:tcBorders>
            <w:tcMar>
              <w:top w:w="30" w:type="dxa"/>
              <w:bottom w:w="3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554990"/>
                <wp:effectExtent l="0" t="0" r="0" b="0"/>
                <wp:wrapNone/>
                <wp:docPr id="39" name="Frame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600" w:after="480"/>
        <w:jc w:val="left"/>
        <w:rPr>
          <w:rFonts w:ascii="Futura Std Book;sans-serif" w:hAnsi="Futura Std Book;sans-serif"/>
          <w:b/>
          <w:color w:val="29378D"/>
          <w:sz w:val="48"/>
        </w:rPr>
      </w:pPr>
      <w:r>
        <w:rPr>
          <w:rFonts w:ascii="Futura Std Book;sans-serif" w:hAnsi="Futura Std Book;sans-serif"/>
          <w:b/>
          <w:color w:val="29378D"/>
          <w:sz w:val="48"/>
        </w:rPr>
        <w:t xml:space="preserve">Table of Contents </w:t>
      </w:r>
    </w:p>
    <w:tbl>
      <w:tblPr>
        <w:tblW w:w="10205" w:type="dxa"/>
        <w:jc w:val="left"/>
        <w:tblInd w:w="0" w:type="dxa"/>
        <w:tblLayout w:type="fixed"/>
        <w:tblCellMar>
          <w:top w:w="28" w:type="dxa"/>
          <w:left w:w="28" w:type="dxa"/>
          <w:bottom w:w="28" w:type="dxa"/>
          <w:right w:w="28" w:type="dxa"/>
        </w:tblCellMar>
      </w:tblPr>
      <w:tblGrid>
        <w:gridCol w:w="898"/>
        <w:gridCol w:w="771"/>
        <w:gridCol w:w="771"/>
        <w:gridCol w:w="2406"/>
        <w:gridCol w:w="2372"/>
        <w:gridCol w:w="2434"/>
        <w:gridCol w:w="160"/>
        <w:gridCol w:w="160"/>
        <w:gridCol w:w="233"/>
      </w:tblGrid>
      <w:tr>
        <w:trPr/>
        <w:tc>
          <w:tcPr>
            <w:tcW w:w="89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965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Our Values</w:t>
            </w:r>
          </w:p>
        </w:tc>
        <w:tc>
          <w:tcPr>
            <w:tcW w:w="553"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29378D"/>
                <w:sz w:val="18"/>
              </w:rPr>
            </w:pPr>
            <w:r>
              <w:rPr>
                <w:rFonts w:ascii="Futura Std Book;sans-serif" w:hAnsi="Futura Std Book;sans-serif"/>
                <w:b/>
                <w:color w:val="29378D"/>
                <w:sz w:val="18"/>
              </w:rPr>
              <w:t>IFC*</w:t>
            </w:r>
          </w:p>
        </w:tc>
      </w:tr>
      <w:tr>
        <w:trPr/>
        <w:tc>
          <w:tcPr>
            <w:tcW w:w="965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dc6f358a7ea345daa8bbc8a5ea69f8d5_10">
              <w:r>
                <w:rPr>
                  <w:rStyle w:val="InternetLink"/>
                  <w:rFonts w:ascii="Futura Std Book;sans-serif" w:hAnsi="Futura Std Book;sans-serif"/>
                  <w:b/>
                  <w:strike w:val="false"/>
                  <w:dstrike w:val="false"/>
                  <w:color w:val="29378D"/>
                  <w:sz w:val="18"/>
                  <w:u w:val="none"/>
                  <w:effect w:val="none"/>
                </w:rPr>
                <w:t>Letter from the Board of Directors</w:t>
              </w:r>
            </w:hyperlink>
          </w:p>
        </w:tc>
        <w:tc>
          <w:tcPr>
            <w:tcW w:w="5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10">
              <w:r>
                <w:rPr>
                  <w:rStyle w:val="InternetLink"/>
                  <w:rFonts w:ascii="Futura Std Book;sans-serif" w:hAnsi="Futura Std Book;sans-serif"/>
                  <w:b/>
                  <w:strike w:val="false"/>
                  <w:dstrike w:val="false"/>
                  <w:color w:val="29378D"/>
                  <w:sz w:val="18"/>
                  <w:u w:val="none"/>
                  <w:effect w:val="none"/>
                </w:rPr>
                <w:t>1</w:t>
              </w:r>
            </w:hyperlink>
          </w:p>
        </w:tc>
      </w:tr>
      <w:tr>
        <w:trPr/>
        <w:tc>
          <w:tcPr>
            <w:tcW w:w="965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dc6f358a7ea345daa8bbc8a5ea69f8d5_13">
              <w:r>
                <w:rPr>
                  <w:rStyle w:val="InternetLink"/>
                  <w:rFonts w:ascii="Futura Std Book;sans-serif" w:hAnsi="Futura Std Book;sans-serif"/>
                  <w:b/>
                  <w:strike w:val="false"/>
                  <w:dstrike w:val="false"/>
                  <w:color w:val="29378D"/>
                  <w:sz w:val="18"/>
                  <w:u w:val="none"/>
                  <w:effect w:val="none"/>
                </w:rPr>
                <w:t>Notice of 2025 Annual Meeting of Shareholders</w:t>
              </w:r>
            </w:hyperlink>
          </w:p>
        </w:tc>
        <w:tc>
          <w:tcPr>
            <w:tcW w:w="5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13">
              <w:r>
                <w:rPr>
                  <w:rStyle w:val="InternetLink"/>
                  <w:rFonts w:ascii="Futura Std Book;sans-serif" w:hAnsi="Futura Std Book;sans-serif"/>
                  <w:b/>
                  <w:strike w:val="false"/>
                  <w:dstrike w:val="false"/>
                  <w:color w:val="29378D"/>
                  <w:sz w:val="18"/>
                  <w:u w:val="none"/>
                  <w:effect w:val="none"/>
                </w:rPr>
                <w:t>3</w:t>
              </w:r>
            </w:hyperlink>
          </w:p>
        </w:tc>
      </w:tr>
      <w:tr>
        <w:trPr/>
        <w:tc>
          <w:tcPr>
            <w:tcW w:w="965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About Northrop Grumman</w:t>
            </w:r>
          </w:p>
        </w:tc>
        <w:tc>
          <w:tcPr>
            <w:tcW w:w="5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1761">
              <w:r>
                <w:rPr>
                  <w:rStyle w:val="InternetLink"/>
                  <w:rFonts w:ascii="Futura Std Book;sans-serif" w:hAnsi="Futura Std Book;sans-serif"/>
                  <w:b/>
                  <w:strike w:val="false"/>
                  <w:dstrike w:val="false"/>
                  <w:color w:val="29378D"/>
                  <w:sz w:val="18"/>
                  <w:u w:val="none"/>
                  <w:effect w:val="none"/>
                </w:rPr>
                <w:t>6</w:t>
              </w:r>
            </w:hyperlink>
          </w:p>
        </w:tc>
      </w:tr>
      <w:tr>
        <w:trPr/>
        <w:tc>
          <w:tcPr>
            <w:tcW w:w="965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dc6f358a7ea345daa8bbc8a5ea69f8d5_19">
              <w:r>
                <w:rPr>
                  <w:rStyle w:val="InternetLink"/>
                  <w:rFonts w:ascii="Futura Std Book;sans-serif" w:hAnsi="Futura Std Book;sans-serif"/>
                  <w:b/>
                  <w:strike w:val="false"/>
                  <w:dstrike w:val="false"/>
                  <w:color w:val="29378D"/>
                  <w:sz w:val="18"/>
                  <w:u w:val="none"/>
                  <w:effect w:val="none"/>
                </w:rPr>
                <w:t>Proxy Statement Summary</w:t>
              </w:r>
            </w:hyperlink>
          </w:p>
        </w:tc>
        <w:tc>
          <w:tcPr>
            <w:tcW w:w="5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19">
              <w:r>
                <w:rPr>
                  <w:rStyle w:val="InternetLink"/>
                  <w:rFonts w:ascii="Futura Std Book;sans-serif" w:hAnsi="Futura Std Book;sans-serif"/>
                  <w:b/>
                  <w:strike w:val="false"/>
                  <w:dstrike w:val="false"/>
                  <w:color w:val="29378D"/>
                  <w:sz w:val="18"/>
                  <w:u w:val="none"/>
                  <w:effect w:val="none"/>
                </w:rPr>
                <w:t>7</w:t>
              </w:r>
            </w:hyperlink>
          </w:p>
        </w:tc>
      </w:tr>
      <w:tr>
        <w:trPr/>
        <w:tc>
          <w:tcPr>
            <w:tcW w:w="965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dc6f358a7ea345daa8bbc8a5ea69f8d5_31">
              <w:r>
                <w:rPr>
                  <w:rStyle w:val="InternetLink"/>
                  <w:rFonts w:ascii="Futura Std Book;sans-serif" w:hAnsi="Futura Std Book;sans-serif"/>
                  <w:b/>
                  <w:strike w:val="false"/>
                  <w:dstrike w:val="false"/>
                  <w:color w:val="29378D"/>
                  <w:sz w:val="18"/>
                  <w:u w:val="none"/>
                  <w:effect w:val="none"/>
                </w:rPr>
                <w:t>Management and Shareholder Proposals</w:t>
              </w:r>
            </w:hyperlink>
          </w:p>
        </w:tc>
        <w:tc>
          <w:tcPr>
            <w:tcW w:w="5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31">
              <w:r>
                <w:rPr>
                  <w:rStyle w:val="InternetLink"/>
                  <w:rFonts w:ascii="Futura Std Book;sans-serif" w:hAnsi="Futura Std Book;sans-serif"/>
                  <w:b/>
                  <w:strike w:val="false"/>
                  <w:dstrike w:val="false"/>
                  <w:color w:val="29378D"/>
                  <w:sz w:val="18"/>
                  <w:u w:val="none"/>
                  <w:effect w:val="none"/>
                </w:rPr>
                <w:t>13</w:t>
              </w:r>
            </w:hyperlink>
          </w:p>
        </w:tc>
      </w:tr>
      <w:tr>
        <w:trPr/>
        <w:tc>
          <w:tcPr>
            <w:tcW w:w="965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dc6f358a7ea345daa8bbc8a5ea69f8d5_34">
              <w:r>
                <w:rPr>
                  <w:rStyle w:val="InternetLink"/>
                  <w:rFonts w:ascii="Futura Std Book;sans-serif" w:hAnsi="Futura Std Book;sans-serif"/>
                  <w:b/>
                  <w:strike w:val="false"/>
                  <w:dstrike w:val="false"/>
                  <w:color w:val="29378D"/>
                  <w:sz w:val="18"/>
                  <w:u w:val="none"/>
                  <w:effect w:val="none"/>
                </w:rPr>
                <w:t>Shareholder Engagement</w:t>
              </w:r>
            </w:hyperlink>
          </w:p>
        </w:tc>
        <w:tc>
          <w:tcPr>
            <w:tcW w:w="5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34">
              <w:r>
                <w:rPr>
                  <w:rStyle w:val="InternetLink"/>
                  <w:rFonts w:ascii="Futura Std Book;sans-serif" w:hAnsi="Futura Std Book;sans-serif"/>
                  <w:b/>
                  <w:strike w:val="false"/>
                  <w:dstrike w:val="false"/>
                  <w:color w:val="29378D"/>
                  <w:sz w:val="18"/>
                  <w:u w:val="none"/>
                  <w:effect w:val="none"/>
                </w:rPr>
                <w:t>14</w:t>
              </w:r>
            </w:hyperlink>
          </w:p>
        </w:tc>
      </w:tr>
      <w:tr>
        <w:trPr/>
        <w:tc>
          <w:tcPr>
            <w:tcW w:w="24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29378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114300" cy="114300"/>
                          </a:xfrm>
                          <a:prstGeom prst="rect">
                            <a:avLst/>
                          </a:prstGeom>
                        </pic:spPr>
                      </pic:pic>
                    </a:graphicData>
                  </a:graphic>
                </wp:inline>
              </w:drawing>
            </w:r>
          </w:p>
        </w:tc>
        <w:tc>
          <w:tcPr>
            <w:tcW w:w="7212"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37">
              <w:r>
                <w:rPr>
                  <w:rStyle w:val="InternetLink"/>
                  <w:rFonts w:ascii="Futura Std Book;sans-serif" w:hAnsi="Futura Std Book;sans-serif"/>
                  <w:b/>
                  <w:strike w:val="false"/>
                  <w:dstrike w:val="false"/>
                  <w:color w:val="FFFFFF"/>
                  <w:sz w:val="18"/>
                  <w:u w:val="none"/>
                  <w:effect w:val="none"/>
                </w:rPr>
                <w:t>Proposal 1: Election of Directors</w:t>
              </w:r>
            </w:hyperlink>
          </w:p>
        </w:tc>
        <w:tc>
          <w:tcPr>
            <w:tcW w:w="553"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37">
              <w:r>
                <w:rPr>
                  <w:rStyle w:val="InternetLink"/>
                  <w:rFonts w:ascii="Futura Std Book;sans-serif" w:hAnsi="Futura Std Book;sans-serif"/>
                  <w:b/>
                  <w:strike w:val="false"/>
                  <w:dstrike w:val="false"/>
                  <w:color w:val="FFFFFF"/>
                  <w:sz w:val="18"/>
                  <w:u w:val="none"/>
                  <w:effect w:val="none"/>
                </w:rPr>
                <w:t>15</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40">
              <w:r>
                <w:rPr>
                  <w:rStyle w:val="InternetLink"/>
                  <w:rFonts w:ascii="Futura Std Book;sans-serif" w:hAnsi="Futura Std Book;sans-serif"/>
                  <w:b w:val="false"/>
                  <w:strike w:val="false"/>
                  <w:dstrike w:val="false"/>
                  <w:color w:val="000000"/>
                  <w:sz w:val="18"/>
                  <w:u w:val="none"/>
                  <w:effect w:val="none"/>
                </w:rPr>
                <w:t>Director Qualifications and Experience</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40">
              <w:r>
                <w:rPr>
                  <w:rStyle w:val="InternetLink"/>
                  <w:rFonts w:ascii="Futura Std Book;sans-serif" w:hAnsi="Futura Std Book;sans-serif"/>
                  <w:b w:val="false"/>
                  <w:strike w:val="false"/>
                  <w:dstrike w:val="false"/>
                  <w:color w:val="000000"/>
                  <w:sz w:val="18"/>
                  <w:u w:val="none"/>
                  <w:effect w:val="none"/>
                </w:rPr>
                <w:t>15</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43">
              <w:r>
                <w:rPr>
                  <w:rStyle w:val="InternetLink"/>
                  <w:rFonts w:ascii="Futura Std Book;sans-serif" w:hAnsi="Futura Std Book;sans-serif"/>
                  <w:b w:val="false"/>
                  <w:strike w:val="false"/>
                  <w:dstrike w:val="false"/>
                  <w:color w:val="000000"/>
                  <w:sz w:val="18"/>
                  <w:u w:val="none"/>
                  <w:effect w:val="none"/>
                </w:rPr>
                <w:t>2025 Nominees for Director</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43">
              <w:r>
                <w:rPr>
                  <w:rStyle w:val="InternetLink"/>
                  <w:rFonts w:ascii="Futura Std Book;sans-serif" w:hAnsi="Futura Std Book;sans-serif"/>
                  <w:b w:val="false"/>
                  <w:strike w:val="false"/>
                  <w:dstrike w:val="false"/>
                  <w:color w:val="000000"/>
                  <w:sz w:val="18"/>
                  <w:u w:val="none"/>
                  <w:effect w:val="none"/>
                </w:rPr>
                <w:t>17</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46">
              <w:r>
                <w:rPr>
                  <w:rStyle w:val="InternetLink"/>
                  <w:rFonts w:ascii="Futura Std Book;sans-serif" w:hAnsi="Futura Std Book;sans-serif"/>
                  <w:b w:val="false"/>
                  <w:strike w:val="false"/>
                  <w:dstrike w:val="false"/>
                  <w:color w:val="000000"/>
                  <w:sz w:val="18"/>
                  <w:u w:val="none"/>
                  <w:effect w:val="none"/>
                </w:rPr>
                <w:t>Director Nomination Process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46">
              <w:r>
                <w:rPr>
                  <w:rStyle w:val="InternetLink"/>
                  <w:rFonts w:ascii="Futura Std Book;sans-serif" w:hAnsi="Futura Std Book;sans-serif"/>
                  <w:b w:val="false"/>
                  <w:strike w:val="false"/>
                  <w:dstrike w:val="false"/>
                  <w:color w:val="000000"/>
                  <w:sz w:val="18"/>
                  <w:u w:val="none"/>
                  <w:effect w:val="none"/>
                </w:rPr>
                <w:t>24</w:t>
              </w:r>
            </w:hyperlink>
          </w:p>
        </w:tc>
      </w:tr>
      <w:tr>
        <w:trPr/>
        <w:tc>
          <w:tcPr>
            <w:tcW w:w="965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dc6f358a7ea345daa8bbc8a5ea69f8d5_49">
              <w:r>
                <w:rPr>
                  <w:rStyle w:val="InternetLink"/>
                  <w:rFonts w:ascii="Futura Std Book;sans-serif" w:hAnsi="Futura Std Book;sans-serif"/>
                  <w:b/>
                  <w:strike w:val="false"/>
                  <w:dstrike w:val="false"/>
                  <w:color w:val="29378D"/>
                  <w:sz w:val="18"/>
                  <w:u w:val="none"/>
                  <w:effect w:val="none"/>
                </w:rPr>
                <w:t>Corporate Governance</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49">
              <w:r>
                <w:rPr>
                  <w:rStyle w:val="InternetLink"/>
                  <w:rFonts w:ascii="Futura Std Book;sans-serif" w:hAnsi="Futura Std Book;sans-serif"/>
                  <w:b/>
                  <w:strike w:val="false"/>
                  <w:dstrike w:val="false"/>
                  <w:color w:val="29378D"/>
                  <w:sz w:val="18"/>
                  <w:u w:val="none"/>
                  <w:effect w:val="none"/>
                </w:rPr>
                <w:t>27</w:t>
              </w:r>
            </w:hyperlink>
          </w:p>
        </w:tc>
      </w:tr>
      <w:tr>
        <w:trPr/>
        <w:tc>
          <w:tcPr>
            <w:tcW w:w="965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dc6f358a7ea345daa8bbc8a5ea69f8d5_52">
              <w:r>
                <w:rPr>
                  <w:rStyle w:val="InternetLink"/>
                  <w:rFonts w:ascii="Futura Std Book;sans-serif" w:hAnsi="Futura Std Book;sans-serif"/>
                  <w:b w:val="false"/>
                  <w:strike w:val="false"/>
                  <w:dstrike w:val="false"/>
                  <w:color w:val="000000"/>
                  <w:sz w:val="18"/>
                  <w:u w:val="none"/>
                  <w:effect w:val="none"/>
                </w:rPr>
                <w:t>Overview</w:t>
              </w:r>
            </w:hyperlink>
          </w:p>
        </w:tc>
        <w:tc>
          <w:tcPr>
            <w:tcW w:w="5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52">
              <w:r>
                <w:rPr>
                  <w:rStyle w:val="InternetLink"/>
                  <w:rFonts w:ascii="Futura Std Book;sans-serif" w:hAnsi="Futura Std Book;sans-serif"/>
                  <w:b w:val="false"/>
                  <w:strike w:val="false"/>
                  <w:dstrike w:val="false"/>
                  <w:color w:val="000000"/>
                  <w:sz w:val="18"/>
                  <w:u w:val="none"/>
                  <w:effect w:val="none"/>
                </w:rPr>
                <w:t>27</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55">
              <w:r>
                <w:rPr>
                  <w:rStyle w:val="InternetLink"/>
                  <w:rFonts w:ascii="Futura Std Book;sans-serif" w:hAnsi="Futura Std Book;sans-serif"/>
                  <w:b w:val="false"/>
                  <w:strike w:val="false"/>
                  <w:dstrike w:val="false"/>
                  <w:color w:val="000000"/>
                  <w:sz w:val="18"/>
                  <w:u w:val="none"/>
                  <w:effect w:val="none"/>
                </w:rPr>
                <w:t>Role of the Board and Key Areas of Board Oversight</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55">
              <w:r>
                <w:rPr>
                  <w:rStyle w:val="InternetLink"/>
                  <w:rFonts w:ascii="Futura Std Book;sans-serif" w:hAnsi="Futura Std Book;sans-serif"/>
                  <w:b w:val="false"/>
                  <w:strike w:val="false"/>
                  <w:dstrike w:val="false"/>
                  <w:color w:val="000000"/>
                  <w:sz w:val="18"/>
                  <w:u w:val="none"/>
                  <w:effect w:val="none"/>
                </w:rPr>
                <w:t>28</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58">
              <w:r>
                <w:rPr>
                  <w:rStyle w:val="InternetLink"/>
                  <w:rFonts w:ascii="Futura Std Book;sans-serif" w:hAnsi="Futura Std Book;sans-serif"/>
                  <w:b w:val="false"/>
                  <w:strike w:val="false"/>
                  <w:dstrike w:val="false"/>
                  <w:color w:val="000000"/>
                  <w:sz w:val="18"/>
                  <w:u w:val="none"/>
                  <w:effect w:val="none"/>
                </w:rPr>
                <w:t>Risk Oversight</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a095505c16ac46b884a719dbf9a15bcd_18763">
              <w:r>
                <w:rPr>
                  <w:rStyle w:val="InternetLink"/>
                  <w:rFonts w:ascii="Futura Std Book;sans-serif" w:hAnsi="Futura Std Book;sans-serif"/>
                  <w:b w:val="false"/>
                  <w:strike w:val="false"/>
                  <w:dstrike w:val="false"/>
                  <w:color w:val="000000"/>
                  <w:sz w:val="18"/>
                  <w:u w:val="none"/>
                  <w:effect w:val="none"/>
                </w:rPr>
                <w:t>29</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61">
              <w:r>
                <w:rPr>
                  <w:rStyle w:val="InternetLink"/>
                  <w:rFonts w:ascii="Futura Std Book;sans-serif" w:hAnsi="Futura Std Book;sans-serif"/>
                  <w:b w:val="false"/>
                  <w:strike w:val="false"/>
                  <w:dstrike w:val="false"/>
                  <w:color w:val="000000"/>
                  <w:sz w:val="18"/>
                  <w:u w:val="none"/>
                  <w:effect w:val="none"/>
                </w:rPr>
                <w:t>Board Leadership Structure</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612">
              <w:r>
                <w:rPr>
                  <w:rStyle w:val="InternetLink"/>
                  <w:rFonts w:ascii="Futura Std Book;sans-serif" w:hAnsi="Futura Std Book;sans-serif"/>
                  <w:b w:val="false"/>
                  <w:strike w:val="false"/>
                  <w:dstrike w:val="false"/>
                  <w:color w:val="000000"/>
                  <w:sz w:val="18"/>
                  <w:u w:val="none"/>
                  <w:effect w:val="none"/>
                </w:rPr>
                <w:t>32</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64">
              <w:r>
                <w:rPr>
                  <w:rStyle w:val="InternetLink"/>
                  <w:rFonts w:ascii="Futura Std Book;sans-serif" w:hAnsi="Futura Std Book;sans-serif"/>
                  <w:b w:val="false"/>
                  <w:strike w:val="false"/>
                  <w:dstrike w:val="false"/>
                  <w:color w:val="000000"/>
                  <w:sz w:val="18"/>
                  <w:u w:val="none"/>
                  <w:effect w:val="none"/>
                </w:rPr>
                <w:t>Committees of the Board</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64">
              <w:r>
                <w:rPr>
                  <w:rStyle w:val="InternetLink"/>
                  <w:rFonts w:ascii="Futura Std Book;sans-serif" w:hAnsi="Futura Std Book;sans-serif"/>
                  <w:b w:val="false"/>
                  <w:strike w:val="false"/>
                  <w:dstrike w:val="false"/>
                  <w:color w:val="000000"/>
                  <w:sz w:val="18"/>
                  <w:u w:val="none"/>
                  <w:effect w:val="none"/>
                </w:rPr>
                <w:t>34</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67">
              <w:r>
                <w:rPr>
                  <w:rStyle w:val="InternetLink"/>
                  <w:rFonts w:ascii="Futura Std Book;sans-serif" w:hAnsi="Futura Std Book;sans-serif"/>
                  <w:b w:val="false"/>
                  <w:strike w:val="false"/>
                  <w:dstrike w:val="false"/>
                  <w:color w:val="000000"/>
                  <w:sz w:val="18"/>
                  <w:u w:val="none"/>
                  <w:effect w:val="none"/>
                </w:rPr>
                <w:t>Board Meetings and Executive Sessions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67">
              <w:r>
                <w:rPr>
                  <w:rStyle w:val="InternetLink"/>
                  <w:rFonts w:ascii="Futura Std Book;sans-serif" w:hAnsi="Futura Std Book;sans-serif"/>
                  <w:b w:val="false"/>
                  <w:strike w:val="false"/>
                  <w:dstrike w:val="false"/>
                  <w:color w:val="000000"/>
                  <w:sz w:val="18"/>
                  <w:u w:val="none"/>
                  <w:effect w:val="none"/>
                </w:rPr>
                <w:t>37</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76">
              <w:r>
                <w:rPr>
                  <w:rStyle w:val="InternetLink"/>
                  <w:rFonts w:ascii="Futura Std Book;sans-serif" w:hAnsi="Futura Std Book;sans-serif"/>
                  <w:b w:val="false"/>
                  <w:strike w:val="false"/>
                  <w:dstrike w:val="false"/>
                  <w:color w:val="000000"/>
                  <w:sz w:val="18"/>
                  <w:u w:val="none"/>
                  <w:effect w:val="none"/>
                </w:rPr>
                <w:t>Director Orientation and Continuing Education</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76">
              <w:r>
                <w:rPr>
                  <w:rStyle w:val="InternetLink"/>
                  <w:rFonts w:ascii="Futura Std Book;sans-serif" w:hAnsi="Futura Std Book;sans-serif"/>
                  <w:b w:val="false"/>
                  <w:strike w:val="false"/>
                  <w:dstrike w:val="false"/>
                  <w:color w:val="000000"/>
                  <w:sz w:val="18"/>
                  <w:u w:val="none"/>
                  <w:effect w:val="none"/>
                </w:rPr>
                <w:t>37</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70">
              <w:r>
                <w:rPr>
                  <w:rStyle w:val="InternetLink"/>
                  <w:rFonts w:ascii="Futura Std Book;sans-serif" w:hAnsi="Futura Std Book;sans-serif"/>
                  <w:b w:val="false"/>
                  <w:strike w:val="false"/>
                  <w:dstrike w:val="false"/>
                  <w:color w:val="000000"/>
                  <w:sz w:val="18"/>
                  <w:u w:val="none"/>
                  <w:effect w:val="none"/>
                </w:rPr>
                <w:t>Director Independence</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70">
              <w:r>
                <w:rPr>
                  <w:rStyle w:val="InternetLink"/>
                  <w:rFonts w:ascii="Futura Std Book;sans-serif" w:hAnsi="Futura Std Book;sans-serif"/>
                  <w:b w:val="false"/>
                  <w:strike w:val="false"/>
                  <w:dstrike w:val="false"/>
                  <w:color w:val="000000"/>
                  <w:sz w:val="18"/>
                  <w:u w:val="none"/>
                  <w:effect w:val="none"/>
                </w:rPr>
                <w:t>38</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73">
              <w:r>
                <w:rPr>
                  <w:rStyle w:val="InternetLink"/>
                  <w:rFonts w:ascii="Futura Std Book;sans-serif" w:hAnsi="Futura Std Book;sans-serif"/>
                  <w:b w:val="false"/>
                  <w:strike w:val="false"/>
                  <w:dstrike w:val="false"/>
                  <w:color w:val="000000"/>
                  <w:sz w:val="18"/>
                  <w:u w:val="none"/>
                  <w:effect w:val="none"/>
                </w:rPr>
                <w:t>Our Culture</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73">
              <w:r>
                <w:rPr>
                  <w:rStyle w:val="InternetLink"/>
                  <w:rFonts w:ascii="Futura Std Book;sans-serif" w:hAnsi="Futura Std Book;sans-serif"/>
                  <w:b w:val="false"/>
                  <w:strike w:val="false"/>
                  <w:dstrike w:val="false"/>
                  <w:color w:val="000000"/>
                  <w:sz w:val="18"/>
                  <w:u w:val="none"/>
                  <w:effect w:val="none"/>
                </w:rPr>
                <w:t>39</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79">
              <w:r>
                <w:rPr>
                  <w:rStyle w:val="InternetLink"/>
                  <w:rFonts w:ascii="Futura Std Book;sans-serif" w:hAnsi="Futura Std Book;sans-serif"/>
                  <w:b w:val="false"/>
                  <w:strike w:val="false"/>
                  <w:dstrike w:val="false"/>
                  <w:color w:val="000000"/>
                  <w:sz w:val="18"/>
                  <w:u w:val="none"/>
                  <w:effect w:val="none"/>
                </w:rPr>
                <w:t>Board Memberships and External Relationships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79">
              <w:r>
                <w:rPr>
                  <w:rStyle w:val="InternetLink"/>
                  <w:rFonts w:ascii="Futura Std Book;sans-serif" w:hAnsi="Futura Std Book;sans-serif"/>
                  <w:b w:val="false"/>
                  <w:strike w:val="false"/>
                  <w:dstrike w:val="false"/>
                  <w:color w:val="000000"/>
                  <w:sz w:val="18"/>
                  <w:u w:val="none"/>
                  <w:effect w:val="none"/>
                </w:rPr>
                <w:t>40</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82">
              <w:r>
                <w:rPr>
                  <w:rStyle w:val="InternetLink"/>
                  <w:rFonts w:ascii="Futura Std Book;sans-serif" w:hAnsi="Futura Std Book;sans-serif"/>
                  <w:b w:val="false"/>
                  <w:strike w:val="false"/>
                  <w:dstrike w:val="false"/>
                  <w:color w:val="000000"/>
                  <w:sz w:val="18"/>
                  <w:u w:val="none"/>
                  <w:effect w:val="none"/>
                </w:rPr>
                <w:t>Annual Self-Assessment Process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82">
              <w:r>
                <w:rPr>
                  <w:rStyle w:val="InternetLink"/>
                  <w:rFonts w:ascii="Futura Std Book;sans-serif" w:hAnsi="Futura Std Book;sans-serif"/>
                  <w:b w:val="false"/>
                  <w:strike w:val="false"/>
                  <w:dstrike w:val="false"/>
                  <w:color w:val="000000"/>
                  <w:sz w:val="18"/>
                  <w:u w:val="none"/>
                  <w:effect w:val="none"/>
                </w:rPr>
                <w:t>41</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85">
              <w:r>
                <w:rPr>
                  <w:rStyle w:val="InternetLink"/>
                  <w:rFonts w:ascii="Futura Std Book;sans-serif" w:hAnsi="Futura Std Book;sans-serif"/>
                  <w:b w:val="false"/>
                  <w:strike w:val="false"/>
                  <w:dstrike w:val="false"/>
                  <w:color w:val="000000"/>
                  <w:sz w:val="18"/>
                  <w:u w:val="none"/>
                  <w:effect w:val="none"/>
                </w:rPr>
                <w:t>Succession Planning</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85">
              <w:r>
                <w:rPr>
                  <w:rStyle w:val="InternetLink"/>
                  <w:rFonts w:ascii="Futura Std Book;sans-serif" w:hAnsi="Futura Std Book;sans-serif"/>
                  <w:b w:val="false"/>
                  <w:strike w:val="false"/>
                  <w:dstrike w:val="false"/>
                  <w:color w:val="000000"/>
                  <w:sz w:val="18"/>
                  <w:u w:val="none"/>
                  <w:effect w:val="none"/>
                </w:rPr>
                <w:t>42</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88">
              <w:r>
                <w:rPr>
                  <w:rStyle w:val="InternetLink"/>
                  <w:rFonts w:ascii="Futura Std Book;sans-serif" w:hAnsi="Futura Std Book;sans-serif"/>
                  <w:b w:val="false"/>
                  <w:strike w:val="false"/>
                  <w:dstrike w:val="false"/>
                  <w:color w:val="000000"/>
                  <w:sz w:val="18"/>
                  <w:u w:val="none"/>
                  <w:effect w:val="none"/>
                </w:rPr>
                <w:t>Communications with the Board of Directors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88">
              <w:r>
                <w:rPr>
                  <w:rStyle w:val="InternetLink"/>
                  <w:rFonts w:ascii="Futura Std Book;sans-serif" w:hAnsi="Futura Std Book;sans-serif"/>
                  <w:b w:val="false"/>
                  <w:strike w:val="false"/>
                  <w:dstrike w:val="false"/>
                  <w:color w:val="000000"/>
                  <w:sz w:val="18"/>
                  <w:u w:val="none"/>
                  <w:effect w:val="none"/>
                </w:rPr>
                <w:t>42</w:t>
              </w:r>
            </w:hyperlink>
          </w:p>
        </w:tc>
      </w:tr>
      <w:tr>
        <w:trPr/>
        <w:tc>
          <w:tcPr>
            <w:tcW w:w="965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dc6f358a7ea345daa8bbc8a5ea69f8d5_91">
              <w:r>
                <w:rPr>
                  <w:rStyle w:val="InternetLink"/>
                  <w:rFonts w:ascii="Futura Std Book;sans-serif" w:hAnsi="Futura Std Book;sans-serif"/>
                  <w:b/>
                  <w:strike w:val="false"/>
                  <w:dstrike w:val="false"/>
                  <w:color w:val="29378D"/>
                  <w:sz w:val="18"/>
                  <w:u w:val="none"/>
                  <w:effect w:val="none"/>
                </w:rPr>
                <w:t>Compensation of Directors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91">
              <w:r>
                <w:rPr>
                  <w:rStyle w:val="InternetLink"/>
                  <w:rFonts w:ascii="Futura Std Book;sans-serif" w:hAnsi="Futura Std Book;sans-serif"/>
                  <w:b/>
                  <w:strike w:val="false"/>
                  <w:dstrike w:val="false"/>
                  <w:color w:val="29378D"/>
                  <w:sz w:val="18"/>
                  <w:u w:val="none"/>
                  <w:effect w:val="none"/>
                </w:rPr>
                <w:t>43</w:t>
              </w:r>
            </w:hyperlink>
          </w:p>
        </w:tc>
      </w:tr>
      <w:tr>
        <w:trPr/>
        <w:tc>
          <w:tcPr>
            <w:tcW w:w="965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dc6f358a7ea345daa8bbc8a5ea69f8d5_94">
              <w:r>
                <w:rPr>
                  <w:rStyle w:val="InternetLink"/>
                  <w:rFonts w:ascii="Futura Std Book;sans-serif" w:hAnsi="Futura Std Book;sans-serif"/>
                  <w:b w:val="false"/>
                  <w:strike w:val="false"/>
                  <w:dstrike w:val="false"/>
                  <w:color w:val="000000"/>
                  <w:sz w:val="18"/>
                  <w:u w:val="none"/>
                  <w:effect w:val="none"/>
                </w:rPr>
                <w:t>2024 Director Compensation</w:t>
              </w:r>
            </w:hyperlink>
          </w:p>
        </w:tc>
        <w:tc>
          <w:tcPr>
            <w:tcW w:w="5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94">
              <w:r>
                <w:rPr>
                  <w:rStyle w:val="InternetLink"/>
                  <w:rFonts w:ascii="Futura Std Book;sans-serif" w:hAnsi="Futura Std Book;sans-serif"/>
                  <w:b w:val="false"/>
                  <w:strike w:val="false"/>
                  <w:dstrike w:val="false"/>
                  <w:color w:val="000000"/>
                  <w:sz w:val="18"/>
                  <w:u w:val="none"/>
                  <w:effect w:val="none"/>
                </w:rPr>
                <w:t>45</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97">
              <w:r>
                <w:rPr>
                  <w:rStyle w:val="InternetLink"/>
                  <w:rFonts w:ascii="Futura Std Book;sans-serif" w:hAnsi="Futura Std Book;sans-serif"/>
                  <w:b w:val="false"/>
                  <w:strike w:val="false"/>
                  <w:dstrike w:val="false"/>
                  <w:color w:val="000000"/>
                  <w:sz w:val="18"/>
                  <w:u w:val="none"/>
                  <w:effect w:val="none"/>
                </w:rPr>
                <w:t>Deferred Stock Units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97">
              <w:r>
                <w:rPr>
                  <w:rStyle w:val="InternetLink"/>
                  <w:rFonts w:ascii="Futura Std Book;sans-serif" w:hAnsi="Futura Std Book;sans-serif"/>
                  <w:b w:val="false"/>
                  <w:strike w:val="false"/>
                  <w:dstrike w:val="false"/>
                  <w:color w:val="000000"/>
                  <w:sz w:val="18"/>
                  <w:u w:val="none"/>
                  <w:effect w:val="none"/>
                </w:rPr>
                <w:t>46</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283"/>
              <w:jc w:val="left"/>
              <w:rPr>
                <w:color w:val="29378D"/>
              </w:rPr>
            </w:pPr>
            <w:r>
              <w:rPr>
                <w:color w:val="29378D"/>
              </w:rPr>
              <w:t> </w:t>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0" w:type="dxa"/>
            <w:gridSpan w:val="3"/>
            <w:tcBorders/>
            <w:shd w:fill="29378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114300" cy="114300"/>
                          </a:xfrm>
                          <a:prstGeom prst="rect">
                            <a:avLst/>
                          </a:prstGeom>
                        </pic:spPr>
                      </pic:pic>
                    </a:graphicData>
                  </a:graphic>
                </wp:inline>
              </w:drawing>
            </w:r>
          </w:p>
        </w:tc>
        <w:tc>
          <w:tcPr>
            <w:tcW w:w="7212"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00">
              <w:r>
                <w:rPr>
                  <w:rStyle w:val="InternetLink"/>
                  <w:rFonts w:ascii="Futura Std Book;sans-serif" w:hAnsi="Futura Std Book;sans-serif"/>
                  <w:b/>
                  <w:strike w:val="false"/>
                  <w:dstrike w:val="false"/>
                  <w:color w:val="FFFFFF"/>
                  <w:sz w:val="18"/>
                  <w:u w:val="none"/>
                  <w:effect w:val="none"/>
                </w:rPr>
                <w:t>Proposal 2: Advisory Vote on Compensation of Named Executive Officers</w:t>
              </w:r>
            </w:hyperlink>
          </w:p>
        </w:tc>
        <w:tc>
          <w:tcPr>
            <w:tcW w:w="553"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00">
              <w:r>
                <w:rPr>
                  <w:rStyle w:val="InternetLink"/>
                  <w:rFonts w:ascii="Futura Std Book;sans-serif" w:hAnsi="Futura Std Book;sans-serif"/>
                  <w:b/>
                  <w:strike w:val="false"/>
                  <w:dstrike w:val="false"/>
                  <w:color w:val="FFFFFF"/>
                  <w:sz w:val="18"/>
                  <w:u w:val="none"/>
                  <w:effect w:val="none"/>
                </w:rPr>
                <w:t>47</w:t>
              </w:r>
            </w:hyperlink>
          </w:p>
        </w:tc>
      </w:tr>
      <w:tr>
        <w:trPr/>
        <w:tc>
          <w:tcPr>
            <w:tcW w:w="96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52"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dc6f358a7ea345daa8bbc8a5ea69f8d5_103">
              <w:r>
                <w:rPr>
                  <w:rStyle w:val="InternetLink"/>
                  <w:rFonts w:ascii="Futura Std Book;sans-serif" w:hAnsi="Futura Std Book;sans-serif"/>
                  <w:b/>
                  <w:strike w:val="false"/>
                  <w:dstrike w:val="false"/>
                  <w:color w:val="29378D"/>
                  <w:sz w:val="18"/>
                  <w:u w:val="none"/>
                  <w:effect w:val="none"/>
                </w:rPr>
                <w:t>Executive Compensation</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03">
              <w:r>
                <w:rPr>
                  <w:rStyle w:val="InternetLink"/>
                  <w:rFonts w:ascii="Futura Std Book;sans-serif" w:hAnsi="Futura Std Book;sans-serif"/>
                  <w:b/>
                  <w:strike w:val="false"/>
                  <w:dstrike w:val="false"/>
                  <w:color w:val="29378D"/>
                  <w:sz w:val="18"/>
                  <w:u w:val="none"/>
                  <w:effect w:val="none"/>
                </w:rPr>
                <w:t>48</w:t>
              </w:r>
            </w:hyperlink>
          </w:p>
        </w:tc>
      </w:tr>
      <w:tr>
        <w:trPr/>
        <w:tc>
          <w:tcPr>
            <w:tcW w:w="965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dc6f358a7ea345daa8bbc8a5ea69f8d5_106">
              <w:r>
                <w:rPr>
                  <w:rStyle w:val="InternetLink"/>
                  <w:rFonts w:ascii="Futura Std Book;sans-serif" w:hAnsi="Futura Std Book;sans-serif"/>
                  <w:b w:val="false"/>
                  <w:strike w:val="false"/>
                  <w:dstrike w:val="false"/>
                  <w:color w:val="000000"/>
                  <w:sz w:val="18"/>
                  <w:u w:val="none"/>
                  <w:effect w:val="none"/>
                </w:rPr>
                <w:t>Compensation Discussion &amp; Analysis</w:t>
              </w:r>
            </w:hyperlink>
          </w:p>
        </w:tc>
        <w:tc>
          <w:tcPr>
            <w:tcW w:w="5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106">
              <w:r>
                <w:rPr>
                  <w:rStyle w:val="InternetLink"/>
                  <w:rFonts w:ascii="Futura Std Book;sans-serif" w:hAnsi="Futura Std Book;sans-serif"/>
                  <w:b w:val="false"/>
                  <w:strike w:val="false"/>
                  <w:dstrike w:val="false"/>
                  <w:color w:val="000000"/>
                  <w:sz w:val="18"/>
                  <w:u w:val="none"/>
                  <w:effect w:val="none"/>
                </w:rPr>
                <w:t>48</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09">
              <w:r>
                <w:rPr>
                  <w:rStyle w:val="InternetLink"/>
                  <w:rFonts w:ascii="Futura Std Book;sans-serif" w:hAnsi="Futura Std Book;sans-serif"/>
                  <w:b w:val="false"/>
                  <w:strike w:val="false"/>
                  <w:dstrike w:val="false"/>
                  <w:color w:val="000000"/>
                  <w:sz w:val="18"/>
                  <w:u w:val="none"/>
                  <w:effect w:val="none"/>
                </w:rPr>
                <w:t>Compensation Philosophy and Objectives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09">
              <w:r>
                <w:rPr>
                  <w:rStyle w:val="InternetLink"/>
                  <w:rFonts w:ascii="Futura Std Book;sans-serif" w:hAnsi="Futura Std Book;sans-serif"/>
                  <w:b w:val="false"/>
                  <w:strike w:val="false"/>
                  <w:dstrike w:val="false"/>
                  <w:color w:val="000000"/>
                  <w:sz w:val="18"/>
                  <w:u w:val="none"/>
                  <w:effect w:val="none"/>
                </w:rPr>
                <w:t>49</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2024 </w:t>
            </w:r>
            <w:hyperlink w:anchor="idc6f358a7ea345daa8bbc8a5ea69f8d5_112">
              <w:r>
                <w:rPr>
                  <w:rStyle w:val="InternetLink"/>
                  <w:rFonts w:ascii="Futura Std Book;sans-serif" w:hAnsi="Futura Std Book;sans-serif"/>
                  <w:b w:val="false"/>
                  <w:strike w:val="false"/>
                  <w:dstrike w:val="false"/>
                  <w:color w:val="000000"/>
                  <w:sz w:val="18"/>
                  <w:u w:val="none"/>
                  <w:effect w:val="none"/>
                </w:rPr>
                <w:t>Compensation Elements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12">
              <w:r>
                <w:rPr>
                  <w:rStyle w:val="InternetLink"/>
                  <w:rFonts w:ascii="Futura Std Book;sans-serif" w:hAnsi="Futura Std Book;sans-serif"/>
                  <w:b w:val="false"/>
                  <w:strike w:val="false"/>
                  <w:dstrike w:val="false"/>
                  <w:color w:val="000000"/>
                  <w:sz w:val="18"/>
                  <w:u w:val="none"/>
                  <w:effect w:val="none"/>
                </w:rPr>
                <w:t>51</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2024 </w:t>
            </w:r>
            <w:hyperlink w:anchor="idc6f358a7ea345daa8bbc8a5ea69f8d5_115">
              <w:r>
                <w:rPr>
                  <w:rStyle w:val="InternetLink"/>
                  <w:rFonts w:ascii="Futura Std Book;sans-serif" w:hAnsi="Futura Std Book;sans-serif"/>
                  <w:b w:val="false"/>
                  <w:strike w:val="false"/>
                  <w:dstrike w:val="false"/>
                  <w:color w:val="000000"/>
                  <w:sz w:val="18"/>
                  <w:u w:val="none"/>
                  <w:effect w:val="none"/>
                </w:rPr>
                <w:t>Performance Highlights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15">
              <w:r>
                <w:rPr>
                  <w:rStyle w:val="InternetLink"/>
                  <w:rFonts w:ascii="Futura Std Book;sans-serif" w:hAnsi="Futura Std Book;sans-serif"/>
                  <w:b w:val="false"/>
                  <w:strike w:val="false"/>
                  <w:dstrike w:val="false"/>
                  <w:color w:val="000000"/>
                  <w:sz w:val="18"/>
                  <w:u w:val="none"/>
                  <w:effect w:val="none"/>
                </w:rPr>
                <w:t>52</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18">
              <w:r>
                <w:rPr>
                  <w:rStyle w:val="InternetLink"/>
                  <w:rFonts w:ascii="Futura Std Book;sans-serif" w:hAnsi="Futura Std Book;sans-serif"/>
                  <w:b w:val="false"/>
                  <w:strike w:val="false"/>
                  <w:dstrike w:val="false"/>
                  <w:color w:val="000000"/>
                  <w:sz w:val="18"/>
                  <w:u w:val="none"/>
                  <w:effect w:val="none"/>
                </w:rPr>
                <w:t>Consideration of Say-On-Pay Vote</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18">
              <w:r>
                <w:rPr>
                  <w:rStyle w:val="InternetLink"/>
                  <w:rFonts w:ascii="Futura Std Book;sans-serif" w:hAnsi="Futura Std Book;sans-serif"/>
                  <w:b w:val="false"/>
                  <w:strike w:val="false"/>
                  <w:dstrike w:val="false"/>
                  <w:color w:val="000000"/>
                  <w:sz w:val="18"/>
                  <w:u w:val="none"/>
                  <w:effect w:val="none"/>
                </w:rPr>
                <w:t>52</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21">
              <w:r>
                <w:rPr>
                  <w:rStyle w:val="InternetLink"/>
                  <w:rFonts w:ascii="Futura Std Book;sans-serif" w:hAnsi="Futura Std Book;sans-serif"/>
                  <w:b w:val="false"/>
                  <w:strike w:val="false"/>
                  <w:dstrike w:val="false"/>
                  <w:color w:val="000000"/>
                  <w:sz w:val="18"/>
                  <w:u w:val="none"/>
                  <w:effect w:val="none"/>
                </w:rPr>
                <w:t>Our Compensation Best Practices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21">
              <w:r>
                <w:rPr>
                  <w:rStyle w:val="InternetLink"/>
                  <w:rFonts w:ascii="Futura Std Book;sans-serif" w:hAnsi="Futura Std Book;sans-serif"/>
                  <w:b w:val="false"/>
                  <w:strike w:val="false"/>
                  <w:dstrike w:val="false"/>
                  <w:color w:val="000000"/>
                  <w:sz w:val="18"/>
                  <w:u w:val="none"/>
                  <w:effect w:val="none"/>
                </w:rPr>
                <w:t>53</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24">
              <w:r>
                <w:rPr>
                  <w:rStyle w:val="InternetLink"/>
                  <w:rFonts w:ascii="Futura Std Book;sans-serif" w:hAnsi="Futura Std Book;sans-serif"/>
                  <w:b w:val="false"/>
                  <w:strike w:val="false"/>
                  <w:dstrike w:val="false"/>
                  <w:color w:val="000000"/>
                  <w:sz w:val="18"/>
                  <w:u w:val="none"/>
                  <w:effect w:val="none"/>
                </w:rPr>
                <w:t>How We Make Executive Compensation Decisions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24">
              <w:r>
                <w:rPr>
                  <w:rStyle w:val="InternetLink"/>
                  <w:rFonts w:ascii="Futura Std Book;sans-serif" w:hAnsi="Futura Std Book;sans-serif"/>
                  <w:b w:val="false"/>
                  <w:strike w:val="false"/>
                  <w:dstrike w:val="false"/>
                  <w:color w:val="000000"/>
                  <w:sz w:val="18"/>
                  <w:u w:val="none"/>
                  <w:effect w:val="none"/>
                </w:rPr>
                <w:t>53</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27">
              <w:r>
                <w:rPr>
                  <w:rStyle w:val="InternetLink"/>
                  <w:rFonts w:ascii="Futura Std Book;sans-serif" w:hAnsi="Futura Std Book;sans-serif"/>
                  <w:b w:val="false"/>
                  <w:strike w:val="false"/>
                  <w:dstrike w:val="false"/>
                  <w:color w:val="000000"/>
                  <w:sz w:val="18"/>
                  <w:u w:val="none"/>
                  <w:effect w:val="none"/>
                </w:rPr>
                <w:t>Key Components of Our Executive Compensation Programs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27">
              <w:r>
                <w:rPr>
                  <w:rStyle w:val="InternetLink"/>
                  <w:rFonts w:ascii="Futura Std Book;sans-serif" w:hAnsi="Futura Std Book;sans-serif"/>
                  <w:b w:val="false"/>
                  <w:strike w:val="false"/>
                  <w:dstrike w:val="false"/>
                  <w:color w:val="000000"/>
                  <w:sz w:val="18"/>
                  <w:u w:val="none"/>
                  <w:effect w:val="none"/>
                </w:rPr>
                <w:t>57</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30">
              <w:r>
                <w:rPr>
                  <w:rStyle w:val="InternetLink"/>
                  <w:rFonts w:ascii="Futura Std Book;sans-serif" w:hAnsi="Futura Std Book;sans-serif"/>
                  <w:b w:val="false"/>
                  <w:strike w:val="false"/>
                  <w:dstrike w:val="false"/>
                  <w:color w:val="000000"/>
                  <w:sz w:val="18"/>
                  <w:u w:val="none"/>
                  <w:effect w:val="none"/>
                </w:rPr>
                <w:t>Other NEO Benefits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30">
              <w:r>
                <w:rPr>
                  <w:rStyle w:val="InternetLink"/>
                  <w:rFonts w:ascii="Futura Std Book;sans-serif" w:hAnsi="Futura Std Book;sans-serif"/>
                  <w:b w:val="false"/>
                  <w:strike w:val="false"/>
                  <w:dstrike w:val="false"/>
                  <w:color w:val="000000"/>
                  <w:sz w:val="18"/>
                  <w:u w:val="none"/>
                  <w:effect w:val="none"/>
                </w:rPr>
                <w:t>65</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33">
              <w:r>
                <w:rPr>
                  <w:rStyle w:val="InternetLink"/>
                  <w:rFonts w:ascii="Futura Std Book;sans-serif" w:hAnsi="Futura Std Book;sans-serif"/>
                  <w:b w:val="false"/>
                  <w:strike w:val="false"/>
                  <w:dstrike w:val="false"/>
                  <w:color w:val="000000"/>
                  <w:sz w:val="18"/>
                  <w:u w:val="none"/>
                  <w:effect w:val="none"/>
                </w:rPr>
                <w:t>Policies and Procedures</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33">
              <w:r>
                <w:rPr>
                  <w:rStyle w:val="InternetLink"/>
                  <w:rFonts w:ascii="Futura Std Book;sans-serif" w:hAnsi="Futura Std Book;sans-serif"/>
                  <w:b w:val="false"/>
                  <w:strike w:val="false"/>
                  <w:dstrike w:val="false"/>
                  <w:color w:val="000000"/>
                  <w:sz w:val="18"/>
                  <w:u w:val="none"/>
                  <w:effect w:val="none"/>
                </w:rPr>
                <w:t>67</w:t>
              </w:r>
            </w:hyperlink>
          </w:p>
        </w:tc>
      </w:tr>
      <w:tr>
        <w:trPr/>
        <w:tc>
          <w:tcPr>
            <w:tcW w:w="9652"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36">
              <w:r>
                <w:rPr>
                  <w:rStyle w:val="InternetLink"/>
                  <w:rFonts w:ascii="Futura Std Book;sans-serif" w:hAnsi="Futura Std Book;sans-serif"/>
                  <w:b w:val="false"/>
                  <w:strike w:val="false"/>
                  <w:dstrike w:val="false"/>
                  <w:color w:val="000000"/>
                  <w:sz w:val="18"/>
                  <w:u w:val="none"/>
                  <w:effect w:val="none"/>
                </w:rPr>
                <w:t>Compensation and Human Capital Committee Report</w:t>
              </w:r>
            </w:hyperlink>
          </w:p>
        </w:tc>
        <w:tc>
          <w:tcPr>
            <w:tcW w:w="553"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36">
              <w:r>
                <w:rPr>
                  <w:rStyle w:val="InternetLink"/>
                  <w:rFonts w:ascii="Futura Std Book;sans-serif" w:hAnsi="Futura Std Book;sans-serif"/>
                  <w:b w:val="false"/>
                  <w:strike w:val="false"/>
                  <w:dstrike w:val="false"/>
                  <w:color w:val="000000"/>
                  <w:sz w:val="18"/>
                  <w:u w:val="none"/>
                  <w:effect w:val="none"/>
                </w:rPr>
                <w:t>69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34695"/>
                <wp:effectExtent l="0" t="0" r="0" b="0"/>
                <wp:wrapNone/>
                <wp:docPr id="42" name="Frame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Table of Contents</w:t>
      </w:r>
    </w:p>
    <w:tbl>
      <w:tblPr>
        <w:tblW w:w="9566" w:type="dxa"/>
        <w:jc w:val="left"/>
        <w:tblInd w:w="0" w:type="dxa"/>
        <w:tblLayout w:type="fixed"/>
        <w:tblCellMar>
          <w:top w:w="28" w:type="dxa"/>
          <w:left w:w="28" w:type="dxa"/>
          <w:bottom w:w="28" w:type="dxa"/>
          <w:right w:w="28" w:type="dxa"/>
        </w:tblCellMar>
      </w:tblPr>
      <w:tblGrid>
        <w:gridCol w:w="890"/>
        <w:gridCol w:w="783"/>
        <w:gridCol w:w="783"/>
        <w:gridCol w:w="2194"/>
        <w:gridCol w:w="2194"/>
        <w:gridCol w:w="2211"/>
        <w:gridCol w:w="148"/>
        <w:gridCol w:w="148"/>
        <w:gridCol w:w="215"/>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05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dc6f358a7ea345daa8bbc8a5ea69f8d5_139">
              <w:r>
                <w:rPr>
                  <w:rStyle w:val="InternetLink"/>
                  <w:rFonts w:ascii="Futura Std Book;sans-serif" w:hAnsi="Futura Std Book;sans-serif"/>
                  <w:b/>
                  <w:strike w:val="false"/>
                  <w:dstrike w:val="false"/>
                  <w:color w:val="29378D"/>
                  <w:sz w:val="18"/>
                  <w:u w:val="none"/>
                  <w:effect w:val="none"/>
                </w:rPr>
                <w:t>Compensation Table</w:t>
              </w:r>
            </w:hyperlink>
            <w:r>
              <w:rPr>
                <w:rFonts w:ascii="Futura Std Book;sans-serif" w:hAnsi="Futura Std Book;sans-serif"/>
                <w:b/>
                <w:color w:val="29378D"/>
                <w:sz w:val="18"/>
              </w:rPr>
              <w:t>s</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39">
              <w:r>
                <w:rPr>
                  <w:rStyle w:val="InternetLink"/>
                  <w:rFonts w:ascii="Futura Std Book;sans-serif" w:hAnsi="Futura Std Book;sans-serif"/>
                  <w:b/>
                  <w:strike w:val="false"/>
                  <w:dstrike w:val="false"/>
                  <w:color w:val="29378D"/>
                  <w:sz w:val="18"/>
                  <w:u w:val="none"/>
                  <w:effect w:val="none"/>
                </w:rPr>
                <w:t>70</w:t>
              </w:r>
            </w:hyperlink>
          </w:p>
        </w:tc>
      </w:tr>
      <w:tr>
        <w:trPr/>
        <w:tc>
          <w:tcPr>
            <w:tcW w:w="90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dc6f358a7ea345daa8bbc8a5ea69f8d5_142">
              <w:r>
                <w:rPr>
                  <w:rStyle w:val="InternetLink"/>
                  <w:rFonts w:ascii="Futura Std Book;sans-serif" w:hAnsi="Futura Std Book;sans-serif"/>
                  <w:b w:val="false"/>
                  <w:strike w:val="false"/>
                  <w:dstrike w:val="false"/>
                  <w:color w:val="000000"/>
                  <w:sz w:val="18"/>
                  <w:u w:val="none"/>
                  <w:effect w:val="none"/>
                </w:rPr>
                <w:t>Summary Compensation Table</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142">
              <w:r>
                <w:rPr>
                  <w:rStyle w:val="InternetLink"/>
                  <w:rFonts w:ascii="Futura Std Book;sans-serif" w:hAnsi="Futura Std Book;sans-serif"/>
                  <w:b w:val="false"/>
                  <w:strike w:val="false"/>
                  <w:dstrike w:val="false"/>
                  <w:color w:val="000000"/>
                  <w:sz w:val="18"/>
                  <w:u w:val="none"/>
                  <w:effect w:val="none"/>
                </w:rPr>
                <w:t>70</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2024 </w:t>
            </w:r>
            <w:hyperlink w:anchor="idc6f358a7ea345daa8bbc8a5ea69f8d5_145">
              <w:r>
                <w:rPr>
                  <w:rStyle w:val="InternetLink"/>
                  <w:rFonts w:ascii="Futura Std Book;sans-serif" w:hAnsi="Futura Std Book;sans-serif"/>
                  <w:b w:val="false"/>
                  <w:strike w:val="false"/>
                  <w:dstrike w:val="false"/>
                  <w:color w:val="000000"/>
                  <w:sz w:val="18"/>
                  <w:u w:val="none"/>
                  <w:effect w:val="none"/>
                </w:rPr>
                <w:t>Grants of Plan-Based Awards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45">
              <w:r>
                <w:rPr>
                  <w:rStyle w:val="InternetLink"/>
                  <w:rFonts w:ascii="Futura Std Book;sans-serif" w:hAnsi="Futura Std Book;sans-serif"/>
                  <w:b w:val="false"/>
                  <w:strike w:val="false"/>
                  <w:dstrike w:val="false"/>
                  <w:color w:val="000000"/>
                  <w:sz w:val="18"/>
                  <w:u w:val="none"/>
                  <w:effect w:val="none"/>
                </w:rPr>
                <w:t>72</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48">
              <w:r>
                <w:rPr>
                  <w:rStyle w:val="InternetLink"/>
                  <w:rFonts w:ascii="Futura Std Book;sans-serif" w:hAnsi="Futura Std Book;sans-serif"/>
                  <w:b w:val="false"/>
                  <w:strike w:val="false"/>
                  <w:dstrike w:val="false"/>
                  <w:color w:val="000000"/>
                  <w:sz w:val="18"/>
                  <w:u w:val="none"/>
                  <w:effect w:val="none"/>
                </w:rPr>
                <w:t>Outstanding Equity Awards</w:t>
              </w:r>
            </w:hyperlink>
            <w:r>
              <w:rPr>
                <w:rFonts w:ascii="Futura Std Book;sans-serif" w:hAnsi="Futura Std Book;sans-serif"/>
                <w:b w:val="false"/>
                <w:color w:val="000000"/>
                <w:sz w:val="18"/>
              </w:rPr>
              <w:t xml:space="preserve"> at 2024 Fiscal Year End</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48">
              <w:r>
                <w:rPr>
                  <w:rStyle w:val="InternetLink"/>
                  <w:rFonts w:ascii="Futura Std Book;sans-serif" w:hAnsi="Futura Std Book;sans-serif"/>
                  <w:b w:val="false"/>
                  <w:strike w:val="false"/>
                  <w:dstrike w:val="false"/>
                  <w:color w:val="000000"/>
                  <w:sz w:val="18"/>
                  <w:u w:val="none"/>
                  <w:effect w:val="none"/>
                </w:rPr>
                <w:t>73</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2024 </w:t>
            </w:r>
            <w:hyperlink w:anchor="idc6f358a7ea345daa8bbc8a5ea69f8d5_151">
              <w:r>
                <w:rPr>
                  <w:rStyle w:val="InternetLink"/>
                  <w:rFonts w:ascii="Futura Std Book;sans-serif" w:hAnsi="Futura Std Book;sans-serif"/>
                  <w:b w:val="false"/>
                  <w:strike w:val="false"/>
                  <w:dstrike w:val="false"/>
                  <w:color w:val="000000"/>
                  <w:sz w:val="18"/>
                  <w:u w:val="none"/>
                  <w:effect w:val="none"/>
                </w:rPr>
                <w:t>Stock Vested</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51">
              <w:r>
                <w:rPr>
                  <w:rStyle w:val="InternetLink"/>
                  <w:rFonts w:ascii="Futura Std Book;sans-serif" w:hAnsi="Futura Std Book;sans-serif"/>
                  <w:b w:val="false"/>
                  <w:strike w:val="false"/>
                  <w:dstrike w:val="false"/>
                  <w:color w:val="000000"/>
                  <w:sz w:val="18"/>
                  <w:u w:val="none"/>
                  <w:effect w:val="none"/>
                </w:rPr>
                <w:t>74</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2024 </w:t>
            </w:r>
            <w:hyperlink w:anchor="idc6f358a7ea345daa8bbc8a5ea69f8d5_154">
              <w:r>
                <w:rPr>
                  <w:rStyle w:val="InternetLink"/>
                  <w:rFonts w:ascii="Futura Std Book;sans-serif" w:hAnsi="Futura Std Book;sans-serif"/>
                  <w:b w:val="false"/>
                  <w:strike w:val="false"/>
                  <w:dstrike w:val="false"/>
                  <w:color w:val="000000"/>
                  <w:sz w:val="18"/>
                  <w:u w:val="none"/>
                  <w:effect w:val="none"/>
                </w:rPr>
                <w:t>Pension Benefits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54">
              <w:r>
                <w:rPr>
                  <w:rStyle w:val="InternetLink"/>
                  <w:rFonts w:ascii="Futura Std Book;sans-serif" w:hAnsi="Futura Std Book;sans-serif"/>
                  <w:b w:val="false"/>
                  <w:strike w:val="false"/>
                  <w:dstrike w:val="false"/>
                  <w:color w:val="000000"/>
                  <w:sz w:val="18"/>
                  <w:u w:val="none"/>
                  <w:effect w:val="none"/>
                </w:rPr>
                <w:t>75</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 xml:space="preserve">2024 </w:t>
            </w:r>
            <w:hyperlink w:anchor="idc6f358a7ea345daa8bbc8a5ea69f8d5_157">
              <w:r>
                <w:rPr>
                  <w:rStyle w:val="InternetLink"/>
                  <w:rFonts w:ascii="Futura Std Book;sans-serif" w:hAnsi="Futura Std Book;sans-serif"/>
                  <w:b w:val="false"/>
                  <w:strike w:val="false"/>
                  <w:dstrike w:val="false"/>
                  <w:color w:val="000000"/>
                  <w:sz w:val="18"/>
                  <w:u w:val="none"/>
                  <w:effect w:val="none"/>
                </w:rPr>
                <w:t>Nonqualified Deferred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57">
              <w:r>
                <w:rPr>
                  <w:rStyle w:val="InternetLink"/>
                  <w:rFonts w:ascii="Futura Std Book;sans-serif" w:hAnsi="Futura Std Book;sans-serif"/>
                  <w:b w:val="false"/>
                  <w:strike w:val="false"/>
                  <w:dstrike w:val="false"/>
                  <w:color w:val="000000"/>
                  <w:sz w:val="18"/>
                  <w:u w:val="none"/>
                  <w:effect w:val="none"/>
                </w:rPr>
                <w:t>78</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60">
              <w:r>
                <w:rPr>
                  <w:rStyle w:val="InternetLink"/>
                  <w:rFonts w:ascii="Futura Std Book;sans-serif" w:hAnsi="Futura Std Book;sans-serif"/>
                  <w:b w:val="false"/>
                  <w:strike w:val="false"/>
                  <w:dstrike w:val="false"/>
                  <w:color w:val="000000"/>
                  <w:sz w:val="18"/>
                  <w:u w:val="none"/>
                  <w:effect w:val="none"/>
                </w:rPr>
                <w:t>Termination Payments and Benefits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60">
              <w:r>
                <w:rPr>
                  <w:rStyle w:val="InternetLink"/>
                  <w:rFonts w:ascii="Futura Std Book;sans-serif" w:hAnsi="Futura Std Book;sans-serif"/>
                  <w:b w:val="false"/>
                  <w:strike w:val="false"/>
                  <w:dstrike w:val="false"/>
                  <w:color w:val="000000"/>
                  <w:sz w:val="18"/>
                  <w:u w:val="none"/>
                  <w:effect w:val="none"/>
                </w:rPr>
                <w:t>79</w:t>
              </w:r>
            </w:hyperlink>
          </w:p>
        </w:tc>
      </w:tr>
      <w:tr>
        <w:trPr/>
        <w:tc>
          <w:tcPr>
            <w:tcW w:w="905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8"/>
              </w:rPr>
              <w:t xml:space="preserve">2024 </w:t>
            </w:r>
            <w:hyperlink w:anchor="idc6f358a7ea345daa8bbc8a5ea69f8d5_163">
              <w:r>
                <w:rPr>
                  <w:rStyle w:val="InternetLink"/>
                  <w:rFonts w:ascii="Futura Std Book;sans-serif" w:hAnsi="Futura Std Book;sans-serif"/>
                  <w:b/>
                  <w:strike w:val="false"/>
                  <w:dstrike w:val="false"/>
                  <w:color w:val="29378D"/>
                  <w:sz w:val="18"/>
                  <w:u w:val="none"/>
                  <w:effect w:val="none"/>
                </w:rPr>
                <w:t>CEO Pay Ratio</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63">
              <w:r>
                <w:rPr>
                  <w:rStyle w:val="InternetLink"/>
                  <w:rFonts w:ascii="Futura Std Book;sans-serif" w:hAnsi="Futura Std Book;sans-serif"/>
                  <w:b/>
                  <w:strike w:val="false"/>
                  <w:dstrike w:val="false"/>
                  <w:color w:val="29378D"/>
                  <w:sz w:val="18"/>
                  <w:u w:val="none"/>
                  <w:effect w:val="none"/>
                </w:rPr>
                <w:t>83</w:t>
              </w:r>
            </w:hyperlink>
          </w:p>
        </w:tc>
      </w:tr>
      <w:tr>
        <w:trPr/>
        <w:tc>
          <w:tcPr>
            <w:tcW w:w="9055"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dc6f358a7ea345daa8bbc8a5ea69f8d5_166">
              <w:r>
                <w:rPr>
                  <w:rStyle w:val="InternetLink"/>
                  <w:rFonts w:ascii="Futura Std Book;sans-serif" w:hAnsi="Futura Std Book;sans-serif"/>
                  <w:b/>
                  <w:strike w:val="false"/>
                  <w:dstrike w:val="false"/>
                  <w:color w:val="00249C"/>
                  <w:sz w:val="18"/>
                  <w:u w:val="none"/>
                  <w:effect w:val="none"/>
                </w:rPr>
                <w:t>Pay Versus Performance</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166">
              <w:r>
                <w:rPr>
                  <w:rStyle w:val="InternetLink"/>
                  <w:rFonts w:ascii="Futura Std Book;sans-serif" w:hAnsi="Futura Std Book;sans-serif"/>
                  <w:b/>
                  <w:strike w:val="false"/>
                  <w:dstrike w:val="false"/>
                  <w:color w:val="29378D"/>
                  <w:sz w:val="18"/>
                  <w:u w:val="none"/>
                  <w:effect w:val="none"/>
                </w:rPr>
                <w:t>84</w:t>
              </w:r>
            </w:hyperlink>
          </w:p>
        </w:tc>
      </w:tr>
      <w:tr>
        <w:trPr/>
        <w:tc>
          <w:tcPr>
            <w:tcW w:w="90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dc6f358a7ea345daa8bbc8a5ea69f8d5_172">
              <w:r>
                <w:rPr>
                  <w:rStyle w:val="InternetLink"/>
                  <w:rFonts w:ascii="Futura Std Book;sans-serif" w:hAnsi="Futura Std Book;sans-serif"/>
                  <w:b/>
                  <w:strike w:val="false"/>
                  <w:dstrike w:val="false"/>
                  <w:color w:val="29378D"/>
                  <w:sz w:val="18"/>
                  <w:u w:val="none"/>
                  <w:effect w:val="none"/>
                </w:rPr>
                <w:t>Equity Compensation Plan Information</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172">
              <w:r>
                <w:rPr>
                  <w:rStyle w:val="InternetLink"/>
                  <w:rFonts w:ascii="Futura Std Book;sans-serif" w:hAnsi="Futura Std Book;sans-serif"/>
                  <w:b/>
                  <w:strike w:val="false"/>
                  <w:dstrike w:val="false"/>
                  <w:color w:val="29378D"/>
                  <w:sz w:val="18"/>
                  <w:u w:val="none"/>
                  <w:effect w:val="none"/>
                </w:rPr>
                <w:t>88</w:t>
              </w:r>
            </w:hyperlink>
          </w:p>
        </w:tc>
      </w:tr>
      <w:tr>
        <w:trPr/>
        <w:tc>
          <w:tcPr>
            <w:tcW w:w="2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29378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6" descr=""/>
                          <pic:cNvPicPr>
                            <a:picLocks noChangeAspect="1" noChangeArrowheads="1"/>
                          </pic:cNvPicPr>
                        </pic:nvPicPr>
                        <pic:blipFill>
                          <a:blip r:embed="rId37"/>
                          <a:stretch>
                            <a:fillRect/>
                          </a:stretch>
                        </pic:blipFill>
                        <pic:spPr bwMode="auto">
                          <a:xfrm>
                            <a:off x="0" y="0"/>
                            <a:ext cx="114300" cy="114300"/>
                          </a:xfrm>
                          <a:prstGeom prst="rect">
                            <a:avLst/>
                          </a:prstGeom>
                        </pic:spPr>
                      </pic:pic>
                    </a:graphicData>
                  </a:graphic>
                </wp:inline>
              </w:drawing>
            </w:r>
          </w:p>
        </w:tc>
        <w:tc>
          <w:tcPr>
            <w:tcW w:w="6599"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75">
              <w:r>
                <w:rPr>
                  <w:rStyle w:val="InternetLink"/>
                  <w:rFonts w:ascii="Futura Std Book;sans-serif" w:hAnsi="Futura Std Book;sans-serif"/>
                  <w:b/>
                  <w:strike w:val="false"/>
                  <w:dstrike w:val="false"/>
                  <w:color w:val="FFFFFF"/>
                  <w:sz w:val="18"/>
                  <w:u w:val="none"/>
                  <w:effect w:val="none"/>
                </w:rPr>
                <w:t>Proposal 3: Ratification of Appointment of Independent Auditor</w:t>
              </w:r>
            </w:hyperlink>
          </w:p>
        </w:tc>
        <w:tc>
          <w:tcPr>
            <w:tcW w:w="511"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75">
              <w:r>
                <w:rPr>
                  <w:rStyle w:val="InternetLink"/>
                  <w:rFonts w:ascii="Futura Std Book;sans-serif" w:hAnsi="Futura Std Book;sans-serif"/>
                  <w:b/>
                  <w:strike w:val="false"/>
                  <w:dstrike w:val="false"/>
                  <w:color w:val="FFFFFF"/>
                  <w:sz w:val="18"/>
                  <w:u w:val="none"/>
                  <w:effect w:val="none"/>
                </w:rPr>
                <w:t>89</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78">
              <w:r>
                <w:rPr>
                  <w:rStyle w:val="InternetLink"/>
                  <w:rFonts w:ascii="Futura Std Book;sans-serif" w:hAnsi="Futura Std Book;sans-serif"/>
                  <w:b w:val="false"/>
                  <w:strike w:val="false"/>
                  <w:dstrike w:val="false"/>
                  <w:color w:val="000000"/>
                  <w:sz w:val="18"/>
                  <w:u w:val="none"/>
                  <w:effect w:val="none"/>
                </w:rPr>
                <w:t>Audit Fees and All Other Fees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78">
              <w:r>
                <w:rPr>
                  <w:rStyle w:val="InternetLink"/>
                  <w:rFonts w:ascii="Futura Std Book;sans-serif" w:hAnsi="Futura Std Book;sans-serif"/>
                  <w:b w:val="false"/>
                  <w:strike w:val="false"/>
                  <w:dstrike w:val="false"/>
                  <w:color w:val="000000"/>
                  <w:sz w:val="18"/>
                  <w:u w:val="none"/>
                  <w:effect w:val="none"/>
                </w:rPr>
                <w:t>90</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81">
              <w:r>
                <w:rPr>
                  <w:rStyle w:val="InternetLink"/>
                  <w:rFonts w:ascii="Futura Std Book;sans-serif" w:hAnsi="Futura Std Book;sans-serif"/>
                  <w:b w:val="false"/>
                  <w:strike w:val="false"/>
                  <w:dstrike w:val="false"/>
                  <w:color w:val="000000"/>
                  <w:sz w:val="18"/>
                  <w:u w:val="none"/>
                  <w:effect w:val="none"/>
                </w:rPr>
                <w:t>Policy on Audit and Risk Committee Pre-Approval of Audit and Permissible Non-Audit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81">
              <w:r>
                <w:rPr>
                  <w:rStyle w:val="InternetLink"/>
                  <w:rFonts w:ascii="Futura Std Book;sans-serif" w:hAnsi="Futura Std Book;sans-serif"/>
                  <w:b w:val="false"/>
                  <w:strike w:val="false"/>
                  <w:dstrike w:val="false"/>
                  <w:color w:val="000000"/>
                  <w:sz w:val="18"/>
                  <w:u w:val="none"/>
                  <w:effect w:val="none"/>
                </w:rPr>
                <w:t>90</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184">
              <w:r>
                <w:rPr>
                  <w:rStyle w:val="InternetLink"/>
                  <w:rFonts w:ascii="Futura Std Book;sans-serif" w:hAnsi="Futura Std Book;sans-serif"/>
                  <w:b w:val="false"/>
                  <w:strike w:val="false"/>
                  <w:dstrike w:val="false"/>
                  <w:color w:val="000000"/>
                  <w:sz w:val="18"/>
                  <w:u w:val="none"/>
                  <w:effect w:val="none"/>
                </w:rPr>
                <w:t>Audit and Risk Committee Report</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84">
              <w:r>
                <w:rPr>
                  <w:rStyle w:val="InternetLink"/>
                  <w:rFonts w:ascii="Futura Std Book;sans-serif" w:hAnsi="Futura Std Book;sans-serif"/>
                  <w:b w:val="false"/>
                  <w:strike w:val="false"/>
                  <w:dstrike w:val="false"/>
                  <w:color w:val="000000"/>
                  <w:sz w:val="18"/>
                  <w:u w:val="none"/>
                  <w:effect w:val="none"/>
                </w:rPr>
                <w:t>90</w:t>
              </w:r>
            </w:hyperlink>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29378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 descr=""/>
                          <pic:cNvPicPr>
                            <a:picLocks noChangeAspect="1" noChangeArrowheads="1"/>
                          </pic:cNvPicPr>
                        </pic:nvPicPr>
                        <pic:blipFill>
                          <a:blip r:embed="rId38"/>
                          <a:stretch>
                            <a:fillRect/>
                          </a:stretch>
                        </pic:blipFill>
                        <pic:spPr bwMode="auto">
                          <a:xfrm>
                            <a:off x="0" y="0"/>
                            <a:ext cx="114300" cy="114300"/>
                          </a:xfrm>
                          <a:prstGeom prst="rect">
                            <a:avLst/>
                          </a:prstGeom>
                        </pic:spPr>
                      </pic:pic>
                    </a:graphicData>
                  </a:graphic>
                </wp:inline>
              </w:drawing>
            </w:r>
          </w:p>
        </w:tc>
        <w:tc>
          <w:tcPr>
            <w:tcW w:w="6599"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FFFFFF"/>
                <w:sz w:val="18"/>
              </w:rPr>
            </w:pPr>
            <w:r>
              <w:rPr>
                <w:rFonts w:ascii="Futura Std Book;sans-serif" w:hAnsi="Futura Std Book;sans-serif"/>
                <w:b/>
                <w:color w:val="FFFFFF"/>
                <w:sz w:val="18"/>
              </w:rPr>
              <w:t>Proposal 4: Shareholder Proposal</w:t>
            </w:r>
          </w:p>
        </w:tc>
        <w:tc>
          <w:tcPr>
            <w:tcW w:w="511" w:type="dxa"/>
            <w:gridSpan w:val="3"/>
            <w:tcBorders/>
            <w:shd w:fill="29378D" w:val="clear"/>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93">
              <w:r>
                <w:rPr>
                  <w:rStyle w:val="InternetLink"/>
                  <w:rFonts w:ascii="Futura Std Book;sans-serif" w:hAnsi="Futura Std Book;sans-serif"/>
                  <w:b/>
                  <w:strike w:val="false"/>
                  <w:dstrike w:val="false"/>
                  <w:color w:val="FFFFFF"/>
                  <w:sz w:val="18"/>
                  <w:u w:val="none"/>
                  <w:effect w:val="none"/>
                </w:rPr>
                <w:t>92</w:t>
              </w:r>
            </w:hyperlink>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dc6f358a7ea345daa8bbc8a5ea69f8d5_199">
              <w:r>
                <w:rPr>
                  <w:rStyle w:val="InternetLink"/>
                  <w:rFonts w:ascii="Futura Std Book;sans-serif" w:hAnsi="Futura Std Book;sans-serif"/>
                  <w:b/>
                  <w:strike w:val="false"/>
                  <w:dstrike w:val="false"/>
                  <w:color w:val="29378D"/>
                  <w:sz w:val="18"/>
                  <w:u w:val="none"/>
                  <w:effect w:val="none"/>
                </w:rPr>
                <w:t>Transactions with Related Persons and Control Persons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199">
              <w:r>
                <w:rPr>
                  <w:rStyle w:val="InternetLink"/>
                  <w:rFonts w:ascii="Futura Std Book;sans-serif" w:hAnsi="Futura Std Book;sans-serif"/>
                  <w:b/>
                  <w:strike w:val="false"/>
                  <w:dstrike w:val="false"/>
                  <w:color w:val="29378D"/>
                  <w:sz w:val="18"/>
                  <w:u w:val="none"/>
                  <w:effect w:val="none"/>
                </w:rPr>
                <w:t>95</w:t>
              </w:r>
            </w:hyperlink>
          </w:p>
        </w:tc>
      </w:tr>
      <w:tr>
        <w:trPr/>
        <w:tc>
          <w:tcPr>
            <w:tcW w:w="90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dc6f358a7ea345daa8bbc8a5ea69f8d5_202">
              <w:r>
                <w:rPr>
                  <w:rStyle w:val="InternetLink"/>
                  <w:rFonts w:ascii="Futura Std Book;sans-serif" w:hAnsi="Futura Std Book;sans-serif"/>
                  <w:b w:val="false"/>
                  <w:strike w:val="false"/>
                  <w:dstrike w:val="false"/>
                  <w:color w:val="000000"/>
                  <w:sz w:val="18"/>
                  <w:u w:val="none"/>
                  <w:effect w:val="none"/>
                </w:rPr>
                <w:t>Related Person Transactions</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202">
              <w:r>
                <w:rPr>
                  <w:rStyle w:val="InternetLink"/>
                  <w:rFonts w:ascii="Futura Std Book;sans-serif" w:hAnsi="Futura Std Book;sans-serif"/>
                  <w:b w:val="false"/>
                  <w:strike w:val="false"/>
                  <w:dstrike w:val="false"/>
                  <w:color w:val="000000"/>
                  <w:sz w:val="18"/>
                  <w:u w:val="none"/>
                  <w:effect w:val="none"/>
                </w:rPr>
                <w:t>95</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205">
              <w:r>
                <w:rPr>
                  <w:rStyle w:val="InternetLink"/>
                  <w:rFonts w:ascii="Futura Std Book;sans-serif" w:hAnsi="Futura Std Book;sans-serif"/>
                  <w:b w:val="false"/>
                  <w:strike w:val="false"/>
                  <w:dstrike w:val="false"/>
                  <w:color w:val="000000"/>
                  <w:sz w:val="18"/>
                  <w:u w:val="none"/>
                  <w:effect w:val="none"/>
                </w:rPr>
                <w:t>Indemnification Agreements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05">
              <w:r>
                <w:rPr>
                  <w:rStyle w:val="InternetLink"/>
                  <w:rFonts w:ascii="Futura Std Book;sans-serif" w:hAnsi="Futura Std Book;sans-serif"/>
                  <w:b w:val="false"/>
                  <w:strike w:val="false"/>
                  <w:dstrike w:val="false"/>
                  <w:color w:val="000000"/>
                  <w:sz w:val="18"/>
                  <w:u w:val="none"/>
                  <w:effect w:val="none"/>
                </w:rPr>
                <w:t>95</w:t>
              </w:r>
            </w:hyperlink>
          </w:p>
        </w:tc>
      </w:tr>
      <w:tr>
        <w:trPr/>
        <w:tc>
          <w:tcPr>
            <w:tcW w:w="905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dc6f358a7ea345daa8bbc8a5ea69f8d5_208">
              <w:r>
                <w:rPr>
                  <w:rStyle w:val="InternetLink"/>
                  <w:rFonts w:ascii="Futura Std Book;sans-serif" w:hAnsi="Futura Std Book;sans-serif"/>
                  <w:b/>
                  <w:strike w:val="false"/>
                  <w:dstrike w:val="false"/>
                  <w:color w:val="29378D"/>
                  <w:sz w:val="18"/>
                  <w:u w:val="none"/>
                  <w:effect w:val="none"/>
                </w:rPr>
                <w:t>Voting Securities and Principal 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08">
              <w:r>
                <w:rPr>
                  <w:rStyle w:val="InternetLink"/>
                  <w:rFonts w:ascii="Futura Std Book;sans-serif" w:hAnsi="Futura Std Book;sans-serif"/>
                  <w:b/>
                  <w:strike w:val="false"/>
                  <w:dstrike w:val="false"/>
                  <w:color w:val="29378D"/>
                  <w:sz w:val="18"/>
                  <w:u w:val="none"/>
                  <w:effect w:val="none"/>
                </w:rPr>
                <w:t>96</w:t>
              </w:r>
            </w:hyperlink>
          </w:p>
        </w:tc>
      </w:tr>
      <w:tr>
        <w:trPr/>
        <w:tc>
          <w:tcPr>
            <w:tcW w:w="90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dc6f358a7ea345daa8bbc8a5ea69f8d5_211">
              <w:r>
                <w:rPr>
                  <w:rStyle w:val="InternetLink"/>
                  <w:rFonts w:ascii="Futura Std Book;sans-serif" w:hAnsi="Futura Std Book;sans-serif"/>
                  <w:b w:val="false"/>
                  <w:strike w:val="false"/>
                  <w:dstrike w:val="false"/>
                  <w:color w:val="000000"/>
                  <w:sz w:val="18"/>
                  <w:u w:val="none"/>
                  <w:effect w:val="none"/>
                </w:rPr>
                <w:t>Stock Ownership of Certain Beneficial Holders</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211">
              <w:r>
                <w:rPr>
                  <w:rStyle w:val="InternetLink"/>
                  <w:rFonts w:ascii="Futura Std Book;sans-serif" w:hAnsi="Futura Std Book;sans-serif"/>
                  <w:b w:val="false"/>
                  <w:strike w:val="false"/>
                  <w:dstrike w:val="false"/>
                  <w:color w:val="000000"/>
                  <w:sz w:val="18"/>
                  <w:u w:val="none"/>
                  <w:effect w:val="none"/>
                </w:rPr>
                <w:t>96</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214">
              <w:r>
                <w:rPr>
                  <w:rStyle w:val="InternetLink"/>
                  <w:rFonts w:ascii="Futura Std Book;sans-serif" w:hAnsi="Futura Std Book;sans-serif"/>
                  <w:b w:val="false"/>
                  <w:strike w:val="false"/>
                  <w:dstrike w:val="false"/>
                  <w:color w:val="000000"/>
                  <w:sz w:val="18"/>
                  <w:u w:val="none"/>
                  <w:effect w:val="none"/>
                </w:rPr>
                <w:t>Stock Ownership of Officers and Directors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14">
              <w:r>
                <w:rPr>
                  <w:rStyle w:val="InternetLink"/>
                  <w:rFonts w:ascii="Futura Std Book;sans-serif" w:hAnsi="Futura Std Book;sans-serif"/>
                  <w:b w:val="false"/>
                  <w:strike w:val="false"/>
                  <w:dstrike w:val="false"/>
                  <w:color w:val="000000"/>
                  <w:sz w:val="18"/>
                  <w:u w:val="none"/>
                  <w:effect w:val="none"/>
                </w:rPr>
                <w:t>97</w:t>
              </w:r>
            </w:hyperlink>
          </w:p>
        </w:tc>
      </w:tr>
      <w:tr>
        <w:trPr/>
        <w:tc>
          <w:tcPr>
            <w:tcW w:w="905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76" w:before="0" w:after="0"/>
              <w:jc w:val="left"/>
              <w:rPr/>
            </w:pPr>
            <w:hyperlink w:anchor="idc6f358a7ea345daa8bbc8a5ea69f8d5_217">
              <w:r>
                <w:rPr>
                  <w:rStyle w:val="InternetLink"/>
                  <w:rFonts w:ascii="Futura Std Book;sans-serif" w:hAnsi="Futura Std Book;sans-serif"/>
                  <w:b/>
                  <w:strike w:val="false"/>
                  <w:dstrike w:val="false"/>
                  <w:color w:val="29378D"/>
                  <w:sz w:val="18"/>
                  <w:u w:val="none"/>
                  <w:effect w:val="none"/>
                </w:rPr>
                <w:t>Questions and Answers About the Annual Meeting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17">
              <w:r>
                <w:rPr>
                  <w:rStyle w:val="InternetLink"/>
                  <w:rFonts w:ascii="Futura Std Book;sans-serif" w:hAnsi="Futura Std Book;sans-serif"/>
                  <w:b/>
                  <w:strike w:val="false"/>
                  <w:dstrike w:val="false"/>
                  <w:color w:val="29378D"/>
                  <w:sz w:val="18"/>
                  <w:u w:val="none"/>
                  <w:effect w:val="none"/>
                </w:rPr>
                <w:t>98</w:t>
              </w:r>
            </w:hyperlink>
          </w:p>
        </w:tc>
      </w:tr>
      <w:tr>
        <w:trPr/>
        <w:tc>
          <w:tcPr>
            <w:tcW w:w="9055"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76" w:before="0" w:after="0"/>
              <w:jc w:val="left"/>
              <w:rPr/>
            </w:pPr>
            <w:hyperlink w:anchor="idc6f358a7ea345daa8bbc8a5ea69f8d5_220">
              <w:r>
                <w:rPr>
                  <w:rStyle w:val="InternetLink"/>
                  <w:rFonts w:ascii="Futura Std Book;sans-serif" w:hAnsi="Futura Std Book;sans-serif"/>
                  <w:b/>
                  <w:strike w:val="false"/>
                  <w:dstrike w:val="false"/>
                  <w:color w:val="29378D"/>
                  <w:sz w:val="18"/>
                  <w:u w:val="none"/>
                  <w:effect w:val="none"/>
                </w:rPr>
                <w:t>Miscellaneous</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220">
              <w:r>
                <w:rPr>
                  <w:rStyle w:val="InternetLink"/>
                  <w:rFonts w:ascii="Futura Std Book;sans-serif" w:hAnsi="Futura Std Book;sans-serif"/>
                  <w:b/>
                  <w:strike w:val="false"/>
                  <w:dstrike w:val="false"/>
                  <w:color w:val="29378D"/>
                  <w:sz w:val="18"/>
                  <w:u w:val="none"/>
                  <w:effect w:val="none"/>
                </w:rPr>
                <w:t>101</w:t>
              </w:r>
            </w:hyperlink>
          </w:p>
        </w:tc>
      </w:tr>
      <w:tr>
        <w:trPr/>
        <w:tc>
          <w:tcPr>
            <w:tcW w:w="90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idc6f358a7ea345daa8bbc8a5ea69f8d5_223">
              <w:r>
                <w:rPr>
                  <w:rStyle w:val="InternetLink"/>
                  <w:rFonts w:ascii="Futura Std Book;sans-serif" w:hAnsi="Futura Std Book;sans-serif"/>
                  <w:b w:val="false"/>
                  <w:strike w:val="false"/>
                  <w:dstrike w:val="false"/>
                  <w:color w:val="000000"/>
                  <w:sz w:val="18"/>
                  <w:u w:val="none"/>
                  <w:effect w:val="none"/>
                </w:rPr>
                <w:t>Voting on Other Matters</w:t>
              </w:r>
            </w:hyperlink>
          </w:p>
        </w:tc>
        <w:tc>
          <w:tcPr>
            <w:tcW w:w="5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right"/>
              <w:rPr/>
            </w:pPr>
            <w:hyperlink w:anchor="idc6f358a7ea345daa8bbc8a5ea69f8d5_223">
              <w:r>
                <w:rPr>
                  <w:rStyle w:val="InternetLink"/>
                  <w:rFonts w:ascii="Futura Std Book;sans-serif" w:hAnsi="Futura Std Book;sans-serif"/>
                  <w:b w:val="false"/>
                  <w:strike w:val="false"/>
                  <w:dstrike w:val="false"/>
                  <w:color w:val="000000"/>
                  <w:sz w:val="18"/>
                  <w:u w:val="none"/>
                  <w:effect w:val="none"/>
                </w:rPr>
                <w:t>101</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226">
              <w:r>
                <w:rPr>
                  <w:rStyle w:val="InternetLink"/>
                  <w:rFonts w:ascii="Futura Std Book;sans-serif" w:hAnsi="Futura Std Book;sans-serif"/>
                  <w:b w:val="false"/>
                  <w:strike w:val="false"/>
                  <w:dstrike w:val="false"/>
                  <w:color w:val="000000"/>
                  <w:sz w:val="18"/>
                  <w:u w:val="none"/>
                  <w:effect w:val="none"/>
                </w:rPr>
                <w:t>Shareholder Proposals for the 2026 Annual Meeting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26">
              <w:r>
                <w:rPr>
                  <w:rStyle w:val="InternetLink"/>
                  <w:rFonts w:ascii="Futura Std Book;sans-serif" w:hAnsi="Futura Std Book;sans-serif"/>
                  <w:b w:val="false"/>
                  <w:strike w:val="false"/>
                  <w:dstrike w:val="false"/>
                  <w:color w:val="000000"/>
                  <w:sz w:val="18"/>
                  <w:u w:val="none"/>
                  <w:effect w:val="none"/>
                </w:rPr>
                <w:t>101</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229">
              <w:r>
                <w:rPr>
                  <w:rStyle w:val="InternetLink"/>
                  <w:rFonts w:ascii="Futura Std Book;sans-serif" w:hAnsi="Futura Std Book;sans-serif"/>
                  <w:b w:val="false"/>
                  <w:strike w:val="false"/>
                  <w:dstrike w:val="false"/>
                  <w:color w:val="000080"/>
                  <w:sz w:val="18"/>
                  <w:u w:val="single"/>
                  <w:effect w:val="none"/>
                </w:rPr>
                <w:t>Shareholder Nominations for Director Elections at the 202</w:t>
              </w:r>
            </w:hyperlink>
            <w:hyperlink w:anchor="idc6f358a7ea345daa8bbc8a5ea69f8d5_229">
              <w:r>
                <w:rPr>
                  <w:rStyle w:val="InternetLink"/>
                  <w:rFonts w:ascii="Futura Std Book;sans-serif" w:hAnsi="Futura Std Book;sans-serif"/>
                  <w:b w:val="false"/>
                  <w:strike w:val="false"/>
                  <w:dstrike w:val="false"/>
                  <w:color w:val="000080"/>
                  <w:sz w:val="18"/>
                  <w:u w:val="single"/>
                  <w:effect w:val="none"/>
                </w:rPr>
                <w:t>6</w:t>
              </w:r>
            </w:hyperlink>
            <w:hyperlink w:anchor="idc6f358a7ea345daa8bbc8a5ea69f8d5_229">
              <w:r>
                <w:rPr>
                  <w:rStyle w:val="InternetLink"/>
                  <w:rFonts w:ascii="Futura Std Book;sans-serif" w:hAnsi="Futura Std Book;sans-serif"/>
                  <w:b w:val="false"/>
                  <w:strike w:val="false"/>
                  <w:dstrike w:val="false"/>
                  <w:color w:val="000080"/>
                  <w:sz w:val="18"/>
                  <w:u w:val="single"/>
                  <w:effect w:val="none"/>
                </w:rPr>
                <w:t xml:space="preserve"> Annual Meeting</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29">
              <w:r>
                <w:rPr>
                  <w:rStyle w:val="InternetLink"/>
                  <w:rFonts w:ascii="Futura Std Book;sans-serif" w:hAnsi="Futura Std Book;sans-serif"/>
                  <w:b w:val="false"/>
                  <w:strike w:val="false"/>
                  <w:dstrike w:val="false"/>
                  <w:color w:val="000000"/>
                  <w:sz w:val="18"/>
                  <w:u w:val="none"/>
                  <w:effect w:val="none"/>
                </w:rPr>
                <w:t>101</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232">
              <w:r>
                <w:rPr>
                  <w:rStyle w:val="InternetLink"/>
                  <w:rFonts w:ascii="Futura Std Book;sans-serif" w:hAnsi="Futura Std Book;sans-serif"/>
                  <w:b w:val="false"/>
                  <w:strike w:val="false"/>
                  <w:dstrike w:val="false"/>
                  <w:color w:val="000000"/>
                  <w:sz w:val="18"/>
                  <w:u w:val="none"/>
                  <w:effect w:val="none"/>
                </w:rPr>
                <w:t>Householding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32">
              <w:r>
                <w:rPr>
                  <w:rStyle w:val="InternetLink"/>
                  <w:rFonts w:ascii="Futura Std Book;sans-serif" w:hAnsi="Futura Std Book;sans-serif"/>
                  <w:b w:val="false"/>
                  <w:strike w:val="false"/>
                  <w:dstrike w:val="false"/>
                  <w:color w:val="000000"/>
                  <w:sz w:val="18"/>
                  <w:u w:val="none"/>
                  <w:effect w:val="none"/>
                </w:rPr>
                <w:t>101</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235">
              <w:r>
                <w:rPr>
                  <w:rStyle w:val="InternetLink"/>
                  <w:rFonts w:ascii="Futura Std Book;sans-serif" w:hAnsi="Futura Std Book;sans-serif"/>
                  <w:b w:val="false"/>
                  <w:strike w:val="false"/>
                  <w:dstrike w:val="false"/>
                  <w:color w:val="000000"/>
                  <w:sz w:val="18"/>
                  <w:u w:val="none"/>
                  <w:effect w:val="none"/>
                </w:rPr>
                <w:t>Cost of Soliciting Proxies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35">
              <w:r>
                <w:rPr>
                  <w:rStyle w:val="InternetLink"/>
                  <w:rFonts w:ascii="Futura Std Book;sans-serif" w:hAnsi="Futura Std Book;sans-serif"/>
                  <w:b w:val="false"/>
                  <w:strike w:val="false"/>
                  <w:dstrike w:val="false"/>
                  <w:color w:val="000000"/>
                  <w:sz w:val="18"/>
                  <w:u w:val="none"/>
                  <w:effect w:val="none"/>
                </w:rPr>
                <w:t>102</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238">
              <w:r>
                <w:rPr>
                  <w:rStyle w:val="InternetLink"/>
                  <w:rFonts w:ascii="Futura Std Book;sans-serif" w:hAnsi="Futura Std Book;sans-serif"/>
                  <w:b w:val="false"/>
                  <w:strike w:val="false"/>
                  <w:dstrike w:val="false"/>
                  <w:color w:val="000000"/>
                  <w:sz w:val="18"/>
                  <w:u w:val="none"/>
                  <w:effect w:val="none"/>
                </w:rPr>
                <w:t>Available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38">
              <w:r>
                <w:rPr>
                  <w:rStyle w:val="InternetLink"/>
                  <w:rFonts w:ascii="Futura Std Book;sans-serif" w:hAnsi="Futura Std Book;sans-serif"/>
                  <w:b w:val="false"/>
                  <w:strike w:val="false"/>
                  <w:dstrike w:val="false"/>
                  <w:color w:val="000000"/>
                  <w:sz w:val="18"/>
                  <w:u w:val="none"/>
                  <w:effect w:val="none"/>
                </w:rPr>
                <w:t>102</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241">
              <w:r>
                <w:rPr>
                  <w:rStyle w:val="InternetLink"/>
                  <w:rFonts w:ascii="Futura Std Book;sans-serif" w:hAnsi="Futura Std Book;sans-serif"/>
                  <w:b w:val="false"/>
                  <w:strike w:val="false"/>
                  <w:dstrike w:val="false"/>
                  <w:color w:val="000000"/>
                  <w:sz w:val="18"/>
                  <w:u w:val="none"/>
                  <w:effect w:val="non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41">
              <w:r>
                <w:rPr>
                  <w:rStyle w:val="InternetLink"/>
                  <w:rFonts w:ascii="Futura Std Book;sans-serif" w:hAnsi="Futura Std Book;sans-serif"/>
                  <w:b w:val="false"/>
                  <w:strike w:val="false"/>
                  <w:dstrike w:val="false"/>
                  <w:color w:val="000000"/>
                  <w:sz w:val="18"/>
                  <w:u w:val="none"/>
                  <w:effect w:val="none"/>
                </w:rPr>
                <w:t>102</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244">
              <w:r>
                <w:rPr>
                  <w:rStyle w:val="InternetLink"/>
                  <w:rFonts w:ascii="Futura Std Book;sans-serif" w:hAnsi="Futura Std Book;sans-serif"/>
                  <w:b w:val="false"/>
                  <w:strike w:val="false"/>
                  <w:dstrike w:val="false"/>
                  <w:color w:val="000000"/>
                  <w:sz w:val="18"/>
                  <w:u w:val="none"/>
                  <w:effect w:val="none"/>
                </w:rPr>
                <w:t>Annual Report</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44">
              <w:r>
                <w:rPr>
                  <w:rStyle w:val="InternetLink"/>
                  <w:rFonts w:ascii="Futura Std Book;sans-serif" w:hAnsi="Futura Std Book;sans-serif"/>
                  <w:b w:val="false"/>
                  <w:strike w:val="false"/>
                  <w:dstrike w:val="false"/>
                  <w:color w:val="000000"/>
                  <w:sz w:val="18"/>
                  <w:u w:val="none"/>
                  <w:effect w:val="none"/>
                </w:rPr>
                <w:t>103</w:t>
              </w:r>
            </w:hyperlink>
          </w:p>
        </w:tc>
      </w:tr>
      <w:tr>
        <w:trPr/>
        <w:tc>
          <w:tcPr>
            <w:tcW w:w="905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dc6f358a7ea345daa8bbc8a5ea69f8d5_247">
              <w:r>
                <w:rPr>
                  <w:rStyle w:val="InternetLink"/>
                  <w:rFonts w:ascii="Futura Std Book;sans-serif" w:hAnsi="Futura Std Book;sans-serif"/>
                  <w:b/>
                  <w:strike w:val="false"/>
                  <w:dstrike w:val="false"/>
                  <w:color w:val="000080"/>
                  <w:sz w:val="18"/>
                  <w:u w:val="single"/>
                  <w:effect w:val="none"/>
                </w:rPr>
                <w:t>Appendix A</w:t>
              </w:r>
            </w:hyperlink>
            <w:hyperlink w:anchor="idc6f358a7ea345daa8bbc8a5ea69f8d5_247">
              <w:r>
                <w:rPr>
                  <w:rStyle w:val="InternetLink"/>
                  <w:rFonts w:ascii="Futura Std Book;sans-serif" w:hAnsi="Futura Std Book;sans-serif"/>
                  <w:b/>
                  <w:strike w:val="false"/>
                  <w:dstrike w:val="false"/>
                  <w:color w:val="000080"/>
                  <w:sz w:val="18"/>
                  <w:u w:val="single"/>
                  <w:effect w:val="none"/>
                </w:rPr>
                <w:t xml:space="preserve"> </w:t>
              </w:r>
            </w:hyperlink>
            <w:hyperlink w:anchor="idc6f358a7ea345daa8bbc8a5ea69f8d5_247">
              <w:r>
                <w:rPr>
                  <w:rStyle w:val="InternetLink"/>
                  <w:rFonts w:ascii="Futura Std Book;sans-serif" w:hAnsi="Futura Std Book;sans-serif"/>
                  <w:b/>
                  <w:strike w:val="false"/>
                  <w:dstrike w:val="false"/>
                  <w:color w:val="000080"/>
                  <w:sz w:val="18"/>
                  <w:u w:val="single"/>
                  <w:effect w:val="none"/>
                </w:rPr>
                <w:t>–</w:t>
              </w:r>
            </w:hyperlink>
            <w:hyperlink w:anchor="idc6f358a7ea345daa8bbc8a5ea69f8d5_247">
              <w:r>
                <w:rPr>
                  <w:rStyle w:val="InternetLink"/>
                  <w:rFonts w:ascii="Futura Std Book;sans-serif" w:hAnsi="Futura Std Book;sans-serif"/>
                  <w:b/>
                  <w:strike w:val="false"/>
                  <w:dstrike w:val="false"/>
                  <w:color w:val="000080"/>
                  <w:sz w:val="18"/>
                  <w:u w:val="single"/>
                  <w:effect w:val="none"/>
                </w:rPr>
                <w:t xml:space="preserve"> </w:t>
              </w:r>
            </w:hyperlink>
            <w:hyperlink w:anchor="idc6f358a7ea345daa8bbc8a5ea69f8d5_247">
              <w:r>
                <w:rPr>
                  <w:rStyle w:val="InternetLink"/>
                  <w:rFonts w:ascii="Futura Std Book;sans-serif" w:hAnsi="Futura Std Book;sans-serif"/>
                  <w:b/>
                  <w:strike w:val="false"/>
                  <w:dstrike w:val="false"/>
                  <w:color w:val="000080"/>
                  <w:sz w:val="18"/>
                  <w:u w:val="single"/>
                  <w:effect w:val="none"/>
                </w:rPr>
                <w:t>Use of Non-GAAP Financial Measures</w:t>
              </w:r>
            </w:hyperlink>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pPr>
            <w:hyperlink w:anchor="idc6f358a7ea345daa8bbc8a5ea69f8d5_247">
              <w:r>
                <w:rPr>
                  <w:rStyle w:val="InternetLink"/>
                  <w:rFonts w:ascii="Futura Std Book;sans-serif" w:hAnsi="Futura Std Book;sans-serif"/>
                  <w:b/>
                  <w:strike w:val="false"/>
                  <w:dstrike w:val="false"/>
                  <w:color w:val="29378D"/>
                  <w:sz w:val="18"/>
                  <w:u w:val="none"/>
                  <w:effect w:val="none"/>
                </w:rPr>
                <w:t>104</w:t>
              </w:r>
            </w:hyperlink>
          </w:p>
        </w:tc>
      </w:tr>
    </w:tbl>
    <w:p>
      <w:pPr>
        <w:pStyle w:val="TextBody"/>
        <w:bidi w:val="0"/>
        <w:spacing w:lineRule="auto" w:line="288" w:before="0" w:after="120"/>
        <w:ind w:left="0" w:right="0" w:hanging="216"/>
        <w:jc w:val="left"/>
        <w:rPr>
          <w:rFonts w:ascii="Futura Std Book;sans-serif" w:hAnsi="Futura Std Book;sans-serif"/>
          <w:b w:val="false"/>
          <w:color w:val="000000"/>
          <w:sz w:val="18"/>
        </w:rPr>
      </w:pPr>
      <w:r>
        <w:rPr>
          <w:rFonts w:ascii="Futura Std Book;sans-serif" w:hAnsi="Futura Std Book;sans-serif"/>
          <w:b w:val="false"/>
          <w:color w:val="000000"/>
          <w:sz w:val="18"/>
        </w:rPr>
        <w:t>*  Inside Front Cover</w:t>
      </w:r>
    </w:p>
    <w:p>
      <w:pPr>
        <w:pStyle w:val="TextBody"/>
        <w:bidi w:val="0"/>
        <w:spacing w:before="0" w:after="120"/>
        <w:ind w:left="0" w:right="0" w:hanging="21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554990"/>
                <wp:effectExtent l="0" t="0" r="0" b="0"/>
                <wp:wrapNone/>
                <wp:docPr id="45" name="Frame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Northrop Grumman: Defining Possible</w:t>
      </w:r>
    </w:p>
    <w:p>
      <w:pPr>
        <w:pStyle w:val="TextBody"/>
        <w:bidi w:val="0"/>
        <w:spacing w:lineRule="auto" w:line="288" w:before="120" w:after="120"/>
        <w:jc w:val="left"/>
        <w:rPr>
          <w:rFonts w:ascii="Futura Std Book;sans-serif" w:hAnsi="Futura Std Book;sans-serif"/>
          <w:b/>
          <w:color w:val="000000"/>
          <w:sz w:val="36"/>
        </w:rPr>
      </w:pPr>
      <w:r>
        <w:rPr>
          <w:rFonts w:ascii="Futura Std Book;sans-serif" w:hAnsi="Futura Std Book;sans-serif"/>
          <w:b/>
          <w:color w:val="000000"/>
          <w:sz w:val="36"/>
        </w:rPr>
        <w:t>We solve the toughest problems</w:t>
      </w:r>
    </w:p>
    <w:p>
      <w:pPr>
        <w:pStyle w:val="TextBody"/>
        <w:bidi w:val="0"/>
        <w:spacing w:lineRule="auto" w:line="268" w:before="0" w:after="0"/>
        <w:jc w:val="both"/>
        <w:rPr>
          <w:rFonts w:ascii="Futura Std Book;sans-serif" w:hAnsi="Futura Std Book;sans-serif"/>
          <w:b w:val="false"/>
          <w:color w:val="000000"/>
          <w:sz w:val="18"/>
        </w:rPr>
      </w:pPr>
      <w:r>
        <w:rPr>
          <w:rFonts w:ascii="Futura Std Book;sans-serif" w:hAnsi="Futura Std Book;sans-serif"/>
          <w:b w:val="false"/>
          <w:color w:val="000000"/>
          <w:sz w:val="18"/>
        </w:rPr>
        <w:t>Northrop Grumman Corporation (NYSE: NOC) is a leading global aerospace and defense technology company. We deliver a broad range of products, services and solutions to United States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pStyle w:val="TextBody"/>
        <w:bidi w:val="0"/>
        <w:spacing w:lineRule="auto" w:line="288" w:before="120" w:after="120"/>
        <w:jc w:val="left"/>
        <w:rPr>
          <w:rFonts w:ascii="Futura Std Book;sans-serif" w:hAnsi="Futura Std Book;sans-serif"/>
          <w:b/>
          <w:color w:val="000000"/>
          <w:sz w:val="36"/>
        </w:rPr>
      </w:pPr>
      <w:r>
        <w:rPr>
          <w:rFonts w:ascii="Futura Std Book;sans-serif" w:hAnsi="Futura Std Book;sans-serif"/>
          <w:b/>
          <w:color w:val="000000"/>
          <w:sz w:val="36"/>
        </w:rPr>
        <w:t>A pioneering vision for the future</w:t>
      </w:r>
    </w:p>
    <w:p>
      <w:pPr>
        <w:pStyle w:val="TextBody"/>
        <w:bidi w:val="0"/>
        <w:spacing w:lineRule="auto" w:line="276" w:before="0" w:after="0"/>
        <w:jc w:val="both"/>
        <w:rPr>
          <w:rFonts w:ascii="Futura Std Book;sans-serif" w:hAnsi="Futura Std Book;sans-serif"/>
          <w:b w:val="false"/>
          <w:color w:val="000000"/>
          <w:sz w:val="18"/>
        </w:rPr>
      </w:pPr>
      <w:r>
        <w:rPr>
          <w:rFonts w:ascii="Futura Std Book;sans-serif" w:hAnsi="Futura Std Book;sans-serif"/>
          <w:b w:val="false"/>
          <w:color w:val="000000"/>
          <w:sz w:val="18"/>
        </w:rPr>
        <w:t xml:space="preserve">Northrop Grumman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capabilities our customers need. </w:t>
      </w:r>
    </w:p>
    <w:p>
      <w:pPr>
        <w:pStyle w:val="TextBody"/>
        <w:bidi w:val="0"/>
        <w:spacing w:before="0" w:after="0"/>
        <w:jc w:val="both"/>
        <w:rPr/>
      </w:pPr>
      <w:r>
        <w:rPr/>
      </w:r>
    </w:p>
    <w:p>
      <w:pPr>
        <w:pStyle w:val="TextBody"/>
        <w:bidi w:val="0"/>
        <w:spacing w:lineRule="auto" w:line="276" w:before="0" w:after="0"/>
        <w:jc w:val="both"/>
        <w:rPr>
          <w:rFonts w:ascii="Futura Std Book;sans-serif" w:hAnsi="Futura Std Book;sans-serif"/>
          <w:b w:val="false"/>
          <w:color w:val="000000"/>
          <w:sz w:val="18"/>
        </w:rPr>
      </w:pPr>
      <w:r>
        <w:rPr>
          <w:rFonts w:ascii="Futura Std Book;sans-serif" w:hAnsi="Futura Std Book;sans-serif"/>
          <w:b w:val="false"/>
          <w:color w:val="000000"/>
          <w:sz w:val="18"/>
        </w:rPr>
        <w:t>At Northrop Grumman, our exceptional team combines its extraordinary depth of knowledge with a pioneering mentality to define — and redefine — what's possible. With the investments we've made in advanced technologies, combined with our talented workforce and digital transformation capabilities, Northrop Grumman is well positioned to meet our customers' needs today and in the future.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6"/>
        <w:gridCol w:w="718"/>
        <w:gridCol w:w="719"/>
        <w:gridCol w:w="116"/>
        <w:gridCol w:w="116"/>
        <w:gridCol w:w="116"/>
        <w:gridCol w:w="854"/>
        <w:gridCol w:w="854"/>
        <w:gridCol w:w="856"/>
        <w:gridCol w:w="116"/>
        <w:gridCol w:w="116"/>
        <w:gridCol w:w="116"/>
        <w:gridCol w:w="714"/>
        <w:gridCol w:w="714"/>
        <w:gridCol w:w="716"/>
        <w:gridCol w:w="116"/>
        <w:gridCol w:w="116"/>
        <w:gridCol w:w="116"/>
        <w:gridCol w:w="641"/>
        <w:gridCol w:w="641"/>
        <w:gridCol w:w="918"/>
      </w:tblGrid>
      <w:tr>
        <w:trPr/>
        <w:tc>
          <w:tcPr>
            <w:tcW w:w="8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22"/>
              </w:rPr>
            </w:pPr>
            <w:r>
              <w:rPr>
                <w:rFonts w:ascii="Futura Std Book;sans-serif" w:hAnsi="Futura Std Book;sans-serif"/>
                <w:b/>
                <w:color w:val="000000"/>
                <w:sz w:val="22"/>
              </w:rPr>
              <w:t>Our Strategy Remains Focused on:</w:t>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22"/>
              </w:rPr>
            </w:pPr>
            <w:r>
              <w:rPr>
                <w:rFonts w:ascii="Futura Std Book;sans-serif" w:hAnsi="Futura Std Book;sans-serif"/>
                <w:b/>
                <w:color w:val="29378D"/>
                <w:sz w:val="22"/>
              </w:rPr>
              <w:t>Technology Leadership</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22"/>
              </w:rPr>
            </w:pPr>
            <w:r>
              <w:rPr>
                <w:rFonts w:ascii="Futura Std Book;sans-serif" w:hAnsi="Futura Std Book;sans-serif"/>
                <w:b/>
                <w:color w:val="29378D"/>
                <w:sz w:val="22"/>
              </w:rPr>
              <w:t>Sustainably and Profitably Grow</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22"/>
              </w:rPr>
            </w:pPr>
            <w:r>
              <w:rPr>
                <w:rFonts w:ascii="Futura Std Book;sans-serif" w:hAnsi="Futura Std Book;sans-serif"/>
                <w:b/>
                <w:color w:val="29378D"/>
                <w:sz w:val="22"/>
              </w:rPr>
              <w:t>Laser Focus on Performance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22"/>
              </w:rPr>
            </w:pPr>
            <w:r>
              <w:rPr>
                <w:rFonts w:ascii="Futura Std Book;sans-serif" w:hAnsi="Futura Std Book;sans-serif"/>
                <w:b/>
                <w:color w:val="29378D"/>
                <w:sz w:val="22"/>
              </w:rPr>
              <w:t>Balanced Capital Deployment to Create Value</w:t>
            </w:r>
          </w:p>
        </w:tc>
      </w:tr>
      <w:tr>
        <w:trPr/>
        <w:tc>
          <w:tcPr>
            <w:tcW w:w="2253"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723900" cy="723900"/>
                          </a:xfrm>
                          <a:prstGeom prst="rect">
                            <a:avLst/>
                          </a:prstGeom>
                        </pic:spPr>
                      </pic:pic>
                    </a:graphicData>
                  </a:graphic>
                </wp:inline>
              </w:drawing>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723900" cy="723900"/>
                          </a:xfrm>
                          <a:prstGeom prst="rect">
                            <a:avLst/>
                          </a:prstGeom>
                        </pic:spPr>
                      </pic:pic>
                    </a:graphicData>
                  </a:graphic>
                </wp:inline>
              </w:drawing>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723900" cy="723900"/>
                          </a:xfrm>
                          <a:prstGeom prst="rect">
                            <a:avLst/>
                          </a:prstGeom>
                        </pic:spPr>
                      </pic:pic>
                    </a:graphicData>
                  </a:graphic>
                </wp:inline>
              </w:drawing>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DBDBD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23900" cy="72390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723900" cy="723900"/>
                          </a:xfrm>
                          <a:prstGeom prst="rect">
                            <a:avLst/>
                          </a:prstGeom>
                        </pic:spPr>
                      </pic:pic>
                    </a:graphicData>
                  </a:graphic>
                </wp:inline>
              </w:drawing>
            </w:r>
          </w:p>
        </w:tc>
      </w:tr>
      <w:tr>
        <w:trPr/>
        <w:tc>
          <w:tcPr>
            <w:tcW w:w="2253"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22"/>
              </w:rPr>
            </w:pPr>
            <w:r>
              <w:rPr>
                <w:rFonts w:ascii="Futura Std Book;sans-serif" w:hAnsi="Futura Std Book;sans-serif"/>
                <w:b w:val="false"/>
                <w:color w:val="000000"/>
                <w:sz w:val="22"/>
              </w:rPr>
              <w:t>Maintaining technology leadership and delivering innovative and affordable solutions with speed</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22"/>
              </w:rPr>
            </w:pPr>
            <w:r>
              <w:rPr>
                <w:rFonts w:ascii="Futura Std Book;sans-serif" w:hAnsi="Futura Std Book;sans-serif"/>
                <w:b w:val="false"/>
                <w:color w:val="000000"/>
                <w:sz w:val="22"/>
              </w:rPr>
              <w:t>Sustainably and profitably growing our business in our customers’ highest priority missions while maintaining contracting discipline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22"/>
              </w:rPr>
            </w:pPr>
            <w:r>
              <w:rPr>
                <w:rFonts w:ascii="Futura Std Book;sans-serif" w:hAnsi="Futura Std Book;sans-serif"/>
                <w:b w:val="false"/>
                <w:color w:val="000000"/>
                <w:sz w:val="22"/>
              </w:rPr>
              <w:t>Keeping a laser focus on performance and driving cost efficiencies</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22"/>
              </w:rPr>
            </w:pPr>
            <w:r>
              <w:rPr>
                <w:rFonts w:ascii="Futura Std Book;sans-serif" w:hAnsi="Futura Std Book;sans-serif"/>
                <w:b w:val="false"/>
                <w:color w:val="000000"/>
                <w:sz w:val="22"/>
              </w:rPr>
              <w:t>Deploying our capital in value creating ways for our customers and investors</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734695"/>
                <wp:effectExtent l="0" t="0" r="0" b="0"/>
                <wp:wrapNone/>
                <wp:docPr id="50" name="Frame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Proxy Statement Summary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This summary highlights information contained elsewhere in this Proxy Statement. For additional information about these topics, please refer to the discussions contained in this Proxy Statement and in our Annual Report on Form 10-K for the year ended December 31, 2024 (2024 Form 10-K) filed with the U.S. Securities and Exchange Commission (SEC) on January 30, 2025.</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intend to mail a Notice of Internet Availability of Proxy Materials to Shareholders of record and to make this Proxy Statement and accompanying materials available on the internet on or about April 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2024 Performance Highlights</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We delivered another strong year of financial results while continuing to invest in our business and return cash to shareholders. Strong demand from the U.S. and our allies led to over $50 billion in new awards, with our backlog hitting a new company record of over $91 billion. Our topline grew by over 4% in 2024, and over the past five years has grown by 30% organically. Segment operating margin rate* expanded to 11.1% in 2024, with diluted earnings per share (EPS) of $28.34. Our mark-to-market (MTM) adjusted EPS* came in at $26.08, above the high end of our guidance range. Cash continues to grow at a rapid rate led by growth in our business, with free cash flow* higher by 25% year over year. We continue to execute our capital deployment strategy that prioritizes investing in our business and returning cash to shareholders.</w:t>
      </w:r>
    </w:p>
    <w:tbl>
      <w:tblPr>
        <w:tblW w:w="10205" w:type="dxa"/>
        <w:jc w:val="left"/>
        <w:tblInd w:w="0" w:type="dxa"/>
        <w:tblLayout w:type="fixed"/>
        <w:tblCellMar>
          <w:top w:w="28" w:type="dxa"/>
          <w:left w:w="28" w:type="dxa"/>
          <w:bottom w:w="28" w:type="dxa"/>
          <w:right w:w="28" w:type="dxa"/>
        </w:tblCellMar>
      </w:tblPr>
      <w:tblGrid>
        <w:gridCol w:w="1276"/>
        <w:gridCol w:w="929"/>
        <w:gridCol w:w="931"/>
        <w:gridCol w:w="1277"/>
        <w:gridCol w:w="907"/>
        <w:gridCol w:w="909"/>
        <w:gridCol w:w="1250"/>
        <w:gridCol w:w="1109"/>
        <w:gridCol w:w="1617"/>
      </w:tblGrid>
      <w:tr>
        <w:trPr/>
        <w:tc>
          <w:tcPr>
            <w:tcW w:w="127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Financial Highlights</w:t>
            </w:r>
          </w:p>
        </w:tc>
      </w:tr>
      <w:tr>
        <w:trPr/>
        <w:tc>
          <w:tcPr>
            <w:tcW w:w="10205" w:type="dxa"/>
            <w:gridSpan w:val="9"/>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22"/>
              </w:rPr>
              <w:t xml:space="preserve">Backlog of </w:t>
            </w:r>
            <w:r>
              <w:rPr>
                <w:rFonts w:ascii="Futura Std Book;sans-serif" w:hAnsi="Futura Std Book;sans-serif"/>
                <w:b/>
                <w:color w:val="29378D"/>
                <w:sz w:val="22"/>
              </w:rPr>
              <w:t>$91.5 billion</w:t>
            </w:r>
            <w:r>
              <w:rPr>
                <w:color w:val="000000"/>
              </w:rPr>
              <w:t xml:space="preserve"> </w:t>
            </w:r>
            <w:r>
              <w:rPr>
                <w:rFonts w:ascii="Futura Std Book;sans-serif" w:hAnsi="Futura Std Book;sans-serif"/>
                <w:b w:val="false"/>
                <w:color w:val="000000"/>
                <w:sz w:val="22"/>
              </w:rPr>
              <w:t xml:space="preserve">or more than </w:t>
            </w:r>
            <w:r>
              <w:rPr>
                <w:rFonts w:ascii="Futura Std Book;sans-serif" w:hAnsi="Futura Std Book;sans-serif"/>
                <w:b/>
                <w:color w:val="29378D"/>
                <w:sz w:val="22"/>
              </w:rPr>
              <w:t>2x</w:t>
            </w:r>
            <w:r>
              <w:rPr>
                <w:color w:val="000000"/>
              </w:rPr>
              <w:t xml:space="preserve"> </w:t>
            </w:r>
            <w:r>
              <w:rPr>
                <w:rFonts w:ascii="Futura Std Book;sans-serif" w:hAnsi="Futura Std Book;sans-serif"/>
                <w:b w:val="false"/>
                <w:color w:val="000000"/>
                <w:sz w:val="22"/>
              </w:rPr>
              <w:t>our annual sales</w:t>
            </w:r>
          </w:p>
        </w:tc>
        <w:tc>
          <w:tcPr>
            <w:tcW w:w="3093"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22"/>
              </w:rPr>
              <w:t xml:space="preserve">Sales of </w:t>
            </w:r>
            <w:r>
              <w:rPr>
                <w:rFonts w:ascii="Futura Std Book;sans-serif" w:hAnsi="Futura Std Book;sans-serif"/>
                <w:b/>
                <w:color w:val="29378D"/>
                <w:sz w:val="22"/>
              </w:rPr>
              <w:t>$41 billion</w:t>
            </w:r>
            <w:r>
              <w:rPr>
                <w:rFonts w:ascii="Futura Std Book;sans-serif" w:hAnsi="Futura Std Book;sans-serif"/>
                <w:b w:val="false"/>
                <w:color w:val="000000"/>
                <w:sz w:val="22"/>
              </w:rPr>
              <w:t xml:space="preserve">, up </w:t>
            </w:r>
            <w:r>
              <w:rPr>
                <w:rFonts w:ascii="Futura Std Book;sans-serif" w:hAnsi="Futura Std Book;sans-serif"/>
                <w:b/>
                <w:color w:val="29378D"/>
                <w:sz w:val="22"/>
              </w:rPr>
              <w:t>4.4%</w:t>
            </w:r>
            <w:r>
              <w:rPr>
                <w:color w:val="000000"/>
              </w:rPr>
              <w:t xml:space="preserve"> </w:t>
            </w:r>
            <w:r>
              <w:rPr>
                <w:rFonts w:ascii="Futura Std Book;sans-serif" w:hAnsi="Futura Std Book;sans-serif"/>
                <w:b w:val="false"/>
                <w:color w:val="000000"/>
                <w:sz w:val="22"/>
              </w:rPr>
              <w:t>compared to 2023</w:t>
            </w:r>
          </w:p>
        </w:tc>
        <w:tc>
          <w:tcPr>
            <w:tcW w:w="3976"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22"/>
              </w:rPr>
              <w:t xml:space="preserve">Operating Margin (OM) rate of </w:t>
            </w:r>
            <w:r>
              <w:rPr>
                <w:rFonts w:ascii="Futura Std Book;sans-serif" w:hAnsi="Futura Std Book;sans-serif"/>
                <w:b/>
                <w:color w:val="29378D"/>
                <w:sz w:val="22"/>
              </w:rPr>
              <w:t>10.6%</w:t>
            </w:r>
            <w:r>
              <w:rPr>
                <w:rFonts w:ascii="Futura Std Book;sans-serif" w:hAnsi="Futura Std Book;sans-serif"/>
                <w:b w:val="false"/>
                <w:color w:val="000000"/>
                <w:sz w:val="22"/>
              </w:rPr>
              <w:t xml:space="preserve">, Segment OM rate* expands to </w:t>
            </w:r>
            <w:r>
              <w:rPr>
                <w:rFonts w:ascii="Futura Std Book;sans-serif" w:hAnsi="Futura Std Book;sans-serif"/>
                <w:b/>
                <w:color w:val="29378D"/>
                <w:sz w:val="22"/>
              </w:rPr>
              <w:t>11.1%</w:t>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6"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22"/>
              </w:rPr>
              <w:t xml:space="preserve">Net cash provided by operating activities of </w:t>
            </w:r>
            <w:r>
              <w:rPr>
                <w:rFonts w:ascii="Futura Std Book;sans-serif" w:hAnsi="Futura Std Book;sans-serif"/>
                <w:b/>
                <w:color w:val="29378D"/>
                <w:sz w:val="22"/>
              </w:rPr>
              <w:t>$4.4 billion</w:t>
            </w:r>
            <w:r>
              <w:rPr>
                <w:color w:val="000000"/>
              </w:rPr>
              <w:t xml:space="preserve"> </w:t>
            </w:r>
            <w:r>
              <w:rPr>
                <w:rFonts w:ascii="Futura Std Book;sans-serif" w:hAnsi="Futura Std Book;sans-serif"/>
                <w:b w:val="false"/>
                <w:color w:val="000000"/>
                <w:sz w:val="22"/>
              </w:rPr>
              <w:t xml:space="preserve">and free cash flow* of </w:t>
            </w:r>
            <w:r>
              <w:rPr>
                <w:rFonts w:ascii="Futura Std Book;sans-serif" w:hAnsi="Futura Std Book;sans-serif"/>
                <w:b/>
                <w:color w:val="29378D"/>
                <w:sz w:val="22"/>
              </w:rPr>
              <w:t>$2.6 billion</w:t>
            </w:r>
            <w:r>
              <w:rPr>
                <w:rFonts w:ascii="Futura Std Book;sans-serif" w:hAnsi="Futura Std Book;sans-serif"/>
                <w:b w:val="false"/>
                <w:color w:val="000000"/>
                <w:sz w:val="22"/>
              </w:rPr>
              <w:t xml:space="preserve">, up </w:t>
            </w:r>
            <w:r>
              <w:rPr>
                <w:rFonts w:ascii="Futura Std Book;sans-serif" w:hAnsi="Futura Std Book;sans-serif"/>
                <w:b/>
                <w:color w:val="29378D"/>
                <w:sz w:val="22"/>
              </w:rPr>
              <w:t xml:space="preserve">25% </w:t>
            </w:r>
            <w:r>
              <w:rPr>
                <w:rFonts w:ascii="Futura Std Book;sans-serif" w:hAnsi="Futura Std Book;sans-serif"/>
                <w:b w:val="false"/>
                <w:color w:val="000000"/>
                <w:sz w:val="22"/>
              </w:rPr>
              <w:t>compared to 2023</w:t>
            </w:r>
          </w:p>
        </w:tc>
        <w:tc>
          <w:tcPr>
            <w:tcW w:w="3093"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22"/>
              </w:rPr>
              <w:t xml:space="preserve">Invested </w:t>
            </w:r>
            <w:r>
              <w:rPr>
                <w:rFonts w:ascii="Futura Std Book;sans-serif" w:hAnsi="Futura Std Book;sans-serif"/>
                <w:b/>
                <w:color w:val="29378D"/>
                <w:sz w:val="22"/>
              </w:rPr>
              <w:t>$2.8 billion</w:t>
            </w:r>
            <w:r>
              <w:rPr>
                <w:color w:val="000000"/>
              </w:rPr>
              <w:t xml:space="preserve"> </w:t>
            </w:r>
            <w:r>
              <w:rPr>
                <w:rFonts w:ascii="Futura Std Book;sans-serif" w:hAnsi="Futura Std Book;sans-serif"/>
                <w:b w:val="false"/>
                <w:color w:val="000000"/>
                <w:sz w:val="22"/>
              </w:rPr>
              <w:t xml:space="preserve">in R&amp;D and capital expenditures, equating to nearly </w:t>
            </w:r>
            <w:r>
              <w:rPr>
                <w:rFonts w:ascii="Futura Std Book;sans-serif" w:hAnsi="Futura Std Book;sans-serif"/>
                <w:b/>
                <w:color w:val="29378D"/>
                <w:sz w:val="22"/>
              </w:rPr>
              <w:t>7%</w:t>
            </w:r>
            <w:r>
              <w:rPr>
                <w:color w:val="000000"/>
              </w:rPr>
              <w:t xml:space="preserve"> </w:t>
            </w:r>
            <w:r>
              <w:rPr>
                <w:rFonts w:ascii="Futura Std Book;sans-serif" w:hAnsi="Futura Std Book;sans-serif"/>
                <w:b w:val="false"/>
                <w:color w:val="000000"/>
                <w:sz w:val="22"/>
              </w:rPr>
              <w:t xml:space="preserve">of company sales </w:t>
            </w:r>
          </w:p>
        </w:tc>
        <w:tc>
          <w:tcPr>
            <w:tcW w:w="397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22"/>
              </w:rPr>
              <w:t xml:space="preserve">Returned </w:t>
            </w:r>
            <w:r>
              <w:rPr>
                <w:rFonts w:ascii="Futura Std Book;sans-serif" w:hAnsi="Futura Std Book;sans-serif"/>
                <w:b/>
                <w:color w:val="29378D"/>
                <w:sz w:val="22"/>
              </w:rPr>
              <w:t>$3.7 billion</w:t>
            </w:r>
            <w:r>
              <w:rPr>
                <w:color w:val="000000"/>
              </w:rPr>
              <w:t xml:space="preserve"> </w:t>
            </w:r>
            <w:r>
              <w:rPr>
                <w:rFonts w:ascii="Futura Std Book;sans-serif" w:hAnsi="Futura Std Book;sans-serif"/>
                <w:b w:val="false"/>
                <w:color w:val="000000"/>
                <w:sz w:val="22"/>
              </w:rPr>
              <w:t xml:space="preserve">to investors in 2024, or over </w:t>
            </w:r>
            <w:r>
              <w:rPr>
                <w:rFonts w:ascii="Futura Std Book;sans-serif" w:hAnsi="Futura Std Book;sans-serif"/>
                <w:b/>
                <w:color w:val="29378D"/>
                <w:sz w:val="22"/>
              </w:rPr>
              <w:t>100%</w:t>
            </w:r>
            <w:r>
              <w:rPr>
                <w:color w:val="000000"/>
              </w:rPr>
              <w:t xml:space="preserve"> </w:t>
            </w:r>
            <w:r>
              <w:rPr>
                <w:rFonts w:ascii="Futura Std Book;sans-serif" w:hAnsi="Futura Std Book;sans-serif"/>
                <w:b w:val="false"/>
                <w:color w:val="000000"/>
                <w:sz w:val="22"/>
              </w:rPr>
              <w:t xml:space="preserve">of free cash flow*. Increased our quarterly dividend by </w:t>
            </w:r>
            <w:r>
              <w:rPr>
                <w:rFonts w:ascii="Futura Std Book;sans-serif" w:hAnsi="Futura Std Book;sans-serif"/>
                <w:b/>
                <w:color w:val="29378D"/>
                <w:sz w:val="22"/>
              </w:rPr>
              <w:t>10%</w:t>
            </w:r>
            <w:r>
              <w:rPr>
                <w:rFonts w:ascii="Futura Std Book;sans-serif" w:hAnsi="Futura Std Book;sans-serif"/>
                <w:b w:val="false"/>
                <w:color w:val="000000"/>
                <w:sz w:val="22"/>
              </w:rPr>
              <w:t xml:space="preserve">, our </w:t>
            </w:r>
            <w:r>
              <w:rPr>
                <w:rFonts w:ascii="Futura Std Book;sans-serif" w:hAnsi="Futura Std Book;sans-serif"/>
                <w:b/>
                <w:color w:val="29378D"/>
                <w:sz w:val="22"/>
              </w:rPr>
              <w:t xml:space="preserve">21st </w:t>
            </w:r>
            <w:r>
              <w:rPr>
                <w:rFonts w:ascii="Futura Std Book;sans-serif" w:hAnsi="Futura Std Book;sans-serif"/>
                <w:b w:val="false"/>
                <w:color w:val="000000"/>
                <w:sz w:val="22"/>
              </w:rPr>
              <w:t>consecutive annual increase</w:t>
            </w:r>
          </w:p>
        </w:tc>
      </w:tr>
    </w:tbl>
    <w:p>
      <w:pPr>
        <w:pStyle w:val="TextBody"/>
        <w:bidi w:val="0"/>
        <w:spacing w:lineRule="auto" w:line="276" w:before="0" w:after="0"/>
        <w:ind w:left="0" w:right="0" w:hanging="216"/>
        <w:jc w:val="left"/>
        <w:rPr>
          <w:rFonts w:ascii="Futura Std Book;sans-serif" w:hAnsi="Futura Std Book;sans-serif"/>
          <w:b w:val="false"/>
          <w:color w:val="000000"/>
          <w:sz w:val="18"/>
        </w:rPr>
      </w:pPr>
      <w:r>
        <w:rPr>
          <w:rFonts w:ascii="Futura Std Book;sans-serif" w:hAnsi="Futura Std Book;sans-serif"/>
          <w:b w:val="false"/>
          <w:color w:val="000000"/>
          <w:sz w:val="18"/>
        </w:rPr>
        <w:t>*  This metric is a non-GAAP financial measure. For more information, see ”Appendix A - Use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554990"/>
                <wp:effectExtent l="0" t="0" r="0" b="0"/>
                <wp:wrapNone/>
                <wp:docPr id="51" name="Frame1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2024 Executive Compensation Highlights</w:t>
      </w:r>
    </w:p>
    <w:p>
      <w:pPr>
        <w:pStyle w:val="TextBody"/>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are committed to performance-based executive compensation programs that align with our shareholders’ interests, reflecting our Company’s objectives and our strategy of investing for and delivering long-term profitable growth.</w:t>
      </w:r>
    </w:p>
    <w:p>
      <w:pPr>
        <w:pStyle w:val="TextBody"/>
        <w:bidi w:val="0"/>
        <w:spacing w:lineRule="auto" w:line="288" w:before="100" w:after="100"/>
        <w:jc w:val="left"/>
        <w:rPr>
          <w:rFonts w:ascii="Futura Std Book;sans-serif" w:hAnsi="Futura Std Book;sans-serif"/>
          <w:b/>
          <w:color w:val="29378D"/>
          <w:sz w:val="30"/>
        </w:rPr>
      </w:pPr>
      <w:r>
        <w:rPr>
          <w:rFonts w:ascii="Futura Std Book;sans-serif" w:hAnsi="Futura Std Book;sans-serif"/>
          <w:b/>
          <w:color w:val="29378D"/>
          <w:sz w:val="30"/>
        </w:rPr>
        <w:t>Compensation Snapshot</w:t>
      </w:r>
    </w:p>
    <w:tbl>
      <w:tblPr>
        <w:tblW w:w="9082" w:type="dxa"/>
        <w:jc w:val="left"/>
        <w:tblInd w:w="0" w:type="dxa"/>
        <w:tblLayout w:type="fixed"/>
        <w:tblCellMar>
          <w:top w:w="28" w:type="dxa"/>
          <w:left w:w="28" w:type="dxa"/>
          <w:bottom w:w="28" w:type="dxa"/>
          <w:right w:w="28" w:type="dxa"/>
        </w:tblCellMar>
      </w:tblPr>
      <w:tblGrid>
        <w:gridCol w:w="1640"/>
        <w:gridCol w:w="1434"/>
        <w:gridCol w:w="1452"/>
        <w:gridCol w:w="1331"/>
        <w:gridCol w:w="1331"/>
        <w:gridCol w:w="1894"/>
      </w:tblGrid>
      <w:tr>
        <w:trPr/>
        <w:tc>
          <w:tcPr>
            <w:tcW w:w="164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45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CEO</w:t>
            </w:r>
          </w:p>
        </w:tc>
        <w:tc>
          <w:tcPr>
            <w:tcW w:w="45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Other Named Executive Officers (NEOs)</w:t>
            </w:r>
          </w:p>
        </w:tc>
      </w:tr>
      <w:tr>
        <w:trPr/>
        <w:tc>
          <w:tcPr>
            <w:tcW w:w="45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09875" cy="1962150"/>
                  <wp:effectExtent l="0" t="0" r="0" b="0"/>
                  <wp:docPr id="5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2" descr=""/>
                          <pic:cNvPicPr>
                            <a:picLocks noChangeAspect="1" noChangeArrowheads="1"/>
                          </pic:cNvPicPr>
                        </pic:nvPicPr>
                        <pic:blipFill>
                          <a:blip r:embed="rId43"/>
                          <a:stretch>
                            <a:fillRect/>
                          </a:stretch>
                        </pic:blipFill>
                        <pic:spPr bwMode="auto">
                          <a:xfrm>
                            <a:off x="0" y="0"/>
                            <a:ext cx="2809875" cy="1962150"/>
                          </a:xfrm>
                          <a:prstGeom prst="rect">
                            <a:avLst/>
                          </a:prstGeom>
                        </pic:spPr>
                      </pic:pic>
                    </a:graphicData>
                  </a:graphic>
                </wp:inline>
              </w:drawing>
            </w:r>
          </w:p>
        </w:tc>
        <w:tc>
          <w:tcPr>
            <w:tcW w:w="455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809875" cy="1962150"/>
                  <wp:effectExtent l="0" t="0" r="0" b="0"/>
                  <wp:docPr id="5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3" descr=""/>
                          <pic:cNvPicPr>
                            <a:picLocks noChangeAspect="1" noChangeArrowheads="1"/>
                          </pic:cNvPicPr>
                        </pic:nvPicPr>
                        <pic:blipFill>
                          <a:blip r:embed="rId44"/>
                          <a:stretch>
                            <a:fillRect/>
                          </a:stretch>
                        </pic:blipFill>
                        <pic:spPr bwMode="auto">
                          <a:xfrm>
                            <a:off x="0" y="0"/>
                            <a:ext cx="2809875" cy="1962150"/>
                          </a:xfrm>
                          <a:prstGeom prst="rect">
                            <a:avLst/>
                          </a:prstGeom>
                        </pic:spPr>
                      </pic:pic>
                    </a:graphicData>
                  </a:graphic>
                </wp:inline>
              </w:drawing>
            </w:r>
          </w:p>
        </w:tc>
      </w:tr>
    </w:tbl>
    <w:p>
      <w:pPr>
        <w:pStyle w:val="TextBody"/>
        <w:bidi w:val="0"/>
        <w:spacing w:lineRule="auto" w:line="288" w:before="100" w:after="100"/>
        <w:jc w:val="left"/>
        <w:rPr>
          <w:rFonts w:ascii="Futura Std Book;sans-serif" w:hAnsi="Futura Std Book;sans-serif"/>
          <w:b/>
          <w:color w:val="29378D"/>
          <w:sz w:val="30"/>
        </w:rPr>
      </w:pPr>
      <w:r>
        <w:rPr>
          <w:rFonts w:ascii="Futura Std Book;sans-serif" w:hAnsi="Futura Std Book;sans-serif"/>
          <w:b/>
          <w:color w:val="29378D"/>
          <w:sz w:val="30"/>
        </w:rPr>
        <w:t>Paying For Performance</w:t>
      </w:r>
    </w:p>
    <w:p>
      <w:pPr>
        <w:pStyle w:val="TextBody"/>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2024, we continued to maintain robust pay-for-performance practices. All incentive plan performance payouts reflect our performance against our 2024 goals.</w:t>
      </w:r>
    </w:p>
    <w:tbl>
      <w:tblPr>
        <w:tblW w:w="10205" w:type="dxa"/>
        <w:jc w:val="left"/>
        <w:tblInd w:w="0" w:type="dxa"/>
        <w:tblLayout w:type="fixed"/>
        <w:tblCellMar>
          <w:top w:w="28" w:type="dxa"/>
          <w:left w:w="28" w:type="dxa"/>
          <w:bottom w:w="28" w:type="dxa"/>
          <w:right w:w="28" w:type="dxa"/>
        </w:tblCellMar>
      </w:tblPr>
      <w:tblGrid>
        <w:gridCol w:w="1439"/>
        <w:gridCol w:w="1263"/>
        <w:gridCol w:w="1267"/>
        <w:gridCol w:w="977"/>
        <w:gridCol w:w="977"/>
        <w:gridCol w:w="980"/>
        <w:gridCol w:w="965"/>
        <w:gridCol w:w="965"/>
        <w:gridCol w:w="1372"/>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top w:val="single" w:sz="4" w:space="0" w:color="29378D"/>
              <w:left w:val="single" w:sz="4" w:space="0" w:color="29378D"/>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top w:val="single" w:sz="4" w:space="0" w:color="29378D"/>
              <w:right w:val="single" w:sz="4" w:space="0" w:color="29378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color w:val="29378D"/>
                <w:sz w:val="16"/>
                <w:shd w:fill="FFFFFF" w:val="clear"/>
              </w:rPr>
            </w:pPr>
            <w:r>
              <w:rPr>
                <w:rFonts w:ascii="Futura Std Book;sans-serif" w:hAnsi="Futura Std Book;sans-serif"/>
                <w:b/>
                <w:color w:val="29378D"/>
                <w:sz w:val="16"/>
                <w:shd w:fill="FFFFFF" w:val="clear"/>
              </w:rPr>
              <w:t>We delivered strong financial performance</w:t>
            </w:r>
          </w:p>
          <w:p>
            <w:pPr>
              <w:pStyle w:val="TableContents"/>
              <w:bidi w:val="0"/>
              <w:spacing w:lineRule="auto" w:line="312" w:before="0" w:after="0"/>
              <w:jc w:val="left"/>
              <w:rPr>
                <w:rFonts w:ascii="Futura Std Book;sans-serif" w:hAnsi="Futura Std Book;sans-serif"/>
                <w:b/>
                <w:color w:val="29378D"/>
                <w:sz w:val="16"/>
                <w:shd w:fill="FFFFFF" w:val="clear"/>
              </w:rPr>
            </w:pPr>
            <w:r>
              <w:rPr>
                <w:rFonts w:ascii="Futura Std Book;sans-serif" w:hAnsi="Futura Std Book;sans-serif"/>
                <w:b/>
                <w:color w:val="29378D"/>
                <w:sz w:val="16"/>
                <w:shd w:fill="FFFFFF" w:val="clear"/>
              </w:rPr>
              <w:t>in 2024</w:t>
            </w:r>
          </w:p>
        </w:tc>
        <w:tc>
          <w:tcPr>
            <w:tcW w:w="2934" w:type="dxa"/>
            <w:gridSpan w:val="3"/>
            <w:tcBorders>
              <w:left w:val="single" w:sz="4" w:space="0" w:color="29378D"/>
            </w:tcBorders>
            <w:tcMar>
              <w:top w:w="0" w:type="dxa"/>
              <w:bottom w:w="0" w:type="dxa"/>
              <w:right w:w="0" w:type="dxa"/>
            </w:tcMar>
            <w:vAlign w:val="center"/>
          </w:tcPr>
          <w:p>
            <w:pPr>
              <w:pStyle w:val="TableContents"/>
              <w:bidi w:val="0"/>
              <w:spacing w:lineRule="auto" w:line="312" w:before="0" w:after="0"/>
              <w:jc w:val="left"/>
              <w:rPr>
                <w:rFonts w:ascii="Futura Std Book;sans-serif" w:hAnsi="Futura Std Book;sans-serif"/>
                <w:b/>
                <w:color w:val="29378D"/>
                <w:sz w:val="48"/>
              </w:rPr>
            </w:pPr>
            <w:r>
              <w:rPr>
                <w:rFonts w:ascii="Futura Std Book;sans-serif" w:hAnsi="Futura Std Book;sans-serif"/>
                <w:b/>
                <w:color w:val="29378D"/>
                <w:sz w:val="48"/>
              </w:rPr>
              <w:t>148%</w:t>
            </w:r>
          </w:p>
          <w:p>
            <w:pPr>
              <w:pStyle w:val="TableContents"/>
              <w:bidi w:val="0"/>
              <w:spacing w:lineRule="auto" w:line="312" w:before="0" w:after="0"/>
              <w:jc w:val="left"/>
              <w:rPr>
                <w:rFonts w:ascii="Futura Std Book;sans-serif" w:hAnsi="Futura Std Book;sans-serif"/>
                <w:b/>
                <w:color w:val="000000"/>
                <w:sz w:val="16"/>
              </w:rPr>
            </w:pPr>
            <w:r>
              <w:rPr>
                <w:rFonts w:ascii="Futura Std Book;sans-serif" w:hAnsi="Futura Std Book;sans-serif"/>
                <w:b/>
                <w:color w:val="000000"/>
                <w:sz w:val="16"/>
              </w:rPr>
              <w:t>2024 ANNUAL INCENTIVE PLAN</w:t>
            </w:r>
          </w:p>
          <w:p>
            <w:pPr>
              <w:pStyle w:val="TableContents"/>
              <w:bidi w:val="0"/>
              <w:spacing w:lineRule="auto" w:line="312" w:before="0" w:after="0"/>
              <w:jc w:val="left"/>
              <w:rPr>
                <w:rFonts w:ascii="Futura Std Book;sans-serif" w:hAnsi="Futura Std Book;sans-serif"/>
                <w:b/>
                <w:color w:val="000000"/>
                <w:sz w:val="16"/>
              </w:rPr>
            </w:pPr>
            <w:r>
              <w:rPr>
                <w:rFonts w:ascii="Futura Std Book;sans-serif" w:hAnsi="Futura Std Book;sans-serif"/>
                <w:b/>
                <w:color w:val="000000"/>
                <w:sz w:val="16"/>
              </w:rPr>
              <w:t>(AIP) PAY FOR OUR NEOs</w:t>
            </w:r>
          </w:p>
        </w:tc>
        <w:tc>
          <w:tcPr>
            <w:tcW w:w="3302" w:type="dxa"/>
            <w:gridSpan w:val="3"/>
            <w:tcBorders>
              <w:right w:val="single" w:sz="4" w:space="0" w:color="29378D"/>
            </w:tcBorders>
            <w:tcMar>
              <w:top w:w="0" w:type="dxa"/>
              <w:left w:w="0" w:type="dxa"/>
              <w:bottom w:w="0" w:type="dxa"/>
            </w:tcMar>
            <w:vAlign w:val="center"/>
          </w:tcPr>
          <w:p>
            <w:pPr>
              <w:pStyle w:val="TableContents"/>
              <w:bidi w:val="0"/>
              <w:spacing w:lineRule="auto" w:line="312" w:before="0" w:after="0"/>
              <w:jc w:val="left"/>
              <w:rPr>
                <w:rFonts w:ascii="Futura Std Book;sans-serif" w:hAnsi="Futura Std Book;sans-serif"/>
                <w:b/>
                <w:color w:val="29378D"/>
                <w:sz w:val="48"/>
              </w:rPr>
            </w:pPr>
            <w:r>
              <w:rPr>
                <w:rFonts w:ascii="Futura Std Book;sans-serif" w:hAnsi="Futura Std Book;sans-serif"/>
                <w:b/>
                <w:color w:val="29378D"/>
                <w:sz w:val="48"/>
              </w:rPr>
              <w:t>107%</w:t>
            </w:r>
          </w:p>
          <w:p>
            <w:pPr>
              <w:pStyle w:val="TableContents"/>
              <w:bidi w:val="0"/>
              <w:spacing w:lineRule="auto" w:line="312" w:before="0" w:after="0"/>
              <w:jc w:val="left"/>
              <w:rPr>
                <w:rFonts w:ascii="Futura Std Book;sans-serif" w:hAnsi="Futura Std Book;sans-serif"/>
                <w:b/>
                <w:color w:val="000000"/>
                <w:sz w:val="16"/>
              </w:rPr>
            </w:pPr>
            <w:r>
              <w:rPr>
                <w:rFonts w:ascii="Futura Std Book;sans-serif" w:hAnsi="Futura Std Book;sans-serif"/>
                <w:b/>
                <w:color w:val="000000"/>
                <w:sz w:val="16"/>
              </w:rPr>
              <w:t>2024 LONG-TERM INCENTIVE PLAN</w:t>
            </w:r>
          </w:p>
          <w:p>
            <w:pPr>
              <w:pStyle w:val="TableContents"/>
              <w:bidi w:val="0"/>
              <w:spacing w:lineRule="auto" w:line="312" w:before="0" w:after="0"/>
              <w:jc w:val="left"/>
              <w:rPr>
                <w:rFonts w:ascii="Futura Std Book;sans-serif" w:hAnsi="Futura Std Book;sans-serif"/>
                <w:b/>
                <w:color w:val="000000"/>
                <w:sz w:val="16"/>
              </w:rPr>
            </w:pPr>
            <w:r>
              <w:rPr>
                <w:rFonts w:ascii="Futura Std Book;sans-serif" w:hAnsi="Futura Std Book;sans-serif"/>
                <w:b/>
                <w:color w:val="000000"/>
                <w:sz w:val="16"/>
              </w:rPr>
              <w:t>(LTIP) PAYOUT FOR OUR NEOs</w:t>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3"/>
            <w:tcBorders>
              <w:left w:val="single" w:sz="4" w:space="0" w:color="29378D"/>
              <w:bottom w:val="single" w:sz="4" w:space="0" w:color="29378D"/>
            </w:tcBorders>
            <w:tcMar>
              <w:top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bottom w:val="single" w:sz="4" w:space="0" w:color="29378D"/>
              <w:right w:val="single" w:sz="4" w:space="0" w:color="29378D"/>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2436"/>
        <w:gridCol w:w="2142"/>
        <w:gridCol w:w="2147"/>
        <w:gridCol w:w="468"/>
        <w:gridCol w:w="468"/>
        <w:gridCol w:w="468"/>
        <w:gridCol w:w="976"/>
        <w:gridCol w:w="468"/>
        <w:gridCol w:w="474"/>
        <w:gridCol w:w="158"/>
      </w:tblGrid>
      <w:tr>
        <w:trPr/>
        <w:tc>
          <w:tcPr>
            <w:tcW w:w="2436"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color w:val="29378D"/>
                <w:sz w:val="16"/>
              </w:rPr>
            </w:pPr>
            <w:r>
              <w:rPr>
                <w:rFonts w:ascii="Futura Std Book;sans-serif" w:hAnsi="Futura Std Book;sans-serif"/>
                <w:b/>
                <w:color w:val="29378D"/>
                <w:sz w:val="16"/>
              </w:rPr>
              <w:t>We are committed to an inclusive workplace for our employees, environmental sustainability and an unrelenting focus on our customers. To reinforce these commitments we included related non-financial metrics in our executive compensation program.</w:t>
            </w:r>
          </w:p>
        </w:tc>
        <w:tc>
          <w:tcPr>
            <w:tcW w:w="3322"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22"/>
              </w:rPr>
            </w:pPr>
            <w:r>
              <w:rPr>
                <w:rFonts w:ascii="Futura Std Book;sans-serif" w:hAnsi="Futura Std Book;sans-serif"/>
                <w:b/>
                <w:color w:val="29378D"/>
                <w:sz w:val="22"/>
              </w:rPr>
              <w:t>2024 Non-financial Metrics in Annual Incentives</w:t>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vMerge w:val="restart"/>
            <w:tcBorders/>
            <w:shd w:fill="DFDEEE"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09575" cy="304800"/>
                  <wp:effectExtent l="0" t="0" r="0" b="0"/>
                  <wp:docPr id="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4" descr=""/>
                          <pic:cNvPicPr>
                            <a:picLocks noChangeAspect="1" noChangeArrowheads="1"/>
                          </pic:cNvPicPr>
                        </pic:nvPicPr>
                        <pic:blipFill>
                          <a:blip r:embed="rId45"/>
                          <a:stretch>
                            <a:fillRect/>
                          </a:stretch>
                        </pic:blipFill>
                        <pic:spPr bwMode="auto">
                          <a:xfrm>
                            <a:off x="0" y="0"/>
                            <a:ext cx="409575" cy="304800"/>
                          </a:xfrm>
                          <a:prstGeom prst="rect">
                            <a:avLst/>
                          </a:prstGeom>
                        </pic:spPr>
                      </pic:pic>
                    </a:graphicData>
                  </a:graphic>
                </wp:inline>
              </w:drawing>
            </w:r>
          </w:p>
        </w:tc>
        <w:tc>
          <w:tcPr>
            <w:tcW w:w="1918" w:type="dxa"/>
            <w:gridSpan w:val="3"/>
            <w:vMerge w:val="restart"/>
            <w:tcBorders/>
            <w:shd w:fill="DFDEEE" w:val="clear"/>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val="false"/>
                <w:color w:val="29378D"/>
                <w:sz w:val="22"/>
              </w:rPr>
            </w:pPr>
            <w:r>
              <w:rPr>
                <w:rFonts w:ascii="Futura Std Book;sans-serif" w:hAnsi="Futura Std Book;sans-serif"/>
                <w:b w:val="false"/>
                <w:color w:val="29378D"/>
                <w:sz w:val="22"/>
              </w:rPr>
              <w:t>People</w:t>
            </w:r>
          </w:p>
          <w:p>
            <w:pPr>
              <w:pStyle w:val="TableContents"/>
              <w:bidi w:val="0"/>
              <w:spacing w:lineRule="auto" w:line="312"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Inclusion and Belonging</w:t>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918"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vMerge w:val="restart"/>
            <w:tcBorders/>
            <w:shd w:fill="DFDEEE"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09575" cy="304800"/>
                  <wp:effectExtent l="0" t="0" r="0" b="0"/>
                  <wp:docPr id="5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5" descr=""/>
                          <pic:cNvPicPr>
                            <a:picLocks noChangeAspect="1" noChangeArrowheads="1"/>
                          </pic:cNvPicPr>
                        </pic:nvPicPr>
                        <pic:blipFill>
                          <a:blip r:embed="rId46"/>
                          <a:stretch>
                            <a:fillRect/>
                          </a:stretch>
                        </pic:blipFill>
                        <pic:spPr bwMode="auto">
                          <a:xfrm>
                            <a:off x="0" y="0"/>
                            <a:ext cx="409575" cy="304800"/>
                          </a:xfrm>
                          <a:prstGeom prst="rect">
                            <a:avLst/>
                          </a:prstGeom>
                        </pic:spPr>
                      </pic:pic>
                    </a:graphicData>
                  </a:graphic>
                </wp:inline>
              </w:drawing>
            </w:r>
          </w:p>
        </w:tc>
        <w:tc>
          <w:tcPr>
            <w:tcW w:w="1918" w:type="dxa"/>
            <w:gridSpan w:val="3"/>
            <w:vMerge w:val="restart"/>
            <w:tcBorders/>
            <w:shd w:fill="DFDEEE" w:val="clear"/>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val="false"/>
                <w:color w:val="29378D"/>
                <w:sz w:val="22"/>
              </w:rPr>
            </w:pPr>
            <w:r>
              <w:rPr>
                <w:rFonts w:ascii="Futura Std Book;sans-serif" w:hAnsi="Futura Std Book;sans-serif"/>
                <w:b w:val="false"/>
                <w:color w:val="29378D"/>
                <w:sz w:val="22"/>
              </w:rPr>
              <w:t>Environment</w:t>
            </w:r>
          </w:p>
          <w:p>
            <w:pPr>
              <w:pStyle w:val="TableContents"/>
              <w:bidi w:val="0"/>
              <w:spacing w:lineRule="auto" w:line="312"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Environmental Sustainability</w:t>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918"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vMerge w:val="restart"/>
            <w:tcBorders/>
            <w:shd w:fill="DFDEEE"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09575" cy="314325"/>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47"/>
                          <a:stretch>
                            <a:fillRect/>
                          </a:stretch>
                        </pic:blipFill>
                        <pic:spPr bwMode="auto">
                          <a:xfrm>
                            <a:off x="0" y="0"/>
                            <a:ext cx="409575" cy="314325"/>
                          </a:xfrm>
                          <a:prstGeom prst="rect">
                            <a:avLst/>
                          </a:prstGeom>
                        </pic:spPr>
                      </pic:pic>
                    </a:graphicData>
                  </a:graphic>
                </wp:inline>
              </w:drawing>
            </w:r>
          </w:p>
        </w:tc>
        <w:tc>
          <w:tcPr>
            <w:tcW w:w="1918" w:type="dxa"/>
            <w:gridSpan w:val="3"/>
            <w:vMerge w:val="restart"/>
            <w:tcBorders/>
            <w:shd w:fill="DFDEEE" w:val="clear"/>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val="false"/>
                <w:color w:val="29378D"/>
                <w:sz w:val="22"/>
              </w:rPr>
            </w:pPr>
            <w:r>
              <w:rPr>
                <w:rFonts w:ascii="Futura Std Book;sans-serif" w:hAnsi="Futura Std Book;sans-serif"/>
                <w:b w:val="false"/>
                <w:color w:val="29378D"/>
                <w:sz w:val="22"/>
              </w:rPr>
              <w:t>Customer</w:t>
            </w:r>
          </w:p>
          <w:p>
            <w:pPr>
              <w:pStyle w:val="TableContents"/>
              <w:bidi w:val="0"/>
              <w:spacing w:lineRule="auto" w:line="312"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Quality | Customer Satisfaction</w:t>
            </w:r>
          </w:p>
        </w:tc>
        <w:tc>
          <w:tcPr>
            <w:tcW w:w="158" w:type="dxa"/>
            <w:tcBorders/>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918"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25" w:type="dxa"/>
            <w:gridSpan w:val="3"/>
            <w:vMerge w:val="continue"/>
            <w:tcBorders/>
            <w:tcMar>
              <w:top w:w="0" w:type="dxa"/>
              <w:left w:w="0" w:type="dxa"/>
              <w:bottom w:w="0" w:type="dxa"/>
              <w:right w:w="0" w:type="dxa"/>
            </w:tcMar>
            <w:vAlign w:val="center"/>
          </w:tcPr>
          <w:p>
            <w:pPr>
              <w:pStyle w:val="Normal"/>
              <w:bidi w:val="0"/>
              <w:jc w:val="left"/>
              <w:rPr/>
            </w:pPr>
            <w:r>
              <w:rPr/>
            </w:r>
          </w:p>
        </w:tc>
        <w:tc>
          <w:tcPr>
            <w:tcW w:w="1404"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DFDE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734695"/>
                <wp:effectExtent l="0" t="0" r="0" b="0"/>
                <wp:wrapNone/>
                <wp:docPr id="57" name="Frame1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42" w:type="dxa"/>
                        <w:jc w:val="left"/>
                        <w:tblInd w:w="0" w:type="dxa"/>
                        <w:tblLayout w:type="fixed"/>
                        <w:tblCellMar>
                          <w:top w:w="28" w:type="dxa"/>
                          <w:left w:w="28" w:type="dxa"/>
                          <w:bottom w:w="28" w:type="dxa"/>
                          <w:right w:w="28" w:type="dxa"/>
                        </w:tblCellMar>
                      </w:tblPr>
                      <w:tblGrid>
                        <w:gridCol w:w="124"/>
                        <w:gridCol w:w="109"/>
                        <w:gridCol w:w="109"/>
                        <w:gridCol w:w="526"/>
                        <w:gridCol w:w="526"/>
                        <w:gridCol w:w="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High Say-on-Pay Support</w:t>
      </w:r>
    </w:p>
    <w:tbl>
      <w:tblPr>
        <w:tblW w:w="10205" w:type="dxa"/>
        <w:jc w:val="left"/>
        <w:tblInd w:w="0" w:type="dxa"/>
        <w:tblLayout w:type="fixed"/>
        <w:tblCellMar>
          <w:top w:w="28" w:type="dxa"/>
          <w:left w:w="28" w:type="dxa"/>
          <w:bottom w:w="28" w:type="dxa"/>
          <w:right w:w="28" w:type="dxa"/>
        </w:tblCellMar>
      </w:tblPr>
      <w:tblGrid>
        <w:gridCol w:w="1004"/>
        <w:gridCol w:w="881"/>
        <w:gridCol w:w="884"/>
        <w:gridCol w:w="109"/>
        <w:gridCol w:w="109"/>
        <w:gridCol w:w="109"/>
        <w:gridCol w:w="720"/>
        <w:gridCol w:w="720"/>
        <w:gridCol w:w="722"/>
        <w:gridCol w:w="147"/>
        <w:gridCol w:w="147"/>
        <w:gridCol w:w="147"/>
        <w:gridCol w:w="727"/>
        <w:gridCol w:w="605"/>
        <w:gridCol w:w="606"/>
        <w:gridCol w:w="147"/>
        <w:gridCol w:w="147"/>
        <w:gridCol w:w="147"/>
        <w:gridCol w:w="619"/>
        <w:gridCol w:w="619"/>
        <w:gridCol w:w="889"/>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769"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Futura Std Book;sans-serif" w:hAnsi="Futura Std Book;sans-serif"/>
                <w:b/>
                <w:color w:val="29378D"/>
                <w:sz w:val="28"/>
              </w:rPr>
            </w:pPr>
            <w:r>
              <w:rPr>
                <w:rFonts w:ascii="Futura Std Book;sans-serif" w:hAnsi="Futura Std Book;sans-serif"/>
                <w:b/>
                <w:color w:val="29378D"/>
                <w:sz w:val="28"/>
              </w:rPr>
              <w:t>Consistent</w:t>
            </w:r>
          </w:p>
          <w:p>
            <w:pPr>
              <w:pStyle w:val="TableContents"/>
              <w:bidi w:val="0"/>
              <w:spacing w:lineRule="auto" w:line="312" w:before="0" w:after="0"/>
              <w:jc w:val="left"/>
              <w:rPr>
                <w:rFonts w:ascii="Futura Std Book;sans-serif" w:hAnsi="Futura Std Book;sans-serif"/>
                <w:b w:val="false"/>
                <w:color w:val="000000"/>
                <w:sz w:val="28"/>
              </w:rPr>
            </w:pPr>
            <w:r>
              <w:rPr>
                <w:rFonts w:ascii="Futura Std Book;sans-serif" w:hAnsi="Futura Std Book;sans-serif"/>
                <w:b w:val="false"/>
                <w:color w:val="000000"/>
                <w:sz w:val="28"/>
              </w:rPr>
              <w:t>Shareholder Approval</w:t>
            </w:r>
          </w:p>
          <w:p>
            <w:pPr>
              <w:pStyle w:val="TableContents"/>
              <w:bidi w:val="0"/>
              <w:spacing w:lineRule="auto" w:line="312" w:before="0" w:after="0"/>
              <w:jc w:val="left"/>
              <w:rPr>
                <w:rFonts w:ascii="Futura Std Book;sans-serif" w:hAnsi="Futura Std Book;sans-serif"/>
                <w:b/>
                <w:color w:val="29378D"/>
                <w:sz w:val="48"/>
              </w:rPr>
            </w:pPr>
            <w:r>
              <w:rPr>
                <w:rFonts w:ascii="Futura Std Book;sans-serif" w:hAnsi="Futura Std Book;sans-serif"/>
                <w:b/>
                <w:color w:val="29378D"/>
                <w:sz w:val="48"/>
              </w:rPr>
              <w:t>96%</w:t>
            </w:r>
          </w:p>
          <w:p>
            <w:pPr>
              <w:pStyle w:val="TableContents"/>
              <w:bidi w:val="0"/>
              <w:spacing w:lineRule="auto" w:line="312" w:before="0" w:after="0"/>
              <w:jc w:val="left"/>
              <w:rPr>
                <w:rFonts w:ascii="Futura Std Book;sans-serif" w:hAnsi="Futura Std Book;sans-serif"/>
                <w:b/>
                <w:color w:val="000000"/>
                <w:sz w:val="16"/>
              </w:rPr>
            </w:pPr>
            <w:r>
              <w:rPr>
                <w:rFonts w:ascii="Futura Std Book;sans-serif" w:hAnsi="Futura Std Book;sans-serif"/>
                <w:b/>
                <w:color w:val="000000"/>
                <w:sz w:val="16"/>
              </w:rPr>
              <w:t>3-YEAR AVERAGE OF SHAREHOLDER VOTES IN FAVOR OF SAY-ON-PAY</w:t>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15"/>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Highlights of our executive compensation programs:</w:t>
            </w:r>
          </w:p>
        </w:tc>
      </w:tr>
      <w:tr>
        <w:trPr/>
        <w:tc>
          <w:tcPr>
            <w:tcW w:w="2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Futura Std Book;sans-serif" w:hAnsi="Futura Std Book;sans-serif"/>
                <w:b w:val="false"/>
                <w:color w:val="000000"/>
                <w:sz w:val="18"/>
              </w:rPr>
              <w:t xml:space="preserve">Over </w:t>
            </w:r>
            <w:r>
              <w:rPr>
                <w:rFonts w:ascii="Futura Std Book;sans-serif" w:hAnsi="Futura Std Book;sans-serif"/>
                <w:b/>
                <w:color w:val="29378D"/>
                <w:sz w:val="18"/>
              </w:rPr>
              <w:t>80%</w:t>
            </w:r>
            <w:r>
              <w:rPr>
                <w:color w:val="000000"/>
              </w:rPr>
              <w:t xml:space="preserve"> </w:t>
            </w:r>
            <w:r>
              <w:rPr>
                <w:rFonts w:ascii="Futura Std Book;sans-serif" w:hAnsi="Futura Std Book;sans-serif"/>
                <w:b w:val="false"/>
                <w:color w:val="000000"/>
                <w:sz w:val="18"/>
              </w:rPr>
              <w:t xml:space="preserve">of Executive Compensation is </w:t>
            </w:r>
            <w:r>
              <w:rPr>
                <w:rFonts w:ascii="Futura Std Book;sans-serif" w:hAnsi="Futura Std Book;sans-serif"/>
                <w:b/>
                <w:color w:val="29378D"/>
                <w:sz w:val="18"/>
              </w:rPr>
              <w:t>Variable</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Futura Std Book;sans-serif" w:hAnsi="Futura Std Book;sans-serif"/>
                <w:b/>
                <w:color w:val="29378D"/>
                <w:sz w:val="18"/>
              </w:rPr>
              <w:t xml:space="preserve">Stock Ownership </w:t>
            </w:r>
            <w:r>
              <w:rPr>
                <w:rFonts w:ascii="Futura Std Book;sans-serif" w:hAnsi="Futura Std Book;sans-serif"/>
                <w:b w:val="false"/>
                <w:color w:val="000000"/>
                <w:sz w:val="18"/>
              </w:rPr>
              <w:t>Guidelines for All Officers:</w:t>
            </w:r>
          </w:p>
          <w:p>
            <w:pPr>
              <w:pStyle w:val="TableContents"/>
              <w:bidi w:val="0"/>
              <w:spacing w:lineRule="auto" w:line="312" w:before="0" w:after="0"/>
              <w:jc w:val="left"/>
              <w:rPr>
                <w:rFonts w:ascii="Futura Std Book;sans-serif" w:hAnsi="Futura Std Book;sans-serif"/>
                <w:b/>
                <w:color w:val="29378D"/>
                <w:sz w:val="18"/>
              </w:rPr>
            </w:pPr>
            <w:r>
              <w:rPr>
                <w:rFonts w:ascii="Futura Std Book;sans-serif" w:hAnsi="Futura Std Book;sans-serif"/>
                <w:b/>
                <w:color w:val="29378D"/>
                <w:sz w:val="18"/>
              </w:rPr>
              <w:t>CEO 7x</w:t>
            </w:r>
          </w:p>
          <w:p>
            <w:pPr>
              <w:pStyle w:val="TableContents"/>
              <w:bidi w:val="0"/>
              <w:spacing w:lineRule="auto" w:line="312" w:before="0" w:after="0"/>
              <w:jc w:val="left"/>
              <w:rPr>
                <w:rFonts w:ascii="Futura Std Book;sans-serif" w:hAnsi="Futura Std Book;sans-serif"/>
                <w:b/>
                <w:color w:val="29378D"/>
                <w:sz w:val="18"/>
              </w:rPr>
            </w:pPr>
            <w:r>
              <w:rPr>
                <w:rFonts w:ascii="Futura Std Book;sans-serif" w:hAnsi="Futura Std Book;sans-serif"/>
                <w:b/>
                <w:color w:val="29378D"/>
                <w:sz w:val="18"/>
              </w:rPr>
              <w:t>Other NEOs 3x</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Futura Std Book;sans-serif" w:hAnsi="Futura Std Book;sans-serif"/>
                <w:b/>
                <w:color w:val="29378D"/>
                <w:sz w:val="18"/>
              </w:rPr>
              <w:t xml:space="preserve">3-Year Mandatory Holding Period </w:t>
            </w:r>
            <w:r>
              <w:rPr>
                <w:rFonts w:ascii="Futura Std Book;sans-serif" w:hAnsi="Futura Std Book;sans-serif"/>
                <w:b w:val="false"/>
                <w:color w:val="000000"/>
                <w:sz w:val="18"/>
              </w:rPr>
              <w:t>for 50% of Vested Shares</w:t>
            </w:r>
          </w:p>
        </w:tc>
      </w:tr>
      <w:tr>
        <w:trPr/>
        <w:tc>
          <w:tcPr>
            <w:tcW w:w="2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Futura Std Book;sans-serif" w:hAnsi="Futura Std Book;sans-serif"/>
                <w:b/>
                <w:color w:val="29378D"/>
                <w:sz w:val="18"/>
              </w:rPr>
              <w:t>Recoupment Policy</w:t>
            </w:r>
            <w:r>
              <w:rPr>
                <w:color w:val="000000"/>
              </w:rPr>
              <w:t xml:space="preserve"> </w:t>
            </w:r>
            <w:r>
              <w:rPr>
                <w:rFonts w:ascii="Futura Std Book;sans-serif" w:hAnsi="Futura Std Book;sans-serif"/>
                <w:b w:val="false"/>
                <w:color w:val="000000"/>
                <w:sz w:val="18"/>
              </w:rPr>
              <w:t>on Cash and Equity Incentive Payouts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Futura Std Book;sans-serif" w:hAnsi="Futura Std Book;sans-serif"/>
                <w:b/>
                <w:color w:val="29378D"/>
                <w:sz w:val="18"/>
              </w:rPr>
              <w:t>No</w:t>
            </w:r>
            <w:r>
              <w:rPr>
                <w:color w:val="000000"/>
              </w:rPr>
              <w:t xml:space="preserve"> </w:t>
            </w:r>
            <w:r>
              <w:rPr>
                <w:rFonts w:ascii="Futura Std Book;sans-serif" w:hAnsi="Futura Std Book;sans-serif"/>
                <w:b w:val="false"/>
                <w:color w:val="000000"/>
                <w:sz w:val="18"/>
              </w:rPr>
              <w:t xml:space="preserve">Individual </w:t>
            </w:r>
            <w:r>
              <w:rPr>
                <w:rFonts w:ascii="Futura Std Book;sans-serif" w:hAnsi="Futura Std Book;sans-serif"/>
                <w:b/>
                <w:color w:val="29378D"/>
                <w:sz w:val="18"/>
              </w:rPr>
              <w:t>Change in Control Agreements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Futura Std Book;sans-serif" w:hAnsi="Futura Std Book;sans-serif"/>
                <w:b/>
                <w:color w:val="29378D"/>
                <w:sz w:val="18"/>
              </w:rPr>
              <w:t xml:space="preserve">No Hedging or Pledging </w:t>
            </w:r>
            <w:r>
              <w:rPr>
                <w:rFonts w:ascii="Futura Std Book;sans-serif" w:hAnsi="Futura Std Book;sans-serif"/>
                <w:b w:val="false"/>
                <w:color w:val="000000"/>
                <w:sz w:val="18"/>
              </w:rPr>
              <w:t>of Company</w:t>
            </w:r>
            <w:r>
              <w:rPr>
                <w:color w:val="000000"/>
              </w:rPr>
              <w:t xml:space="preserve"> </w:t>
            </w:r>
            <w:r>
              <w:rPr>
                <w:rFonts w:ascii="Futura Std Book;sans-serif" w:hAnsi="Futura Std Book;sans-serif"/>
                <w:b w:val="false"/>
                <w:color w:val="000000"/>
                <w:sz w:val="18"/>
              </w:rPr>
              <w:t>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554990"/>
                <wp:effectExtent l="0" t="0" r="0" b="0"/>
                <wp:wrapNone/>
                <wp:docPr id="58" name="Frame1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67" w:type="dxa"/>
                        <w:jc w:val="righ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 xml:space="preserve">Board Nominee Highlights </w:t>
      </w:r>
    </w:p>
    <w:tbl>
      <w:tblPr>
        <w:tblW w:w="10205" w:type="dxa"/>
        <w:jc w:val="left"/>
        <w:tblInd w:w="0" w:type="dxa"/>
        <w:tblLayout w:type="fixed"/>
        <w:tblCellMar>
          <w:top w:w="28" w:type="dxa"/>
          <w:left w:w="28" w:type="dxa"/>
          <w:bottom w:w="28" w:type="dxa"/>
          <w:right w:w="28" w:type="dxa"/>
        </w:tblCellMar>
      </w:tblPr>
      <w:tblGrid>
        <w:gridCol w:w="432"/>
        <w:gridCol w:w="342"/>
        <w:gridCol w:w="342"/>
        <w:gridCol w:w="2167"/>
        <w:gridCol w:w="2007"/>
        <w:gridCol w:w="2038"/>
        <w:gridCol w:w="145"/>
        <w:gridCol w:w="145"/>
        <w:gridCol w:w="146"/>
        <w:gridCol w:w="230"/>
        <w:gridCol w:w="230"/>
        <w:gridCol w:w="231"/>
        <w:gridCol w:w="140"/>
        <w:gridCol w:w="140"/>
        <w:gridCol w:w="140"/>
        <w:gridCol w:w="141"/>
        <w:gridCol w:w="140"/>
        <w:gridCol w:w="140"/>
        <w:gridCol w:w="141"/>
        <w:gridCol w:w="140"/>
        <w:gridCol w:w="140"/>
        <w:gridCol w:w="140"/>
        <w:gridCol w:w="140"/>
        <w:gridCol w:w="208"/>
      </w:tblGrid>
      <w:tr>
        <w:trPr/>
        <w:tc>
          <w:tcPr>
            <w:tcW w:w="43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Age*</w:t>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Director</w:t>
              <w:br/>
              <w:t>Since</w:t>
            </w:r>
          </w:p>
        </w:tc>
        <w:tc>
          <w:tcPr>
            <w:tcW w:w="1750" w:type="dxa"/>
            <w:gridSpan w:val="12"/>
            <w:tcBorders/>
            <w:tcMar>
              <w:top w:w="0" w:type="dxa"/>
              <w:left w:w="0" w:type="dxa"/>
              <w:bottom w:w="0" w:type="dxa"/>
              <w:right w:w="0" w:type="dxa"/>
            </w:tcMar>
            <w:vAlign w:val="center"/>
          </w:tcPr>
          <w:p>
            <w:pPr>
              <w:pStyle w:val="TableContents"/>
              <w:bidi w:val="0"/>
              <w:spacing w:lineRule="auto" w:line="276" w:before="0" w:after="283"/>
              <w:jc w:val="center"/>
              <w:rPr/>
            </w:pPr>
            <w:r>
              <w:rPr>
                <w:rFonts w:ascii="Futura Std Book;sans-serif" w:hAnsi="Futura Std Book;sans-serif"/>
                <w:b/>
                <w:sz w:val="14"/>
              </w:rPr>
              <w:br/>
            </w:r>
            <w:r>
              <w:rPr>
                <w:rFonts w:ascii="Futura Std Book;sans-serif" w:hAnsi="Futura Std Book;sans-serif"/>
                <w:b/>
                <w:color w:val="000000"/>
                <w:sz w:val="14"/>
              </w:rPr>
              <w:t>Committee Memberships</w:t>
            </w:r>
          </w:p>
        </w:tc>
      </w:tr>
      <w:tr>
        <w:trPr/>
        <w:tc>
          <w:tcPr>
            <w:tcW w:w="7328"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 and Professional Background</w:t>
            </w:r>
          </w:p>
        </w:tc>
        <w:tc>
          <w:tcPr>
            <w:tcW w:w="43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42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AR</w:t>
            </w:r>
          </w:p>
        </w:tc>
        <w:tc>
          <w:tcPr>
            <w:tcW w:w="42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CH</w:t>
            </w:r>
          </w:p>
        </w:tc>
        <w:tc>
          <w:tcPr>
            <w:tcW w:w="42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NG</w:t>
            </w:r>
          </w:p>
        </w:tc>
        <w:tc>
          <w:tcPr>
            <w:tcW w:w="488"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P</w:t>
            </w:r>
          </w:p>
        </w:tc>
      </w:tr>
      <w:tr>
        <w:trPr/>
        <w:tc>
          <w:tcPr>
            <w:tcW w:w="1116" w:type="dxa"/>
            <w:gridSpan w:val="3"/>
            <w:tcBorders>
              <w:top w:val="single" w:sz="8" w:space="0" w:color="29378D"/>
            </w:tcBorders>
            <w:tcMar>
              <w:left w:w="0" w:type="dxa"/>
              <w:bottom w:w="0" w:type="dxa"/>
              <w:right w:w="0" w:type="dxa"/>
            </w:tcMar>
            <w:vAlign w:val="center"/>
          </w:tcPr>
          <w:p>
            <w:pPr>
              <w:pStyle w:val="TableContents"/>
              <w:bidi w:val="0"/>
              <w:spacing w:before="20" w:after="20"/>
              <w:jc w:val="left"/>
              <w:rPr/>
            </w:pPr>
            <w:r>
              <w:rPr/>
              <w:drawing>
                <wp:inline distT="0" distB="0" distL="0" distR="0">
                  <wp:extent cx="342900" cy="361950"/>
                  <wp:effectExtent l="0" t="0" r="0" b="0"/>
                  <wp:docPr id="5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7" descr=""/>
                          <pic:cNvPicPr>
                            <a:picLocks noChangeAspect="1" noChangeArrowheads="1"/>
                          </pic:cNvPicPr>
                        </pic:nvPicPr>
                        <pic:blipFill>
                          <a:blip r:embed="rId48"/>
                          <a:stretch>
                            <a:fillRect/>
                          </a:stretch>
                        </pic:blipFill>
                        <pic:spPr bwMode="auto">
                          <a:xfrm>
                            <a:off x="0" y="0"/>
                            <a:ext cx="342900" cy="361950"/>
                          </a:xfrm>
                          <a:prstGeom prst="rect">
                            <a:avLst/>
                          </a:prstGeom>
                        </pic:spPr>
                      </pic:pic>
                    </a:graphicData>
                  </a:graphic>
                </wp:inline>
              </w:drawing>
            </w:r>
          </w:p>
        </w:tc>
        <w:tc>
          <w:tcPr>
            <w:tcW w:w="621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249C"/>
                <w:sz w:val="15"/>
              </w:rPr>
            </w:pPr>
            <w:r>
              <w:rPr>
                <w:rFonts w:ascii="Futura Std Book;sans-serif" w:hAnsi="Futura Std Book;sans-serif"/>
                <w:b/>
                <w:color w:val="00249C"/>
                <w:sz w:val="15"/>
              </w:rPr>
              <w:t>David P. Abney</w:t>
            </w:r>
          </w:p>
          <w:p>
            <w:pPr>
              <w:pStyle w:val="TableContents"/>
              <w:bidi w:val="0"/>
              <w:spacing w:lineRule="auto" w:line="288" w:before="0" w:after="0"/>
              <w:jc w:val="left"/>
              <w:rPr/>
            </w:pPr>
            <w:r>
              <w:rPr>
                <w:rFonts w:ascii="Futura Std Book;sans-serif" w:hAnsi="Futura Std Book;sans-serif"/>
                <w:b w:val="false"/>
                <w:color w:val="000000"/>
                <w:sz w:val="15"/>
              </w:rPr>
              <w:t>Former Executive Chairman of the Board of Directors and</w:t>
            </w:r>
            <w:r>
              <w:rPr>
                <w:color w:val="000000"/>
              </w:rPr>
              <w:t xml:space="preserve"> </w:t>
            </w:r>
          </w:p>
          <w:p>
            <w:pPr>
              <w:pStyle w:val="TableContents"/>
              <w:bidi w:val="0"/>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Chief Executive Officer of United Parcel Service, Inc. (UPS)</w:t>
            </w:r>
          </w:p>
        </w:tc>
        <w:tc>
          <w:tcPr>
            <w:tcW w:w="43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69</w:t>
            </w:r>
          </w:p>
        </w:tc>
        <w:tc>
          <w:tcPr>
            <w:tcW w:w="69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06/2020</w:t>
            </w:r>
          </w:p>
        </w:tc>
        <w:tc>
          <w:tcPr>
            <w:tcW w:w="420"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29378D"/>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8" descr=""/>
                          <pic:cNvPicPr>
                            <a:picLocks noChangeAspect="1" noChangeArrowheads="1"/>
                          </pic:cNvPicPr>
                        </pic:nvPicPr>
                        <pic:blipFill>
                          <a:blip r:embed="rId49"/>
                          <a:stretch>
                            <a:fillRect/>
                          </a:stretch>
                        </pic:blipFill>
                        <pic:spPr bwMode="auto">
                          <a:xfrm>
                            <a:off x="0" y="0"/>
                            <a:ext cx="114300" cy="114300"/>
                          </a:xfrm>
                          <a:prstGeom prst="rect">
                            <a:avLst/>
                          </a:prstGeom>
                        </pic:spPr>
                      </pic:pic>
                    </a:graphicData>
                  </a:graphic>
                </wp:inline>
              </w:drawing>
            </w:r>
          </w:p>
        </w:tc>
        <w:tc>
          <w:tcPr>
            <w:tcW w:w="421" w:type="dxa"/>
            <w:gridSpan w:val="3"/>
            <w:tcBorders>
              <w:top w:val="single" w:sz="8" w:space="0" w:color="29378D"/>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9" descr=""/>
                          <pic:cNvPicPr>
                            <a:picLocks noChangeAspect="1" noChangeArrowheads="1"/>
                          </pic:cNvPicPr>
                        </pic:nvPicPr>
                        <pic:blipFill>
                          <a:blip r:embed="rId50"/>
                          <a:stretch>
                            <a:fillRect/>
                          </a:stretch>
                        </pic:blipFill>
                        <pic:spPr bwMode="auto">
                          <a:xfrm>
                            <a:off x="0" y="0"/>
                            <a:ext cx="114300" cy="114300"/>
                          </a:xfrm>
                          <a:prstGeom prst="rect">
                            <a:avLst/>
                          </a:prstGeom>
                        </pic:spPr>
                      </pic:pic>
                    </a:graphicData>
                  </a:graphic>
                </wp:inline>
              </w:drawing>
            </w:r>
          </w:p>
        </w:tc>
        <w:tc>
          <w:tcPr>
            <w:tcW w:w="488"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top w:val="single" w:sz="8" w:space="0" w:color="DBDBDB"/>
            </w:tcBorders>
            <w:tcMar>
              <w:left w:w="0" w:type="dxa"/>
              <w:bottom w:w="0" w:type="dxa"/>
              <w:right w:w="0" w:type="dxa"/>
            </w:tcMar>
            <w:vAlign w:val="center"/>
          </w:tcPr>
          <w:p>
            <w:pPr>
              <w:pStyle w:val="TableContents"/>
              <w:bidi w:val="0"/>
              <w:spacing w:before="20" w:after="20"/>
              <w:jc w:val="left"/>
              <w:rPr/>
            </w:pPr>
            <w:r>
              <w:rPr/>
              <w:drawing>
                <wp:inline distT="0" distB="0" distL="0" distR="0">
                  <wp:extent cx="342900" cy="361950"/>
                  <wp:effectExtent l="0" t="0" r="0" b="0"/>
                  <wp:docPr id="6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0" descr=""/>
                          <pic:cNvPicPr>
                            <a:picLocks noChangeAspect="1" noChangeArrowheads="1"/>
                          </pic:cNvPicPr>
                        </pic:nvPicPr>
                        <pic:blipFill>
                          <a:blip r:embed="rId51"/>
                          <a:stretch>
                            <a:fillRect/>
                          </a:stretch>
                        </pic:blipFill>
                        <pic:spPr bwMode="auto">
                          <a:xfrm>
                            <a:off x="0" y="0"/>
                            <a:ext cx="342900" cy="361950"/>
                          </a:xfrm>
                          <a:prstGeom prst="rect">
                            <a:avLst/>
                          </a:prstGeom>
                        </pic:spPr>
                      </pic:pic>
                    </a:graphicData>
                  </a:graphic>
                </wp:inline>
              </w:drawing>
            </w:r>
          </w:p>
        </w:tc>
        <w:tc>
          <w:tcPr>
            <w:tcW w:w="621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249C"/>
                <w:sz w:val="15"/>
              </w:rPr>
            </w:pPr>
            <w:r>
              <w:rPr>
                <w:rFonts w:ascii="Futura Std Book;sans-serif" w:hAnsi="Futura Std Book;sans-serif"/>
                <w:b/>
                <w:color w:val="00249C"/>
                <w:sz w:val="15"/>
              </w:rPr>
              <w:t>Marianne C. Brown</w:t>
            </w:r>
          </w:p>
          <w:p>
            <w:pPr>
              <w:pStyle w:val="TableContents"/>
              <w:bidi w:val="0"/>
              <w:spacing w:lineRule="auto" w:line="288" w:before="0" w:after="0"/>
              <w:jc w:val="left"/>
              <w:rPr/>
            </w:pPr>
            <w:r>
              <w:rPr>
                <w:rFonts w:ascii="Futura Std Book;sans-serif" w:hAnsi="Futura Std Book;sans-serif"/>
                <w:b w:val="false"/>
                <w:color w:val="000000"/>
                <w:sz w:val="15"/>
              </w:rPr>
              <w:t>Former Chief Operating Officer, Global Financial Solutions,</w:t>
            </w:r>
            <w:r>
              <w:rPr>
                <w:color w:val="000000"/>
              </w:rPr>
              <w:t xml:space="preserve"> </w:t>
            </w:r>
          </w:p>
          <w:p>
            <w:pPr>
              <w:pStyle w:val="TableContents"/>
              <w:bidi w:val="0"/>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Fidelity National Information Services, Inc.</w:t>
            </w:r>
          </w:p>
        </w:tc>
        <w:tc>
          <w:tcPr>
            <w:tcW w:w="4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66</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03/2015</w:t>
            </w:r>
          </w:p>
        </w:tc>
        <w:tc>
          <w:tcPr>
            <w:tcW w:w="420"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1" descr=""/>
                          <pic:cNvPicPr>
                            <a:picLocks noChangeAspect="1" noChangeArrowheads="1"/>
                          </pic:cNvPicPr>
                        </pic:nvPicPr>
                        <pic:blipFill>
                          <a:blip r:embed="rId52"/>
                          <a:stretch>
                            <a:fillRect/>
                          </a:stretch>
                        </pic:blipFill>
                        <pic:spPr bwMode="auto">
                          <a:xfrm>
                            <a:off x="0" y="0"/>
                            <a:ext cx="114300" cy="114300"/>
                          </a:xfrm>
                          <a:prstGeom prst="rect">
                            <a:avLst/>
                          </a:prstGeom>
                        </pic:spPr>
                      </pic:pic>
                    </a:graphicData>
                  </a:graphic>
                </wp:inline>
              </w:drawing>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2" descr=""/>
                          <pic:cNvPicPr>
                            <a:picLocks noChangeAspect="1" noChangeArrowheads="1"/>
                          </pic:cNvPicPr>
                        </pic:nvPicPr>
                        <pic:blipFill>
                          <a:blip r:embed="rId53"/>
                          <a:stretch>
                            <a:fillRect/>
                          </a:stretch>
                        </pic:blipFill>
                        <pic:spPr bwMode="auto">
                          <a:xfrm>
                            <a:off x="0" y="0"/>
                            <a:ext cx="114300" cy="114300"/>
                          </a:xfrm>
                          <a:prstGeom prst="rect">
                            <a:avLst/>
                          </a:prstGeom>
                        </pic:spPr>
                      </pic:pic>
                    </a:graphicData>
                  </a:graphic>
                </wp:inline>
              </w:drawing>
            </w:r>
          </w:p>
        </w:tc>
        <w:tc>
          <w:tcPr>
            <w:tcW w:w="4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top w:val="single" w:sz="8" w:space="0" w:color="DBDBDB"/>
            </w:tcBorders>
            <w:tcMar>
              <w:left w:w="0" w:type="dxa"/>
              <w:bottom w:w="0" w:type="dxa"/>
              <w:right w:w="0" w:type="dxa"/>
            </w:tcMar>
            <w:vAlign w:val="center"/>
          </w:tcPr>
          <w:p>
            <w:pPr>
              <w:pStyle w:val="TableContents"/>
              <w:bidi w:val="0"/>
              <w:spacing w:before="20" w:after="20"/>
              <w:jc w:val="left"/>
              <w:rPr/>
            </w:pPr>
            <w:r>
              <w:rPr/>
              <w:drawing>
                <wp:inline distT="0" distB="0" distL="0" distR="0">
                  <wp:extent cx="342900" cy="361950"/>
                  <wp:effectExtent l="0" t="0" r="0" b="0"/>
                  <wp:docPr id="6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3" descr=""/>
                          <pic:cNvPicPr>
                            <a:picLocks noChangeAspect="1" noChangeArrowheads="1"/>
                          </pic:cNvPicPr>
                        </pic:nvPicPr>
                        <pic:blipFill>
                          <a:blip r:embed="rId54"/>
                          <a:stretch>
                            <a:fillRect/>
                          </a:stretch>
                        </pic:blipFill>
                        <pic:spPr bwMode="auto">
                          <a:xfrm>
                            <a:off x="0" y="0"/>
                            <a:ext cx="342900" cy="361950"/>
                          </a:xfrm>
                          <a:prstGeom prst="rect">
                            <a:avLst/>
                          </a:prstGeom>
                        </pic:spPr>
                      </pic:pic>
                    </a:graphicData>
                  </a:graphic>
                </wp:inline>
              </w:drawing>
            </w:r>
          </w:p>
        </w:tc>
        <w:tc>
          <w:tcPr>
            <w:tcW w:w="621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249C"/>
                <w:sz w:val="15"/>
              </w:rPr>
            </w:pPr>
            <w:r>
              <w:rPr>
                <w:rFonts w:ascii="Futura Std Book;sans-serif" w:hAnsi="Futura Std Book;sans-serif"/>
                <w:b/>
                <w:color w:val="00249C"/>
                <w:sz w:val="15"/>
              </w:rPr>
              <w:t>Ann M. Fudge</w:t>
            </w:r>
          </w:p>
          <w:p>
            <w:pPr>
              <w:pStyle w:val="TableContents"/>
              <w:bidi w:val="0"/>
              <w:spacing w:lineRule="auto" w:line="288" w:before="0" w:after="0"/>
              <w:jc w:val="left"/>
              <w:rPr/>
            </w:pPr>
            <w:r>
              <w:rPr>
                <w:rFonts w:ascii="Futura Std Book;sans-serif" w:hAnsi="Futura Std Book;sans-serif"/>
                <w:b w:val="false"/>
                <w:color w:val="000000"/>
                <w:sz w:val="15"/>
              </w:rPr>
              <w:t>Former Chairman and Chief Executive Officer,</w:t>
            </w:r>
            <w:r>
              <w:rPr>
                <w:color w:val="000000"/>
              </w:rPr>
              <w:t xml:space="preserve"> </w:t>
            </w:r>
          </w:p>
          <w:p>
            <w:pPr>
              <w:pStyle w:val="TableContents"/>
              <w:bidi w:val="0"/>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Young &amp; Rubicam Brands</w:t>
            </w:r>
          </w:p>
        </w:tc>
        <w:tc>
          <w:tcPr>
            <w:tcW w:w="4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73</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03/2016</w:t>
            </w:r>
          </w:p>
        </w:tc>
        <w:tc>
          <w:tcPr>
            <w:tcW w:w="420"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4" descr=""/>
                          <pic:cNvPicPr>
                            <a:picLocks noChangeAspect="1" noChangeArrowheads="1"/>
                          </pic:cNvPicPr>
                        </pic:nvPicPr>
                        <pic:blipFill>
                          <a:blip r:embed="rId55"/>
                          <a:stretch>
                            <a:fillRect/>
                          </a:stretch>
                        </pic:blipFill>
                        <pic:spPr bwMode="auto">
                          <a:xfrm>
                            <a:off x="0" y="0"/>
                            <a:ext cx="114300" cy="114300"/>
                          </a:xfrm>
                          <a:prstGeom prst="rect">
                            <a:avLst/>
                          </a:prstGeom>
                        </pic:spPr>
                      </pic:pic>
                    </a:graphicData>
                  </a:graphic>
                </wp:inline>
              </w:drawing>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5" descr=""/>
                          <pic:cNvPicPr>
                            <a:picLocks noChangeAspect="1" noChangeArrowheads="1"/>
                          </pic:cNvPicPr>
                        </pic:nvPicPr>
                        <pic:blipFill>
                          <a:blip r:embed="rId56"/>
                          <a:stretch>
                            <a:fillRect/>
                          </a:stretch>
                        </pic:blipFill>
                        <pic:spPr bwMode="auto">
                          <a:xfrm>
                            <a:off x="0" y="0"/>
                            <a:ext cx="114300" cy="114300"/>
                          </a:xfrm>
                          <a:prstGeom prst="rect">
                            <a:avLst/>
                          </a:prstGeom>
                        </pic:spPr>
                      </pic:pic>
                    </a:graphicData>
                  </a:graphic>
                </wp:inline>
              </w:drawing>
            </w:r>
          </w:p>
        </w:tc>
      </w:tr>
      <w:tr>
        <w:trPr/>
        <w:tc>
          <w:tcPr>
            <w:tcW w:w="1116"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61950"/>
                  <wp:effectExtent l="0" t="0" r="0" b="0"/>
                  <wp:docPr id="6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6" descr=""/>
                          <pic:cNvPicPr>
                            <a:picLocks noChangeAspect="1" noChangeArrowheads="1"/>
                          </pic:cNvPicPr>
                        </pic:nvPicPr>
                        <pic:blipFill>
                          <a:blip r:embed="rId57"/>
                          <a:stretch>
                            <a:fillRect/>
                          </a:stretch>
                        </pic:blipFill>
                        <pic:spPr bwMode="auto">
                          <a:xfrm>
                            <a:off x="0" y="0"/>
                            <a:ext cx="342900" cy="361950"/>
                          </a:xfrm>
                          <a:prstGeom prst="rect">
                            <a:avLst/>
                          </a:prstGeom>
                        </pic:spPr>
                      </pic:pic>
                    </a:graphicData>
                  </a:graphic>
                </wp:inline>
              </w:drawing>
            </w:r>
          </w:p>
        </w:tc>
        <w:tc>
          <w:tcPr>
            <w:tcW w:w="621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249C"/>
                <w:sz w:val="15"/>
              </w:rPr>
            </w:pPr>
            <w:r>
              <w:rPr>
                <w:rFonts w:ascii="Futura Std Book;sans-serif" w:hAnsi="Futura Std Book;sans-serif"/>
                <w:b/>
                <w:color w:val="00249C"/>
                <w:sz w:val="15"/>
              </w:rPr>
              <w:t>Madeleine A. Kleiner</w:t>
            </w:r>
          </w:p>
          <w:p>
            <w:pPr>
              <w:pStyle w:val="TableContents"/>
              <w:bidi w:val="0"/>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 xml:space="preserve">Lead Independent Director, Northrop Grumman Corporation; Former </w:t>
            </w:r>
          </w:p>
          <w:p>
            <w:pPr>
              <w:pStyle w:val="TableContents"/>
              <w:bidi w:val="0"/>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Executive Vice President and General Counsel, Hilton Hotels Corporation</w:t>
            </w:r>
          </w:p>
        </w:tc>
        <w:tc>
          <w:tcPr>
            <w:tcW w:w="4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73</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10/2008</w:t>
            </w:r>
          </w:p>
        </w:tc>
        <w:tc>
          <w:tcPr>
            <w:tcW w:w="42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6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7" descr=""/>
                          <pic:cNvPicPr>
                            <a:picLocks noChangeAspect="1" noChangeArrowheads="1"/>
                          </pic:cNvPicPr>
                        </pic:nvPicPr>
                        <pic:blipFill>
                          <a:blip r:embed="rId58"/>
                          <a:stretch>
                            <a:fillRect/>
                          </a:stretch>
                        </pic:blipFill>
                        <pic:spPr bwMode="auto">
                          <a:xfrm>
                            <a:off x="0" y="0"/>
                            <a:ext cx="114300" cy="114300"/>
                          </a:xfrm>
                          <a:prstGeom prst="rect">
                            <a:avLst/>
                          </a:prstGeom>
                        </pic:spPr>
                      </pic:pic>
                    </a:graphicData>
                  </a:graphic>
                </wp:inline>
              </w:drawing>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8" descr=""/>
                          <pic:cNvPicPr>
                            <a:picLocks noChangeAspect="1" noChangeArrowheads="1"/>
                          </pic:cNvPicPr>
                        </pic:nvPicPr>
                        <pic:blipFill>
                          <a:blip r:embed="rId59"/>
                          <a:stretch>
                            <a:fillRect/>
                          </a:stretch>
                        </pic:blipFill>
                        <pic:spPr bwMode="auto">
                          <a:xfrm>
                            <a:off x="0" y="0"/>
                            <a:ext cx="114300" cy="114300"/>
                          </a:xfrm>
                          <a:prstGeom prst="rect">
                            <a:avLst/>
                          </a:prstGeom>
                        </pic:spPr>
                      </pic:pic>
                    </a:graphicData>
                  </a:graphic>
                </wp:inline>
              </w:drawing>
            </w:r>
          </w:p>
        </w:tc>
        <w:tc>
          <w:tcPr>
            <w:tcW w:w="4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61950"/>
                  <wp:effectExtent l="0" t="0" r="0" b="0"/>
                  <wp:docPr id="7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9" descr=""/>
                          <pic:cNvPicPr>
                            <a:picLocks noChangeAspect="1" noChangeArrowheads="1"/>
                          </pic:cNvPicPr>
                        </pic:nvPicPr>
                        <pic:blipFill>
                          <a:blip r:embed="rId60"/>
                          <a:stretch>
                            <a:fillRect/>
                          </a:stretch>
                        </pic:blipFill>
                        <pic:spPr bwMode="auto">
                          <a:xfrm>
                            <a:off x="0" y="0"/>
                            <a:ext cx="342900" cy="361950"/>
                          </a:xfrm>
                          <a:prstGeom prst="rect">
                            <a:avLst/>
                          </a:prstGeom>
                        </pic:spPr>
                      </pic:pic>
                    </a:graphicData>
                  </a:graphic>
                </wp:inline>
              </w:drawing>
            </w:r>
          </w:p>
        </w:tc>
        <w:tc>
          <w:tcPr>
            <w:tcW w:w="621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5"/>
              </w:rPr>
            </w:pPr>
            <w:r>
              <w:rPr>
                <w:rFonts w:ascii="Futura Std Book;sans-serif" w:hAnsi="Futura Std Book;sans-serif"/>
                <w:b/>
                <w:color w:val="00249C"/>
                <w:sz w:val="15"/>
              </w:rPr>
              <w:t>Arvind Krishna</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 xml:space="preserve">Chairman and Chief Executive Officer, International Business Machines </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Corporation (IBM)</w:t>
            </w:r>
          </w:p>
        </w:tc>
        <w:tc>
          <w:tcPr>
            <w:tcW w:w="4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62</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11/2022</w:t>
            </w:r>
          </w:p>
        </w:tc>
        <w:tc>
          <w:tcPr>
            <w:tcW w:w="42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0" descr=""/>
                          <pic:cNvPicPr>
                            <a:picLocks noChangeAspect="1" noChangeArrowheads="1"/>
                          </pic:cNvPicPr>
                        </pic:nvPicPr>
                        <pic:blipFill>
                          <a:blip r:embed="rId61"/>
                          <a:stretch>
                            <a:fillRect/>
                          </a:stretch>
                        </pic:blipFill>
                        <pic:spPr bwMode="auto">
                          <a:xfrm>
                            <a:off x="0" y="0"/>
                            <a:ext cx="114300" cy="114300"/>
                          </a:xfrm>
                          <a:prstGeom prst="rect">
                            <a:avLst/>
                          </a:prstGeom>
                        </pic:spPr>
                      </pic:pic>
                    </a:graphicData>
                  </a:graphic>
                </wp:inline>
              </w:drawing>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1" descr=""/>
                          <pic:cNvPicPr>
                            <a:picLocks noChangeAspect="1" noChangeArrowheads="1"/>
                          </pic:cNvPicPr>
                        </pic:nvPicPr>
                        <pic:blipFill>
                          <a:blip r:embed="rId62"/>
                          <a:stretch>
                            <a:fillRect/>
                          </a:stretch>
                        </pic:blipFill>
                        <pic:spPr bwMode="auto">
                          <a:xfrm>
                            <a:off x="0" y="0"/>
                            <a:ext cx="114300" cy="114300"/>
                          </a:xfrm>
                          <a:prstGeom prst="rect">
                            <a:avLst/>
                          </a:prstGeom>
                        </pic:spPr>
                      </pic:pic>
                    </a:graphicData>
                  </a:graphic>
                </wp:inline>
              </w:drawing>
            </w:r>
          </w:p>
        </w:tc>
      </w:tr>
      <w:tr>
        <w:trPr/>
        <w:tc>
          <w:tcPr>
            <w:tcW w:w="1116"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61950"/>
                  <wp:effectExtent l="0" t="0" r="0" b="0"/>
                  <wp:docPr id="7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2" descr=""/>
                          <pic:cNvPicPr>
                            <a:picLocks noChangeAspect="1" noChangeArrowheads="1"/>
                          </pic:cNvPicPr>
                        </pic:nvPicPr>
                        <pic:blipFill>
                          <a:blip r:embed="rId63"/>
                          <a:stretch>
                            <a:fillRect/>
                          </a:stretch>
                        </pic:blipFill>
                        <pic:spPr bwMode="auto">
                          <a:xfrm>
                            <a:off x="0" y="0"/>
                            <a:ext cx="342900" cy="361950"/>
                          </a:xfrm>
                          <a:prstGeom prst="rect">
                            <a:avLst/>
                          </a:prstGeom>
                        </pic:spPr>
                      </pic:pic>
                    </a:graphicData>
                  </a:graphic>
                </wp:inline>
              </w:drawing>
            </w:r>
          </w:p>
        </w:tc>
        <w:tc>
          <w:tcPr>
            <w:tcW w:w="621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Kimberly A. Ross</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Former Chief Financial Officer, WeWork and Baker Hughes Company</w:t>
            </w:r>
          </w:p>
        </w:tc>
        <w:tc>
          <w:tcPr>
            <w:tcW w:w="4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59</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03/2023</w:t>
            </w:r>
          </w:p>
        </w:tc>
        <w:tc>
          <w:tcPr>
            <w:tcW w:w="420"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3" descr=""/>
                          <pic:cNvPicPr>
                            <a:picLocks noChangeAspect="1" noChangeArrowheads="1"/>
                          </pic:cNvPicPr>
                        </pic:nvPicPr>
                        <pic:blipFill>
                          <a:blip r:embed="rId64"/>
                          <a:stretch>
                            <a:fillRect/>
                          </a:stretch>
                        </pic:blipFill>
                        <pic:spPr bwMode="auto">
                          <a:xfrm>
                            <a:off x="0" y="0"/>
                            <a:ext cx="114300" cy="114300"/>
                          </a:xfrm>
                          <a:prstGeom prst="rect">
                            <a:avLst/>
                          </a:prstGeom>
                        </pic:spPr>
                      </pic:pic>
                    </a:graphicData>
                  </a:graphic>
                </wp:inline>
              </w:drawing>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4" descr=""/>
                          <pic:cNvPicPr>
                            <a:picLocks noChangeAspect="1" noChangeArrowheads="1"/>
                          </pic:cNvPicPr>
                        </pic:nvPicPr>
                        <pic:blipFill>
                          <a:blip r:embed="rId65"/>
                          <a:stretch>
                            <a:fillRect/>
                          </a:stretch>
                        </pic:blipFill>
                        <pic:spPr bwMode="auto">
                          <a:xfrm>
                            <a:off x="0" y="0"/>
                            <a:ext cx="114300" cy="114300"/>
                          </a:xfrm>
                          <a:prstGeom prst="rect">
                            <a:avLst/>
                          </a:prstGeom>
                        </pic:spPr>
                      </pic:pic>
                    </a:graphicData>
                  </a:graphic>
                </wp:inline>
              </w:drawing>
            </w:r>
          </w:p>
        </w:tc>
      </w:tr>
      <w:tr>
        <w:trPr/>
        <w:tc>
          <w:tcPr>
            <w:tcW w:w="1116" w:type="dxa"/>
            <w:gridSpan w:val="3"/>
            <w:tcBorders>
              <w:top w:val="single" w:sz="8" w:space="0" w:color="DBDBDB"/>
            </w:tcBorders>
            <w:tcMar>
              <w:left w:w="0" w:type="dxa"/>
              <w:bottom w:w="0" w:type="dxa"/>
              <w:right w:w="0" w:type="dxa"/>
            </w:tcMar>
            <w:vAlign w:val="center"/>
          </w:tcPr>
          <w:p>
            <w:pPr>
              <w:pStyle w:val="TableContents"/>
              <w:bidi w:val="0"/>
              <w:spacing w:before="20" w:after="20"/>
              <w:jc w:val="left"/>
              <w:rPr/>
            </w:pPr>
            <w:r>
              <w:rPr/>
              <w:drawing>
                <wp:inline distT="0" distB="0" distL="0" distR="0">
                  <wp:extent cx="342900" cy="361950"/>
                  <wp:effectExtent l="0" t="0" r="0" b="0"/>
                  <wp:docPr id="7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5" descr=""/>
                          <pic:cNvPicPr>
                            <a:picLocks noChangeAspect="1" noChangeArrowheads="1"/>
                          </pic:cNvPicPr>
                        </pic:nvPicPr>
                        <pic:blipFill>
                          <a:blip r:embed="rId66"/>
                          <a:stretch>
                            <a:fillRect/>
                          </a:stretch>
                        </pic:blipFill>
                        <pic:spPr bwMode="auto">
                          <a:xfrm>
                            <a:off x="0" y="0"/>
                            <a:ext cx="342900" cy="361950"/>
                          </a:xfrm>
                          <a:prstGeom prst="rect">
                            <a:avLst/>
                          </a:prstGeom>
                        </pic:spPr>
                      </pic:pic>
                    </a:graphicData>
                  </a:graphic>
                </wp:inline>
              </w:drawing>
            </w:r>
          </w:p>
        </w:tc>
        <w:tc>
          <w:tcPr>
            <w:tcW w:w="621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5"/>
              </w:rPr>
            </w:pPr>
            <w:r>
              <w:rPr>
                <w:rFonts w:ascii="Futura Std Book;sans-serif" w:hAnsi="Futura Std Book;sans-serif"/>
                <w:b/>
                <w:color w:val="29378D"/>
                <w:sz w:val="15"/>
              </w:rPr>
              <w:t>Gary Roughead</w:t>
            </w:r>
          </w:p>
          <w:p>
            <w:pPr>
              <w:pStyle w:val="TableContents"/>
              <w:bidi w:val="0"/>
              <w:spacing w:lineRule="auto" w:line="288" w:before="0" w:after="0"/>
              <w:jc w:val="left"/>
              <w:rPr/>
            </w:pPr>
            <w:r>
              <w:rPr>
                <w:rFonts w:ascii="Futura Std Book;sans-serif" w:hAnsi="Futura Std Book;sans-serif"/>
                <w:b w:val="false"/>
                <w:color w:val="000000"/>
                <w:sz w:val="15"/>
              </w:rPr>
              <w:t>Retired Admiral, United States Navy and</w:t>
            </w:r>
            <w:r>
              <w:rPr>
                <w:color w:val="000000"/>
              </w:rPr>
              <w:t xml:space="preserve"> </w:t>
            </w:r>
            <w:r>
              <w:rPr>
                <w:rFonts w:ascii="Futura Std Book;sans-serif" w:hAnsi="Futura Std Book;sans-serif"/>
                <w:b w:val="false"/>
                <w:color w:val="000000"/>
                <w:sz w:val="15"/>
              </w:rPr>
              <w:t>Former Chief of Naval Operations</w:t>
            </w:r>
          </w:p>
        </w:tc>
        <w:tc>
          <w:tcPr>
            <w:tcW w:w="4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73</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02/2012</w:t>
            </w:r>
          </w:p>
        </w:tc>
        <w:tc>
          <w:tcPr>
            <w:tcW w:w="42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6" descr=""/>
                          <pic:cNvPicPr>
                            <a:picLocks noChangeAspect="1" noChangeArrowheads="1"/>
                          </pic:cNvPicPr>
                        </pic:nvPicPr>
                        <pic:blipFill>
                          <a:blip r:embed="rId67"/>
                          <a:stretch>
                            <a:fillRect/>
                          </a:stretch>
                        </pic:blipFill>
                        <pic:spPr bwMode="auto">
                          <a:xfrm>
                            <a:off x="0" y="0"/>
                            <a:ext cx="114300" cy="114300"/>
                          </a:xfrm>
                          <a:prstGeom prst="rect">
                            <a:avLst/>
                          </a:prstGeom>
                        </pic:spPr>
                      </pic:pic>
                    </a:graphicData>
                  </a:graphic>
                </wp:inline>
              </w:drawing>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7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7" descr=""/>
                          <pic:cNvPicPr>
                            <a:picLocks noChangeAspect="1" noChangeArrowheads="1"/>
                          </pic:cNvPicPr>
                        </pic:nvPicPr>
                        <pic:blipFill>
                          <a:blip r:embed="rId68"/>
                          <a:stretch>
                            <a:fillRect/>
                          </a:stretch>
                        </pic:blipFill>
                        <pic:spPr bwMode="auto">
                          <a:xfrm>
                            <a:off x="0" y="0"/>
                            <a:ext cx="114300" cy="114300"/>
                          </a:xfrm>
                          <a:prstGeom prst="rect">
                            <a:avLst/>
                          </a:prstGeom>
                        </pic:spPr>
                      </pic:pic>
                    </a:graphicData>
                  </a:graphic>
                </wp:inline>
              </w:drawing>
            </w:r>
          </w:p>
        </w:tc>
      </w:tr>
      <w:tr>
        <w:trPr/>
        <w:tc>
          <w:tcPr>
            <w:tcW w:w="1116"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61950"/>
                  <wp:effectExtent l="0" t="0" r="0" b="0"/>
                  <wp:docPr id="8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8" descr=""/>
                          <pic:cNvPicPr>
                            <a:picLocks noChangeAspect="1" noChangeArrowheads="1"/>
                          </pic:cNvPicPr>
                        </pic:nvPicPr>
                        <pic:blipFill>
                          <a:blip r:embed="rId69"/>
                          <a:stretch>
                            <a:fillRect/>
                          </a:stretch>
                        </pic:blipFill>
                        <pic:spPr bwMode="auto">
                          <a:xfrm>
                            <a:off x="0" y="0"/>
                            <a:ext cx="342900" cy="361950"/>
                          </a:xfrm>
                          <a:prstGeom prst="rect">
                            <a:avLst/>
                          </a:prstGeom>
                        </pic:spPr>
                      </pic:pic>
                    </a:graphicData>
                  </a:graphic>
                </wp:inline>
              </w:drawing>
            </w:r>
          </w:p>
        </w:tc>
        <w:tc>
          <w:tcPr>
            <w:tcW w:w="621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Thomas M. Schoewe</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Former Executive Vice President and CFO, Wal-Mart Stores, Inc.</w:t>
            </w:r>
          </w:p>
        </w:tc>
        <w:tc>
          <w:tcPr>
            <w:tcW w:w="4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72</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08/2011</w:t>
            </w:r>
          </w:p>
        </w:tc>
        <w:tc>
          <w:tcPr>
            <w:tcW w:w="420"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9" descr=""/>
                          <pic:cNvPicPr>
                            <a:picLocks noChangeAspect="1" noChangeArrowheads="1"/>
                          </pic:cNvPicPr>
                        </pic:nvPicPr>
                        <pic:blipFill>
                          <a:blip r:embed="rId70"/>
                          <a:stretch>
                            <a:fillRect/>
                          </a:stretch>
                        </pic:blipFill>
                        <pic:spPr bwMode="auto">
                          <a:xfrm>
                            <a:off x="0" y="0"/>
                            <a:ext cx="114300" cy="114300"/>
                          </a:xfrm>
                          <a:prstGeom prst="rect">
                            <a:avLst/>
                          </a:prstGeom>
                        </pic:spPr>
                      </pic:pic>
                    </a:graphicData>
                  </a:graphic>
                </wp:inline>
              </w:drawing>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0" descr=""/>
                          <pic:cNvPicPr>
                            <a:picLocks noChangeAspect="1" noChangeArrowheads="1"/>
                          </pic:cNvPicPr>
                        </pic:nvPicPr>
                        <pic:blipFill>
                          <a:blip r:embed="rId71"/>
                          <a:stretch>
                            <a:fillRect/>
                          </a:stretch>
                        </pic:blipFill>
                        <pic:spPr bwMode="auto">
                          <a:xfrm>
                            <a:off x="0" y="0"/>
                            <a:ext cx="114300" cy="114300"/>
                          </a:xfrm>
                          <a:prstGeom prst="rect">
                            <a:avLst/>
                          </a:prstGeom>
                        </pic:spPr>
                      </pic:pic>
                    </a:graphicData>
                  </a:graphic>
                </wp:inline>
              </w:drawing>
            </w:r>
          </w:p>
        </w:tc>
        <w:tc>
          <w:tcPr>
            <w:tcW w:w="4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42900"/>
                  <wp:effectExtent l="0" t="0" r="0" b="0"/>
                  <wp:docPr id="8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1" descr=""/>
                          <pic:cNvPicPr>
                            <a:picLocks noChangeAspect="1" noChangeArrowheads="1"/>
                          </pic:cNvPicPr>
                        </pic:nvPicPr>
                        <pic:blipFill>
                          <a:blip r:embed="rId72"/>
                          <a:stretch>
                            <a:fillRect/>
                          </a:stretch>
                        </pic:blipFill>
                        <pic:spPr bwMode="auto">
                          <a:xfrm>
                            <a:off x="0" y="0"/>
                            <a:ext cx="342900" cy="342900"/>
                          </a:xfrm>
                          <a:prstGeom prst="rect">
                            <a:avLst/>
                          </a:prstGeom>
                        </pic:spPr>
                      </pic:pic>
                    </a:graphicData>
                  </a:graphic>
                </wp:inline>
              </w:drawing>
            </w:r>
          </w:p>
        </w:tc>
        <w:tc>
          <w:tcPr>
            <w:tcW w:w="621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James S. Turley</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Former Chairman and Chief Executive Officer, Ernst &amp; Young</w:t>
            </w:r>
          </w:p>
        </w:tc>
        <w:tc>
          <w:tcPr>
            <w:tcW w:w="4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69</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02/2015</w:t>
            </w:r>
          </w:p>
        </w:tc>
        <w:tc>
          <w:tcPr>
            <w:tcW w:w="420"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2" descr=""/>
                          <pic:cNvPicPr>
                            <a:picLocks noChangeAspect="1" noChangeArrowheads="1"/>
                          </pic:cNvPicPr>
                        </pic:nvPicPr>
                        <pic:blipFill>
                          <a:blip r:embed="rId73"/>
                          <a:stretch>
                            <a:fillRect/>
                          </a:stretch>
                        </pic:blipFill>
                        <pic:spPr bwMode="auto">
                          <a:xfrm>
                            <a:off x="0" y="0"/>
                            <a:ext cx="114300" cy="114300"/>
                          </a:xfrm>
                          <a:prstGeom prst="rect">
                            <a:avLst/>
                          </a:prstGeom>
                        </pic:spPr>
                      </pic:pic>
                    </a:graphicData>
                  </a:graphic>
                </wp:inline>
              </w:drawing>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3" descr=""/>
                          <pic:cNvPicPr>
                            <a:picLocks noChangeAspect="1" noChangeArrowheads="1"/>
                          </pic:cNvPicPr>
                        </pic:nvPicPr>
                        <pic:blipFill>
                          <a:blip r:embed="rId74"/>
                          <a:stretch>
                            <a:fillRect/>
                          </a:stretch>
                        </pic:blipFill>
                        <pic:spPr bwMode="auto">
                          <a:xfrm>
                            <a:off x="0" y="0"/>
                            <a:ext cx="114300" cy="114300"/>
                          </a:xfrm>
                          <a:prstGeom prst="rect">
                            <a:avLst/>
                          </a:prstGeom>
                        </pic:spPr>
                      </pic:pic>
                    </a:graphicData>
                  </a:graphic>
                </wp:inline>
              </w:drawing>
            </w:r>
          </w:p>
        </w:tc>
        <w:tc>
          <w:tcPr>
            <w:tcW w:w="4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61950"/>
                  <wp:effectExtent l="0" t="0" r="0" b="0"/>
                  <wp:docPr id="8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4" descr=""/>
                          <pic:cNvPicPr>
                            <a:picLocks noChangeAspect="1" noChangeArrowheads="1"/>
                          </pic:cNvPicPr>
                        </pic:nvPicPr>
                        <pic:blipFill>
                          <a:blip r:embed="rId75"/>
                          <a:stretch>
                            <a:fillRect/>
                          </a:stretch>
                        </pic:blipFill>
                        <pic:spPr bwMode="auto">
                          <a:xfrm>
                            <a:off x="0" y="0"/>
                            <a:ext cx="342900" cy="361950"/>
                          </a:xfrm>
                          <a:prstGeom prst="rect">
                            <a:avLst/>
                          </a:prstGeom>
                        </pic:spPr>
                      </pic:pic>
                    </a:graphicData>
                  </a:graphic>
                </wp:inline>
              </w:drawing>
            </w:r>
          </w:p>
        </w:tc>
        <w:tc>
          <w:tcPr>
            <w:tcW w:w="621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5"/>
              </w:rPr>
            </w:pPr>
            <w:r>
              <w:rPr>
                <w:rFonts w:ascii="Futura Std Book;sans-serif" w:hAnsi="Futura Std Book;sans-serif"/>
                <w:b/>
                <w:color w:val="29378D"/>
                <w:sz w:val="15"/>
              </w:rPr>
              <w:t>Kathy J. Warden</w:t>
            </w:r>
          </w:p>
          <w:p>
            <w:pPr>
              <w:pStyle w:val="TableContents"/>
              <w:bidi w:val="0"/>
              <w:spacing w:lineRule="auto" w:line="288"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Chair, Chief Executive Officer and President, Northrop Grumman Corporation</w:t>
            </w:r>
          </w:p>
        </w:tc>
        <w:tc>
          <w:tcPr>
            <w:tcW w:w="4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53</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07/2018</w:t>
            </w:r>
          </w:p>
        </w:tc>
        <w:tc>
          <w:tcPr>
            <w:tcW w:w="420"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6" w:type="dxa"/>
            <w:gridSpan w:val="3"/>
            <w:tcBorders>
              <w:top w:val="single" w:sz="8" w:space="0" w:color="DBDBDB"/>
            </w:tcBorders>
            <w:tcMar>
              <w:left w:w="0" w:type="dxa"/>
              <w:bottom w:w="0" w:type="dxa"/>
              <w:right w:w="0" w:type="dxa"/>
            </w:tcMar>
            <w:vAlign w:val="center"/>
          </w:tcPr>
          <w:p>
            <w:pPr>
              <w:pStyle w:val="TableContents"/>
              <w:bidi w:val="0"/>
              <w:spacing w:before="0" w:after="0"/>
              <w:jc w:val="left"/>
              <w:rPr/>
            </w:pPr>
            <w:r>
              <w:rPr/>
              <w:drawing>
                <wp:inline distT="0" distB="0" distL="0" distR="0">
                  <wp:extent cx="342900" cy="361950"/>
                  <wp:effectExtent l="0" t="0" r="0" b="0"/>
                  <wp:docPr id="87"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5" descr=""/>
                          <pic:cNvPicPr>
                            <a:picLocks noChangeAspect="1" noChangeArrowheads="1"/>
                          </pic:cNvPicPr>
                        </pic:nvPicPr>
                        <pic:blipFill>
                          <a:blip r:embed="rId76"/>
                          <a:stretch>
                            <a:fillRect/>
                          </a:stretch>
                        </pic:blipFill>
                        <pic:spPr bwMode="auto">
                          <a:xfrm>
                            <a:off x="0" y="0"/>
                            <a:ext cx="342900" cy="361950"/>
                          </a:xfrm>
                          <a:prstGeom prst="rect">
                            <a:avLst/>
                          </a:prstGeom>
                        </pic:spPr>
                      </pic:pic>
                    </a:graphicData>
                  </a:graphic>
                </wp:inline>
              </w:drawing>
            </w:r>
          </w:p>
        </w:tc>
        <w:tc>
          <w:tcPr>
            <w:tcW w:w="621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Mark A. Welsh III</w:t>
            </w:r>
          </w:p>
          <w:p>
            <w:pPr>
              <w:pStyle w:val="TableContents"/>
              <w:bidi w:val="0"/>
              <w:spacing w:lineRule="auto" w:line="276" w:before="0" w:after="0"/>
              <w:jc w:val="left"/>
              <w:rPr/>
            </w:pPr>
            <w:r>
              <w:rPr>
                <w:rFonts w:ascii="Futura Std Book;sans-serif" w:hAnsi="Futura Std Book;sans-serif"/>
                <w:b w:val="false"/>
                <w:color w:val="000000"/>
                <w:sz w:val="15"/>
              </w:rPr>
              <w:t>President, Texas A&amp;M University; Retired General, United States Air Force and</w:t>
            </w:r>
            <w:r>
              <w:rPr>
                <w:color w:val="000000"/>
              </w:rPr>
              <w:t xml:space="preserve"> </w:t>
            </w:r>
            <w:r>
              <w:rPr>
                <w:rFonts w:ascii="Futura Std Book;sans-serif" w:hAnsi="Futura Std Book;sans-serif"/>
                <w:b w:val="false"/>
                <w:color w:val="000000"/>
                <w:sz w:val="15"/>
              </w:rPr>
              <w:t>Former Chief of Staff, United States Air Force</w:t>
            </w:r>
          </w:p>
        </w:tc>
        <w:tc>
          <w:tcPr>
            <w:tcW w:w="4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71</w:t>
            </w:r>
          </w:p>
        </w:tc>
        <w:tc>
          <w:tcPr>
            <w:tcW w:w="69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val="false"/>
                <w:color w:val="000000"/>
                <w:sz w:val="15"/>
              </w:rPr>
            </w:pPr>
            <w:r>
              <w:rPr>
                <w:rFonts w:ascii="Futura Std Book;sans-serif" w:hAnsi="Futura Std Book;sans-serif"/>
                <w:b w:val="false"/>
                <w:color w:val="000000"/>
                <w:sz w:val="15"/>
              </w:rPr>
              <w:t>12/2016</w:t>
            </w:r>
          </w:p>
        </w:tc>
        <w:tc>
          <w:tcPr>
            <w:tcW w:w="420"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6" descr=""/>
                          <pic:cNvPicPr>
                            <a:picLocks noChangeAspect="1" noChangeArrowheads="1"/>
                          </pic:cNvPicPr>
                        </pic:nvPicPr>
                        <pic:blipFill>
                          <a:blip r:embed="rId77"/>
                          <a:stretch>
                            <a:fillRect/>
                          </a:stretch>
                        </pic:blipFill>
                        <pic:spPr bwMode="auto">
                          <a:xfrm>
                            <a:off x="0" y="0"/>
                            <a:ext cx="114300" cy="114300"/>
                          </a:xfrm>
                          <a:prstGeom prst="rect">
                            <a:avLst/>
                          </a:prstGeom>
                        </pic:spPr>
                      </pic:pic>
                    </a:graphicData>
                  </a:graphic>
                </wp:inline>
              </w:drawing>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8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7" descr=""/>
                          <pic:cNvPicPr>
                            <a:picLocks noChangeAspect="1" noChangeArrowheads="1"/>
                          </pic:cNvPicPr>
                        </pic:nvPicPr>
                        <pic:blipFill>
                          <a:blip r:embed="rId78"/>
                          <a:stretch>
                            <a:fillRect/>
                          </a:stretch>
                        </pic:blipFill>
                        <pic:spPr bwMode="auto">
                          <a:xfrm>
                            <a:off x="0" y="0"/>
                            <a:ext cx="114300" cy="114300"/>
                          </a:xfrm>
                          <a:prstGeom prst="rect">
                            <a:avLst/>
                          </a:prstGeom>
                        </pic:spPr>
                      </pic:pic>
                    </a:graphicData>
                  </a:graphic>
                </wp:inline>
              </w:drawing>
            </w:r>
          </w:p>
        </w:tc>
      </w:tr>
      <w:tr>
        <w:trPr/>
        <w:tc>
          <w:tcPr>
            <w:tcW w:w="1116" w:type="dxa"/>
            <w:gridSpan w:val="3"/>
            <w:tcBorders>
              <w:top w:val="single" w:sz="8" w:space="0" w:color="DBDBDB"/>
              <w:bottom w:val="single" w:sz="8" w:space="0" w:color="29378D"/>
            </w:tcBorders>
            <w:tcMar>
              <w:left w:w="0" w:type="dxa"/>
              <w:right w:w="0" w:type="dxa"/>
            </w:tcMar>
            <w:vAlign w:val="center"/>
          </w:tcPr>
          <w:p>
            <w:pPr>
              <w:pStyle w:val="TableContents"/>
              <w:bidi w:val="0"/>
              <w:spacing w:before="0" w:after="0"/>
              <w:jc w:val="left"/>
              <w:rPr/>
            </w:pPr>
            <w:r>
              <w:rPr/>
              <w:drawing>
                <wp:inline distT="0" distB="0" distL="0" distR="0">
                  <wp:extent cx="342900" cy="361950"/>
                  <wp:effectExtent l="0" t="0" r="0" b="0"/>
                  <wp:docPr id="9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8" descr=""/>
                          <pic:cNvPicPr>
                            <a:picLocks noChangeAspect="1" noChangeArrowheads="1"/>
                          </pic:cNvPicPr>
                        </pic:nvPicPr>
                        <pic:blipFill>
                          <a:blip r:embed="rId79"/>
                          <a:stretch>
                            <a:fillRect/>
                          </a:stretch>
                        </pic:blipFill>
                        <pic:spPr bwMode="auto">
                          <a:xfrm>
                            <a:off x="0" y="0"/>
                            <a:ext cx="342900" cy="361950"/>
                          </a:xfrm>
                          <a:prstGeom prst="rect">
                            <a:avLst/>
                          </a:prstGeom>
                        </pic:spPr>
                      </pic:pic>
                    </a:graphicData>
                  </a:graphic>
                </wp:inline>
              </w:drawing>
            </w:r>
          </w:p>
        </w:tc>
        <w:tc>
          <w:tcPr>
            <w:tcW w:w="6212" w:type="dxa"/>
            <w:gridSpan w:val="3"/>
            <w:tcBorders>
              <w:top w:val="single" w:sz="8" w:space="0" w:color="DBDBDB"/>
              <w:bottom w:val="single" w:sz="8" w:space="0" w:color="29378D"/>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9378D"/>
                <w:sz w:val="15"/>
              </w:rPr>
            </w:pPr>
            <w:r>
              <w:rPr>
                <w:rFonts w:ascii="Futura Std Book;sans-serif" w:hAnsi="Futura Std Book;sans-serif"/>
                <w:b/>
                <w:color w:val="29378D"/>
                <w:sz w:val="15"/>
              </w:rPr>
              <w:t>Mary A. Winston</w:t>
            </w:r>
          </w:p>
          <w:p>
            <w:pPr>
              <w:pStyle w:val="TableContents"/>
              <w:bidi w:val="0"/>
              <w:spacing w:lineRule="auto" w:line="276" w:before="0" w:after="0"/>
              <w:jc w:val="left"/>
              <w:rPr>
                <w:rFonts w:ascii="Futura Std Book;sans-serif" w:hAnsi="Futura Std Book;sans-serif"/>
                <w:b w:val="false"/>
                <w:color w:val="000000"/>
                <w:sz w:val="15"/>
              </w:rPr>
            </w:pPr>
            <w:r>
              <w:rPr>
                <w:rFonts w:ascii="Futura Std Book;sans-serif" w:hAnsi="Futura Std Book;sans-serif"/>
                <w:b w:val="false"/>
                <w:color w:val="000000"/>
                <w:sz w:val="15"/>
              </w:rPr>
              <w:t>President and Founder of WinsCo Enterprises, Inc.</w:t>
            </w:r>
          </w:p>
        </w:tc>
        <w:tc>
          <w:tcPr>
            <w:tcW w:w="436" w:type="dxa"/>
            <w:gridSpan w:val="3"/>
            <w:tcBorders>
              <w:top w:val="single" w:sz="8" w:space="0" w:color="DBDBDB"/>
              <w:bottom w:val="single" w:sz="8" w:space="0" w:color="29378D"/>
            </w:tcBorders>
            <w:tcMar>
              <w:top w:w="30" w:type="dxa"/>
              <w:left w:w="0" w:type="dxa"/>
              <w:bottom w:w="30" w:type="dxa"/>
              <w:right w:w="0" w:type="dxa"/>
            </w:tcMar>
            <w:vAlign w:val="center"/>
          </w:tcPr>
          <w:p>
            <w:pPr>
              <w:pStyle w:val="TableContents"/>
              <w:bidi w:val="0"/>
              <w:spacing w:lineRule="auto" w:line="276" w:before="0" w:after="0"/>
              <w:jc w:val="center"/>
              <w:rPr>
                <w:rFonts w:ascii="Futura Std Book;sans-serif" w:hAnsi="Futura Std Book;sans-serif"/>
                <w:b w:val="false"/>
                <w:color w:val="000000"/>
                <w:sz w:val="15"/>
              </w:rPr>
            </w:pPr>
            <w:r>
              <w:rPr>
                <w:rFonts w:ascii="Futura Std Book;sans-serif" w:hAnsi="Futura Std Book;sans-serif"/>
                <w:b w:val="false"/>
                <w:color w:val="000000"/>
                <w:sz w:val="15"/>
              </w:rPr>
              <w:t>63</w:t>
            </w:r>
          </w:p>
        </w:tc>
        <w:tc>
          <w:tcPr>
            <w:tcW w:w="691" w:type="dxa"/>
            <w:gridSpan w:val="3"/>
            <w:tcBorders>
              <w:top w:val="single" w:sz="8" w:space="0" w:color="DBDBDB"/>
              <w:bottom w:val="single" w:sz="8" w:space="0" w:color="29378D"/>
            </w:tcBorders>
            <w:tcMar>
              <w:top w:w="3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5"/>
              </w:rPr>
            </w:pPr>
            <w:r>
              <w:rPr>
                <w:rFonts w:ascii="Futura Std Book;sans-serif" w:hAnsi="Futura Std Book;sans-serif"/>
                <w:b w:val="false"/>
                <w:color w:val="000000"/>
                <w:sz w:val="15"/>
              </w:rPr>
              <w:t>03/2023</w:t>
            </w:r>
          </w:p>
        </w:tc>
        <w:tc>
          <w:tcPr>
            <w:tcW w:w="420" w:type="dxa"/>
            <w:gridSpan w:val="3"/>
            <w:tcBorders>
              <w:top w:val="single" w:sz="8" w:space="0" w:color="DBDBDB"/>
              <w:bottom w:val="single" w:sz="8" w:space="0" w:color="29378D"/>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DBDBDB"/>
              <w:bottom w:val="single" w:sz="8" w:space="0" w:color="29378D"/>
            </w:tcBorders>
            <w:tcMar>
              <w:left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9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9" descr=""/>
                          <pic:cNvPicPr>
                            <a:picLocks noChangeAspect="1" noChangeArrowheads="1"/>
                          </pic:cNvPicPr>
                        </pic:nvPicPr>
                        <pic:blipFill>
                          <a:blip r:embed="rId80"/>
                          <a:stretch>
                            <a:fillRect/>
                          </a:stretch>
                        </pic:blipFill>
                        <pic:spPr bwMode="auto">
                          <a:xfrm>
                            <a:off x="0" y="0"/>
                            <a:ext cx="114300" cy="114300"/>
                          </a:xfrm>
                          <a:prstGeom prst="rect">
                            <a:avLst/>
                          </a:prstGeom>
                        </pic:spPr>
                      </pic:pic>
                    </a:graphicData>
                  </a:graphic>
                </wp:inline>
              </w:drawing>
            </w:r>
          </w:p>
        </w:tc>
        <w:tc>
          <w:tcPr>
            <w:tcW w:w="421" w:type="dxa"/>
            <w:gridSpan w:val="3"/>
            <w:tcBorders>
              <w:top w:val="single" w:sz="8" w:space="0" w:color="DBDBDB"/>
              <w:bottom w:val="single" w:sz="8" w:space="0" w:color="29378D"/>
            </w:tcBorders>
            <w:tcMar>
              <w:left w:w="0" w:type="dxa"/>
              <w:right w:w="0" w:type="dxa"/>
            </w:tcMar>
            <w:vAlign w:val="center"/>
          </w:tcPr>
          <w:p>
            <w:pPr>
              <w:pStyle w:val="TableContents"/>
              <w:bidi w:val="0"/>
              <w:spacing w:before="0" w:after="283"/>
              <w:jc w:val="left"/>
              <w:rPr>
                <w:sz w:val="4"/>
                <w:szCs w:val="4"/>
              </w:rPr>
            </w:pPr>
            <w:r>
              <w:rPr>
                <w:sz w:val="4"/>
                <w:szCs w:val="4"/>
              </w:rPr>
            </w:r>
          </w:p>
        </w:tc>
        <w:tc>
          <w:tcPr>
            <w:tcW w:w="488" w:type="dxa"/>
            <w:gridSpan w:val="3"/>
            <w:tcBorders>
              <w:top w:val="single" w:sz="8" w:space="0" w:color="DBDBDB"/>
              <w:bottom w:val="single" w:sz="8" w:space="0" w:color="29378D"/>
            </w:tcBorders>
            <w:tcMar>
              <w:left w:w="0" w:type="dxa"/>
              <w:right w:w="0" w:type="dxa"/>
            </w:tcMar>
            <w:vAlign w:val="center"/>
          </w:tcPr>
          <w:p>
            <w:pPr>
              <w:pStyle w:val="TableContents"/>
              <w:bidi w:val="0"/>
              <w:spacing w:before="0" w:after="0"/>
              <w:jc w:val="center"/>
              <w:rPr/>
            </w:pPr>
            <w:r>
              <w:rPr/>
              <w:drawing>
                <wp:inline distT="0" distB="0" distL="0" distR="0">
                  <wp:extent cx="114300" cy="114300"/>
                  <wp:effectExtent l="0" t="0" r="0" b="0"/>
                  <wp:docPr id="9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0" descr=""/>
                          <pic:cNvPicPr>
                            <a:picLocks noChangeAspect="1" noChangeArrowheads="1"/>
                          </pic:cNvPicPr>
                        </pic:nvPicPr>
                        <pic:blipFill>
                          <a:blip r:embed="rId81"/>
                          <a:stretch>
                            <a:fillRect/>
                          </a:stretch>
                        </pic:blipFill>
                        <pic:spPr bwMode="auto">
                          <a:xfrm>
                            <a:off x="0" y="0"/>
                            <a:ext cx="114300" cy="114300"/>
                          </a:xfrm>
                          <a:prstGeom prst="rect">
                            <a:avLst/>
                          </a:prstGeom>
                        </pic:spPr>
                      </pic:pic>
                    </a:graphicData>
                  </a:graphic>
                </wp:inline>
              </w:drawing>
            </w:r>
          </w:p>
        </w:tc>
      </w:tr>
    </w:tbl>
    <w:tbl>
      <w:tblPr>
        <w:tblW w:w="10063" w:type="dxa"/>
        <w:jc w:val="left"/>
        <w:tblInd w:w="0" w:type="dxa"/>
        <w:tblLayout w:type="fixed"/>
        <w:tblCellMar>
          <w:top w:w="28" w:type="dxa"/>
          <w:left w:w="28" w:type="dxa"/>
          <w:bottom w:w="28" w:type="dxa"/>
          <w:right w:w="28" w:type="dxa"/>
        </w:tblCellMar>
      </w:tblPr>
      <w:tblGrid>
        <w:gridCol w:w="136"/>
        <w:gridCol w:w="119"/>
        <w:gridCol w:w="121"/>
        <w:gridCol w:w="1174"/>
        <w:gridCol w:w="1174"/>
        <w:gridCol w:w="1177"/>
        <w:gridCol w:w="125"/>
        <w:gridCol w:w="125"/>
        <w:gridCol w:w="126"/>
        <w:gridCol w:w="1289"/>
        <w:gridCol w:w="1289"/>
        <w:gridCol w:w="1292"/>
        <w:gridCol w:w="109"/>
        <w:gridCol w:w="109"/>
        <w:gridCol w:w="109"/>
        <w:gridCol w:w="165"/>
        <w:gridCol w:w="165"/>
        <w:gridCol w:w="166"/>
        <w:gridCol w:w="109"/>
        <w:gridCol w:w="109"/>
        <w:gridCol w:w="109"/>
        <w:gridCol w:w="224"/>
        <w:gridCol w:w="224"/>
        <w:gridCol w:w="31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AR</w:t>
            </w:r>
          </w:p>
        </w:tc>
        <w:tc>
          <w:tcPr>
            <w:tcW w:w="35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Audit and Risk Committee</w:t>
            </w:r>
          </w:p>
        </w:tc>
        <w:tc>
          <w:tcPr>
            <w:tcW w:w="3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NG</w:t>
            </w:r>
          </w:p>
        </w:tc>
        <w:tc>
          <w:tcPr>
            <w:tcW w:w="3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Nominating and Corporate Governance Committee</w:t>
            </w:r>
          </w:p>
        </w:tc>
        <w:tc>
          <w:tcPr>
            <w:tcW w:w="327"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4300" cy="114300"/>
                  <wp:effectExtent l="0" t="0" r="0" b="0"/>
                  <wp:docPr id="9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1" descr=""/>
                          <pic:cNvPicPr>
                            <a:picLocks noChangeAspect="1" noChangeArrowheads="1"/>
                          </pic:cNvPicPr>
                        </pic:nvPicPr>
                        <pic:blipFill>
                          <a:blip r:embed="rId82"/>
                          <a:stretch>
                            <a:fillRect/>
                          </a:stretch>
                        </pic:blipFill>
                        <pic:spPr bwMode="auto">
                          <a:xfrm>
                            <a:off x="0" y="0"/>
                            <a:ext cx="114300" cy="114300"/>
                          </a:xfrm>
                          <a:prstGeom prst="rect">
                            <a:avLst/>
                          </a:prstGeom>
                        </pic:spPr>
                      </pic:pic>
                    </a:graphicData>
                  </a:graphic>
                </wp:inline>
              </w:drawing>
            </w:r>
          </w:p>
        </w:tc>
        <w:tc>
          <w:tcPr>
            <w:tcW w:w="49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Chair</w:t>
            </w:r>
          </w:p>
        </w:tc>
        <w:tc>
          <w:tcPr>
            <w:tcW w:w="327"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14300" cy="114300"/>
                  <wp:effectExtent l="0" t="0" r="0" b="0"/>
                  <wp:docPr id="9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2" descr=""/>
                          <pic:cNvPicPr>
                            <a:picLocks noChangeAspect="1" noChangeArrowheads="1"/>
                          </pic:cNvPicPr>
                        </pic:nvPicPr>
                        <pic:blipFill>
                          <a:blip r:embed="rId83"/>
                          <a:stretch>
                            <a:fillRect/>
                          </a:stretch>
                        </pic:blipFill>
                        <pic:spPr bwMode="auto">
                          <a:xfrm>
                            <a:off x="0" y="0"/>
                            <a:ext cx="114300" cy="114300"/>
                          </a:xfrm>
                          <a:prstGeom prst="rect">
                            <a:avLst/>
                          </a:prstGeom>
                        </pic:spPr>
                      </pic:pic>
                    </a:graphicData>
                  </a:graphic>
                </wp:inline>
              </w:drawing>
            </w:r>
          </w:p>
        </w:tc>
        <w:tc>
          <w:tcPr>
            <w:tcW w:w="76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Member</w:t>
            </w:r>
          </w:p>
        </w:tc>
      </w:tr>
      <w:tr>
        <w:trPr/>
        <w:tc>
          <w:tcPr>
            <w:tcW w:w="3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CH</w:t>
            </w:r>
          </w:p>
        </w:tc>
        <w:tc>
          <w:tcPr>
            <w:tcW w:w="35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Compensation and Human Capital Committee</w:t>
            </w:r>
          </w:p>
        </w:tc>
        <w:tc>
          <w:tcPr>
            <w:tcW w:w="3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P</w:t>
            </w:r>
          </w:p>
        </w:tc>
        <w:tc>
          <w:tcPr>
            <w:tcW w:w="38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5"/>
              </w:rPr>
            </w:pPr>
            <w:r>
              <w:rPr>
                <w:rFonts w:ascii="Futura Std Book;sans-serif" w:hAnsi="Futura Std Book;sans-serif"/>
                <w:b w:val="false"/>
                <w:color w:val="000000"/>
                <w:sz w:val="15"/>
              </w:rPr>
              <w:t>Policy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1" w:type="dxa"/>
            <w:gridSpan w:val="6"/>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5"/>
              </w:rPr>
            </w:pPr>
            <w:r>
              <w:rPr>
                <w:rFonts w:ascii="Futura Std Book;sans-serif" w:hAnsi="Futura Std Book;sans-serif"/>
                <w:b w:val="false"/>
                <w:color w:val="000000"/>
                <w:sz w:val="15"/>
              </w:rPr>
              <w:t>*   Age as of April 4, 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34695"/>
                <wp:effectExtent l="0" t="0" r="0" b="0"/>
                <wp:wrapNone/>
                <wp:docPr id="95" name="Frame1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bidi w:val="0"/>
        <w:spacing w:lineRule="auto" w:line="333" w:before="0" w:after="300"/>
        <w:jc w:val="left"/>
        <w:rPr/>
      </w:pPr>
      <w:r>
        <w:rPr>
          <w:rFonts w:ascii="Futura Std Book;sans-serif" w:hAnsi="Futura Std Book;sans-serif"/>
          <w:b w:val="false"/>
          <w:color w:val="000000"/>
          <w:sz w:val="28"/>
        </w:rPr>
        <w:t>We have a</w:t>
      </w:r>
      <w:r>
        <w:rPr>
          <w:color w:val="29378D"/>
        </w:rPr>
        <w:t xml:space="preserve"> </w:t>
      </w:r>
      <w:r>
        <w:rPr>
          <w:rFonts w:ascii="Futura Std Book;sans-serif" w:hAnsi="Futura Std Book;sans-serif"/>
          <w:b/>
          <w:color w:val="29378D"/>
          <w:sz w:val="28"/>
        </w:rPr>
        <w:t>highly qualified slate of Board nominees</w:t>
      </w:r>
      <w:r>
        <w:rPr>
          <w:color w:val="000000"/>
        </w:rPr>
        <w:t xml:space="preserve"> </w:t>
      </w:r>
    </w:p>
    <w:tbl>
      <w:tblPr>
        <w:tblW w:w="9531" w:type="dxa"/>
        <w:jc w:val="left"/>
        <w:tblInd w:w="0" w:type="dxa"/>
        <w:tblLayout w:type="fixed"/>
        <w:tblCellMar>
          <w:top w:w="28" w:type="dxa"/>
          <w:left w:w="28" w:type="dxa"/>
          <w:bottom w:w="28" w:type="dxa"/>
          <w:right w:w="28" w:type="dxa"/>
        </w:tblCellMar>
      </w:tblPr>
      <w:tblGrid>
        <w:gridCol w:w="533"/>
        <w:gridCol w:w="468"/>
        <w:gridCol w:w="469"/>
        <w:gridCol w:w="1033"/>
        <w:gridCol w:w="1033"/>
        <w:gridCol w:w="1035"/>
        <w:gridCol w:w="604"/>
        <w:gridCol w:w="604"/>
        <w:gridCol w:w="606"/>
        <w:gridCol w:w="921"/>
        <w:gridCol w:w="921"/>
        <w:gridCol w:w="1304"/>
      </w:tblGrid>
      <w:tr>
        <w:trPr/>
        <w:tc>
          <w:tcPr>
            <w:tcW w:w="5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76" w:before="400" w:after="283"/>
              <w:jc w:val="left"/>
              <w:rPr>
                <w:rFonts w:ascii="Futura Std Book;sans-serif" w:hAnsi="Futura Std Book;sans-serif"/>
                <w:b/>
                <w:color w:val="00249C"/>
                <w:sz w:val="16"/>
              </w:rPr>
            </w:pPr>
            <w:r>
              <w:rPr>
                <w:rFonts w:ascii="Futura Std Book;sans-serif" w:hAnsi="Futura Std Book;sans-serif"/>
                <w:b/>
                <w:color w:val="00249C"/>
                <w:sz w:val="16"/>
              </w:rPr>
              <w:t>AVERAGE AGE</w:t>
            </w:r>
          </w:p>
          <w:p>
            <w:pPr>
              <w:pStyle w:val="TableContents"/>
              <w:bidi w:val="0"/>
              <w:spacing w:lineRule="auto" w:line="312" w:before="220" w:after="40"/>
              <w:jc w:val="left"/>
              <w:rPr>
                <w:rFonts w:ascii="Futura Std Book;sans-serif" w:hAnsi="Futura Std Book;sans-serif"/>
                <w:b/>
                <w:color w:val="29378D"/>
                <w:sz w:val="48"/>
              </w:rPr>
            </w:pPr>
            <w:r>
              <w:rPr>
                <w:rFonts w:ascii="Futura Std Book;sans-serif" w:hAnsi="Futura Std Book;sans-serif"/>
                <w:b/>
                <w:color w:val="29378D"/>
                <w:sz w:val="48"/>
              </w:rPr>
              <w:t>66.9</w:t>
            </w:r>
          </w:p>
          <w:p>
            <w:pPr>
              <w:pStyle w:val="TableContents"/>
              <w:bidi w:val="0"/>
              <w:spacing w:lineRule="auto" w:line="288" w:before="40" w:after="60"/>
              <w:jc w:val="left"/>
              <w:rPr>
                <w:rFonts w:ascii="Futura Std Book;sans-serif" w:hAnsi="Futura Std Book;sans-serif"/>
                <w:b/>
                <w:color w:val="29378D"/>
                <w:sz w:val="16"/>
              </w:rPr>
            </w:pPr>
            <w:r>
              <w:rPr>
                <w:rFonts w:ascii="Futura Std Book;sans-serif" w:hAnsi="Futura Std Book;sans-serif"/>
                <w:b/>
                <w:color w:val="29378D"/>
                <w:sz w:val="16"/>
              </w:rPr>
              <w:t>YEARS</w:t>
            </w:r>
          </w:p>
        </w:tc>
        <w:tc>
          <w:tcPr>
            <w:tcW w:w="31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14525" cy="762000"/>
                  <wp:effectExtent l="0" t="0" r="0" b="0"/>
                  <wp:docPr id="9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3" descr=""/>
                          <pic:cNvPicPr>
                            <a:picLocks noChangeAspect="1" noChangeArrowheads="1"/>
                          </pic:cNvPicPr>
                        </pic:nvPicPr>
                        <pic:blipFill>
                          <a:blip r:embed="rId84"/>
                          <a:stretch>
                            <a:fillRect/>
                          </a:stretch>
                        </pic:blipFill>
                        <pic:spPr bwMode="auto">
                          <a:xfrm>
                            <a:off x="0" y="0"/>
                            <a:ext cx="1914525" cy="762000"/>
                          </a:xfrm>
                          <a:prstGeom prst="rect">
                            <a:avLst/>
                          </a:prstGeom>
                        </pic:spPr>
                      </pic:pic>
                    </a:graphicData>
                  </a:graphic>
                </wp:inline>
              </w:drawing>
            </w:r>
          </w:p>
        </w:tc>
        <w:tc>
          <w:tcPr>
            <w:tcW w:w="1814" w:type="dxa"/>
            <w:gridSpan w:val="3"/>
            <w:tcBorders/>
            <w:tcMar>
              <w:top w:w="0" w:type="dxa"/>
              <w:left w:w="0" w:type="dxa"/>
              <w:bottom w:w="0" w:type="dxa"/>
              <w:right w:w="0" w:type="dxa"/>
            </w:tcMar>
            <w:vAlign w:val="center"/>
          </w:tcPr>
          <w:p>
            <w:pPr>
              <w:pStyle w:val="TableContents"/>
              <w:bidi w:val="0"/>
              <w:spacing w:lineRule="auto" w:line="276" w:before="400" w:after="283"/>
              <w:jc w:val="left"/>
              <w:rPr>
                <w:rFonts w:ascii="Futura Std Book;sans-serif" w:hAnsi="Futura Std Book;sans-serif"/>
                <w:b/>
                <w:color w:val="00249C"/>
                <w:sz w:val="16"/>
              </w:rPr>
            </w:pPr>
            <w:r>
              <w:rPr>
                <w:rFonts w:ascii="Futura Std Book;sans-serif" w:hAnsi="Futura Std Book;sans-serif"/>
                <w:b/>
                <w:color w:val="00249C"/>
                <w:sz w:val="16"/>
              </w:rPr>
              <w:t>AVERAGE TENURE</w:t>
            </w:r>
          </w:p>
          <w:p>
            <w:pPr>
              <w:pStyle w:val="TableContents"/>
              <w:bidi w:val="0"/>
              <w:spacing w:lineRule="auto" w:line="312" w:before="220" w:after="40"/>
              <w:jc w:val="left"/>
              <w:rPr>
                <w:rFonts w:ascii="Futura Std Book;sans-serif" w:hAnsi="Futura Std Book;sans-serif"/>
                <w:b/>
                <w:color w:val="00249C"/>
                <w:sz w:val="48"/>
              </w:rPr>
            </w:pPr>
            <w:r>
              <w:rPr>
                <w:rFonts w:ascii="Futura Std Book;sans-serif" w:hAnsi="Futura Std Book;sans-serif"/>
                <w:b/>
                <w:color w:val="00249C"/>
                <w:sz w:val="48"/>
              </w:rPr>
              <w:t>8.2</w:t>
            </w:r>
          </w:p>
          <w:p>
            <w:pPr>
              <w:pStyle w:val="TableContents"/>
              <w:bidi w:val="0"/>
              <w:spacing w:lineRule="auto" w:line="312" w:before="40" w:after="283"/>
              <w:jc w:val="left"/>
              <w:rPr>
                <w:rFonts w:ascii="Futura Std Book;sans-serif" w:hAnsi="Futura Std Book;sans-serif"/>
                <w:b/>
                <w:color w:val="00249C"/>
                <w:sz w:val="16"/>
              </w:rPr>
            </w:pPr>
            <w:r>
              <w:rPr>
                <w:rFonts w:ascii="Futura Std Book;sans-serif" w:hAnsi="Futura Std Book;sans-serif"/>
                <w:b/>
                <w:color w:val="00249C"/>
                <w:sz w:val="16"/>
              </w:rPr>
              <w:t>YEARS</w:t>
            </w:r>
          </w:p>
        </w:tc>
        <w:tc>
          <w:tcPr>
            <w:tcW w:w="31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14525" cy="762000"/>
                  <wp:effectExtent l="0" t="0" r="0" b="0"/>
                  <wp:docPr id="9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4" descr=""/>
                          <pic:cNvPicPr>
                            <a:picLocks noChangeAspect="1" noChangeArrowheads="1"/>
                          </pic:cNvPicPr>
                        </pic:nvPicPr>
                        <pic:blipFill>
                          <a:blip r:embed="rId85"/>
                          <a:stretch>
                            <a:fillRect/>
                          </a:stretch>
                        </pic:blipFill>
                        <pic:spPr bwMode="auto">
                          <a:xfrm>
                            <a:off x="0" y="0"/>
                            <a:ext cx="1914525" cy="762000"/>
                          </a:xfrm>
                          <a:prstGeom prst="rect">
                            <a:avLst/>
                          </a:prstGeom>
                        </pic:spPr>
                      </pic:pic>
                    </a:graphicData>
                  </a:graphic>
                </wp:inline>
              </w:drawing>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200" w:after="400"/>
        <w:jc w:val="left"/>
        <w:rPr/>
      </w:pPr>
      <w:r>
        <w:rPr>
          <w:rFonts w:ascii="Futura Std Book;sans-serif" w:hAnsi="Futura Std Book;sans-serif"/>
          <w:b w:val="false"/>
          <w:color w:val="000000"/>
          <w:sz w:val="28"/>
        </w:rPr>
        <w:t xml:space="preserve">Our Board brings a </w:t>
      </w:r>
      <w:r>
        <w:rPr>
          <w:rFonts w:ascii="Futura Std Book;sans-serif" w:hAnsi="Futura Std Book;sans-serif"/>
          <w:b/>
          <w:color w:val="29378D"/>
          <w:sz w:val="28"/>
        </w:rPr>
        <w:t>vast array of experience and talents</w:t>
      </w:r>
      <w:r>
        <w:rPr>
          <w:color w:val="000000"/>
        </w:rPr>
        <w:t xml:space="preserve"> </w:t>
      </w:r>
      <w:r>
        <w:rPr>
          <w:rFonts w:ascii="Futura Std Book;sans-serif" w:hAnsi="Futura Std Book;sans-serif"/>
          <w:b w:val="false"/>
          <w:color w:val="000000"/>
          <w:sz w:val="28"/>
        </w:rPr>
        <w:t>that help foster the long-term success of the Company, and benefit all of its stakeholders:</w:t>
      </w:r>
    </w:p>
    <w:tbl>
      <w:tblPr>
        <w:tblW w:w="10205" w:type="dxa"/>
        <w:jc w:val="left"/>
        <w:tblInd w:w="0" w:type="dxa"/>
        <w:tblLayout w:type="fixed"/>
        <w:tblCellMar>
          <w:top w:w="28" w:type="dxa"/>
          <w:left w:w="28" w:type="dxa"/>
          <w:bottom w:w="28" w:type="dxa"/>
          <w:right w:w="28" w:type="dxa"/>
        </w:tblCellMar>
      </w:tblPr>
      <w:tblGrid>
        <w:gridCol w:w="318"/>
        <w:gridCol w:w="280"/>
        <w:gridCol w:w="283"/>
        <w:gridCol w:w="1120"/>
        <w:gridCol w:w="1090"/>
        <w:gridCol w:w="1092"/>
        <w:gridCol w:w="247"/>
        <w:gridCol w:w="247"/>
        <w:gridCol w:w="252"/>
        <w:gridCol w:w="1606"/>
        <w:gridCol w:w="1551"/>
        <w:gridCol w:w="2119"/>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438150" cy="371475"/>
                  <wp:effectExtent l="0" t="0" r="0" b="0"/>
                  <wp:docPr id="9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5" descr=""/>
                          <pic:cNvPicPr>
                            <a:picLocks noChangeAspect="1" noChangeArrowheads="1"/>
                          </pic:cNvPicPr>
                        </pic:nvPicPr>
                        <pic:blipFill>
                          <a:blip r:embed="rId86"/>
                          <a:stretch>
                            <a:fillRect/>
                          </a:stretch>
                        </pic:blipFill>
                        <pic:spPr bwMode="auto">
                          <a:xfrm>
                            <a:off x="0" y="0"/>
                            <a:ext cx="438150" cy="371475"/>
                          </a:xfrm>
                          <a:prstGeom prst="rect">
                            <a:avLst/>
                          </a:prstGeom>
                        </pic:spPr>
                      </pic:pic>
                    </a:graphicData>
                  </a:graphic>
                </wp:inline>
              </w:drawing>
            </w:r>
            <w:r>
              <w:rPr>
                <w:color w:val="000000"/>
              </w:rPr>
              <w:t> </w:t>
            </w:r>
          </w:p>
        </w:tc>
        <w:tc>
          <w:tcPr>
            <w:tcW w:w="3302"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Senior Leadership Experience</w:t>
            </w:r>
          </w:p>
        </w:tc>
        <w:tc>
          <w:tcPr>
            <w:tcW w:w="746"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drawing>
                <wp:inline distT="0" distB="0" distL="0" distR="0">
                  <wp:extent cx="266700" cy="381000"/>
                  <wp:effectExtent l="0" t="0" r="0" b="0"/>
                  <wp:docPr id="9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6" descr=""/>
                          <pic:cNvPicPr>
                            <a:picLocks noChangeAspect="1" noChangeArrowheads="1"/>
                          </pic:cNvPicPr>
                        </pic:nvPicPr>
                        <pic:blipFill>
                          <a:blip r:embed="rId87"/>
                          <a:stretch>
                            <a:fillRect/>
                          </a:stretch>
                        </pic:blipFill>
                        <pic:spPr bwMode="auto">
                          <a:xfrm>
                            <a:off x="0" y="0"/>
                            <a:ext cx="266700" cy="381000"/>
                          </a:xfrm>
                          <a:prstGeom prst="rect">
                            <a:avLst/>
                          </a:prstGeom>
                        </pic:spPr>
                      </pic:pic>
                    </a:graphicData>
                  </a:graphic>
                </wp:inline>
              </w:drawing>
            </w:r>
            <w:r>
              <w:rPr>
                <w:color w:val="000000"/>
              </w:rPr>
              <w:t> </w:t>
            </w:r>
          </w:p>
        </w:tc>
        <w:tc>
          <w:tcPr>
            <w:tcW w:w="5276"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8"/>
              </w:rPr>
            </w:pPr>
            <w:r>
              <w:rPr>
                <w:rFonts w:ascii="Futura Std Book;sans-serif" w:hAnsi="Futura Std Book;sans-serif"/>
                <w:b/>
                <w:color w:val="000000"/>
                <w:sz w:val="18"/>
              </w:rPr>
              <w:t>Senior Government/Military Experience</w:t>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438150" cy="428625"/>
                  <wp:effectExtent l="0" t="0" r="0" b="0"/>
                  <wp:docPr id="10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7" descr=""/>
                          <pic:cNvPicPr>
                            <a:picLocks noChangeAspect="1" noChangeArrowheads="1"/>
                          </pic:cNvPicPr>
                        </pic:nvPicPr>
                        <pic:blipFill>
                          <a:blip r:embed="rId88"/>
                          <a:stretch>
                            <a:fillRect/>
                          </a:stretch>
                        </pic:blipFill>
                        <pic:spPr bwMode="auto">
                          <a:xfrm>
                            <a:off x="0" y="0"/>
                            <a:ext cx="438150" cy="428625"/>
                          </a:xfrm>
                          <a:prstGeom prst="rect">
                            <a:avLst/>
                          </a:prstGeom>
                        </pic:spPr>
                      </pic:pic>
                    </a:graphicData>
                  </a:graphic>
                </wp:inline>
              </w:drawing>
            </w:r>
            <w:r>
              <w:rPr>
                <w:color w:val="000000"/>
              </w:rPr>
              <w:t> </w:t>
            </w:r>
          </w:p>
        </w:tc>
        <w:tc>
          <w:tcPr>
            <w:tcW w:w="3302"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Corporate Governance Expertise</w:t>
            </w:r>
          </w:p>
        </w:tc>
        <w:tc>
          <w:tcPr>
            <w:tcW w:w="746"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381000" cy="381000"/>
                  <wp:effectExtent l="0" t="0" r="0" b="0"/>
                  <wp:docPr id="10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8" descr=""/>
                          <pic:cNvPicPr>
                            <a:picLocks noChangeAspect="1" noChangeArrowheads="1"/>
                          </pic:cNvPicPr>
                        </pic:nvPicPr>
                        <pic:blipFill>
                          <a:blip r:embed="rId89"/>
                          <a:stretch>
                            <a:fillRect/>
                          </a:stretch>
                        </pic:blipFill>
                        <pic:spPr bwMode="auto">
                          <a:xfrm>
                            <a:off x="0" y="0"/>
                            <a:ext cx="381000" cy="381000"/>
                          </a:xfrm>
                          <a:prstGeom prst="rect">
                            <a:avLst/>
                          </a:prstGeom>
                        </pic:spPr>
                      </pic:pic>
                    </a:graphicData>
                  </a:graphic>
                </wp:inline>
              </w:drawing>
            </w:r>
            <w:r>
              <w:rPr>
                <w:color w:val="000000"/>
              </w:rPr>
              <w:t> </w:t>
            </w:r>
          </w:p>
        </w:tc>
        <w:tc>
          <w:tcPr>
            <w:tcW w:w="5276"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International Experience</w:t>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66700" cy="352425"/>
                  <wp:effectExtent l="0" t="0" r="0" b="0"/>
                  <wp:docPr id="10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9" descr=""/>
                          <pic:cNvPicPr>
                            <a:picLocks noChangeAspect="1" noChangeArrowheads="1"/>
                          </pic:cNvPicPr>
                        </pic:nvPicPr>
                        <pic:blipFill>
                          <a:blip r:embed="rId90"/>
                          <a:stretch>
                            <a:fillRect/>
                          </a:stretch>
                        </pic:blipFill>
                        <pic:spPr bwMode="auto">
                          <a:xfrm>
                            <a:off x="0" y="0"/>
                            <a:ext cx="266700" cy="352425"/>
                          </a:xfrm>
                          <a:prstGeom prst="rect">
                            <a:avLst/>
                          </a:prstGeom>
                        </pic:spPr>
                      </pic:pic>
                    </a:graphicData>
                  </a:graphic>
                </wp:inline>
              </w:drawing>
            </w:r>
            <w:r>
              <w:rPr>
                <w:color w:val="000000"/>
              </w:rPr>
              <w:t> </w:t>
            </w:r>
          </w:p>
        </w:tc>
        <w:tc>
          <w:tcPr>
            <w:tcW w:w="3302"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Financial Expertise/Literacy</w:t>
            </w:r>
          </w:p>
        </w:tc>
        <w:tc>
          <w:tcPr>
            <w:tcW w:w="746"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pPr>
            <w:r>
              <w:rPr/>
              <w:drawing>
                <wp:inline distT="0" distB="0" distL="0" distR="0">
                  <wp:extent cx="381000" cy="390525"/>
                  <wp:effectExtent l="0" t="0" r="0" b="0"/>
                  <wp:docPr id="10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0" descr=""/>
                          <pic:cNvPicPr>
                            <a:picLocks noChangeAspect="1" noChangeArrowheads="1"/>
                          </pic:cNvPicPr>
                        </pic:nvPicPr>
                        <pic:blipFill>
                          <a:blip r:embed="rId91"/>
                          <a:stretch>
                            <a:fillRect/>
                          </a:stretch>
                        </pic:blipFill>
                        <pic:spPr bwMode="auto">
                          <a:xfrm>
                            <a:off x="0" y="0"/>
                            <a:ext cx="381000" cy="390525"/>
                          </a:xfrm>
                          <a:prstGeom prst="rect">
                            <a:avLst/>
                          </a:prstGeom>
                        </pic:spPr>
                      </pic:pic>
                    </a:graphicData>
                  </a:graphic>
                </wp:inline>
              </w:drawing>
            </w:r>
            <w:r>
              <w:rPr>
                <w:color w:val="000000"/>
              </w:rPr>
              <w:t> </w:t>
            </w:r>
          </w:p>
        </w:tc>
        <w:tc>
          <w:tcPr>
            <w:tcW w:w="5276" w:type="dxa"/>
            <w:gridSpan w:val="3"/>
            <w:tcBorders/>
            <w:shd w:fill="E6E7E8" w:val="clear"/>
            <w:tcMar>
              <w:top w:w="0" w:type="dxa"/>
              <w:left w:w="0" w:type="dxa"/>
              <w:bottom w:w="0" w:type="dxa"/>
              <w:right w:w="0" w:type="dxa"/>
            </w:tcMar>
            <w:vAlign w:val="center"/>
          </w:tcPr>
          <w:p>
            <w:pPr>
              <w:pStyle w:val="TableContents"/>
              <w:bidi w:val="0"/>
              <w:spacing w:lineRule="auto" w:line="312" w:before="120" w:after="120"/>
              <w:jc w:val="left"/>
              <w:rPr>
                <w:rFonts w:ascii="Futura Std Book;sans-serif" w:hAnsi="Futura Std Book;sans-serif"/>
                <w:b/>
                <w:color w:val="000000"/>
                <w:sz w:val="18"/>
              </w:rPr>
            </w:pPr>
            <w:r>
              <w:rPr>
                <w:rFonts w:ascii="Futura Std Book;sans-serif" w:hAnsi="Futura Std Book;sans-serif"/>
                <w:b/>
                <w:color w:val="000000"/>
                <w:sz w:val="18"/>
              </w:rPr>
              <w:t>Human Capital Strategy/</w:t>
            </w:r>
          </w:p>
          <w:p>
            <w:pPr>
              <w:pStyle w:val="TableContents"/>
              <w:bidi w:val="0"/>
              <w:spacing w:lineRule="auto" w:line="312" w:before="120" w:after="120"/>
              <w:jc w:val="left"/>
              <w:rPr>
                <w:rFonts w:ascii="Futura Std Book;sans-serif" w:hAnsi="Futura Std Book;sans-serif"/>
                <w:b/>
                <w:color w:val="000000"/>
                <w:sz w:val="18"/>
              </w:rPr>
            </w:pPr>
            <w:r>
              <w:rPr>
                <w:rFonts w:ascii="Futura Std Book;sans-serif" w:hAnsi="Futura Std Book;sans-serif"/>
                <w:b/>
                <w:color w:val="000000"/>
                <w:sz w:val="18"/>
              </w:rPr>
              <w:t>Talent Management</w:t>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390525" cy="390525"/>
                  <wp:effectExtent l="0" t="0" r="0" b="0"/>
                  <wp:docPr id="10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1" descr=""/>
                          <pic:cNvPicPr>
                            <a:picLocks noChangeAspect="1" noChangeArrowheads="1"/>
                          </pic:cNvPicPr>
                        </pic:nvPicPr>
                        <pic:blipFill>
                          <a:blip r:embed="rId92"/>
                          <a:stretch>
                            <a:fillRect/>
                          </a:stretch>
                        </pic:blipFill>
                        <pic:spPr bwMode="auto">
                          <a:xfrm>
                            <a:off x="0" y="0"/>
                            <a:ext cx="390525" cy="390525"/>
                          </a:xfrm>
                          <a:prstGeom prst="rect">
                            <a:avLst/>
                          </a:prstGeom>
                        </pic:spPr>
                      </pic:pic>
                    </a:graphicData>
                  </a:graphic>
                </wp:inline>
              </w:drawing>
            </w:r>
            <w:r>
              <w:rPr>
                <w:color w:val="000000"/>
              </w:rPr>
              <w:t> </w:t>
            </w:r>
          </w:p>
        </w:tc>
        <w:tc>
          <w:tcPr>
            <w:tcW w:w="3302"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8"/>
              </w:rPr>
            </w:pPr>
            <w:r>
              <w:rPr>
                <w:rFonts w:ascii="Futura Std Book;sans-serif" w:hAnsi="Futura Std Book;sans-serif"/>
                <w:b/>
                <w:color w:val="000000"/>
                <w:sz w:val="18"/>
              </w:rPr>
              <w:t>Risk Oversight/Management</w:t>
            </w:r>
          </w:p>
        </w:tc>
        <w:tc>
          <w:tcPr>
            <w:tcW w:w="746" w:type="dxa"/>
            <w:gridSpan w:val="3"/>
            <w:tcBorders/>
            <w:shd w:fill="E6E7E8" w:val="clear"/>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00050" cy="409575"/>
                  <wp:effectExtent l="0" t="0" r="0" b="0"/>
                  <wp:docPr id="10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2" descr=""/>
                          <pic:cNvPicPr>
                            <a:picLocks noChangeAspect="1" noChangeArrowheads="1"/>
                          </pic:cNvPicPr>
                        </pic:nvPicPr>
                        <pic:blipFill>
                          <a:blip r:embed="rId93"/>
                          <a:stretch>
                            <a:fillRect/>
                          </a:stretch>
                        </pic:blipFill>
                        <pic:spPr bwMode="auto">
                          <a:xfrm>
                            <a:off x="0" y="0"/>
                            <a:ext cx="400050" cy="409575"/>
                          </a:xfrm>
                          <a:prstGeom prst="rect">
                            <a:avLst/>
                          </a:prstGeom>
                        </pic:spPr>
                      </pic:pic>
                    </a:graphicData>
                  </a:graphic>
                </wp:inline>
              </w:drawing>
            </w:r>
          </w:p>
        </w:tc>
        <w:tc>
          <w:tcPr>
            <w:tcW w:w="5276"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8"/>
              </w:rPr>
            </w:pPr>
            <w:r>
              <w:rPr>
                <w:rFonts w:ascii="Futura Std Book;sans-serif" w:hAnsi="Futura Std Book;sans-serif"/>
                <w:b/>
                <w:color w:val="000000"/>
                <w:sz w:val="18"/>
              </w:rPr>
              <w:t>Cybersecurity/Technology Expertise</w:t>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457200" cy="457200"/>
                  <wp:effectExtent l="0" t="0" r="0" b="0"/>
                  <wp:docPr id="10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3" descr=""/>
                          <pic:cNvPicPr>
                            <a:picLocks noChangeAspect="1" noChangeArrowheads="1"/>
                          </pic:cNvPicPr>
                        </pic:nvPicPr>
                        <pic:blipFill>
                          <a:blip r:embed="rId94"/>
                          <a:stretch>
                            <a:fillRect/>
                          </a:stretch>
                        </pic:blipFill>
                        <pic:spPr bwMode="auto">
                          <a:xfrm>
                            <a:off x="0" y="0"/>
                            <a:ext cx="457200" cy="457200"/>
                          </a:xfrm>
                          <a:prstGeom prst="rect">
                            <a:avLst/>
                          </a:prstGeom>
                        </pic:spPr>
                      </pic:pic>
                    </a:graphicData>
                  </a:graphic>
                </wp:inline>
              </w:drawing>
            </w:r>
            <w:r>
              <w:rPr>
                <w:color w:val="000000"/>
              </w:rPr>
              <w:t> </w:t>
            </w:r>
          </w:p>
        </w:tc>
        <w:tc>
          <w:tcPr>
            <w:tcW w:w="3302" w:type="dxa"/>
            <w:gridSpan w:val="3"/>
            <w:tcBorders/>
            <w:shd w:fill="E6E7E8" w:val="clear"/>
            <w:tcMar>
              <w:top w:w="0" w:type="dxa"/>
              <w:left w:w="0" w:type="dxa"/>
              <w:bottom w:w="0" w:type="dxa"/>
              <w:right w:w="0" w:type="dxa"/>
            </w:tcMar>
            <w:vAlign w:val="center"/>
          </w:tcPr>
          <w:p>
            <w:pPr>
              <w:pStyle w:val="TableContents"/>
              <w:bidi w:val="0"/>
              <w:spacing w:lineRule="auto" w:line="319" w:before="120" w:after="120"/>
              <w:jc w:val="left"/>
              <w:rPr>
                <w:rFonts w:ascii="Futura Std Book;sans-serif" w:hAnsi="Futura Std Book;sans-serif"/>
                <w:b/>
                <w:color w:val="000000"/>
                <w:sz w:val="18"/>
              </w:rPr>
            </w:pPr>
            <w:r>
              <w:rPr>
                <w:rFonts w:ascii="Futura Std Book;sans-serif" w:hAnsi="Futura Std Book;sans-serif"/>
                <w:b/>
                <w:color w:val="000000"/>
                <w:sz w:val="18"/>
              </w:rPr>
              <w:t>Defense and Industrial Experience</w:t>
            </w:r>
          </w:p>
        </w:tc>
        <w:tc>
          <w:tcPr>
            <w:tcW w:w="746"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pPr>
            <w:r>
              <w:rPr>
                <w:color w:val="000000"/>
              </w:rPr>
              <w:t> </w:t>
            </w:r>
            <w:r>
              <w:rPr/>
              <w:drawing>
                <wp:inline distT="0" distB="0" distL="0" distR="0">
                  <wp:extent cx="323850" cy="447675"/>
                  <wp:effectExtent l="0" t="0" r="0" b="0"/>
                  <wp:docPr id="10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4" descr=""/>
                          <pic:cNvPicPr>
                            <a:picLocks noChangeAspect="1" noChangeArrowheads="1"/>
                          </pic:cNvPicPr>
                        </pic:nvPicPr>
                        <pic:blipFill>
                          <a:blip r:embed="rId95"/>
                          <a:stretch>
                            <a:fillRect/>
                          </a:stretch>
                        </pic:blipFill>
                        <pic:spPr bwMode="auto">
                          <a:xfrm>
                            <a:off x="0" y="0"/>
                            <a:ext cx="323850" cy="447675"/>
                          </a:xfrm>
                          <a:prstGeom prst="rect">
                            <a:avLst/>
                          </a:prstGeom>
                        </pic:spPr>
                      </pic:pic>
                    </a:graphicData>
                  </a:graphic>
                </wp:inline>
              </w:drawing>
            </w:r>
            <w:r>
              <w:rPr>
                <w:color w:val="000000"/>
              </w:rPr>
              <w:t> </w:t>
            </w:r>
          </w:p>
        </w:tc>
        <w:tc>
          <w:tcPr>
            <w:tcW w:w="5276" w:type="dxa"/>
            <w:gridSpan w:val="3"/>
            <w:tcBorders/>
            <w:shd w:fill="E6E7E8" w:val="clear"/>
            <w:tcMar>
              <w:top w:w="0" w:type="dxa"/>
              <w:left w:w="0" w:type="dxa"/>
              <w:bottom w:w="0" w:type="dxa"/>
              <w:right w:w="0" w:type="dxa"/>
            </w:tcMar>
            <w:vAlign w:val="center"/>
          </w:tcPr>
          <w:p>
            <w:pPr>
              <w:pStyle w:val="TableContents"/>
              <w:bidi w:val="0"/>
              <w:spacing w:lineRule="auto" w:line="312" w:before="120" w:after="120"/>
              <w:jc w:val="left"/>
              <w:rPr>
                <w:rFonts w:ascii="Futura Std Book;sans-serif" w:hAnsi="Futura Std Book;sans-serif"/>
                <w:b/>
                <w:color w:val="000000"/>
                <w:sz w:val="18"/>
              </w:rPr>
            </w:pPr>
            <w:r>
              <w:rPr>
                <w:rFonts w:ascii="Futura Std Book;sans-serif" w:hAnsi="Futura Std Book;sans-serif"/>
                <w:b/>
                <w:color w:val="000000"/>
                <w:sz w:val="18"/>
              </w:rPr>
              <w:t>Environmental Sustainability/Corporate Responsibility</w:t>
            </w:r>
          </w:p>
        </w:tc>
      </w:tr>
      <w:tr>
        <w:trPr/>
        <w:tc>
          <w:tcPr>
            <w:tcW w:w="88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554990"/>
                <wp:effectExtent l="0" t="0" r="0" b="0"/>
                <wp:wrapNone/>
                <wp:docPr id="108" name="Frame1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Proxy Statement Summary</w:t>
      </w:r>
    </w:p>
    <w:p>
      <w:pPr>
        <w:pStyle w:val="TextBody"/>
        <w:bidi w:val="0"/>
        <w:spacing w:lineRule="auto" w:line="288" w:before="0" w:after="360"/>
        <w:jc w:val="left"/>
        <w:rPr>
          <w:rFonts w:ascii="Futura Std Book;sans-serif" w:hAnsi="Futura Std Book;sans-serif"/>
          <w:b/>
          <w:color w:val="000000"/>
          <w:sz w:val="36"/>
        </w:rPr>
      </w:pPr>
      <w:r>
        <w:rPr>
          <w:rFonts w:ascii="Futura Std Book;sans-serif" w:hAnsi="Futura Std Book;sans-serif"/>
          <w:b/>
          <w:color w:val="000000"/>
          <w:sz w:val="36"/>
        </w:rPr>
        <w:t>Governance Highlights</w:t>
      </w:r>
    </w:p>
    <w:tbl>
      <w:tblPr>
        <w:tblW w:w="10205" w:type="dxa"/>
        <w:jc w:val="left"/>
        <w:tblInd w:w="0" w:type="dxa"/>
        <w:tblLayout w:type="fixed"/>
        <w:tblCellMar>
          <w:top w:w="28" w:type="dxa"/>
          <w:left w:w="28" w:type="dxa"/>
          <w:bottom w:w="28" w:type="dxa"/>
          <w:right w:w="28" w:type="dxa"/>
        </w:tblCellMar>
      </w:tblPr>
      <w:tblGrid>
        <w:gridCol w:w="904"/>
        <w:gridCol w:w="795"/>
        <w:gridCol w:w="797"/>
        <w:gridCol w:w="109"/>
        <w:gridCol w:w="109"/>
        <w:gridCol w:w="109"/>
        <w:gridCol w:w="1423"/>
        <w:gridCol w:w="1423"/>
        <w:gridCol w:w="1426"/>
        <w:gridCol w:w="109"/>
        <w:gridCol w:w="109"/>
        <w:gridCol w:w="109"/>
        <w:gridCol w:w="813"/>
        <w:gridCol w:w="813"/>
        <w:gridCol w:w="1157"/>
      </w:tblGrid>
      <w:tr>
        <w:trPr/>
        <w:tc>
          <w:tcPr>
            <w:tcW w:w="90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STRONG INDEPENDENT</w:t>
            </w:r>
          </w:p>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OVERSIGHT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COMMITMENT TO BOARD</w:t>
            </w:r>
          </w:p>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EFFECTIVENESS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ROBUST SHAREHOLDER</w:t>
              <w:br/>
              <w:t>RIGHTS</w:t>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95250" cy="76200"/>
                  <wp:effectExtent l="0" t="0" r="0" b="0"/>
                  <wp:docPr id="10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5" descr=""/>
                          <pic:cNvPicPr>
                            <a:picLocks noChangeAspect="1" noChangeArrowheads="1"/>
                          </pic:cNvPicPr>
                        </pic:nvPicPr>
                        <pic:blipFill>
                          <a:blip r:embed="rId96"/>
                          <a:stretch>
                            <a:fillRect/>
                          </a:stretch>
                        </pic:blipFill>
                        <pic:spPr bwMode="auto">
                          <a:xfrm>
                            <a:off x="0" y="0"/>
                            <a:ext cx="95250" cy="76200"/>
                          </a:xfrm>
                          <a:prstGeom prst="rect">
                            <a:avLst/>
                          </a:prstGeom>
                        </pic:spPr>
                      </pic:pic>
                    </a:graphicData>
                  </a:graphic>
                </wp:inline>
              </w:drawing>
            </w:r>
            <w:r>
              <w:rPr>
                <w:color w:val="000000"/>
              </w:rPr>
              <w:t>  </w:t>
            </w:r>
            <w:r>
              <w:rPr>
                <w:rFonts w:ascii="Futura Std Book;sans-serif" w:hAnsi="Futura Std Book;sans-serif"/>
                <w:b w:val="false"/>
                <w:color w:val="000000"/>
                <w:sz w:val="17"/>
              </w:rPr>
              <w:t>92% independent Board</w:t>
            </w:r>
          </w:p>
          <w:p>
            <w:pPr>
              <w:pStyle w:val="TableContents"/>
              <w:bidi w:val="0"/>
              <w:spacing w:lineRule="auto" w:line="288" w:before="80" w:after="80"/>
              <w:ind w:left="0" w:right="0" w:hanging="259"/>
              <w:jc w:val="left"/>
              <w:rPr/>
            </w:pPr>
            <w:r>
              <w:rPr/>
              <w:drawing>
                <wp:inline distT="0" distB="0" distL="0" distR="0">
                  <wp:extent cx="95250" cy="76200"/>
                  <wp:effectExtent l="0" t="0" r="0" b="0"/>
                  <wp:docPr id="11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6" descr=""/>
                          <pic:cNvPicPr>
                            <a:picLocks noChangeAspect="1" noChangeArrowheads="1"/>
                          </pic:cNvPicPr>
                        </pic:nvPicPr>
                        <pic:blipFill>
                          <a:blip r:embed="rId97"/>
                          <a:stretch>
                            <a:fillRect/>
                          </a:stretch>
                        </pic:blipFill>
                        <pic:spPr bwMode="auto">
                          <a:xfrm>
                            <a:off x="0" y="0"/>
                            <a:ext cx="95250" cy="76200"/>
                          </a:xfrm>
                          <a:prstGeom prst="rect">
                            <a:avLst/>
                          </a:prstGeom>
                        </pic:spPr>
                      </pic:pic>
                    </a:graphicData>
                  </a:graphic>
                </wp:inline>
              </w:drawing>
            </w:r>
            <w:r>
              <w:rPr>
                <w:color w:val="000000"/>
              </w:rPr>
              <w:t>  </w:t>
            </w:r>
            <w:r>
              <w:rPr>
                <w:rFonts w:ascii="Futura Std Book;sans-serif" w:hAnsi="Futura Std Book;sans-serif"/>
                <w:b w:val="false"/>
                <w:color w:val="000000"/>
                <w:sz w:val="17"/>
              </w:rPr>
              <w:t>Fully independent Board committees</w:t>
            </w:r>
          </w:p>
          <w:p>
            <w:pPr>
              <w:pStyle w:val="TableContents"/>
              <w:bidi w:val="0"/>
              <w:spacing w:lineRule="auto" w:line="288" w:before="80" w:after="80"/>
              <w:ind w:left="0" w:right="0" w:hanging="259"/>
              <w:jc w:val="left"/>
              <w:rPr/>
            </w:pPr>
            <w:r>
              <w:rPr/>
              <w:drawing>
                <wp:inline distT="0" distB="0" distL="0" distR="0">
                  <wp:extent cx="95250" cy="85725"/>
                  <wp:effectExtent l="0" t="0" r="0" b="0"/>
                  <wp:docPr id="11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7" descr=""/>
                          <pic:cNvPicPr>
                            <a:picLocks noChangeAspect="1" noChangeArrowheads="1"/>
                          </pic:cNvPicPr>
                        </pic:nvPicPr>
                        <pic:blipFill>
                          <a:blip r:embed="rId98"/>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Lead Independent Director with robust responsibilities and oversight</w:t>
            </w:r>
          </w:p>
          <w:p>
            <w:pPr>
              <w:pStyle w:val="TableContents"/>
              <w:bidi w:val="0"/>
              <w:spacing w:lineRule="auto" w:line="288" w:before="80" w:after="80"/>
              <w:ind w:left="0" w:right="0" w:hanging="259"/>
              <w:jc w:val="left"/>
              <w:rPr/>
            </w:pPr>
            <w:r>
              <w:rPr/>
              <w:drawing>
                <wp:inline distT="0" distB="0" distL="0" distR="0">
                  <wp:extent cx="95250" cy="85725"/>
                  <wp:effectExtent l="0" t="0" r="0" b="0"/>
                  <wp:docPr id="11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8" descr=""/>
                          <pic:cNvPicPr>
                            <a:picLocks noChangeAspect="1" noChangeArrowheads="1"/>
                          </pic:cNvPicPr>
                        </pic:nvPicPr>
                        <pic:blipFill>
                          <a:blip r:embed="rId99"/>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Regular executive sessions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95250" cy="95250"/>
                  <wp:effectExtent l="0" t="0" r="0" b="0"/>
                  <wp:docPr id="11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9" descr=""/>
                          <pic:cNvPicPr>
                            <a:picLocks noChangeAspect="1" noChangeArrowheads="1"/>
                          </pic:cNvPicPr>
                        </pic:nvPicPr>
                        <pic:blipFill>
                          <a:blip r:embed="rId100"/>
                          <a:stretch>
                            <a:fillRect/>
                          </a:stretch>
                        </pic:blipFill>
                        <pic:spPr bwMode="auto">
                          <a:xfrm>
                            <a:off x="0" y="0"/>
                            <a:ext cx="95250" cy="95250"/>
                          </a:xfrm>
                          <a:prstGeom prst="rect">
                            <a:avLst/>
                          </a:prstGeom>
                        </pic:spPr>
                      </pic:pic>
                    </a:graphicData>
                  </a:graphic>
                </wp:inline>
              </w:drawing>
            </w:r>
            <w:r>
              <w:rPr>
                <w:color w:val="000000"/>
              </w:rPr>
              <w:t>  </w:t>
            </w:r>
            <w:r>
              <w:rPr>
                <w:rFonts w:ascii="Futura Std Book;sans-serif" w:hAnsi="Futura Std Book;sans-serif"/>
                <w:b w:val="false"/>
                <w:color w:val="000000"/>
                <w:sz w:val="17"/>
              </w:rPr>
              <w:t>Thorough annual self-assessment of Board, committee and individual director performance</w:t>
            </w:r>
          </w:p>
          <w:p>
            <w:pPr>
              <w:pStyle w:val="TableContents"/>
              <w:bidi w:val="0"/>
              <w:spacing w:lineRule="auto" w:line="288" w:before="80" w:after="80"/>
              <w:ind w:left="0" w:right="0" w:hanging="259"/>
              <w:jc w:val="left"/>
              <w:rPr/>
            </w:pPr>
            <w:r>
              <w:rPr/>
              <w:drawing>
                <wp:inline distT="0" distB="0" distL="0" distR="0">
                  <wp:extent cx="95250" cy="95250"/>
                  <wp:effectExtent l="0" t="0" r="0" b="0"/>
                  <wp:docPr id="11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0" descr=""/>
                          <pic:cNvPicPr>
                            <a:picLocks noChangeAspect="1" noChangeArrowheads="1"/>
                          </pic:cNvPicPr>
                        </pic:nvPicPr>
                        <pic:blipFill>
                          <a:blip r:embed="rId101"/>
                          <a:stretch>
                            <a:fillRect/>
                          </a:stretch>
                        </pic:blipFill>
                        <pic:spPr bwMode="auto">
                          <a:xfrm>
                            <a:off x="0" y="0"/>
                            <a:ext cx="95250" cy="9525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Overboarding policy (no more than three other public company boards) without the consent of the Chair, Nominating and Corporate Governance Committee</w:t>
            </w:r>
          </w:p>
          <w:p>
            <w:pPr>
              <w:pStyle w:val="TableContents"/>
              <w:bidi w:val="0"/>
              <w:spacing w:lineRule="auto" w:line="288" w:before="80" w:after="80"/>
              <w:ind w:left="0" w:right="0" w:hanging="259"/>
              <w:jc w:val="left"/>
              <w:rPr/>
            </w:pPr>
            <w:r>
              <w:rPr/>
              <w:drawing>
                <wp:inline distT="0" distB="0" distL="0" distR="0">
                  <wp:extent cx="95250" cy="95250"/>
                  <wp:effectExtent l="0" t="0" r="0" b="0"/>
                  <wp:docPr id="11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1" descr=""/>
                          <pic:cNvPicPr>
                            <a:picLocks noChangeAspect="1" noChangeArrowheads="1"/>
                          </pic:cNvPicPr>
                        </pic:nvPicPr>
                        <pic:blipFill>
                          <a:blip r:embed="rId102"/>
                          <a:stretch>
                            <a:fillRect/>
                          </a:stretch>
                        </pic:blipFill>
                        <pic:spPr bwMode="auto">
                          <a:xfrm>
                            <a:off x="0" y="0"/>
                            <a:ext cx="95250" cy="95250"/>
                          </a:xfrm>
                          <a:prstGeom prst="rect">
                            <a:avLst/>
                          </a:prstGeom>
                        </pic:spPr>
                      </pic:pic>
                    </a:graphicData>
                  </a:graphic>
                </wp:inline>
              </w:drawing>
            </w:r>
            <w:r>
              <w:rPr>
                <w:color w:val="000000"/>
              </w:rPr>
              <w:t>  </w:t>
            </w:r>
            <w:r>
              <w:rPr>
                <w:rFonts w:ascii="Futura Std Book;sans-serif" w:hAnsi="Futura Std Book;sans-serif"/>
                <w:b w:val="false"/>
                <w:color w:val="000000"/>
                <w:sz w:val="17"/>
              </w:rPr>
              <w:t>Focus on ability to devote appropriate time and resources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95250" cy="85725"/>
                  <wp:effectExtent l="0" t="0" r="0" b="0"/>
                  <wp:docPr id="11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2" descr=""/>
                          <pic:cNvPicPr>
                            <a:picLocks noChangeAspect="1" noChangeArrowheads="1"/>
                          </pic:cNvPicPr>
                        </pic:nvPicPr>
                        <pic:blipFill>
                          <a:blip r:embed="rId103"/>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Annual director elections with majority voting standard in uncontested elections</w:t>
            </w:r>
          </w:p>
          <w:p>
            <w:pPr>
              <w:pStyle w:val="TableContents"/>
              <w:bidi w:val="0"/>
              <w:spacing w:lineRule="auto" w:line="288" w:before="80" w:after="80"/>
              <w:ind w:left="0" w:right="0" w:hanging="259"/>
              <w:jc w:val="left"/>
              <w:rPr/>
            </w:pPr>
            <w:r>
              <w:rPr/>
              <w:drawing>
                <wp:inline distT="0" distB="0" distL="0" distR="0">
                  <wp:extent cx="95250" cy="85725"/>
                  <wp:effectExtent l="0" t="0" r="0" b="0"/>
                  <wp:docPr id="11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3" descr=""/>
                          <pic:cNvPicPr>
                            <a:picLocks noChangeAspect="1" noChangeArrowheads="1"/>
                          </pic:cNvPicPr>
                        </pic:nvPicPr>
                        <pic:blipFill>
                          <a:blip r:embed="rId104"/>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Proxy access</w:t>
            </w:r>
          </w:p>
          <w:p>
            <w:pPr>
              <w:pStyle w:val="TableContents"/>
              <w:bidi w:val="0"/>
              <w:spacing w:lineRule="auto" w:line="288" w:before="80" w:after="80"/>
              <w:ind w:left="0" w:right="0" w:hanging="259"/>
              <w:jc w:val="left"/>
              <w:rPr/>
            </w:pPr>
            <w:r>
              <w:rPr/>
              <w:drawing>
                <wp:inline distT="0" distB="0" distL="0" distR="0">
                  <wp:extent cx="95250" cy="85725"/>
                  <wp:effectExtent l="0" t="0" r="0" b="0"/>
                  <wp:docPr id="11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4" descr=""/>
                          <pic:cNvPicPr>
                            <a:picLocks noChangeAspect="1" noChangeArrowheads="1"/>
                          </pic:cNvPicPr>
                        </pic:nvPicPr>
                        <pic:blipFill>
                          <a:blip r:embed="rId105"/>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 xml:space="preserve">Right to call special meeting at 15% threshold </w:t>
            </w:r>
          </w:p>
          <w:p>
            <w:pPr>
              <w:pStyle w:val="TableContents"/>
              <w:bidi w:val="0"/>
              <w:spacing w:lineRule="auto" w:line="288" w:before="80" w:after="80"/>
              <w:ind w:left="0" w:right="0" w:hanging="259"/>
              <w:jc w:val="left"/>
              <w:rPr/>
            </w:pPr>
            <w:r>
              <w:rPr/>
              <w:drawing>
                <wp:inline distT="0" distB="0" distL="0" distR="0">
                  <wp:extent cx="95250" cy="85725"/>
                  <wp:effectExtent l="0" t="0" r="0" b="0"/>
                  <wp:docPr id="11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5" descr=""/>
                          <pic:cNvPicPr>
                            <a:picLocks noChangeAspect="1" noChangeArrowheads="1"/>
                          </pic:cNvPicPr>
                        </pic:nvPicPr>
                        <pic:blipFill>
                          <a:blip r:embed="rId106"/>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7"/>
              </w:rPr>
              <w:t>Right to act by written consent</w:t>
            </w:r>
          </w:p>
          <w:p>
            <w:pPr>
              <w:pStyle w:val="TableContents"/>
              <w:bidi w:val="0"/>
              <w:spacing w:lineRule="auto" w:line="288" w:before="80" w:after="80"/>
              <w:ind w:left="0" w:right="0" w:hanging="259"/>
              <w:jc w:val="left"/>
              <w:rPr/>
            </w:pPr>
            <w:r>
              <w:rPr/>
              <w:drawing>
                <wp:inline distT="0" distB="0" distL="0" distR="0">
                  <wp:extent cx="85725" cy="76200"/>
                  <wp:effectExtent l="0" t="0" r="0" b="0"/>
                  <wp:docPr id="12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6" descr=""/>
                          <pic:cNvPicPr>
                            <a:picLocks noChangeAspect="1" noChangeArrowheads="1"/>
                          </pic:cNvPicPr>
                        </pic:nvPicPr>
                        <pic:blipFill>
                          <a:blip r:embed="rId107"/>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 xml:space="preserve">No supermajority voting requirements </w:t>
            </w:r>
          </w:p>
        </w:tc>
      </w:tr>
      <w:tr>
        <w:trPr/>
        <w:tc>
          <w:tcPr>
            <w:tcW w:w="249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59"/>
              <w:jc w:val="left"/>
              <w:rPr>
                <w:sz w:val="4"/>
                <w:szCs w:val="4"/>
              </w:rPr>
            </w:pPr>
            <w:r>
              <w:rPr>
                <w:sz w:val="4"/>
                <w:szCs w:val="4"/>
              </w:rPr>
            </w:r>
          </w:p>
        </w:tc>
        <w:tc>
          <w:tcPr>
            <w:tcW w:w="427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59"/>
              <w:jc w:val="left"/>
              <w:rPr>
                <w:sz w:val="4"/>
                <w:szCs w:val="4"/>
              </w:rPr>
            </w:pPr>
            <w:r>
              <w:rPr>
                <w:sz w:val="4"/>
                <w:szCs w:val="4"/>
              </w:rPr>
            </w:r>
          </w:p>
        </w:tc>
        <w:tc>
          <w:tcPr>
            <w:tcW w:w="278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399"/>
        <w:gridCol w:w="1399"/>
        <w:gridCol w:w="1401"/>
        <w:gridCol w:w="109"/>
        <w:gridCol w:w="109"/>
        <w:gridCol w:w="109"/>
        <w:gridCol w:w="1653"/>
        <w:gridCol w:w="1653"/>
        <w:gridCol w:w="165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BOARD REFRESHMENT, COMPOSITION AND RECOGNITION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ALIGNMENT AND ENGAGEMENT WITH SHAREHOLDER INTERESTS</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85725" cy="76200"/>
                  <wp:effectExtent l="0" t="0" r="0" b="0"/>
                  <wp:docPr id="12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7" descr=""/>
                          <pic:cNvPicPr>
                            <a:picLocks noChangeAspect="1" noChangeArrowheads="1"/>
                          </pic:cNvPicPr>
                        </pic:nvPicPr>
                        <pic:blipFill>
                          <a:blip r:embed="rId108"/>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 xml:space="preserve">Sustained history of highly qualified directors with wide-ranging skills and perspectives, including current slate of director nominees </w:t>
            </w:r>
          </w:p>
          <w:p>
            <w:pPr>
              <w:pStyle w:val="TableContents"/>
              <w:bidi w:val="0"/>
              <w:spacing w:lineRule="auto" w:line="288" w:before="80" w:after="80"/>
              <w:ind w:left="0" w:right="0" w:hanging="259"/>
              <w:jc w:val="left"/>
              <w:rPr/>
            </w:pPr>
            <w:r>
              <w:rPr/>
              <w:drawing>
                <wp:inline distT="0" distB="0" distL="0" distR="0">
                  <wp:extent cx="85725" cy="76200"/>
                  <wp:effectExtent l="0" t="0" r="0" b="0"/>
                  <wp:docPr id="12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8" descr=""/>
                          <pic:cNvPicPr>
                            <a:picLocks noChangeAspect="1" noChangeArrowheads="1"/>
                          </pic:cNvPicPr>
                        </pic:nvPicPr>
                        <pic:blipFill>
                          <a:blip r:embed="rId109"/>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 xml:space="preserve">Mandatory retirement at age 75 </w:t>
            </w:r>
          </w:p>
          <w:p>
            <w:pPr>
              <w:pStyle w:val="TableContents"/>
              <w:bidi w:val="0"/>
              <w:spacing w:lineRule="auto" w:line="288" w:before="80" w:after="80"/>
              <w:ind w:left="0" w:right="0" w:hanging="259"/>
              <w:jc w:val="left"/>
              <w:rPr/>
            </w:pPr>
            <w:r>
              <w:rPr/>
              <w:drawing>
                <wp:inline distT="0" distB="0" distL="0" distR="0">
                  <wp:extent cx="85725" cy="76200"/>
                  <wp:effectExtent l="0" t="0" r="0" b="0"/>
                  <wp:docPr id="12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9" descr=""/>
                          <pic:cNvPicPr>
                            <a:picLocks noChangeAspect="1" noChangeArrowheads="1"/>
                          </pic:cNvPicPr>
                        </pic:nvPicPr>
                        <pic:blipFill>
                          <a:blip r:embed="rId110"/>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Consistent Board refreshment (5 new directors have been added and 4 directors have left our Board since 2020)</w:t>
            </w:r>
          </w:p>
          <w:p>
            <w:pPr>
              <w:pStyle w:val="TableContents"/>
              <w:bidi w:val="0"/>
              <w:spacing w:lineRule="auto" w:line="288" w:before="80" w:after="80"/>
              <w:ind w:left="0" w:right="0" w:hanging="259"/>
              <w:jc w:val="left"/>
              <w:rPr/>
            </w:pPr>
            <w:r>
              <w:rPr/>
              <w:drawing>
                <wp:inline distT="0" distB="0" distL="0" distR="0">
                  <wp:extent cx="85725" cy="76200"/>
                  <wp:effectExtent l="0" t="0" r="0" b="0"/>
                  <wp:docPr id="12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0" descr=""/>
                          <pic:cNvPicPr>
                            <a:picLocks noChangeAspect="1" noChangeArrowheads="1"/>
                          </pic:cNvPicPr>
                        </pic:nvPicPr>
                        <pic:blipFill>
                          <a:blip r:embed="rId111"/>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Our directors are consistently recognized for being influential corporate directors</w:t>
            </w:r>
          </w:p>
          <w:p>
            <w:pPr>
              <w:pStyle w:val="TableContents"/>
              <w:bidi w:val="0"/>
              <w:spacing w:lineRule="auto" w:line="288" w:before="80" w:after="80"/>
              <w:ind w:left="0" w:right="0" w:hanging="259"/>
              <w:jc w:val="left"/>
              <w:rPr/>
            </w:pPr>
            <w:r>
              <w:rPr/>
              <w:drawing>
                <wp:inline distT="0" distB="0" distL="0" distR="0">
                  <wp:extent cx="85725" cy="76200"/>
                  <wp:effectExtent l="0" t="0" r="0" b="0"/>
                  <wp:docPr id="12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1" descr=""/>
                          <pic:cNvPicPr>
                            <a:picLocks noChangeAspect="1" noChangeArrowheads="1"/>
                          </pic:cNvPicPr>
                        </pic:nvPicPr>
                        <pic:blipFill>
                          <a:blip r:embed="rId112"/>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Our Chair, CEO and President, Kathy Warden, was awarded the Voice of Industry Award from the Aerospace Industries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85725" cy="76200"/>
                  <wp:effectExtent l="0" t="0" r="0" b="0"/>
                  <wp:docPr id="12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2" descr=""/>
                          <pic:cNvPicPr>
                            <a:picLocks noChangeAspect="1" noChangeArrowheads="1"/>
                          </pic:cNvPicPr>
                        </pic:nvPicPr>
                        <pic:blipFill>
                          <a:blip r:embed="rId113"/>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 xml:space="preserve">Extensive shareholder engagement program providing for regular shareholder access to management and directors </w:t>
            </w:r>
          </w:p>
          <w:p>
            <w:pPr>
              <w:pStyle w:val="TableContents"/>
              <w:bidi w:val="0"/>
              <w:spacing w:lineRule="auto" w:line="288" w:before="80" w:after="80"/>
              <w:ind w:left="0" w:right="0" w:hanging="259"/>
              <w:jc w:val="left"/>
              <w:rPr/>
            </w:pPr>
            <w:r>
              <w:rPr/>
              <w:drawing>
                <wp:inline distT="0" distB="0" distL="0" distR="0">
                  <wp:extent cx="85725" cy="76200"/>
                  <wp:effectExtent l="0" t="0" r="0" b="0"/>
                  <wp:docPr id="12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3" descr=""/>
                          <pic:cNvPicPr>
                            <a:picLocks noChangeAspect="1" noChangeArrowheads="1"/>
                          </pic:cNvPicPr>
                        </pic:nvPicPr>
                        <pic:blipFill>
                          <a:blip r:embed="rId114"/>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 xml:space="preserve">Executive compensation metrics that reflect commitment to investing for and achieving long-term profitable growth, maintaining alignment with shareholders’ interests </w:t>
            </w:r>
          </w:p>
          <w:p>
            <w:pPr>
              <w:pStyle w:val="TableContents"/>
              <w:bidi w:val="0"/>
              <w:spacing w:lineRule="auto" w:line="288" w:before="80" w:after="80"/>
              <w:ind w:left="0" w:right="0" w:hanging="259"/>
              <w:jc w:val="left"/>
              <w:rPr/>
            </w:pPr>
            <w:r>
              <w:rPr/>
              <w:drawing>
                <wp:inline distT="0" distB="0" distL="0" distR="0">
                  <wp:extent cx="85725" cy="76200"/>
                  <wp:effectExtent l="0" t="0" r="0" b="0"/>
                  <wp:docPr id="12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4" descr=""/>
                          <pic:cNvPicPr>
                            <a:picLocks noChangeAspect="1" noChangeArrowheads="1"/>
                          </pic:cNvPicPr>
                        </pic:nvPicPr>
                        <pic:blipFill>
                          <a:blip r:embed="rId115"/>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 xml:space="preserve">Stock ownership requirements for directors and executive officers </w:t>
            </w:r>
          </w:p>
          <w:p>
            <w:pPr>
              <w:pStyle w:val="TableContents"/>
              <w:bidi w:val="0"/>
              <w:spacing w:lineRule="auto" w:line="288" w:before="80" w:after="80"/>
              <w:ind w:left="0" w:right="0" w:hanging="259"/>
              <w:jc w:val="left"/>
              <w:rPr/>
            </w:pPr>
            <w:r>
              <w:rPr/>
              <w:drawing>
                <wp:inline distT="0" distB="0" distL="0" distR="0">
                  <wp:extent cx="85725" cy="76200"/>
                  <wp:effectExtent l="0" t="0" r="0" b="0"/>
                  <wp:docPr id="12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5" descr=""/>
                          <pic:cNvPicPr>
                            <a:picLocks noChangeAspect="1" noChangeArrowheads="1"/>
                          </pic:cNvPicPr>
                        </pic:nvPicPr>
                        <pic:blipFill>
                          <a:blip r:embed="rId116"/>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Robust recoupment policy for incentive compensation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1"/>
        <w:gridCol w:w="853"/>
        <w:gridCol w:w="858"/>
        <w:gridCol w:w="163"/>
        <w:gridCol w:w="163"/>
        <w:gridCol w:w="163"/>
        <w:gridCol w:w="1182"/>
        <w:gridCol w:w="1182"/>
        <w:gridCol w:w="1182"/>
        <w:gridCol w:w="163"/>
        <w:gridCol w:w="163"/>
        <w:gridCol w:w="163"/>
        <w:gridCol w:w="883"/>
        <w:gridCol w:w="883"/>
        <w:gridCol w:w="1233"/>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 xml:space="preserve">SUSTAINABILITY AND CORPORATE RESPONSIBILITY </w:t>
            </w:r>
          </w:p>
        </w:tc>
      </w:tr>
      <w:tr>
        <w:trPr/>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85725" cy="76200"/>
                  <wp:effectExtent l="0" t="0" r="0" b="0"/>
                  <wp:docPr id="13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6" descr=""/>
                          <pic:cNvPicPr>
                            <a:picLocks noChangeAspect="1" noChangeArrowheads="1"/>
                          </pic:cNvPicPr>
                        </pic:nvPicPr>
                        <pic:blipFill>
                          <a:blip r:embed="rId117"/>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Strong ethics program and corporate culture</w:t>
            </w:r>
          </w:p>
          <w:p>
            <w:pPr>
              <w:pStyle w:val="TableContents"/>
              <w:bidi w:val="0"/>
              <w:spacing w:lineRule="auto" w:line="288" w:before="80" w:after="80"/>
              <w:ind w:left="0" w:right="0" w:hanging="259"/>
              <w:jc w:val="left"/>
              <w:rPr/>
            </w:pPr>
            <w:r>
              <w:rPr/>
              <w:drawing>
                <wp:inline distT="0" distB="0" distL="0" distR="0">
                  <wp:extent cx="85725" cy="76200"/>
                  <wp:effectExtent l="0" t="0" r="0" b="0"/>
                  <wp:docPr id="13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7" descr=""/>
                          <pic:cNvPicPr>
                            <a:picLocks noChangeAspect="1" noChangeArrowheads="1"/>
                          </pic:cNvPicPr>
                        </pic:nvPicPr>
                        <pic:blipFill>
                          <a:blip r:embed="rId118"/>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 xml:space="preserve">Engaged and talented workforce </w:t>
            </w:r>
          </w:p>
          <w:p>
            <w:pPr>
              <w:pStyle w:val="TableContents"/>
              <w:bidi w:val="0"/>
              <w:spacing w:lineRule="auto" w:line="288" w:before="80" w:after="80"/>
              <w:ind w:left="0" w:right="0" w:hanging="259"/>
              <w:jc w:val="left"/>
              <w:rPr/>
            </w:pPr>
            <w:r>
              <w:rPr/>
              <w:drawing>
                <wp:inline distT="0" distB="0" distL="0" distR="0">
                  <wp:extent cx="85725" cy="76200"/>
                  <wp:effectExtent l="0" t="0" r="0" b="0"/>
                  <wp:docPr id="13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8" descr=""/>
                          <pic:cNvPicPr>
                            <a:picLocks noChangeAspect="1" noChangeArrowheads="1"/>
                          </pic:cNvPicPr>
                        </pic:nvPicPr>
                        <pic:blipFill>
                          <a:blip r:embed="rId119"/>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Human Rights Policy with robust oversight</w:t>
            </w:r>
          </w:p>
          <w:p>
            <w:pPr>
              <w:pStyle w:val="TableContents"/>
              <w:bidi w:val="0"/>
              <w:spacing w:lineRule="auto" w:line="288" w:before="80" w:after="80"/>
              <w:ind w:left="0" w:right="0" w:hanging="259"/>
              <w:jc w:val="left"/>
              <w:rPr/>
            </w:pPr>
            <w:r>
              <w:rPr/>
              <w:drawing>
                <wp:inline distT="0" distB="0" distL="0" distR="0">
                  <wp:extent cx="85725" cy="76200"/>
                  <wp:effectExtent l="0" t="0" r="0" b="0"/>
                  <wp:docPr id="13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9" descr=""/>
                          <pic:cNvPicPr>
                            <a:picLocks noChangeAspect="1" noChangeArrowheads="1"/>
                          </pic:cNvPicPr>
                        </pic:nvPicPr>
                        <pic:blipFill>
                          <a:blip r:embed="rId120"/>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Long-standing commitment to effective corporate governance and shareholder rights</w:t>
            </w:r>
          </w:p>
        </w:tc>
        <w:tc>
          <w:tcPr>
            <w:tcW w:w="48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85725" cy="76200"/>
                  <wp:effectExtent l="0" t="0" r="0" b="0"/>
                  <wp:docPr id="13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0" descr=""/>
                          <pic:cNvPicPr>
                            <a:picLocks noChangeAspect="1" noChangeArrowheads="1"/>
                          </pic:cNvPicPr>
                        </pic:nvPicPr>
                        <pic:blipFill>
                          <a:blip r:embed="rId121"/>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Environmental program integrated into organizational culture to focus on climate change and reduce environmental footprint</w:t>
            </w:r>
          </w:p>
          <w:p>
            <w:pPr>
              <w:pStyle w:val="TableContents"/>
              <w:bidi w:val="0"/>
              <w:spacing w:lineRule="auto" w:line="288" w:before="80" w:after="80"/>
              <w:ind w:left="0" w:right="0" w:hanging="259"/>
              <w:jc w:val="left"/>
              <w:rPr/>
            </w:pPr>
            <w:r>
              <w:rPr/>
              <w:drawing>
                <wp:inline distT="0" distB="0" distL="0" distR="0">
                  <wp:extent cx="85725" cy="76200"/>
                  <wp:effectExtent l="0" t="0" r="0" b="0"/>
                  <wp:docPr id="13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1" descr=""/>
                          <pic:cNvPicPr>
                            <a:picLocks noChangeAspect="1" noChangeArrowheads="1"/>
                          </pic:cNvPicPr>
                        </pic:nvPicPr>
                        <pic:blipFill>
                          <a:blip r:embed="rId122"/>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Transparent political contributions policy and trade association activity aligned with Company business objectives and values</w:t>
            </w:r>
          </w:p>
        </w:tc>
        <w:tc>
          <w:tcPr>
            <w:tcW w:w="48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85725" cy="76200"/>
                  <wp:effectExtent l="0" t="0" r="0" b="0"/>
                  <wp:docPr id="13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2" descr=""/>
                          <pic:cNvPicPr>
                            <a:picLocks noChangeAspect="1" noChangeArrowheads="1"/>
                          </pic:cNvPicPr>
                        </pic:nvPicPr>
                        <pic:blipFill>
                          <a:blip r:embed="rId123"/>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 xml:space="preserve">Far-reaching engagement with local communities </w:t>
            </w:r>
          </w:p>
          <w:p>
            <w:pPr>
              <w:pStyle w:val="TableContents"/>
              <w:bidi w:val="0"/>
              <w:spacing w:lineRule="auto" w:line="288" w:before="80" w:after="80"/>
              <w:ind w:left="0" w:right="0" w:hanging="259"/>
              <w:jc w:val="left"/>
              <w:rPr/>
            </w:pPr>
            <w:r>
              <w:rPr/>
              <w:drawing>
                <wp:inline distT="0" distB="0" distL="0" distR="0">
                  <wp:extent cx="85725" cy="76200"/>
                  <wp:effectExtent l="0" t="0" r="0" b="0"/>
                  <wp:docPr id="13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3" descr=""/>
                          <pic:cNvPicPr>
                            <a:picLocks noChangeAspect="1" noChangeArrowheads="1"/>
                          </pic:cNvPicPr>
                        </pic:nvPicPr>
                        <pic:blipFill>
                          <a:blip r:embed="rId124"/>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Chief Sustainability Officer focused on sustainability</w:t>
            </w:r>
          </w:p>
          <w:p>
            <w:pPr>
              <w:pStyle w:val="TableContents"/>
              <w:bidi w:val="0"/>
              <w:spacing w:lineRule="auto" w:line="288" w:before="80" w:after="80"/>
              <w:ind w:left="0" w:right="0" w:hanging="259"/>
              <w:jc w:val="left"/>
              <w:rPr/>
            </w:pPr>
            <w:r>
              <w:rPr/>
              <w:drawing>
                <wp:inline distT="0" distB="0" distL="0" distR="0">
                  <wp:extent cx="85725" cy="76200"/>
                  <wp:effectExtent l="0" t="0" r="0" b="0"/>
                  <wp:docPr id="13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4" descr=""/>
                          <pic:cNvPicPr>
                            <a:picLocks noChangeAspect="1" noChangeArrowheads="1"/>
                          </pic:cNvPicPr>
                        </pic:nvPicPr>
                        <pic:blipFill>
                          <a:blip r:embed="rId125"/>
                          <a:stretch>
                            <a:fillRect/>
                          </a:stretch>
                        </pic:blipFill>
                        <pic:spPr bwMode="auto">
                          <a:xfrm>
                            <a:off x="0" y="0"/>
                            <a:ext cx="85725" cy="76200"/>
                          </a:xfrm>
                          <a:prstGeom prst="rect">
                            <a:avLst/>
                          </a:prstGeom>
                        </pic:spPr>
                      </pic:pic>
                    </a:graphicData>
                  </a:graphic>
                </wp:inline>
              </w:drawing>
            </w:r>
            <w:r>
              <w:rPr>
                <w:color w:val="000000"/>
              </w:rPr>
              <w:t xml:space="preserve"> </w:t>
            </w:r>
            <w:r>
              <w:rPr>
                <w:rFonts w:ascii="Futura Std Book;sans-serif" w:hAnsi="Futura Std Book;sans-serif"/>
                <w:b w:val="false"/>
                <w:color w:val="000000"/>
                <w:sz w:val="17"/>
              </w:rPr>
              <w:t>Global Corporate Responsibility team focused on strengthening corporate culture and communities</w:t>
            </w:r>
          </w:p>
        </w:tc>
      </w:tr>
      <w:tr>
        <w:trPr/>
        <w:tc>
          <w:tcPr>
            <w:tcW w:w="268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734695"/>
                <wp:effectExtent l="0" t="0" r="0" b="0"/>
                <wp:wrapNone/>
                <wp:docPr id="139" name="Frame1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Management and Shareholder Proposals</w:t>
      </w:r>
    </w:p>
    <w:tbl>
      <w:tblPr>
        <w:tblW w:w="10205" w:type="dxa"/>
        <w:jc w:val="left"/>
        <w:tblInd w:w="0" w:type="dxa"/>
        <w:tblLayout w:type="fixed"/>
        <w:tblCellMar>
          <w:top w:w="28" w:type="dxa"/>
          <w:left w:w="28" w:type="dxa"/>
          <w:bottom w:w="28" w:type="dxa"/>
          <w:right w:w="28" w:type="dxa"/>
        </w:tblCellMar>
      </w:tblPr>
      <w:tblGrid>
        <w:gridCol w:w="2894"/>
        <w:gridCol w:w="2549"/>
        <w:gridCol w:w="2560"/>
        <w:gridCol w:w="641"/>
        <w:gridCol w:w="641"/>
        <w:gridCol w:w="920"/>
      </w:tblGrid>
      <w:tr>
        <w:trPr/>
        <w:tc>
          <w:tcPr>
            <w:tcW w:w="2894"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800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3"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FFFFFF"/>
                <w:sz w:val="16"/>
              </w:rPr>
            </w:pPr>
            <w:r>
              <w:rPr>
                <w:rFonts w:ascii="Futura Std Book;sans-serif" w:hAnsi="Futura Std Book;sans-serif"/>
                <w:b/>
                <w:color w:val="FFFFFF"/>
                <w:sz w:val="16"/>
              </w:rPr>
              <w:t>PROPOSAL 1</w:t>
            </w:r>
          </w:p>
        </w:tc>
        <w:tc>
          <w:tcPr>
            <w:tcW w:w="220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3"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24"/>
              </w:rPr>
            </w:pPr>
            <w:r>
              <w:rPr>
                <w:rFonts w:ascii="Futura Std Book;sans-serif" w:hAnsi="Futura Std Book;sans-serif"/>
                <w:b/>
                <w:color w:val="29378D"/>
                <w:sz w:val="24"/>
              </w:rPr>
              <w:t>Election of Directors</w:t>
            </w:r>
          </w:p>
        </w:tc>
        <w:tc>
          <w:tcPr>
            <w:tcW w:w="2202" w:type="dxa"/>
            <w:gridSpan w:val="3"/>
            <w:vMerge w:val="restart"/>
            <w:tcBorders>
              <w:left w:val="single" w:sz="4" w:space="0" w:color="0C3471"/>
            </w:tcBorders>
            <w:tcMar>
              <w:top w:w="0" w:type="dxa"/>
              <w:bottom w:w="0" w:type="dxa"/>
              <w:right w:w="0" w:type="dxa"/>
            </w:tcMar>
            <w:vAlign w:val="center"/>
          </w:tcPr>
          <w:p>
            <w:pPr>
              <w:pStyle w:val="TableContents"/>
              <w:bidi w:val="0"/>
              <w:spacing w:lineRule="auto" w:line="276" w:before="0" w:after="0"/>
              <w:ind w:left="0" w:right="0" w:hanging="216"/>
              <w:jc w:val="left"/>
              <w:rPr/>
            </w:pPr>
            <w:r>
              <w:rPr>
                <w:rFonts w:ascii="Futura Std Book;sans-serif" w:hAnsi="Futura Std Book;sans-serif"/>
                <w:b/>
                <w:color w:val="223A75"/>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0C3471"/>
                <w:sz w:val="18"/>
              </w:rPr>
              <w:t xml:space="preserve">page </w:t>
            </w:r>
            <w:hyperlink w:anchor="idc6f358a7ea345daa8bbc8a5ea69f8d5_37">
              <w:r>
                <w:rPr>
                  <w:rStyle w:val="InternetLink"/>
                  <w:rFonts w:ascii="Futura Std Book;sans-serif" w:hAnsi="Futura Std Book;sans-serif"/>
                  <w:b w:val="false"/>
                  <w:strike w:val="false"/>
                  <w:dstrike w:val="false"/>
                  <w:color w:val="0C3471"/>
                  <w:sz w:val="18"/>
                  <w:u w:val="none"/>
                  <w:effect w:val="none"/>
                </w:rPr>
                <w:t>15</w:t>
              </w:r>
            </w:hyperlink>
            <w:r>
              <w:rPr>
                <w:color w:val="000000"/>
              </w:rPr>
              <w:t xml:space="preserve"> </w:t>
            </w:r>
            <w:r>
              <w:rPr>
                <w:rFonts w:ascii="Futura Std Book;sans-serif" w:hAnsi="Futura Std Book;sans-serif"/>
                <w:b w:val="false"/>
                <w:color w:val="000000"/>
                <w:sz w:val="18"/>
              </w:rPr>
              <w:t>for more details</w:t>
            </w:r>
          </w:p>
        </w:tc>
      </w:tr>
      <w:tr>
        <w:trPr/>
        <w:tc>
          <w:tcPr>
            <w:tcW w:w="8003" w:type="dxa"/>
            <w:gridSpan w:val="3"/>
            <w:tcBorders>
              <w:right w:val="single" w:sz="4" w:space="0" w:color="0C3471"/>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202"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8003" w:type="dxa"/>
            <w:gridSpan w:val="3"/>
            <w:tcBorders>
              <w:right w:val="single" w:sz="4" w:space="0" w:color="0C3471"/>
            </w:tcBorders>
            <w:tcMar>
              <w:top w:w="0" w:type="dxa"/>
              <w:left w:w="0" w:type="dxa"/>
              <w:bottom w:w="0" w:type="dxa"/>
            </w:tcMar>
            <w:vAlign w:val="center"/>
          </w:tcPr>
          <w:p>
            <w:pPr>
              <w:pStyle w:val="TableContents"/>
              <w:bidi w:val="0"/>
              <w:spacing w:lineRule="auto" w:line="288" w:before="0" w:after="0"/>
              <w:ind w:left="0" w:right="0" w:hanging="302"/>
              <w:jc w:val="left"/>
              <w:rPr/>
            </w:pPr>
            <w:r>
              <w:rPr/>
              <w:drawing>
                <wp:inline distT="0" distB="0" distL="0" distR="0">
                  <wp:extent cx="104775" cy="95250"/>
                  <wp:effectExtent l="0" t="0" r="0" b="0"/>
                  <wp:docPr id="140"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5" descr=""/>
                          <pic:cNvPicPr>
                            <a:picLocks noChangeAspect="1" noChangeArrowheads="1"/>
                          </pic:cNvPicPr>
                        </pic:nvPicPr>
                        <pic:blipFill>
                          <a:blip r:embed="rId126"/>
                          <a:stretch>
                            <a:fillRect/>
                          </a:stretch>
                        </pic:blipFill>
                        <pic:spPr bwMode="auto">
                          <a:xfrm>
                            <a:off x="0" y="0"/>
                            <a:ext cx="104775" cy="95250"/>
                          </a:xfrm>
                          <a:prstGeom prst="rect">
                            <a:avLst/>
                          </a:prstGeom>
                        </pic:spPr>
                      </pic:pic>
                    </a:graphicData>
                  </a:graphic>
                </wp:inline>
              </w:drawing>
            </w:r>
            <w:r>
              <w:rPr>
                <w:color w:val="29378D"/>
              </w:rPr>
              <w:t>  </w:t>
            </w:r>
            <w:r>
              <w:rPr>
                <w:rFonts w:ascii="Futura Std Book;sans-serif" w:hAnsi="Futura Std Book;sans-serif"/>
                <w:b w:val="false"/>
                <w:color w:val="000000"/>
                <w:sz w:val="18"/>
              </w:rPr>
              <w:t>The Board of Directors unanimously recommends that you vote</w:t>
            </w:r>
            <w:r>
              <w:rPr>
                <w:color w:val="29378D"/>
              </w:rPr>
              <w:t xml:space="preserve"> “</w:t>
            </w:r>
            <w:r>
              <w:rPr>
                <w:rFonts w:ascii="Futura Std Book;sans-serif" w:hAnsi="Futura Std Book;sans-serif"/>
                <w:b/>
                <w:color w:val="29378D"/>
                <w:sz w:val="18"/>
              </w:rPr>
              <w:t xml:space="preserve">FOR” </w:t>
            </w:r>
            <w:r>
              <w:rPr>
                <w:rFonts w:ascii="Futura Std Book;sans-serif" w:hAnsi="Futura Std Book;sans-serif"/>
                <w:b w:val="false"/>
                <w:color w:val="000000"/>
                <w:sz w:val="18"/>
              </w:rPr>
              <w:t>the 12 nominees for director listed in Proposal 1.</w:t>
            </w:r>
          </w:p>
        </w:tc>
        <w:tc>
          <w:tcPr>
            <w:tcW w:w="2202"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8003" w:type="dxa"/>
            <w:gridSpan w:val="3"/>
            <w:tcBorders>
              <w:bottom w:val="single" w:sz="4"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left w:val="single" w:sz="4" w:space="0" w:color="29378D"/>
              <w:bottom w:val="single" w:sz="4" w:space="0" w:color="29378D"/>
            </w:tcBorders>
            <w:tcMar>
              <w:top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92"/>
        <w:gridCol w:w="2374"/>
        <w:gridCol w:w="2385"/>
        <w:gridCol w:w="802"/>
        <w:gridCol w:w="802"/>
        <w:gridCol w:w="1150"/>
      </w:tblGrid>
      <w:tr>
        <w:trPr/>
        <w:tc>
          <w:tcPr>
            <w:tcW w:w="2692"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7451"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29378D" w:val="clear"/>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FFFFFF"/>
                <w:sz w:val="16"/>
              </w:rPr>
            </w:pPr>
            <w:r>
              <w:rPr>
                <w:rFonts w:ascii="Futura Std Book;sans-serif" w:hAnsi="Futura Std Book;sans-serif"/>
                <w:b/>
                <w:color w:val="FFFFFF"/>
                <w:sz w:val="16"/>
              </w:rPr>
              <w:t>PROPOSAL 2</w:t>
            </w:r>
          </w:p>
        </w:tc>
        <w:tc>
          <w:tcPr>
            <w:tcW w:w="27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24"/>
              </w:rPr>
            </w:pPr>
            <w:r>
              <w:rPr>
                <w:rFonts w:ascii="Futura Std Book;sans-serif" w:hAnsi="Futura Std Book;sans-serif"/>
                <w:b/>
                <w:color w:val="29378D"/>
                <w:sz w:val="24"/>
              </w:rPr>
              <w:t>Advisory Vote on Compensation of</w:t>
              <w:br/>
              <w:t>Named Executive Officers</w:t>
            </w:r>
          </w:p>
        </w:tc>
        <w:tc>
          <w:tcPr>
            <w:tcW w:w="2754" w:type="dxa"/>
            <w:gridSpan w:val="3"/>
            <w:vMerge w:val="restart"/>
            <w:tcBorders>
              <w:left w:val="single" w:sz="4" w:space="0" w:color="0C3471"/>
            </w:tcBorders>
            <w:tcMar>
              <w:top w:w="0" w:type="dxa"/>
              <w:bottom w:w="0" w:type="dxa"/>
              <w:right w:w="0" w:type="dxa"/>
            </w:tcMar>
            <w:vAlign w:val="center"/>
          </w:tcPr>
          <w:p>
            <w:pPr>
              <w:pStyle w:val="TableContents"/>
              <w:bidi w:val="0"/>
              <w:spacing w:lineRule="auto" w:line="276" w:before="0" w:after="0"/>
              <w:ind w:left="0" w:right="0" w:hanging="216"/>
              <w:jc w:val="left"/>
              <w:rPr/>
            </w:pPr>
            <w:r>
              <w:rPr>
                <w:rFonts w:ascii="Futura Std Book;sans-serif" w:hAnsi="Futura Std Book;sans-serif"/>
                <w:b/>
                <w:color w:val="223A75"/>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0C3471"/>
                <w:sz w:val="18"/>
              </w:rPr>
              <w:t xml:space="preserve">page </w:t>
            </w:r>
            <w:hyperlink w:anchor="idc6f358a7ea345daa8bbc8a5ea69f8d5_100">
              <w:r>
                <w:rPr>
                  <w:rStyle w:val="InternetLink"/>
                  <w:rFonts w:ascii="Futura Std Book;sans-serif" w:hAnsi="Futura Std Book;sans-serif"/>
                  <w:b w:val="false"/>
                  <w:strike w:val="false"/>
                  <w:dstrike w:val="false"/>
                  <w:color w:val="0C3471"/>
                  <w:sz w:val="18"/>
                  <w:u w:val="none"/>
                  <w:effect w:val="none"/>
                </w:rPr>
                <w:t>47</w:t>
              </w:r>
            </w:hyperlink>
            <w:r>
              <w:rPr>
                <w:color w:val="000000"/>
              </w:rPr>
              <w:t xml:space="preserve"> </w:t>
            </w:r>
            <w:r>
              <w:rPr>
                <w:rFonts w:ascii="Futura Std Book;sans-serif" w:hAnsi="Futura Std Book;sans-serif"/>
                <w:b w:val="false"/>
                <w:color w:val="000000"/>
                <w:sz w:val="18"/>
              </w:rPr>
              <w:t>for more details</w:t>
            </w:r>
          </w:p>
        </w:tc>
      </w:tr>
      <w:tr>
        <w:trPr/>
        <w:tc>
          <w:tcPr>
            <w:tcW w:w="7451" w:type="dxa"/>
            <w:gridSpan w:val="3"/>
            <w:tcBorders>
              <w:right w:val="single" w:sz="4" w:space="0" w:color="0C3471"/>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754"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7451" w:type="dxa"/>
            <w:gridSpan w:val="3"/>
            <w:tcBorders>
              <w:right w:val="single" w:sz="4" w:space="0" w:color="0C3471"/>
            </w:tcBorders>
            <w:tcMar>
              <w:top w:w="0" w:type="dxa"/>
              <w:left w:w="0" w:type="dxa"/>
              <w:bottom w:w="0" w:type="dxa"/>
            </w:tcMar>
            <w:vAlign w:val="center"/>
          </w:tcPr>
          <w:p>
            <w:pPr>
              <w:pStyle w:val="TableContents"/>
              <w:bidi w:val="0"/>
              <w:spacing w:lineRule="auto" w:line="288" w:before="0" w:after="0"/>
              <w:ind w:left="0" w:right="0" w:hanging="302"/>
              <w:jc w:val="left"/>
              <w:rPr/>
            </w:pPr>
            <w:r>
              <w:rPr/>
              <w:drawing>
                <wp:inline distT="0" distB="0" distL="0" distR="0">
                  <wp:extent cx="114300" cy="95250"/>
                  <wp:effectExtent l="0" t="0" r="0" b="0"/>
                  <wp:docPr id="141"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6" descr=""/>
                          <pic:cNvPicPr>
                            <a:picLocks noChangeAspect="1" noChangeArrowheads="1"/>
                          </pic:cNvPicPr>
                        </pic:nvPicPr>
                        <pic:blipFill>
                          <a:blip r:embed="rId127"/>
                          <a:stretch>
                            <a:fillRect/>
                          </a:stretch>
                        </pic:blipFill>
                        <pic:spPr bwMode="auto">
                          <a:xfrm>
                            <a:off x="0" y="0"/>
                            <a:ext cx="114300" cy="95250"/>
                          </a:xfrm>
                          <a:prstGeom prst="rect">
                            <a:avLst/>
                          </a:prstGeom>
                        </pic:spPr>
                      </pic:pic>
                    </a:graphicData>
                  </a:graphic>
                </wp:inline>
              </w:drawing>
            </w:r>
            <w:r>
              <w:rPr>
                <w:color w:val="000000"/>
              </w:rPr>
              <w:t>  </w:t>
            </w:r>
            <w:r>
              <w:rPr>
                <w:rFonts w:ascii="Futura Std Book;sans-serif" w:hAnsi="Futura Std Book;sans-serif"/>
                <w:b w:val="false"/>
                <w:color w:val="000000"/>
                <w:sz w:val="18"/>
              </w:rPr>
              <w:t xml:space="preserve">The Board of Directors unanimously recommends that you vote </w:t>
            </w:r>
            <w:r>
              <w:rPr>
                <w:color w:val="29378D"/>
              </w:rPr>
              <w:t>“</w:t>
            </w:r>
            <w:r>
              <w:rPr>
                <w:rFonts w:ascii="Futura Std Book;sans-serif" w:hAnsi="Futura Std Book;sans-serif"/>
                <w:b/>
                <w:color w:val="29378D"/>
                <w:sz w:val="18"/>
              </w:rPr>
              <w:t>FOR”</w:t>
            </w:r>
            <w:r>
              <w:rPr>
                <w:color w:val="000000"/>
              </w:rPr>
              <w:t xml:space="preserve"> </w:t>
            </w:r>
            <w:r>
              <w:rPr>
                <w:rFonts w:ascii="Futura Std Book;sans-serif" w:hAnsi="Futura Std Book;sans-serif"/>
                <w:b w:val="false"/>
                <w:color w:val="000000"/>
                <w:sz w:val="18"/>
              </w:rPr>
              <w:t>this proposal.</w:t>
            </w:r>
          </w:p>
        </w:tc>
        <w:tc>
          <w:tcPr>
            <w:tcW w:w="2754"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7451" w:type="dxa"/>
            <w:gridSpan w:val="3"/>
            <w:tcBorders>
              <w:bottom w:val="single" w:sz="4"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3"/>
            <w:tcBorders>
              <w:left w:val="single" w:sz="4" w:space="0" w:color="29378D"/>
              <w:bottom w:val="single" w:sz="4" w:space="0" w:color="29378D"/>
            </w:tcBorders>
            <w:tcMar>
              <w:top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93"/>
        <w:gridCol w:w="2369"/>
        <w:gridCol w:w="2384"/>
        <w:gridCol w:w="803"/>
        <w:gridCol w:w="803"/>
        <w:gridCol w:w="1153"/>
      </w:tblGrid>
      <w:tr>
        <w:trPr/>
        <w:tc>
          <w:tcPr>
            <w:tcW w:w="2693"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FFFFFF"/>
                <w:sz w:val="16"/>
              </w:rPr>
            </w:pPr>
            <w:r>
              <w:rPr>
                <w:rFonts w:ascii="Futura Std Book;sans-serif" w:hAnsi="Futura Std Book;sans-serif"/>
                <w:b/>
                <w:color w:val="FFFFFF"/>
                <w:sz w:val="16"/>
              </w:rPr>
              <w:t>PROPOSAL 3</w:t>
            </w:r>
          </w:p>
        </w:tc>
        <w:tc>
          <w:tcPr>
            <w:tcW w:w="275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24"/>
              </w:rPr>
            </w:pPr>
            <w:r>
              <w:rPr>
                <w:rFonts w:ascii="Futura Std Book;sans-serif" w:hAnsi="Futura Std Book;sans-serif"/>
                <w:b/>
                <w:color w:val="29378D"/>
                <w:sz w:val="24"/>
              </w:rPr>
              <w:t>Ratification of Appointment of Independent Auditor</w:t>
            </w:r>
          </w:p>
        </w:tc>
        <w:tc>
          <w:tcPr>
            <w:tcW w:w="2759" w:type="dxa"/>
            <w:gridSpan w:val="3"/>
            <w:vMerge w:val="restart"/>
            <w:tcBorders>
              <w:left w:val="single" w:sz="4" w:space="0" w:color="0C3471"/>
            </w:tcBorders>
            <w:tcMar>
              <w:top w:w="0" w:type="dxa"/>
              <w:bottom w:w="0" w:type="dxa"/>
              <w:right w:w="0" w:type="dxa"/>
            </w:tcMar>
            <w:vAlign w:val="center"/>
          </w:tcPr>
          <w:p>
            <w:pPr>
              <w:pStyle w:val="TableContents"/>
              <w:bidi w:val="0"/>
              <w:spacing w:lineRule="auto" w:line="276" w:before="0" w:after="0"/>
              <w:ind w:left="0" w:right="0" w:hanging="216"/>
              <w:jc w:val="left"/>
              <w:rPr/>
            </w:pPr>
            <w:r>
              <w:rPr>
                <w:rFonts w:ascii="Futura Std Book;sans-serif" w:hAnsi="Futura Std Book;sans-serif"/>
                <w:b/>
                <w:color w:val="223A75"/>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0C3471"/>
                <w:sz w:val="18"/>
              </w:rPr>
              <w:t xml:space="preserve">page </w:t>
            </w:r>
            <w:hyperlink w:anchor="idc6f358a7ea345daa8bbc8a5ea69f8d5_175">
              <w:r>
                <w:rPr>
                  <w:rStyle w:val="InternetLink"/>
                  <w:rFonts w:ascii="Futura Std Book;sans-serif" w:hAnsi="Futura Std Book;sans-serif"/>
                  <w:b w:val="false"/>
                  <w:strike w:val="false"/>
                  <w:dstrike w:val="false"/>
                  <w:color w:val="0C3471"/>
                  <w:sz w:val="18"/>
                  <w:u w:val="none"/>
                  <w:effect w:val="none"/>
                </w:rPr>
                <w:t>89</w:t>
              </w:r>
            </w:hyperlink>
            <w:r>
              <w:rPr>
                <w:color w:val="000000"/>
              </w:rPr>
              <w:t xml:space="preserve"> </w:t>
            </w:r>
            <w:r>
              <w:rPr>
                <w:rFonts w:ascii="Futura Std Book;sans-serif" w:hAnsi="Futura Std Book;sans-serif"/>
                <w:b w:val="false"/>
                <w:color w:val="000000"/>
                <w:sz w:val="18"/>
              </w:rPr>
              <w:t>for more details</w:t>
            </w:r>
          </w:p>
        </w:tc>
      </w:tr>
      <w:tr>
        <w:trPr/>
        <w:tc>
          <w:tcPr>
            <w:tcW w:w="7446" w:type="dxa"/>
            <w:gridSpan w:val="3"/>
            <w:tcBorders>
              <w:right w:val="single" w:sz="4" w:space="0" w:color="0C3471"/>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759"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7446" w:type="dxa"/>
            <w:gridSpan w:val="3"/>
            <w:tcBorders>
              <w:right w:val="single" w:sz="4" w:space="0" w:color="0C3471"/>
            </w:tcBorders>
            <w:tcMar>
              <w:top w:w="0" w:type="dxa"/>
              <w:left w:w="0" w:type="dxa"/>
              <w:bottom w:w="0" w:type="dxa"/>
            </w:tcMar>
            <w:vAlign w:val="center"/>
          </w:tcPr>
          <w:p>
            <w:pPr>
              <w:pStyle w:val="TableContents"/>
              <w:bidi w:val="0"/>
              <w:spacing w:lineRule="auto" w:line="288" w:before="0" w:after="0"/>
              <w:ind w:left="0" w:right="0" w:hanging="302"/>
              <w:jc w:val="left"/>
              <w:rPr/>
            </w:pPr>
            <w:r>
              <w:rPr/>
              <w:drawing>
                <wp:inline distT="0" distB="0" distL="0" distR="0">
                  <wp:extent cx="114300" cy="95250"/>
                  <wp:effectExtent l="0" t="0" r="0" b="0"/>
                  <wp:docPr id="14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7" descr=""/>
                          <pic:cNvPicPr>
                            <a:picLocks noChangeAspect="1" noChangeArrowheads="1"/>
                          </pic:cNvPicPr>
                        </pic:nvPicPr>
                        <pic:blipFill>
                          <a:blip r:embed="rId128"/>
                          <a:stretch>
                            <a:fillRect/>
                          </a:stretch>
                        </pic:blipFill>
                        <pic:spPr bwMode="auto">
                          <a:xfrm>
                            <a:off x="0" y="0"/>
                            <a:ext cx="114300" cy="95250"/>
                          </a:xfrm>
                          <a:prstGeom prst="rect">
                            <a:avLst/>
                          </a:prstGeom>
                        </pic:spPr>
                      </pic:pic>
                    </a:graphicData>
                  </a:graphic>
                </wp:inline>
              </w:drawing>
            </w:r>
            <w:r>
              <w:rPr>
                <w:color w:val="000000"/>
              </w:rPr>
              <w:t>  </w:t>
            </w:r>
            <w:r>
              <w:rPr>
                <w:rFonts w:ascii="Futura Std Book;sans-serif" w:hAnsi="Futura Std Book;sans-serif"/>
                <w:b w:val="false"/>
                <w:color w:val="000000"/>
                <w:sz w:val="18"/>
              </w:rPr>
              <w:t xml:space="preserve">The Board of Directors unanimously recommends that you vote </w:t>
            </w:r>
            <w:r>
              <w:rPr>
                <w:color w:val="29378D"/>
              </w:rPr>
              <w:t>“</w:t>
            </w:r>
            <w:r>
              <w:rPr>
                <w:rFonts w:ascii="Futura Std Book;sans-serif" w:hAnsi="Futura Std Book;sans-serif"/>
                <w:b/>
                <w:color w:val="29378D"/>
                <w:sz w:val="18"/>
              </w:rPr>
              <w:t>FOR”</w:t>
            </w:r>
            <w:r>
              <w:rPr>
                <w:color w:val="000000"/>
              </w:rPr>
              <w:t xml:space="preserve"> </w:t>
            </w:r>
            <w:r>
              <w:rPr>
                <w:rFonts w:ascii="Futura Std Book;sans-serif" w:hAnsi="Futura Std Book;sans-serif"/>
                <w:b w:val="false"/>
                <w:color w:val="000000"/>
                <w:sz w:val="18"/>
              </w:rPr>
              <w:t>this proposal.</w:t>
            </w:r>
          </w:p>
        </w:tc>
        <w:tc>
          <w:tcPr>
            <w:tcW w:w="2759"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7446" w:type="dxa"/>
            <w:gridSpan w:val="3"/>
            <w:tcBorders>
              <w:bottom w:val="single" w:sz="4"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left w:val="single" w:sz="4" w:space="0" w:color="29378D"/>
              <w:bottom w:val="single" w:sz="4" w:space="0" w:color="29378D"/>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Based on its recent evaluation, the Audit and Risk Committee of the Board of Directors believes that the appointment of Deloitte &amp; Touche LLP (Deloitte) is in the best interests of the Company and its shareholders. The Audit and Risk Committee believes that Deloitte is independent and well-qualified to serve as the Company's independent auditor in 2025.</w:t>
      </w:r>
    </w:p>
    <w:tbl>
      <w:tblPr>
        <w:tblW w:w="10205" w:type="dxa"/>
        <w:jc w:val="left"/>
        <w:tblInd w:w="0" w:type="dxa"/>
        <w:tblLayout w:type="fixed"/>
        <w:tblCellMar>
          <w:top w:w="28" w:type="dxa"/>
          <w:left w:w="28" w:type="dxa"/>
          <w:bottom w:w="28" w:type="dxa"/>
          <w:right w:w="28" w:type="dxa"/>
        </w:tblCellMar>
      </w:tblPr>
      <w:tblGrid>
        <w:gridCol w:w="2973"/>
        <w:gridCol w:w="2620"/>
        <w:gridCol w:w="2634"/>
        <w:gridCol w:w="576"/>
        <w:gridCol w:w="576"/>
        <w:gridCol w:w="826"/>
      </w:tblGrid>
      <w:tr>
        <w:trPr/>
        <w:tc>
          <w:tcPr>
            <w:tcW w:w="2973"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82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7"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FFFFFF"/>
                <w:sz w:val="16"/>
              </w:rPr>
            </w:pPr>
            <w:r>
              <w:rPr>
                <w:rFonts w:ascii="Futura Std Book;sans-serif" w:hAnsi="Futura Std Book;sans-serif"/>
                <w:b/>
                <w:color w:val="FFFFFF"/>
                <w:sz w:val="16"/>
              </w:rPr>
              <w:t>PROPOSAL 4</w:t>
            </w:r>
          </w:p>
        </w:tc>
        <w:tc>
          <w:tcPr>
            <w:tcW w:w="1978"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27"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Futura Std Book;sans-serif" w:hAnsi="Futura Std Book;sans-serif"/>
                <w:b/>
                <w:color w:val="29378D"/>
                <w:sz w:val="24"/>
              </w:rPr>
            </w:pPr>
            <w:r>
              <w:rPr>
                <w:rFonts w:ascii="Futura Std Book;sans-serif" w:hAnsi="Futura Std Book;sans-serif"/>
                <w:b/>
                <w:color w:val="29378D"/>
                <w:sz w:val="24"/>
              </w:rPr>
              <w:t>Shareholder Proposal to Support Improved Clawback Policy regarding Unearned Executive Pay</w:t>
            </w:r>
          </w:p>
        </w:tc>
        <w:tc>
          <w:tcPr>
            <w:tcW w:w="1978" w:type="dxa"/>
            <w:gridSpan w:val="3"/>
            <w:vMerge w:val="restart"/>
            <w:tcBorders>
              <w:left w:val="single" w:sz="4" w:space="0" w:color="0C3471"/>
            </w:tcBorders>
            <w:tcMar>
              <w:top w:w="0" w:type="dxa"/>
              <w:bottom w:w="0" w:type="dxa"/>
              <w:right w:w="0" w:type="dxa"/>
            </w:tcMar>
            <w:vAlign w:val="center"/>
          </w:tcPr>
          <w:p>
            <w:pPr>
              <w:pStyle w:val="TableContents"/>
              <w:bidi w:val="0"/>
              <w:spacing w:lineRule="auto" w:line="276" w:before="0" w:after="0"/>
              <w:ind w:left="0" w:right="0" w:hanging="216"/>
              <w:jc w:val="left"/>
              <w:rPr/>
            </w:pPr>
            <w:r>
              <w:rPr>
                <w:rFonts w:ascii="Futura Std Book;sans-serif" w:hAnsi="Futura Std Book;sans-serif"/>
                <w:b/>
                <w:color w:val="223A75"/>
                <w:sz w:val="18"/>
              </w:rPr>
              <w:t>&gt;</w:t>
            </w:r>
            <w:r>
              <w:rPr>
                <w:color w:val="000000"/>
              </w:rPr>
              <w:t>  </w:t>
            </w:r>
            <w:r>
              <w:rPr>
                <w:rFonts w:ascii="Futura Std Book;sans-serif" w:hAnsi="Futura Std Book;sans-serif"/>
                <w:b w:val="false"/>
                <w:color w:val="000000"/>
                <w:sz w:val="18"/>
              </w:rPr>
              <w:t xml:space="preserve">See </w:t>
            </w:r>
            <w:r>
              <w:rPr>
                <w:rFonts w:ascii="Futura Std Book;sans-serif" w:hAnsi="Futura Std Book;sans-serif"/>
                <w:b w:val="false"/>
                <w:color w:val="223A75"/>
                <w:sz w:val="18"/>
              </w:rPr>
              <w:t>page</w:t>
            </w:r>
            <w:r>
              <w:rPr>
                <w:color w:val="000000"/>
              </w:rPr>
              <w:t xml:space="preserve"> </w:t>
            </w:r>
            <w:hyperlink w:anchor="idc6f358a7ea345daa8bbc8a5ea69f8d5_193">
              <w:r>
                <w:rPr>
                  <w:rStyle w:val="InternetLink"/>
                  <w:rFonts w:ascii="Futura Std Book;sans-serif" w:hAnsi="Futura Std Book;sans-serif"/>
                  <w:b w:val="false"/>
                  <w:strike w:val="false"/>
                  <w:dstrike w:val="false"/>
                  <w:color w:val="223A75"/>
                  <w:sz w:val="18"/>
                  <w:u w:val="none"/>
                  <w:effect w:val="none"/>
                </w:rPr>
                <w:t>92</w:t>
              </w:r>
            </w:hyperlink>
            <w:r>
              <w:rPr>
                <w:color w:val="000000"/>
              </w:rPr>
              <w:t xml:space="preserve"> </w:t>
            </w:r>
            <w:r>
              <w:rPr>
                <w:rFonts w:ascii="Futura Std Book;sans-serif" w:hAnsi="Futura Std Book;sans-serif"/>
                <w:b w:val="false"/>
                <w:color w:val="000000"/>
                <w:sz w:val="18"/>
              </w:rPr>
              <w:t>for more details</w:t>
            </w:r>
          </w:p>
        </w:tc>
      </w:tr>
      <w:tr>
        <w:trPr/>
        <w:tc>
          <w:tcPr>
            <w:tcW w:w="8227" w:type="dxa"/>
            <w:gridSpan w:val="3"/>
            <w:tcBorders>
              <w:right w:val="single" w:sz="4" w:space="0" w:color="0C3471"/>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978"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8227" w:type="dxa"/>
            <w:gridSpan w:val="3"/>
            <w:tcBorders>
              <w:right w:val="single" w:sz="4" w:space="0" w:color="0C3471"/>
            </w:tcBorders>
            <w:tcMar>
              <w:top w:w="0" w:type="dxa"/>
              <w:left w:w="0" w:type="dxa"/>
              <w:bottom w:w="0" w:type="dxa"/>
            </w:tcMar>
            <w:vAlign w:val="center"/>
          </w:tcPr>
          <w:p>
            <w:pPr>
              <w:pStyle w:val="TableContents"/>
              <w:bidi w:val="0"/>
              <w:spacing w:lineRule="auto" w:line="288" w:before="0" w:after="0"/>
              <w:ind w:left="0" w:right="0" w:hanging="302"/>
              <w:jc w:val="left"/>
              <w:rPr/>
            </w:pPr>
            <w:r>
              <w:rPr/>
              <w:drawing>
                <wp:inline distT="0" distB="0" distL="0" distR="0">
                  <wp:extent cx="114300" cy="114300"/>
                  <wp:effectExtent l="0" t="0" r="0" b="0"/>
                  <wp:docPr id="143"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8" descr=""/>
                          <pic:cNvPicPr>
                            <a:picLocks noChangeAspect="1" noChangeArrowheads="1"/>
                          </pic:cNvPicPr>
                        </pic:nvPicPr>
                        <pic:blipFill>
                          <a:blip r:embed="rId129"/>
                          <a:stretch>
                            <a:fillRect/>
                          </a:stretch>
                        </pic:blipFill>
                        <pic:spPr bwMode="auto">
                          <a:xfrm>
                            <a:off x="0" y="0"/>
                            <a:ext cx="114300" cy="114300"/>
                          </a:xfrm>
                          <a:prstGeom prst="rect">
                            <a:avLst/>
                          </a:prstGeom>
                        </pic:spPr>
                      </pic:pic>
                    </a:graphicData>
                  </a:graphic>
                </wp:inline>
              </w:drawing>
            </w:r>
            <w:r>
              <w:rPr>
                <w:color w:val="000000"/>
              </w:rPr>
              <w:t xml:space="preserve"> </w:t>
            </w:r>
            <w:r>
              <w:rPr>
                <w:rFonts w:ascii="Futura Std Book;sans-serif" w:hAnsi="Futura Std Book;sans-serif"/>
                <w:b w:val="false"/>
                <w:color w:val="000000"/>
                <w:sz w:val="18"/>
              </w:rPr>
              <w:t>The Board of Directors unanimously recommends that you vote “</w:t>
            </w:r>
            <w:r>
              <w:rPr>
                <w:rFonts w:ascii="Futura Std Book;sans-serif" w:hAnsi="Futura Std Book;sans-serif"/>
                <w:b/>
                <w:color w:val="29378D"/>
                <w:sz w:val="18"/>
              </w:rPr>
              <w:t>AGAINST</w:t>
            </w:r>
            <w:r>
              <w:rPr>
                <w:color w:val="000000"/>
              </w:rPr>
              <w:t xml:space="preserve">” </w:t>
            </w:r>
            <w:r>
              <w:rPr>
                <w:rFonts w:ascii="Futura Std Book;sans-serif" w:hAnsi="Futura Std Book;sans-serif"/>
                <w:b w:val="false"/>
                <w:color w:val="000000"/>
                <w:sz w:val="18"/>
              </w:rPr>
              <w:t>this proposal.</w:t>
            </w:r>
          </w:p>
        </w:tc>
        <w:tc>
          <w:tcPr>
            <w:tcW w:w="1978" w:type="dxa"/>
            <w:gridSpan w:val="3"/>
            <w:vMerge w:val="continue"/>
            <w:tcBorders>
              <w:left w:val="single" w:sz="4" w:space="0" w:color="0C3471"/>
            </w:tcBorders>
            <w:tcMar>
              <w:top w:w="0" w:type="dxa"/>
              <w:bottom w:w="0" w:type="dxa"/>
              <w:right w:w="0" w:type="dxa"/>
            </w:tcMar>
            <w:vAlign w:val="center"/>
          </w:tcPr>
          <w:p>
            <w:pPr>
              <w:pStyle w:val="Normal"/>
              <w:bidi w:val="0"/>
              <w:jc w:val="left"/>
              <w:rPr/>
            </w:pPr>
            <w:r>
              <w:rPr/>
            </w:r>
          </w:p>
        </w:tc>
      </w:tr>
      <w:tr>
        <w:trPr/>
        <w:tc>
          <w:tcPr>
            <w:tcW w:w="8227" w:type="dxa"/>
            <w:gridSpan w:val="3"/>
            <w:tcBorders>
              <w:bottom w:val="single" w:sz="4"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left w:val="single" w:sz="4" w:space="0" w:color="29378D"/>
              <w:bottom w:val="single" w:sz="4" w:space="0" w:color="29378D"/>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Board of Directors believes that implementation of this proposal is unnecessary given the Company’s comprehensive recoupment policy which promotes executive accountability and protects shareholder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554990"/>
                <wp:effectExtent l="0" t="0" r="0" b="0"/>
                <wp:wrapNone/>
                <wp:docPr id="144" name="Frame1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Shareholder Engagement</w:t>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At Northrop Grumman, we believe that regular, ongoing engagement with our shareholders is a critical component of our corporate governance framework. We have an extensive shareholder outreach program that provides us with important feedback to understand our shareholders’ top priorities. These discussions include members of our leadership team and Board to ensure we stay well-informed regarding our shareholders' views and to provide our shareholders with an opportunity to hear directly from our key leaders.</w:t>
      </w:r>
    </w:p>
    <w:p>
      <w:pPr>
        <w:pStyle w:val="TextBody"/>
        <w:bidi w:val="0"/>
        <w:spacing w:before="0" w:after="0"/>
        <w:jc w:val="left"/>
        <w:rPr/>
      </w:pPr>
      <w:r>
        <w:rPr/>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Our shareholder outreach program is designed to have ongoing engagement with shareholders throughout the year. This includes attending investor conferences, non-deal roadshows, one-on-one meetings, and site visits. In addition, we seek engagement with our largest shareholders twice a year with a focus on corporate governance related topics. </w:t>
      </w:r>
    </w:p>
    <w:p>
      <w:pPr>
        <w:pStyle w:val="TextBody"/>
        <w:bidi w:val="0"/>
        <w:spacing w:before="0" w:after="0"/>
        <w:jc w:val="left"/>
        <w:rPr/>
      </w:pPr>
      <w:r>
        <w:rPr/>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We have a proven record of adopting provisions or modifying practices as a result of shareholder engagement and feedback. For example, in 2023, after considering shareholder inputs and discussions, we submitted a management proposal at our annual meeting to reduce the threshold required to call a special meeting from 25% to 15%. This proposal was overwhelmingly supported by our shareholders with approximately 99% support. We also adjusted our executive compensation program to include Return on Invested Capital* (ROIC) as a component of our long-term financial metrics. We remain committed to robust, ongoing engagement to ensure continued alignment to shareholder interests and priorities.</w:t>
      </w:r>
    </w:p>
    <w:p>
      <w:pPr>
        <w:pStyle w:val="TextBody"/>
        <w:bidi w:val="0"/>
        <w:spacing w:before="120" w:after="120"/>
        <w:jc w:val="left"/>
        <w:rPr/>
      </w:pPr>
      <w:r>
        <w:rPr/>
      </w:r>
    </w:p>
    <w:p>
      <w:pPr>
        <w:pStyle w:val="TextBody"/>
        <w:bidi w:val="0"/>
        <w:spacing w:before="160" w:after="160"/>
        <w:jc w:val="center"/>
        <w:rPr/>
      </w:pPr>
      <w:r>
        <w:rPr/>
        <w:drawing>
          <wp:inline distT="0" distB="0" distL="0" distR="0">
            <wp:extent cx="6172200" cy="3400425"/>
            <wp:effectExtent l="0" t="0" r="0" b="0"/>
            <wp:docPr id="14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9" descr=""/>
                    <pic:cNvPicPr>
                      <a:picLocks noChangeAspect="1" noChangeArrowheads="1"/>
                    </pic:cNvPicPr>
                  </pic:nvPicPr>
                  <pic:blipFill>
                    <a:blip r:embed="rId130"/>
                    <a:stretch>
                      <a:fillRect/>
                    </a:stretch>
                  </pic:blipFill>
                  <pic:spPr bwMode="auto">
                    <a:xfrm>
                      <a:off x="0" y="0"/>
                      <a:ext cx="6172200" cy="3400425"/>
                    </a:xfrm>
                    <a:prstGeom prst="rect">
                      <a:avLst/>
                    </a:prstGeom>
                  </pic:spPr>
                </pic:pic>
              </a:graphicData>
            </a:graphic>
          </wp:inline>
        </w:drawing>
      </w:r>
    </w:p>
    <w:p>
      <w:pPr>
        <w:pStyle w:val="TextBody"/>
        <w:bidi w:val="0"/>
        <w:spacing w:lineRule="auto" w:line="312" w:before="300" w:after="120"/>
        <w:jc w:val="left"/>
        <w:rPr>
          <w:rFonts w:ascii="Futura Std Book;sans-serif" w:hAnsi="Futura Std Book;sans-serif"/>
          <w:b/>
          <w:color w:val="000000"/>
          <w:sz w:val="20"/>
        </w:rPr>
      </w:pPr>
      <w:r>
        <w:rPr>
          <w:rFonts w:ascii="Futura Std Book;sans-serif" w:hAnsi="Futura Std Book;sans-serif"/>
          <w:b/>
          <w:color w:val="000000"/>
          <w:sz w:val="20"/>
        </w:rPr>
        <w:t>KEY ITEMS DISCUSSED WITH SHAREHOLDERS IN 2024</w:t>
      </w:r>
    </w:p>
    <w:tbl>
      <w:tblPr>
        <w:tblW w:w="10205" w:type="dxa"/>
        <w:jc w:val="left"/>
        <w:tblInd w:w="0" w:type="dxa"/>
        <w:tblLayout w:type="fixed"/>
        <w:tblCellMar>
          <w:top w:w="28" w:type="dxa"/>
          <w:left w:w="28" w:type="dxa"/>
          <w:bottom w:w="28" w:type="dxa"/>
          <w:right w:w="28" w:type="dxa"/>
        </w:tblCellMar>
      </w:tblPr>
      <w:tblGrid>
        <w:gridCol w:w="915"/>
        <w:gridCol w:w="803"/>
        <w:gridCol w:w="807"/>
        <w:gridCol w:w="109"/>
        <w:gridCol w:w="109"/>
        <w:gridCol w:w="109"/>
        <w:gridCol w:w="656"/>
        <w:gridCol w:w="656"/>
        <w:gridCol w:w="657"/>
        <w:gridCol w:w="109"/>
        <w:gridCol w:w="109"/>
        <w:gridCol w:w="109"/>
        <w:gridCol w:w="825"/>
        <w:gridCol w:w="825"/>
        <w:gridCol w:w="827"/>
        <w:gridCol w:w="109"/>
        <w:gridCol w:w="109"/>
        <w:gridCol w:w="109"/>
        <w:gridCol w:w="657"/>
        <w:gridCol w:w="657"/>
        <w:gridCol w:w="939"/>
      </w:tblGrid>
      <w:tr>
        <w:trPr/>
        <w:tc>
          <w:tcPr>
            <w:tcW w:w="91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52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8"/>
              </w:rPr>
            </w:pPr>
            <w:r>
              <w:rPr>
                <w:rFonts w:ascii="Futura Std Book;sans-serif" w:hAnsi="Futura Std Book;sans-serif"/>
                <w:b/>
                <w:color w:val="000000"/>
                <w:sz w:val="18"/>
              </w:rPr>
              <w:t>Governance Topics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Shareholder Proposals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Executive Compensation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Board Composition and 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Sustainability Topics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Environmental Goals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Supply Chain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Inclusion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Human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8"/>
              </w:rPr>
            </w:pPr>
            <w:r>
              <w:rPr>
                <w:rFonts w:ascii="Futura Std Book;sans-serif" w:hAnsi="Futura Std Book;sans-serif"/>
                <w:b/>
                <w:color w:val="000000"/>
                <w:sz w:val="18"/>
              </w:rPr>
              <w:t>Financial Topics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Financial Performance and Outlook</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Portfolio Composition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Capital Deployment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 xml:space="preserve">Company Strategy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Technology Leadership</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Digital Transformation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Customer Priorities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Human Capital Management</w:t>
            </w:r>
          </w:p>
          <w:p>
            <w:pPr>
              <w:pStyle w:val="TableContents"/>
              <w:bidi w:val="0"/>
              <w:spacing w:before="80" w:after="80"/>
              <w:ind w:left="0" w:right="0" w:hanging="216"/>
              <w:jc w:val="left"/>
              <w:rPr/>
            </w:pPr>
            <w:r>
              <w:rPr/>
            </w:r>
          </w:p>
        </w:tc>
      </w:tr>
      <w:tr>
        <w:trPr/>
        <w:tc>
          <w:tcPr>
            <w:tcW w:w="252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734695"/>
                <wp:effectExtent l="0" t="0" r="0" b="0"/>
                <wp:wrapNone/>
                <wp:docPr id="146" name="Frame1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Proposal 1: Election of Directors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Board has nominated 12 directors for election at the Annual Meeting. Mr. Robinson has decided not to seek re-election to the Board at the Annual Meeting. He will conclude his service on the Board immediately following the Annual Meeting. The Board intends to reduce the number of members of the Board from 13 to 12 directors effective with the Annual Meeting. Each of the director nominees has consented to serve, and we do not know of any reason why any of them would be unable to serve, if elected. If a nominee becomes unavailable or unable to serve before the Annual Meeting (for example, due to serious illness), the Board may determine to leave the position vacant, reduce the number of authorized directors or designate a substitute nominee. In the unanticipated event that a nominee becomes unavailable for election to the Board, the proxyholders will have full discretion and authority to vote, or refrain from voting, for any other nominee in accordance with their judgment.</w:t>
      </w:r>
    </w:p>
    <w:p>
      <w:pPr>
        <w:pStyle w:val="TextBody"/>
        <w:bidi w:val="0"/>
        <w:spacing w:lineRule="auto" w:line="288" w:before="120" w:after="120"/>
        <w:jc w:val="left"/>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bidi w:val="0"/>
        <w:spacing w:lineRule="auto" w:line="288" w:before="120" w:after="120"/>
        <w:jc w:val="left"/>
        <w:rPr/>
      </w:pPr>
      <w:r>
        <w:rPr>
          <w:rFonts w:ascii="Futura Std Book;sans-serif" w:hAnsi="Futura Std Book;sans-serif"/>
          <w:b w:val="false"/>
          <w:color w:val="000000"/>
          <w:sz w:val="18"/>
        </w:rPr>
        <w:t xml:space="preserve">To be elected, a nominee must receive more votes cast “for” than votes cast “against” his or her election. Abstentions and broker non-votes will have no effect on this proposal. If a nominee is not re-elected, he or she will remain in office until a successor is elected or until his or her earlier resignation or removal. See page </w:t>
      </w:r>
      <w:hyperlink w:anchor="i9ccf6b6d1e7449eba0edfd501a2a3c9a_5966">
        <w:r>
          <w:rPr>
            <w:rStyle w:val="InternetLink"/>
            <w:rFonts w:ascii="Futura Std Book;sans-serif" w:hAnsi="Futura Std Book;sans-serif"/>
            <w:b w:val="false"/>
            <w:strike w:val="false"/>
            <w:dstrike w:val="false"/>
            <w:color w:val="000000"/>
            <w:sz w:val="18"/>
            <w:u w:val="none"/>
            <w:effect w:val="none"/>
          </w:rPr>
          <w:t>26</w:t>
        </w:r>
      </w:hyperlink>
      <w:r>
        <w:rPr>
          <w:rFonts w:ascii="Futura Std Book;sans-serif" w:hAnsi="Futura Std Book;sans-serif"/>
          <w:b w:val="false"/>
          <w:color w:val="000000"/>
          <w:sz w:val="18"/>
        </w:rPr>
        <w:t xml:space="preserve"> for additional information on our Director Election Process.</w:t>
      </w:r>
    </w:p>
    <w:tbl>
      <w:tblPr>
        <w:tblW w:w="10205" w:type="dxa"/>
        <w:jc w:val="left"/>
        <w:tblInd w:w="0" w:type="dxa"/>
        <w:tblLayout w:type="fixed"/>
        <w:tblCellMar>
          <w:top w:w="28" w:type="dxa"/>
          <w:left w:w="28" w:type="dxa"/>
          <w:bottom w:w="28" w:type="dxa"/>
          <w:right w:w="28" w:type="dxa"/>
        </w:tblCellMar>
      </w:tblPr>
      <w:tblGrid>
        <w:gridCol w:w="156"/>
        <w:gridCol w:w="137"/>
        <w:gridCol w:w="138"/>
        <w:gridCol w:w="2862"/>
        <w:gridCol w:w="2862"/>
        <w:gridCol w:w="4050"/>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op w:val="single" w:sz="12" w:space="0" w:color="29378D"/>
              <w:left w:val="single" w:sz="12" w:space="0" w:color="29378D"/>
            </w:tcBorders>
            <w:shd w:fill="29378D" w:val="clear"/>
            <w:tcMar>
              <w:bottom w:w="0" w:type="dxa"/>
              <w:right w:w="0" w:type="dxa"/>
            </w:tcMar>
            <w:vAlign w:val="center"/>
          </w:tcPr>
          <w:p>
            <w:pPr>
              <w:pStyle w:val="TableContents"/>
              <w:bidi w:val="0"/>
              <w:spacing w:before="0" w:after="283"/>
              <w:jc w:val="left"/>
              <w:rPr>
                <w:sz w:val="4"/>
                <w:szCs w:val="4"/>
              </w:rPr>
            </w:pPr>
            <w:r>
              <w:rPr>
                <w:sz w:val="4"/>
                <w:szCs w:val="4"/>
              </w:rPr>
            </w:r>
          </w:p>
        </w:tc>
        <w:tc>
          <w:tcPr>
            <w:tcW w:w="9774" w:type="dxa"/>
            <w:gridSpan w:val="3"/>
            <w:tcBorders>
              <w:top w:val="single" w:sz="12" w:space="0" w:color="29378D"/>
              <w:right w:val="single" w:sz="12" w:space="0" w:color="29378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31" w:type="dxa"/>
            <w:gridSpan w:val="3"/>
            <w:tcBorders>
              <w:left w:val="single" w:sz="12" w:space="0" w:color="29378D"/>
            </w:tcBorders>
            <w:shd w:fill="29378D" w:val="clear"/>
            <w:tcMar>
              <w:top w:w="0" w:type="dxa"/>
              <w:bottom w:w="0" w:type="dxa"/>
              <w:right w:w="0" w:type="dxa"/>
            </w:tcMar>
            <w:vAlign w:val="center"/>
          </w:tcPr>
          <w:p>
            <w:pPr>
              <w:pStyle w:val="TableContents"/>
              <w:bidi w:val="0"/>
              <w:spacing w:before="0" w:after="0"/>
              <w:jc w:val="center"/>
              <w:rPr/>
            </w:pPr>
            <w:r>
              <w:rPr/>
              <w:drawing>
                <wp:inline distT="0" distB="0" distL="0" distR="0">
                  <wp:extent cx="209550" cy="171450"/>
                  <wp:effectExtent l="0" t="0" r="0" b="0"/>
                  <wp:docPr id="14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0" descr=""/>
                          <pic:cNvPicPr>
                            <a:picLocks noChangeAspect="1" noChangeArrowheads="1"/>
                          </pic:cNvPicPr>
                        </pic:nvPicPr>
                        <pic:blipFill>
                          <a:blip r:embed="rId131"/>
                          <a:stretch>
                            <a:fillRect/>
                          </a:stretch>
                        </pic:blipFill>
                        <pic:spPr bwMode="auto">
                          <a:xfrm>
                            <a:off x="0" y="0"/>
                            <a:ext cx="209550" cy="171450"/>
                          </a:xfrm>
                          <a:prstGeom prst="rect">
                            <a:avLst/>
                          </a:prstGeom>
                        </pic:spPr>
                      </pic:pic>
                    </a:graphicData>
                  </a:graphic>
                </wp:inline>
              </w:drawing>
            </w:r>
          </w:p>
        </w:tc>
        <w:tc>
          <w:tcPr>
            <w:tcW w:w="9774" w:type="dxa"/>
            <w:gridSpan w:val="3"/>
            <w:tcBorders>
              <w:right w:val="single" w:sz="12" w:space="0" w:color="29378D"/>
            </w:tcBorders>
            <w:tcMar>
              <w:top w:w="0" w:type="dxa"/>
              <w:left w:w="0" w:type="dxa"/>
              <w:bottom w:w="0" w:type="dxa"/>
            </w:tcMar>
            <w:vAlign w:val="center"/>
          </w:tcPr>
          <w:p>
            <w:pPr>
              <w:pStyle w:val="TableContents"/>
              <w:bidi w:val="0"/>
              <w:spacing w:lineRule="auto" w:line="288" w:before="0" w:after="0"/>
              <w:jc w:val="left"/>
              <w:rPr/>
            </w:pPr>
            <w:r>
              <w:rPr>
                <w:rFonts w:ascii="Futura Std Book;sans-serif" w:hAnsi="Futura Std Book;sans-serif"/>
                <w:b/>
                <w:color w:val="000000"/>
                <w:sz w:val="18"/>
              </w:rPr>
              <w:t xml:space="preserve">THE BOARD OF DIRECTORS UNANIMOUSLY RECOMMENDS THAT YOU VOTE </w:t>
            </w:r>
            <w:r>
              <w:rPr>
                <w:color w:val="29378D"/>
              </w:rPr>
              <w:t>“</w:t>
            </w:r>
            <w:r>
              <w:rPr>
                <w:rFonts w:ascii="Futura Std Book;sans-serif" w:hAnsi="Futura Std Book;sans-serif"/>
                <w:b/>
                <w:color w:val="29378D"/>
                <w:sz w:val="18"/>
              </w:rPr>
              <w:t xml:space="preserve">FOR” </w:t>
            </w:r>
            <w:r>
              <w:rPr>
                <w:rFonts w:ascii="Futura Std Book;sans-serif" w:hAnsi="Futura Std Book;sans-serif"/>
                <w:b/>
                <w:color w:val="000000"/>
                <w:sz w:val="18"/>
              </w:rPr>
              <w:t>THE 12 NOMINEES FOR DIRECTOR LISTED BELOW.</w:t>
            </w:r>
          </w:p>
        </w:tc>
      </w:tr>
      <w:tr>
        <w:trPr/>
        <w:tc>
          <w:tcPr>
            <w:tcW w:w="431" w:type="dxa"/>
            <w:gridSpan w:val="3"/>
            <w:tcBorders>
              <w:left w:val="single" w:sz="12" w:space="0" w:color="29378D"/>
              <w:bottom w:val="single" w:sz="12" w:space="0" w:color="29378D"/>
            </w:tcBorders>
            <w:shd w:fill="29378D" w:val="clear"/>
            <w:tcMar>
              <w:top w:w="0" w:type="dxa"/>
              <w:right w:w="0" w:type="dxa"/>
            </w:tcMar>
            <w:vAlign w:val="center"/>
          </w:tcPr>
          <w:p>
            <w:pPr>
              <w:pStyle w:val="TableContents"/>
              <w:bidi w:val="0"/>
              <w:spacing w:before="0" w:after="283"/>
              <w:jc w:val="left"/>
              <w:rPr>
                <w:sz w:val="4"/>
                <w:szCs w:val="4"/>
              </w:rPr>
            </w:pPr>
            <w:r>
              <w:rPr>
                <w:sz w:val="4"/>
                <w:szCs w:val="4"/>
              </w:rPr>
            </w:r>
          </w:p>
        </w:tc>
        <w:tc>
          <w:tcPr>
            <w:tcW w:w="9774" w:type="dxa"/>
            <w:gridSpan w:val="3"/>
            <w:tcBorders>
              <w:bottom w:val="single" w:sz="12" w:space="0" w:color="29378D"/>
              <w:right w:val="single" w:sz="12" w:space="0" w:color="29378D"/>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bookmarkStart w:id="0" w:name="ia3e70e0b392246f2b9c1d1da4c4d4b8c_23034"/>
      <w:bookmarkEnd w:id="0"/>
      <w:r>
        <w:rPr>
          <w:rFonts w:ascii="Futura Std Book;sans-serif" w:hAnsi="Futura Std Book;sans-serif"/>
          <w:b/>
          <w:color w:val="000000"/>
          <w:sz w:val="36"/>
        </w:rPr>
        <w:t xml:space="preserve">Director Qualifications and Experience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Nominating and Corporate Governance Committee evaluates Board nominees by considering a range of criteria, including certain general attributes and each individual’s personal and professional background. The assessment focuses on achieving a diverse mix of skills and experiences necessary for effective governance and oversight by the Board as a whole, ultimately advancing the long-term interests of our shareholders. The Committee is dedicated to ensuring a talented and well-rounded board, comprised of members with the requisite skills, experience, and commitment to serve the Company and its shareholders. The Committee provides regular updates to the Board regarding the mix of skills and expertise needed in the future, taking into account the evolving needs of the Company and its businesses and upcoming retirements from the Board. </w:t>
      </w:r>
    </w:p>
    <w:p>
      <w:pPr>
        <w:pStyle w:val="TextBody"/>
        <w:bidi w:val="0"/>
        <w:spacing w:lineRule="auto" w:line="288" w:before="240" w:after="120"/>
        <w:jc w:val="left"/>
        <w:rPr>
          <w:rFonts w:ascii="Futura Std Book;sans-serif" w:hAnsi="Futura Std Book;sans-serif"/>
          <w:b/>
          <w:color w:val="000000"/>
          <w:sz w:val="18"/>
        </w:rPr>
      </w:pPr>
      <w:r>
        <w:rPr>
          <w:rFonts w:ascii="Futura Std Book;sans-serif" w:hAnsi="Futura Std Book;sans-serif"/>
          <w:b/>
          <w:color w:val="000000"/>
          <w:sz w:val="18"/>
        </w:rPr>
        <w:t>THE COMMITTEE CONSIDERS A RANGE OF CRITERIA WHEN EVALUATING POTENTIAL CANDIDATES</w:t>
      </w:r>
    </w:p>
    <w:tbl>
      <w:tblPr>
        <w:tblW w:w="10205" w:type="dxa"/>
        <w:jc w:val="left"/>
        <w:tblInd w:w="0" w:type="dxa"/>
        <w:tblLayout w:type="fixed"/>
        <w:tblCellMar>
          <w:top w:w="28" w:type="dxa"/>
          <w:left w:w="28" w:type="dxa"/>
          <w:bottom w:w="28" w:type="dxa"/>
          <w:right w:w="28" w:type="dxa"/>
        </w:tblCellMar>
      </w:tblPr>
      <w:tblGrid>
        <w:gridCol w:w="1287"/>
        <w:gridCol w:w="1131"/>
        <w:gridCol w:w="1133"/>
        <w:gridCol w:w="1148"/>
        <w:gridCol w:w="1148"/>
        <w:gridCol w:w="1148"/>
        <w:gridCol w:w="937"/>
        <w:gridCol w:w="937"/>
        <w:gridCol w:w="1336"/>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95250" cy="85725"/>
                  <wp:effectExtent l="0" t="0" r="0" b="0"/>
                  <wp:docPr id="14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1" descr=""/>
                          <pic:cNvPicPr>
                            <a:picLocks noChangeAspect="1" noChangeArrowheads="1"/>
                          </pic:cNvPicPr>
                        </pic:nvPicPr>
                        <pic:blipFill>
                          <a:blip r:embed="rId132"/>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8"/>
              </w:rPr>
              <w:t>High personal and professional integrity</w:t>
            </w:r>
          </w:p>
          <w:p>
            <w:pPr>
              <w:pStyle w:val="TableContents"/>
              <w:bidi w:val="0"/>
              <w:spacing w:lineRule="auto" w:line="288" w:before="80" w:after="80"/>
              <w:ind w:left="0" w:right="0" w:hanging="259"/>
              <w:jc w:val="left"/>
              <w:rPr/>
            </w:pPr>
            <w:r>
              <w:rPr/>
              <w:drawing>
                <wp:inline distT="0" distB="0" distL="0" distR="0">
                  <wp:extent cx="95250" cy="85725"/>
                  <wp:effectExtent l="0" t="0" r="0" b="0"/>
                  <wp:docPr id="14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2" descr=""/>
                          <pic:cNvPicPr>
                            <a:picLocks noChangeAspect="1" noChangeArrowheads="1"/>
                          </pic:cNvPicPr>
                        </pic:nvPicPr>
                        <pic:blipFill>
                          <a:blip r:embed="rId133"/>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8"/>
              </w:rPr>
              <w:t>Relevant educational and professional background and experience</w:t>
            </w:r>
          </w:p>
          <w:p>
            <w:pPr>
              <w:pStyle w:val="TableContents"/>
              <w:bidi w:val="0"/>
              <w:spacing w:lineRule="auto" w:line="288" w:before="80" w:after="80"/>
              <w:ind w:left="0" w:right="0" w:hanging="259"/>
              <w:jc w:val="left"/>
              <w:rPr/>
            </w:pPr>
            <w:r>
              <w:rPr/>
              <w:drawing>
                <wp:inline distT="0" distB="0" distL="0" distR="0">
                  <wp:extent cx="95250" cy="85725"/>
                  <wp:effectExtent l="0" t="0" r="0" b="0"/>
                  <wp:docPr id="15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3" descr=""/>
                          <pic:cNvPicPr>
                            <a:picLocks noChangeAspect="1" noChangeArrowheads="1"/>
                          </pic:cNvPicPr>
                        </pic:nvPicPr>
                        <pic:blipFill>
                          <a:blip r:embed="rId134"/>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8"/>
              </w:rPr>
              <w:t>Diverse and complementary skills and experiences relevant to the Company</w:t>
            </w:r>
          </w:p>
        </w:tc>
        <w:tc>
          <w:tcPr>
            <w:tcW w:w="3444"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59"/>
              <w:jc w:val="left"/>
              <w:rPr/>
            </w:pPr>
            <w:r>
              <w:rPr/>
              <w:drawing>
                <wp:inline distT="0" distB="0" distL="0" distR="0">
                  <wp:extent cx="95250" cy="85725"/>
                  <wp:effectExtent l="0" t="0" r="0" b="0"/>
                  <wp:docPr id="15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4" descr=""/>
                          <pic:cNvPicPr>
                            <a:picLocks noChangeAspect="1" noChangeArrowheads="1"/>
                          </pic:cNvPicPr>
                        </pic:nvPicPr>
                        <pic:blipFill>
                          <a:blip r:embed="rId135"/>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8"/>
              </w:rPr>
              <w:t>Ability to contribute towards the Company’s strategic goals and objectives</w:t>
            </w:r>
          </w:p>
          <w:p>
            <w:pPr>
              <w:pStyle w:val="TableContents"/>
              <w:bidi w:val="0"/>
              <w:spacing w:lineRule="auto" w:line="288" w:before="80" w:after="80"/>
              <w:ind w:left="0" w:right="0" w:hanging="259"/>
              <w:jc w:val="left"/>
              <w:rPr/>
            </w:pPr>
            <w:r>
              <w:rPr/>
              <w:drawing>
                <wp:inline distT="0" distB="0" distL="0" distR="0">
                  <wp:extent cx="95250" cy="85725"/>
                  <wp:effectExtent l="0" t="0" r="0" b="0"/>
                  <wp:docPr id="15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5" descr=""/>
                          <pic:cNvPicPr>
                            <a:picLocks noChangeAspect="1" noChangeArrowheads="1"/>
                          </pic:cNvPicPr>
                        </pic:nvPicPr>
                        <pic:blipFill>
                          <a:blip r:embed="rId136"/>
                          <a:stretch>
                            <a:fillRect/>
                          </a:stretch>
                        </pic:blipFill>
                        <pic:spPr bwMode="auto">
                          <a:xfrm>
                            <a:off x="0" y="0"/>
                            <a:ext cx="95250" cy="85725"/>
                          </a:xfrm>
                          <a:prstGeom prst="rect">
                            <a:avLst/>
                          </a:prstGeom>
                        </pic:spPr>
                      </pic:pic>
                    </a:graphicData>
                  </a:graphic>
                </wp:inline>
              </w:drawing>
            </w:r>
            <w:r>
              <w:rPr>
                <w:color w:val="000000"/>
              </w:rPr>
              <w:t>  </w:t>
            </w:r>
            <w:r>
              <w:rPr>
                <w:rFonts w:ascii="Futura Std Book;sans-serif" w:hAnsi="Futura Std Book;sans-serif"/>
                <w:b w:val="false"/>
                <w:color w:val="000000"/>
                <w:sz w:val="18"/>
              </w:rPr>
              <w:t>Willingness to apply for and ability to obtain and retain a top secret security clearance</w:t>
            </w:r>
          </w:p>
        </w:tc>
        <w:tc>
          <w:tcPr>
            <w:tcW w:w="3210" w:type="dxa"/>
            <w:gridSpan w:val="3"/>
            <w:tcBorders/>
            <w:shd w:fill="E6E7E8" w:val="clear"/>
            <w:tcMar>
              <w:top w:w="0" w:type="dxa"/>
              <w:left w:w="0" w:type="dxa"/>
              <w:bottom w:w="0" w:type="dxa"/>
              <w:right w:w="0" w:type="dxa"/>
            </w:tcMar>
            <w:vAlign w:val="center"/>
          </w:tcPr>
          <w:p>
            <w:pPr>
              <w:pStyle w:val="TableContents"/>
              <w:bidi w:val="0"/>
              <w:spacing w:lineRule="auto" w:line="288" w:before="80" w:after="80"/>
              <w:ind w:left="0" w:right="0" w:hanging="270"/>
              <w:jc w:val="left"/>
              <w:rPr/>
            </w:pPr>
            <w:r>
              <w:rPr/>
              <w:drawing>
                <wp:inline distT="0" distB="0" distL="0" distR="0">
                  <wp:extent cx="95250" cy="95250"/>
                  <wp:effectExtent l="0" t="0" r="0" b="0"/>
                  <wp:docPr id="15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6" descr=""/>
                          <pic:cNvPicPr>
                            <a:picLocks noChangeAspect="1" noChangeArrowheads="1"/>
                          </pic:cNvPicPr>
                        </pic:nvPicPr>
                        <pic:blipFill>
                          <a:blip r:embed="rId137"/>
                          <a:stretch>
                            <a:fillRect/>
                          </a:stretch>
                        </pic:blipFill>
                        <pic:spPr bwMode="auto">
                          <a:xfrm>
                            <a:off x="0" y="0"/>
                            <a:ext cx="95250" cy="95250"/>
                          </a:xfrm>
                          <a:prstGeom prst="rect">
                            <a:avLst/>
                          </a:prstGeom>
                        </pic:spPr>
                      </pic:pic>
                    </a:graphicData>
                  </a:graphic>
                </wp:inline>
              </w:drawing>
            </w:r>
            <w:r>
              <w:rPr>
                <w:color w:val="000000"/>
              </w:rPr>
              <w:t>  </w:t>
            </w:r>
            <w:r>
              <w:rPr>
                <w:rFonts w:ascii="Futura Std Book;sans-serif" w:hAnsi="Futura Std Book;sans-serif"/>
                <w:b w:val="false"/>
                <w:color w:val="000000"/>
                <w:sz w:val="18"/>
              </w:rPr>
              <w:t xml:space="preserve">Ability to represent the best interests of all shareholders </w:t>
            </w:r>
          </w:p>
          <w:p>
            <w:pPr>
              <w:pStyle w:val="TableContents"/>
              <w:bidi w:val="0"/>
              <w:spacing w:lineRule="auto" w:line="288" w:before="120" w:after="120"/>
              <w:ind w:left="0" w:right="0" w:hanging="270"/>
              <w:jc w:val="left"/>
              <w:rPr/>
            </w:pPr>
            <w:r>
              <w:rPr/>
              <w:drawing>
                <wp:inline distT="0" distB="0" distL="0" distR="0">
                  <wp:extent cx="85725" cy="85725"/>
                  <wp:effectExtent l="0" t="0" r="0" b="0"/>
                  <wp:docPr id="15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7" descr=""/>
                          <pic:cNvPicPr>
                            <a:picLocks noChangeAspect="1" noChangeArrowheads="1"/>
                          </pic:cNvPicPr>
                        </pic:nvPicPr>
                        <pic:blipFill>
                          <a:blip r:embed="rId138"/>
                          <a:stretch>
                            <a:fillRect/>
                          </a:stretch>
                        </pic:blipFill>
                        <pic:spPr bwMode="auto">
                          <a:xfrm>
                            <a:off x="0" y="0"/>
                            <a:ext cx="85725" cy="85725"/>
                          </a:xfrm>
                          <a:prstGeom prst="rect">
                            <a:avLst/>
                          </a:prstGeom>
                        </pic:spPr>
                      </pic:pic>
                    </a:graphicData>
                  </a:graphic>
                </wp:inline>
              </w:drawing>
            </w:r>
            <w:r>
              <w:rPr>
                <w:color w:val="000000"/>
              </w:rPr>
              <w:t>  </w:t>
            </w:r>
            <w:r>
              <w:rPr>
                <w:rFonts w:ascii="Futura Std Book;sans-serif" w:hAnsi="Futura Std Book;sans-serif"/>
                <w:b w:val="false"/>
                <w:color w:val="000000"/>
                <w:sz w:val="18"/>
              </w:rPr>
              <w:t>Ability and willingness to devote appropriate time and attention to Board service</w:t>
            </w:r>
          </w:p>
        </w:tc>
      </w:tr>
      <w:tr>
        <w:trPr/>
        <w:tc>
          <w:tcPr>
            <w:tcW w:w="355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believe that the wide-ranging qualifications of our directors, including, but not limited to, those outlined below, enable our Board to effectively provide strategic oversight and guidance that promotes the best interests of our Company and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554990"/>
                <wp:effectExtent l="0" t="0" r="0" b="0"/>
                <wp:wrapNone/>
                <wp:docPr id="155" name="Frame1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915"/>
        <w:gridCol w:w="806"/>
        <w:gridCol w:w="806"/>
        <w:gridCol w:w="1573"/>
        <w:gridCol w:w="814"/>
        <w:gridCol w:w="81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1"/>
        <w:gridCol w:w="161"/>
        <w:gridCol w:w="232"/>
      </w:tblGrid>
      <w:tr>
        <w:trPr/>
        <w:tc>
          <w:tcPr>
            <w:tcW w:w="91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727"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24"/>
              </w:rPr>
            </w:pPr>
            <w:r>
              <w:rPr>
                <w:rFonts w:ascii="Futura Std Book;sans-serif" w:hAnsi="Futura Std Book;sans-serif"/>
                <w:b/>
                <w:color w:val="000000"/>
                <w:sz w:val="24"/>
              </w:rPr>
              <w:t>Skills and Significant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0"/>
                  <wp:effectExtent l="0" t="0" r="0" b="0"/>
                  <wp:docPr id="15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8" descr=""/>
                          <pic:cNvPicPr>
                            <a:picLocks noChangeAspect="1" noChangeArrowheads="1"/>
                          </pic:cNvPicPr>
                        </pic:nvPicPr>
                        <pic:blipFill>
                          <a:blip r:embed="rId139"/>
                          <a:stretch>
                            <a:fillRect/>
                          </a:stretch>
                        </pic:blipFill>
                        <pic:spPr bwMode="auto">
                          <a:xfrm>
                            <a:off x="0" y="0"/>
                            <a:ext cx="85725" cy="762000"/>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695325"/>
                  <wp:effectExtent l="0" t="0" r="0" b="0"/>
                  <wp:docPr id="15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9" descr=""/>
                          <pic:cNvPicPr>
                            <a:picLocks noChangeAspect="1" noChangeArrowheads="1"/>
                          </pic:cNvPicPr>
                        </pic:nvPicPr>
                        <pic:blipFill>
                          <a:blip r:embed="rId140"/>
                          <a:stretch>
                            <a:fillRect/>
                          </a:stretch>
                        </pic:blipFill>
                        <pic:spPr bwMode="auto">
                          <a:xfrm>
                            <a:off x="0" y="0"/>
                            <a:ext cx="95250" cy="69532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675" cy="885825"/>
                  <wp:effectExtent l="0" t="0" r="0" b="0"/>
                  <wp:docPr id="15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0" descr=""/>
                          <pic:cNvPicPr>
                            <a:picLocks noChangeAspect="1" noChangeArrowheads="1"/>
                          </pic:cNvPicPr>
                        </pic:nvPicPr>
                        <pic:blipFill>
                          <a:blip r:embed="rId141"/>
                          <a:stretch>
                            <a:fillRect/>
                          </a:stretch>
                        </pic:blipFill>
                        <pic:spPr bwMode="auto">
                          <a:xfrm>
                            <a:off x="0" y="0"/>
                            <a:ext cx="66675" cy="88582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647700"/>
                  <wp:effectExtent l="0" t="0" r="0" b="0"/>
                  <wp:docPr id="15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1" descr=""/>
                          <pic:cNvPicPr>
                            <a:picLocks noChangeAspect="1" noChangeArrowheads="1"/>
                          </pic:cNvPicPr>
                        </pic:nvPicPr>
                        <pic:blipFill>
                          <a:blip r:embed="rId142"/>
                          <a:stretch>
                            <a:fillRect/>
                          </a:stretch>
                        </pic:blipFill>
                        <pic:spPr bwMode="auto">
                          <a:xfrm>
                            <a:off x="0" y="0"/>
                            <a:ext cx="95250" cy="647700"/>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675" cy="962025"/>
                  <wp:effectExtent l="0" t="0" r="0" b="0"/>
                  <wp:docPr id="16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2" descr=""/>
                          <pic:cNvPicPr>
                            <a:picLocks noChangeAspect="1" noChangeArrowheads="1"/>
                          </pic:cNvPicPr>
                        </pic:nvPicPr>
                        <pic:blipFill>
                          <a:blip r:embed="rId143"/>
                          <a:stretch>
                            <a:fillRect/>
                          </a:stretch>
                        </pic:blipFill>
                        <pic:spPr bwMode="auto">
                          <a:xfrm>
                            <a:off x="0" y="0"/>
                            <a:ext cx="66675" cy="96202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675" cy="752475"/>
                  <wp:effectExtent l="0" t="0" r="0" b="0"/>
                  <wp:docPr id="161"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3" descr=""/>
                          <pic:cNvPicPr>
                            <a:picLocks noChangeAspect="1" noChangeArrowheads="1"/>
                          </pic:cNvPicPr>
                        </pic:nvPicPr>
                        <pic:blipFill>
                          <a:blip r:embed="rId144"/>
                          <a:stretch>
                            <a:fillRect/>
                          </a:stretch>
                        </pic:blipFill>
                        <pic:spPr bwMode="auto">
                          <a:xfrm>
                            <a:off x="0" y="0"/>
                            <a:ext cx="66675" cy="75247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771525"/>
                  <wp:effectExtent l="0" t="0" r="0" b="0"/>
                  <wp:docPr id="16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4" descr=""/>
                          <pic:cNvPicPr>
                            <a:picLocks noChangeAspect="1" noChangeArrowheads="1"/>
                          </pic:cNvPicPr>
                        </pic:nvPicPr>
                        <pic:blipFill>
                          <a:blip r:embed="rId145"/>
                          <a:stretch>
                            <a:fillRect/>
                          </a:stretch>
                        </pic:blipFill>
                        <pic:spPr bwMode="auto">
                          <a:xfrm>
                            <a:off x="0" y="0"/>
                            <a:ext cx="95250" cy="77152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14375"/>
                  <wp:effectExtent l="0" t="0" r="0" b="0"/>
                  <wp:docPr id="16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5" descr=""/>
                          <pic:cNvPicPr>
                            <a:picLocks noChangeAspect="1" noChangeArrowheads="1"/>
                          </pic:cNvPicPr>
                        </pic:nvPicPr>
                        <pic:blipFill>
                          <a:blip r:embed="rId146"/>
                          <a:stretch>
                            <a:fillRect/>
                          </a:stretch>
                        </pic:blipFill>
                        <pic:spPr bwMode="auto">
                          <a:xfrm>
                            <a:off x="0" y="0"/>
                            <a:ext cx="85725" cy="71437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6200" cy="952500"/>
                  <wp:effectExtent l="0" t="0" r="0" b="0"/>
                  <wp:docPr id="16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6" descr=""/>
                          <pic:cNvPicPr>
                            <a:picLocks noChangeAspect="1" noChangeArrowheads="1"/>
                          </pic:cNvPicPr>
                        </pic:nvPicPr>
                        <pic:blipFill>
                          <a:blip r:embed="rId147"/>
                          <a:stretch>
                            <a:fillRect/>
                          </a:stretch>
                        </pic:blipFill>
                        <pic:spPr bwMode="auto">
                          <a:xfrm>
                            <a:off x="0" y="0"/>
                            <a:ext cx="76200" cy="952500"/>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714375"/>
                  <wp:effectExtent l="0" t="0" r="0" b="0"/>
                  <wp:docPr id="165"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7" descr=""/>
                          <pic:cNvPicPr>
                            <a:picLocks noChangeAspect="1" noChangeArrowheads="1"/>
                          </pic:cNvPicPr>
                        </pic:nvPicPr>
                        <pic:blipFill>
                          <a:blip r:embed="rId148"/>
                          <a:stretch>
                            <a:fillRect/>
                          </a:stretch>
                        </pic:blipFill>
                        <pic:spPr bwMode="auto">
                          <a:xfrm>
                            <a:off x="0" y="0"/>
                            <a:ext cx="95250" cy="714375"/>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675" cy="781050"/>
                  <wp:effectExtent l="0" t="0" r="0" b="0"/>
                  <wp:docPr id="166"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8" descr=""/>
                          <pic:cNvPicPr>
                            <a:picLocks noChangeAspect="1" noChangeArrowheads="1"/>
                          </pic:cNvPicPr>
                        </pic:nvPicPr>
                        <pic:blipFill>
                          <a:blip r:embed="rId149"/>
                          <a:stretch>
                            <a:fillRect/>
                          </a:stretch>
                        </pic:blipFill>
                        <pic:spPr bwMode="auto">
                          <a:xfrm>
                            <a:off x="0" y="0"/>
                            <a:ext cx="66675" cy="781050"/>
                          </a:xfrm>
                          <a:prstGeom prst="rect">
                            <a:avLst/>
                          </a:prstGeom>
                        </pic:spPr>
                      </pic:pic>
                    </a:graphicData>
                  </a:graphic>
                </wp:inline>
              </w:drawing>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781050"/>
                  <wp:effectExtent l="0" t="0" r="0" b="0"/>
                  <wp:docPr id="167"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9" descr=""/>
                          <pic:cNvPicPr>
                            <a:picLocks noChangeAspect="1" noChangeArrowheads="1"/>
                          </pic:cNvPicPr>
                        </pic:nvPicPr>
                        <pic:blipFill>
                          <a:blip r:embed="rId150"/>
                          <a:stretch>
                            <a:fillRect/>
                          </a:stretch>
                        </pic:blipFill>
                        <pic:spPr bwMode="auto">
                          <a:xfrm>
                            <a:off x="0" y="0"/>
                            <a:ext cx="95250" cy="781050"/>
                          </a:xfrm>
                          <a:prstGeom prst="rect">
                            <a:avLst/>
                          </a:prstGeom>
                        </pic:spPr>
                      </pic:pic>
                    </a:graphicData>
                  </a:graphic>
                </wp:inline>
              </w:drawing>
            </w:r>
          </w:p>
        </w:tc>
        <w:tc>
          <w:tcPr>
            <w:tcW w:w="55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66700" cy="952500"/>
                  <wp:effectExtent l="0" t="0" r="0" b="0"/>
                  <wp:docPr id="168"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0" descr=""/>
                          <pic:cNvPicPr>
                            <a:picLocks noChangeAspect="1" noChangeArrowheads="1"/>
                          </pic:cNvPicPr>
                        </pic:nvPicPr>
                        <pic:blipFill>
                          <a:blip r:embed="rId151"/>
                          <a:stretch>
                            <a:fillRect/>
                          </a:stretch>
                        </pic:blipFill>
                        <pic:spPr bwMode="auto">
                          <a:xfrm>
                            <a:off x="0" y="0"/>
                            <a:ext cx="266700" cy="952500"/>
                          </a:xfrm>
                          <a:prstGeom prst="rect">
                            <a:avLst/>
                          </a:prstGeom>
                        </pic:spPr>
                      </pic:pic>
                    </a:graphicData>
                  </a:graphic>
                </wp:inline>
              </w:drawing>
            </w:r>
          </w:p>
        </w:tc>
      </w:tr>
      <w:tr>
        <w:trPr/>
        <w:tc>
          <w:tcPr>
            <w:tcW w:w="2527" w:type="dxa"/>
            <w:gridSpan w:val="3"/>
            <w:tcBorders>
              <w:top w:val="single" w:sz="12" w:space="0" w:color="29378D"/>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6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1" descr=""/>
                          <pic:cNvPicPr>
                            <a:picLocks noChangeAspect="1" noChangeArrowheads="1"/>
                          </pic:cNvPicPr>
                        </pic:nvPicPr>
                        <pic:blipFill>
                          <a:blip r:embed="rId152"/>
                          <a:stretch>
                            <a:fillRect/>
                          </a:stretch>
                        </pic:blipFill>
                        <pic:spPr bwMode="auto">
                          <a:xfrm>
                            <a:off x="0" y="0"/>
                            <a:ext cx="266700" cy="266700"/>
                          </a:xfrm>
                          <a:prstGeom prst="rect">
                            <a:avLst/>
                          </a:prstGeom>
                        </pic:spPr>
                      </pic:pic>
                    </a:graphicData>
                  </a:graphic>
                </wp:inline>
              </w:drawing>
            </w:r>
            <w:r>
              <w:rPr>
                <w:color w:val="000000"/>
              </w:rPr>
              <w:t> </w:t>
            </w:r>
          </w:p>
        </w:tc>
        <w:tc>
          <w:tcPr>
            <w:tcW w:w="3200" w:type="dxa"/>
            <w:gridSpan w:val="3"/>
            <w:tcBorders>
              <w:top w:val="single" w:sz="12" w:space="0" w:color="29378D"/>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 xml:space="preserve">SENIOR LEADERSHIP </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12"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4" w:type="dxa"/>
            <w:gridSpan w:val="3"/>
            <w:vMerge w:val="restart"/>
            <w:tcBorders>
              <w:top w:val="single" w:sz="12" w:space="0" w:color="29378D"/>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12</w:t>
            </w:r>
          </w:p>
        </w:tc>
      </w:tr>
      <w:tr>
        <w:trPr/>
        <w:tc>
          <w:tcPr>
            <w:tcW w:w="572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Provides valuable insights and enhances oversight in core management areas, facilitating long-term growth</w:t>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29378D"/>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29378D"/>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29378D"/>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29378D"/>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29378D"/>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12" w:space="0" w:color="29378D"/>
            </w:tcBorders>
            <w:tcMar>
              <w:top w:w="30" w:type="dxa"/>
              <w:left w:w="0" w:type="dxa"/>
              <w:bottom w:w="0" w:type="dxa"/>
              <w:right w:w="0" w:type="dxa"/>
            </w:tcMar>
            <w:vAlign w:val="center"/>
          </w:tcPr>
          <w:p>
            <w:pPr>
              <w:pStyle w:val="Normal"/>
              <w:bidi w:val="0"/>
              <w:jc w:val="left"/>
              <w:rPr/>
            </w:pPr>
            <w:r>
              <w:rPr/>
            </w:r>
          </w:p>
        </w:tc>
        <w:tc>
          <w:tcPr>
            <w:tcW w:w="554" w:type="dxa"/>
            <w:gridSpan w:val="3"/>
            <w:vMerge w:val="continue"/>
            <w:tcBorders>
              <w:top w:val="single" w:sz="12" w:space="0" w:color="29378D"/>
            </w:tcBorders>
            <w:shd w:fill="E6E7E8" w:val="clear"/>
            <w:tcMar>
              <w:top w:w="30" w:type="dxa"/>
              <w:left w:w="0" w:type="dxa"/>
              <w:bottom w:w="0" w:type="dxa"/>
              <w:right w:w="0" w:type="dxa"/>
            </w:tcMar>
            <w:vAlign w:val="center"/>
          </w:tcPr>
          <w:p>
            <w:pPr>
              <w:pStyle w:val="Normal"/>
              <w:bidi w:val="0"/>
              <w:jc w:val="left"/>
              <w:rPr/>
            </w:pPr>
            <w:r>
              <w:rPr/>
            </w:r>
          </w:p>
        </w:tc>
      </w:tr>
      <w:tr>
        <w:trPr/>
        <w:tc>
          <w:tcPr>
            <w:tcW w:w="2527"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70"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2" descr=""/>
                          <pic:cNvPicPr>
                            <a:picLocks noChangeAspect="1" noChangeArrowheads="1"/>
                          </pic:cNvPicPr>
                        </pic:nvPicPr>
                        <pic:blipFill>
                          <a:blip r:embed="rId153"/>
                          <a:stretch>
                            <a:fillRect/>
                          </a:stretch>
                        </pic:blipFill>
                        <pic:spPr bwMode="auto">
                          <a:xfrm>
                            <a:off x="0" y="0"/>
                            <a:ext cx="266700" cy="266700"/>
                          </a:xfrm>
                          <a:prstGeom prst="rect">
                            <a:avLst/>
                          </a:prstGeom>
                        </pic:spPr>
                      </pic:pic>
                    </a:graphicData>
                  </a:graphic>
                </wp:inline>
              </w:drawing>
            </w:r>
            <w:r>
              <w:rPr>
                <w:color w:val="000000"/>
              </w:rPr>
              <w:t> </w:t>
            </w:r>
          </w:p>
        </w:tc>
        <w:tc>
          <w:tcPr>
            <w:tcW w:w="3200"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CORPORATE GOVERNANCE</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4"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12</w:t>
            </w:r>
          </w:p>
        </w:tc>
      </w:tr>
      <w:tr>
        <w:trPr/>
        <w:tc>
          <w:tcPr>
            <w:tcW w:w="572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Provides the experience necessary to develop and maintain an effective governance framework to ensure strong Board and management accountability and transparency and effective protection of shareholder interests</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554"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r>
      <w:tr>
        <w:trPr/>
        <w:tc>
          <w:tcPr>
            <w:tcW w:w="2527"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71"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3" descr=""/>
                          <pic:cNvPicPr>
                            <a:picLocks noChangeAspect="1" noChangeArrowheads="1"/>
                          </pic:cNvPicPr>
                        </pic:nvPicPr>
                        <pic:blipFill>
                          <a:blip r:embed="rId154"/>
                          <a:stretch>
                            <a:fillRect/>
                          </a:stretch>
                        </pic:blipFill>
                        <pic:spPr bwMode="auto">
                          <a:xfrm>
                            <a:off x="0" y="0"/>
                            <a:ext cx="266700" cy="266700"/>
                          </a:xfrm>
                          <a:prstGeom prst="rect">
                            <a:avLst/>
                          </a:prstGeom>
                        </pic:spPr>
                      </pic:pic>
                    </a:graphicData>
                  </a:graphic>
                </wp:inline>
              </w:drawing>
            </w:r>
            <w:r>
              <w:rPr>
                <w:color w:val="000000"/>
              </w:rPr>
              <w:t> </w:t>
            </w:r>
          </w:p>
        </w:tc>
        <w:tc>
          <w:tcPr>
            <w:tcW w:w="3200"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FINANCIAL</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4"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12</w:t>
            </w:r>
          </w:p>
        </w:tc>
      </w:tr>
      <w:tr>
        <w:trPr/>
        <w:tc>
          <w:tcPr>
            <w:tcW w:w="572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Assists directors in understanding and overseeing the Company's financial reporting and internal controls, as well as other aspects of financial decision-making</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554"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r>
      <w:tr>
        <w:trPr/>
        <w:tc>
          <w:tcPr>
            <w:tcW w:w="2527"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47650" cy="247650"/>
                  <wp:effectExtent l="0" t="0" r="0" b="0"/>
                  <wp:docPr id="172"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4" descr=""/>
                          <pic:cNvPicPr>
                            <a:picLocks noChangeAspect="1" noChangeArrowheads="1"/>
                          </pic:cNvPicPr>
                        </pic:nvPicPr>
                        <pic:blipFill>
                          <a:blip r:embed="rId155"/>
                          <a:stretch>
                            <a:fillRect/>
                          </a:stretch>
                        </pic:blipFill>
                        <pic:spPr bwMode="auto">
                          <a:xfrm>
                            <a:off x="0" y="0"/>
                            <a:ext cx="247650" cy="247650"/>
                          </a:xfrm>
                          <a:prstGeom prst="rect">
                            <a:avLst/>
                          </a:prstGeom>
                        </pic:spPr>
                      </pic:pic>
                    </a:graphicData>
                  </a:graphic>
                </wp:inline>
              </w:drawing>
            </w:r>
            <w:r>
              <w:rPr>
                <w:color w:val="000000"/>
              </w:rPr>
              <w:t> </w:t>
            </w:r>
          </w:p>
        </w:tc>
        <w:tc>
          <w:tcPr>
            <w:tcW w:w="3200"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RISK OVERSIGHT/MANAGEMENT</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4"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12</w:t>
            </w:r>
          </w:p>
        </w:tc>
      </w:tr>
      <w:tr>
        <w:trPr/>
        <w:tc>
          <w:tcPr>
            <w:tcW w:w="572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Equips the Board with essential expertise needed to create and manage a robust risk oversight system</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554"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r>
      <w:tr>
        <w:trPr/>
        <w:tc>
          <w:tcPr>
            <w:tcW w:w="2527"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73"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5" descr=""/>
                          <pic:cNvPicPr>
                            <a:picLocks noChangeAspect="1" noChangeArrowheads="1"/>
                          </pic:cNvPicPr>
                        </pic:nvPicPr>
                        <pic:blipFill>
                          <a:blip r:embed="rId156"/>
                          <a:stretch>
                            <a:fillRect/>
                          </a:stretch>
                        </pic:blipFill>
                        <pic:spPr bwMode="auto">
                          <a:xfrm>
                            <a:off x="0" y="0"/>
                            <a:ext cx="266700" cy="266700"/>
                          </a:xfrm>
                          <a:prstGeom prst="rect">
                            <a:avLst/>
                          </a:prstGeom>
                        </pic:spPr>
                      </pic:pic>
                    </a:graphicData>
                  </a:graphic>
                </wp:inline>
              </w:drawing>
            </w:r>
            <w:r>
              <w:rPr>
                <w:color w:val="000000"/>
              </w:rPr>
              <w:t> </w:t>
            </w:r>
          </w:p>
        </w:tc>
        <w:tc>
          <w:tcPr>
            <w:tcW w:w="3200"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DEFENSE AND INDUSTRIAL</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tcBorders>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tcBorders>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5</w:t>
            </w:r>
          </w:p>
        </w:tc>
      </w:tr>
      <w:tr>
        <w:trPr/>
        <w:tc>
          <w:tcPr>
            <w:tcW w:w="572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Supports oversight of the Company’s strategy, performance and product development, with an understanding of strategic developments in our industry</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left w:w="0" w:type="dxa"/>
              <w:bottom w:w="0" w:type="dxa"/>
              <w:right w:w="0" w:type="dxa"/>
            </w:tcMar>
            <w:vAlign w:val="center"/>
          </w:tcPr>
          <w:p>
            <w:pPr>
              <w:pStyle w:val="Normal"/>
              <w:bidi w:val="0"/>
              <w:jc w:val="left"/>
              <w:rPr/>
            </w:pPr>
            <w:r>
              <w:rPr/>
            </w:r>
          </w:p>
        </w:tc>
        <w:tc>
          <w:tcPr>
            <w:tcW w:w="554"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r>
      <w:tr>
        <w:trPr/>
        <w:tc>
          <w:tcPr>
            <w:tcW w:w="2527"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74"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6" descr=""/>
                          <pic:cNvPicPr>
                            <a:picLocks noChangeAspect="1" noChangeArrowheads="1"/>
                          </pic:cNvPicPr>
                        </pic:nvPicPr>
                        <pic:blipFill>
                          <a:blip r:embed="rId157"/>
                          <a:stretch>
                            <a:fillRect/>
                          </a:stretch>
                        </pic:blipFill>
                        <pic:spPr bwMode="auto">
                          <a:xfrm>
                            <a:off x="0" y="0"/>
                            <a:ext cx="266700" cy="266700"/>
                          </a:xfrm>
                          <a:prstGeom prst="rect">
                            <a:avLst/>
                          </a:prstGeom>
                        </pic:spPr>
                      </pic:pic>
                    </a:graphicData>
                  </a:graphic>
                </wp:inline>
              </w:drawing>
            </w:r>
            <w:r>
              <w:rPr>
                <w:color w:val="000000"/>
              </w:rPr>
              <w:t> </w:t>
            </w:r>
          </w:p>
        </w:tc>
        <w:tc>
          <w:tcPr>
            <w:tcW w:w="3200"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INTERNATIONAL</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76" w:before="0" w:after="283"/>
              <w:jc w:val="center"/>
              <w:rPr>
                <w:rFonts w:ascii="Wingdings;sans-serif" w:hAnsi="Wingdings;sans-serif"/>
                <w:b w:val="false"/>
                <w:color w:val="29378D"/>
                <w:sz w:val="28"/>
              </w:rPr>
            </w:pPr>
            <w:r>
              <w:rPr>
                <w:rFonts w:ascii="Wingdings;sans-serif" w:hAnsi="Wingdings;sans-serif"/>
                <w:b w:val="false"/>
                <w:color w:val="29378D"/>
                <w:sz w:val="28"/>
              </w:rPr>
              <w:t>n</w:t>
            </w:r>
          </w:p>
        </w:tc>
        <w:tc>
          <w:tcPr>
            <w:tcW w:w="554"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12</w:t>
            </w:r>
          </w:p>
        </w:tc>
      </w:tr>
      <w:tr>
        <w:trPr/>
        <w:tc>
          <w:tcPr>
            <w:tcW w:w="572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Supports an understanding of geographically diverse business and regulatory environments and cultural perspectives that informs global business strategy and assists in overseeing and driving international growth</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554"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r>
      <w:tr>
        <w:trPr/>
        <w:tc>
          <w:tcPr>
            <w:tcW w:w="2527"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57175" cy="257175"/>
                  <wp:effectExtent l="0" t="0" r="0" b="0"/>
                  <wp:docPr id="175"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7" descr=""/>
                          <pic:cNvPicPr>
                            <a:picLocks noChangeAspect="1" noChangeArrowheads="1"/>
                          </pic:cNvPicPr>
                        </pic:nvPicPr>
                        <pic:blipFill>
                          <a:blip r:embed="rId158"/>
                          <a:stretch>
                            <a:fillRect/>
                          </a:stretch>
                        </pic:blipFill>
                        <pic:spPr bwMode="auto">
                          <a:xfrm>
                            <a:off x="0" y="0"/>
                            <a:ext cx="257175" cy="257175"/>
                          </a:xfrm>
                          <a:prstGeom prst="rect">
                            <a:avLst/>
                          </a:prstGeom>
                        </pic:spPr>
                      </pic:pic>
                    </a:graphicData>
                  </a:graphic>
                </wp:inline>
              </w:drawing>
            </w:r>
            <w:r>
              <w:rPr>
                <w:color w:val="000000"/>
              </w:rPr>
              <w:t> </w:t>
            </w:r>
          </w:p>
        </w:tc>
        <w:tc>
          <w:tcPr>
            <w:tcW w:w="3200"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CYBERSECURITY/TECHNOLOGY</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tcBorders>
            <w:tcMar>
              <w:left w:w="0" w:type="dxa"/>
              <w:bottom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5</w:t>
            </w:r>
          </w:p>
        </w:tc>
      </w:tr>
      <w:tr>
        <w:trPr/>
        <w:tc>
          <w:tcPr>
            <w:tcW w:w="572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Supports our business in providing oversight of cybersecurity risk management, digital transformation and artificial intelligence and encourages the Company's development of technological differentiation </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left w:w="0" w:type="dxa"/>
              <w:bottom w:w="0" w:type="dxa"/>
              <w:right w:w="0" w:type="dxa"/>
            </w:tcMar>
            <w:vAlign w:val="center"/>
          </w:tcPr>
          <w:p>
            <w:pPr>
              <w:pStyle w:val="Normal"/>
              <w:bidi w:val="0"/>
              <w:jc w:val="left"/>
              <w:rPr/>
            </w:pPr>
            <w:r>
              <w:rPr/>
            </w:r>
          </w:p>
        </w:tc>
        <w:tc>
          <w:tcPr>
            <w:tcW w:w="554"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r>
      <w:tr>
        <w:trPr/>
        <w:tc>
          <w:tcPr>
            <w:tcW w:w="2527"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76"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8" descr=""/>
                          <pic:cNvPicPr>
                            <a:picLocks noChangeAspect="1" noChangeArrowheads="1"/>
                          </pic:cNvPicPr>
                        </pic:nvPicPr>
                        <pic:blipFill>
                          <a:blip r:embed="rId159"/>
                          <a:stretch>
                            <a:fillRect/>
                          </a:stretch>
                        </pic:blipFill>
                        <pic:spPr bwMode="auto">
                          <a:xfrm>
                            <a:off x="0" y="0"/>
                            <a:ext cx="266700" cy="266700"/>
                          </a:xfrm>
                          <a:prstGeom prst="rect">
                            <a:avLst/>
                          </a:prstGeom>
                        </pic:spPr>
                      </pic:pic>
                    </a:graphicData>
                  </a:graphic>
                </wp:inline>
              </w:drawing>
            </w:r>
            <w:r>
              <w:rPr>
                <w:color w:val="000000"/>
              </w:rPr>
              <w:t> </w:t>
            </w:r>
          </w:p>
        </w:tc>
        <w:tc>
          <w:tcPr>
            <w:tcW w:w="3200"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HUMAN CAPITAL STRATEGY/TALENT MANAGEMENT</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tcBorders>
            <w:tcMar>
              <w:top w:w="30" w:type="dxa"/>
              <w:left w:w="0" w:type="dxa"/>
              <w:bottom w:w="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4" w:type="dxa"/>
            <w:gridSpan w:val="3"/>
            <w:vMerge w:val="restart"/>
            <w:tcBorders>
              <w:top w:val="single" w:sz="8" w:space="0" w:color="939598"/>
            </w:tcBorders>
            <w:shd w:fill="E6E7E8" w:val="clear"/>
            <w:tcMar>
              <w:top w:w="30" w:type="dxa"/>
              <w:left w:w="0" w:type="dxa"/>
              <w:bottom w:w="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12</w:t>
            </w:r>
          </w:p>
        </w:tc>
      </w:tr>
      <w:tr>
        <w:trPr/>
        <w:tc>
          <w:tcPr>
            <w:tcW w:w="5727"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Provides valuable experience to oversee the Company's strategy to recruit, retain and develop highly qualified talent with wide ranging skills and backgrounds </w:t>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939598"/>
            </w:tcBorders>
            <w:tcMar>
              <w:top w:w="30" w:type="dxa"/>
              <w:left w:w="0" w:type="dxa"/>
              <w:bottom w:w="0" w:type="dxa"/>
              <w:right w:w="0" w:type="dxa"/>
            </w:tcMar>
            <w:vAlign w:val="center"/>
          </w:tcPr>
          <w:p>
            <w:pPr>
              <w:pStyle w:val="Normal"/>
              <w:bidi w:val="0"/>
              <w:jc w:val="left"/>
              <w:rPr/>
            </w:pPr>
            <w:r>
              <w:rPr/>
            </w:r>
          </w:p>
        </w:tc>
        <w:tc>
          <w:tcPr>
            <w:tcW w:w="554" w:type="dxa"/>
            <w:gridSpan w:val="3"/>
            <w:vMerge w:val="continue"/>
            <w:tcBorders>
              <w:top w:val="single" w:sz="8" w:space="0" w:color="939598"/>
            </w:tcBorders>
            <w:shd w:fill="E6E7E8" w:val="clear"/>
            <w:tcMar>
              <w:top w:w="30" w:type="dxa"/>
              <w:left w:w="0" w:type="dxa"/>
              <w:bottom w:w="0" w:type="dxa"/>
              <w:right w:w="0" w:type="dxa"/>
            </w:tcMar>
            <w:vAlign w:val="center"/>
          </w:tcPr>
          <w:p>
            <w:pPr>
              <w:pStyle w:val="Normal"/>
              <w:bidi w:val="0"/>
              <w:jc w:val="left"/>
              <w:rPr/>
            </w:pPr>
            <w:r>
              <w:rPr/>
            </w:r>
          </w:p>
        </w:tc>
      </w:tr>
      <w:tr>
        <w:trPr/>
        <w:tc>
          <w:tcPr>
            <w:tcW w:w="2527"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266700" cy="266700"/>
                  <wp:effectExtent l="0" t="0" r="0" b="0"/>
                  <wp:docPr id="177"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9" descr=""/>
                          <pic:cNvPicPr>
                            <a:picLocks noChangeAspect="1" noChangeArrowheads="1"/>
                          </pic:cNvPicPr>
                        </pic:nvPicPr>
                        <pic:blipFill>
                          <a:blip r:embed="rId160"/>
                          <a:stretch>
                            <a:fillRect/>
                          </a:stretch>
                        </pic:blipFill>
                        <pic:spPr bwMode="auto">
                          <a:xfrm>
                            <a:off x="0" y="0"/>
                            <a:ext cx="266700" cy="266700"/>
                          </a:xfrm>
                          <a:prstGeom prst="rect">
                            <a:avLst/>
                          </a:prstGeom>
                        </pic:spPr>
                      </pic:pic>
                    </a:graphicData>
                  </a:graphic>
                </wp:inline>
              </w:drawing>
            </w:r>
            <w:r>
              <w:rPr>
                <w:color w:val="000000"/>
              </w:rPr>
              <w:t> </w:t>
            </w:r>
          </w:p>
        </w:tc>
        <w:tc>
          <w:tcPr>
            <w:tcW w:w="3200" w:type="dxa"/>
            <w:gridSpan w:val="3"/>
            <w:tcBorders>
              <w:top w:val="single" w:sz="8" w:space="0" w:color="939598"/>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ENVIRONMENTAL SUSTAINABILITY/ CORPORATE RESPONSIBILITY</w:t>
            </w:r>
          </w:p>
        </w:tc>
        <w:tc>
          <w:tcPr>
            <w:tcW w:w="327" w:type="dxa"/>
            <w:gridSpan w:val="3"/>
            <w:vMerge w:val="restart"/>
            <w:tcBorders>
              <w:top w:val="single" w:sz="8" w:space="0" w:color="939598"/>
              <w:bottom w:val="single" w:sz="8" w:space="0" w:color="29378D"/>
            </w:tcBorders>
            <w:shd w:fill="E6E7E8" w:val="clear"/>
            <w:tcMar>
              <w:top w:w="30" w:type="dxa"/>
              <w:left w:w="0" w:type="dxa"/>
              <w:bottom w:w="3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tcMar>
              <w:top w:w="30" w:type="dxa"/>
              <w:left w:w="0" w:type="dxa"/>
              <w:bottom w:w="3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E6E7E8" w:val="clear"/>
            <w:tcMar>
              <w:left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bottom w:val="single" w:sz="8" w:space="0" w:color="29378D"/>
            </w:tcBorders>
            <w:tcMar>
              <w:top w:w="30" w:type="dxa"/>
              <w:left w:w="0" w:type="dxa"/>
              <w:bottom w:w="3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E6E7E8" w:val="clear"/>
            <w:tcMar>
              <w:top w:w="30" w:type="dxa"/>
              <w:left w:w="0" w:type="dxa"/>
              <w:bottom w:w="3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tcMar>
              <w:top w:w="30" w:type="dxa"/>
              <w:left w:w="0" w:type="dxa"/>
              <w:bottom w:w="3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E6E7E8"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939598"/>
              <w:bottom w:val="single" w:sz="8" w:space="0" w:color="29378D"/>
            </w:tcBorders>
            <w:tcMar>
              <w:top w:w="30" w:type="dxa"/>
              <w:left w:w="0" w:type="dxa"/>
              <w:bottom w:w="30" w:type="dxa"/>
              <w:right w:w="0" w:type="dxa"/>
            </w:tcMar>
            <w:vAlign w:val="center"/>
          </w:tcPr>
          <w:p>
            <w:pPr>
              <w:pStyle w:val="TableContents"/>
              <w:bidi w:val="0"/>
              <w:spacing w:lineRule="auto" w:line="276" w:before="0" w:after="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shd w:fill="E6E7E8" w:val="clear"/>
            <w:tcMar>
              <w:left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bottom w:val="single" w:sz="8" w:space="0" w:color="29378D"/>
            </w:tcBorders>
            <w:tcMar>
              <w:left w:w="0" w:type="dxa"/>
              <w:right w:w="0" w:type="dxa"/>
            </w:tcMar>
            <w:vAlign w:val="center"/>
          </w:tcPr>
          <w:p>
            <w:pPr>
              <w:pStyle w:val="TableContents"/>
              <w:bidi w:val="0"/>
              <w:spacing w:before="0" w:after="0"/>
              <w:jc w:val="center"/>
              <w:rPr/>
            </w:pPr>
            <w:r>
              <w:rPr/>
            </w:r>
          </w:p>
        </w:tc>
        <w:tc>
          <w:tcPr>
            <w:tcW w:w="327" w:type="dxa"/>
            <w:gridSpan w:val="3"/>
            <w:vMerge w:val="restart"/>
            <w:tcBorders>
              <w:top w:val="single" w:sz="8" w:space="0" w:color="939598"/>
              <w:bottom w:val="single" w:sz="8" w:space="0" w:color="29378D"/>
            </w:tcBorders>
            <w:shd w:fill="E6E7E8" w:val="clear"/>
            <w:tcMar>
              <w:top w:w="30" w:type="dxa"/>
              <w:left w:w="0" w:type="dxa"/>
              <w:bottom w:w="3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327" w:type="dxa"/>
            <w:gridSpan w:val="3"/>
            <w:vMerge w:val="restart"/>
            <w:tcBorders>
              <w:top w:val="single" w:sz="8" w:space="0" w:color="939598"/>
              <w:bottom w:val="single" w:sz="8" w:space="0" w:color="29378D"/>
            </w:tcBorders>
            <w:tcMar>
              <w:top w:w="30" w:type="dxa"/>
              <w:left w:w="0" w:type="dxa"/>
              <w:bottom w:w="30" w:type="dxa"/>
              <w:right w:w="0" w:type="dxa"/>
            </w:tcMar>
            <w:vAlign w:val="center"/>
          </w:tcPr>
          <w:p>
            <w:pPr>
              <w:pStyle w:val="TableContents"/>
              <w:bidi w:val="0"/>
              <w:spacing w:lineRule="auto" w:line="288" w:before="120" w:after="120"/>
              <w:jc w:val="center"/>
              <w:rPr>
                <w:rFonts w:ascii="Wingdings;sans-serif" w:hAnsi="Wingdings;sans-serif"/>
                <w:b w:val="false"/>
                <w:color w:val="29378D"/>
                <w:sz w:val="28"/>
              </w:rPr>
            </w:pPr>
            <w:r>
              <w:rPr>
                <w:rFonts w:ascii="Wingdings;sans-serif" w:hAnsi="Wingdings;sans-serif"/>
                <w:b w:val="false"/>
                <w:color w:val="29378D"/>
                <w:sz w:val="28"/>
              </w:rPr>
              <w:t>n</w:t>
            </w:r>
          </w:p>
        </w:tc>
        <w:tc>
          <w:tcPr>
            <w:tcW w:w="554" w:type="dxa"/>
            <w:gridSpan w:val="3"/>
            <w:vMerge w:val="restart"/>
            <w:tcBorders>
              <w:top w:val="single" w:sz="8" w:space="0" w:color="939598"/>
              <w:bottom w:val="single" w:sz="8" w:space="0" w:color="29378D"/>
            </w:tcBorders>
            <w:shd w:fill="E6E7E8" w:val="clear"/>
            <w:tcMar>
              <w:top w:w="30" w:type="dxa"/>
              <w:left w:w="0" w:type="dxa"/>
              <w:bottom w:w="30" w:type="dxa"/>
              <w:right w:w="0" w:type="dxa"/>
            </w:tcMar>
            <w:vAlign w:val="center"/>
          </w:tcPr>
          <w:p>
            <w:pPr>
              <w:pStyle w:val="TableContents"/>
              <w:bidi w:val="0"/>
              <w:spacing w:lineRule="auto" w:line="288" w:before="120" w:after="120"/>
              <w:jc w:val="center"/>
              <w:rPr>
                <w:rFonts w:ascii="Futura Std Book;sans-serif" w:hAnsi="Futura Std Book;sans-serif"/>
                <w:b/>
                <w:color w:val="000000"/>
                <w:sz w:val="16"/>
              </w:rPr>
            </w:pPr>
            <w:r>
              <w:rPr>
                <w:rFonts w:ascii="Futura Std Book;sans-serif" w:hAnsi="Futura Std Book;sans-serif"/>
                <w:b/>
                <w:color w:val="000000"/>
                <w:sz w:val="16"/>
              </w:rPr>
              <w:t>8</w:t>
            </w:r>
          </w:p>
        </w:tc>
      </w:tr>
      <w:tr>
        <w:trPr/>
        <w:tc>
          <w:tcPr>
            <w:tcW w:w="5727" w:type="dxa"/>
            <w:gridSpan w:val="6"/>
            <w:tcBorders>
              <w:bottom w:val="single" w:sz="8" w:space="0" w:color="29378D"/>
            </w:tcBorders>
            <w:tcMar>
              <w:top w:w="0" w:type="dxa"/>
              <w:left w:w="0" w:type="dxa"/>
              <w:bottom w:w="30" w:type="dxa"/>
              <w:right w:w="0" w:type="dxa"/>
            </w:tcMar>
            <w:vAlign w:val="center"/>
          </w:tcPr>
          <w:p>
            <w:pPr>
              <w:pStyle w:val="TableContents"/>
              <w:bidi w:val="0"/>
              <w:spacing w:lineRule="auto" w:line="240"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Supports the Board’s oversight and management of the Company's sustainability initiatives and corporate responsibility</w:t>
            </w:r>
          </w:p>
        </w:tc>
        <w:tc>
          <w:tcPr>
            <w:tcW w:w="327" w:type="dxa"/>
            <w:gridSpan w:val="3"/>
            <w:vMerge w:val="continue"/>
            <w:tcBorders>
              <w:top w:val="single" w:sz="8" w:space="0" w:color="939598"/>
              <w:bottom w:val="single" w:sz="8" w:space="0" w:color="29378D"/>
            </w:tcBorders>
            <w:shd w:fill="E6E7E8" w:val="clear"/>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939598"/>
              <w:bottom w:val="single" w:sz="8" w:space="0" w:color="29378D"/>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939598"/>
              <w:bottom w:val="single" w:sz="8" w:space="0" w:color="29378D"/>
            </w:tcBorders>
            <w:shd w:fill="E6E7E8" w:val="clear"/>
            <w:tcMar>
              <w:left w:w="0" w:type="dxa"/>
              <w:right w:w="0" w:type="dxa"/>
            </w:tcMar>
            <w:vAlign w:val="center"/>
          </w:tcPr>
          <w:p>
            <w:pPr>
              <w:pStyle w:val="Normal"/>
              <w:bidi w:val="0"/>
              <w:jc w:val="left"/>
              <w:rPr/>
            </w:pPr>
            <w:r>
              <w:rPr/>
            </w:r>
          </w:p>
        </w:tc>
        <w:tc>
          <w:tcPr>
            <w:tcW w:w="327" w:type="dxa"/>
            <w:gridSpan w:val="3"/>
            <w:vMerge w:val="continue"/>
            <w:tcBorders>
              <w:top w:val="single" w:sz="8" w:space="0" w:color="939598"/>
              <w:bottom w:val="single" w:sz="8" w:space="0" w:color="29378D"/>
            </w:tcBorders>
            <w:tcMar>
              <w:left w:w="0" w:type="dxa"/>
              <w:right w:w="0" w:type="dxa"/>
            </w:tcMar>
            <w:vAlign w:val="center"/>
          </w:tcPr>
          <w:p>
            <w:pPr>
              <w:pStyle w:val="Normal"/>
              <w:bidi w:val="0"/>
              <w:jc w:val="left"/>
              <w:rPr/>
            </w:pPr>
            <w:r>
              <w:rPr/>
            </w:r>
          </w:p>
        </w:tc>
        <w:tc>
          <w:tcPr>
            <w:tcW w:w="327" w:type="dxa"/>
            <w:gridSpan w:val="3"/>
            <w:vMerge w:val="continue"/>
            <w:tcBorders>
              <w:top w:val="single" w:sz="8" w:space="0" w:color="939598"/>
              <w:bottom w:val="single" w:sz="8" w:space="0" w:color="29378D"/>
            </w:tcBorders>
            <w:shd w:fill="E6E7E8" w:val="clear"/>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939598"/>
              <w:bottom w:val="single" w:sz="8" w:space="0" w:color="29378D"/>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939598"/>
              <w:bottom w:val="single" w:sz="8" w:space="0" w:color="29378D"/>
            </w:tcBorders>
            <w:shd w:fill="E6E7E8" w:val="clear"/>
            <w:tcMar>
              <w:left w:w="0" w:type="dxa"/>
              <w:right w:w="0" w:type="dxa"/>
            </w:tcMar>
            <w:vAlign w:val="center"/>
          </w:tcPr>
          <w:p>
            <w:pPr>
              <w:pStyle w:val="Normal"/>
              <w:bidi w:val="0"/>
              <w:jc w:val="left"/>
              <w:rPr/>
            </w:pPr>
            <w:r>
              <w:rPr/>
            </w:r>
          </w:p>
        </w:tc>
        <w:tc>
          <w:tcPr>
            <w:tcW w:w="327" w:type="dxa"/>
            <w:gridSpan w:val="3"/>
            <w:vMerge w:val="continue"/>
            <w:tcBorders>
              <w:top w:val="single" w:sz="8" w:space="0" w:color="939598"/>
              <w:bottom w:val="single" w:sz="8" w:space="0" w:color="29378D"/>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939598"/>
              <w:bottom w:val="single" w:sz="8" w:space="0" w:color="29378D"/>
            </w:tcBorders>
            <w:shd w:fill="E6E7E8" w:val="clear"/>
            <w:tcMar>
              <w:left w:w="0" w:type="dxa"/>
              <w:right w:w="0" w:type="dxa"/>
            </w:tcMar>
            <w:vAlign w:val="center"/>
          </w:tcPr>
          <w:p>
            <w:pPr>
              <w:pStyle w:val="Normal"/>
              <w:bidi w:val="0"/>
              <w:jc w:val="left"/>
              <w:rPr/>
            </w:pPr>
            <w:r>
              <w:rPr/>
            </w:r>
          </w:p>
        </w:tc>
        <w:tc>
          <w:tcPr>
            <w:tcW w:w="327" w:type="dxa"/>
            <w:gridSpan w:val="3"/>
            <w:vMerge w:val="continue"/>
            <w:tcBorders>
              <w:top w:val="single" w:sz="8" w:space="0" w:color="939598"/>
              <w:bottom w:val="single" w:sz="8" w:space="0" w:color="29378D"/>
            </w:tcBorders>
            <w:tcMar>
              <w:left w:w="0" w:type="dxa"/>
              <w:right w:w="0" w:type="dxa"/>
            </w:tcMar>
            <w:vAlign w:val="center"/>
          </w:tcPr>
          <w:p>
            <w:pPr>
              <w:pStyle w:val="Normal"/>
              <w:bidi w:val="0"/>
              <w:jc w:val="left"/>
              <w:rPr/>
            </w:pPr>
            <w:r>
              <w:rPr/>
            </w:r>
          </w:p>
        </w:tc>
        <w:tc>
          <w:tcPr>
            <w:tcW w:w="327" w:type="dxa"/>
            <w:gridSpan w:val="3"/>
            <w:vMerge w:val="continue"/>
            <w:tcBorders>
              <w:top w:val="single" w:sz="8" w:space="0" w:color="939598"/>
              <w:bottom w:val="single" w:sz="8" w:space="0" w:color="29378D"/>
            </w:tcBorders>
            <w:shd w:fill="E6E7E8" w:val="clear"/>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939598"/>
              <w:bottom w:val="single" w:sz="8" w:space="0" w:color="29378D"/>
            </w:tcBorders>
            <w:tcMar>
              <w:top w:w="30" w:type="dxa"/>
              <w:left w:w="0" w:type="dxa"/>
              <w:bottom w:w="30" w:type="dxa"/>
              <w:right w:w="0" w:type="dxa"/>
            </w:tcMar>
            <w:vAlign w:val="center"/>
          </w:tcPr>
          <w:p>
            <w:pPr>
              <w:pStyle w:val="Normal"/>
              <w:bidi w:val="0"/>
              <w:jc w:val="left"/>
              <w:rPr/>
            </w:pPr>
            <w:r>
              <w:rPr/>
            </w:r>
          </w:p>
        </w:tc>
        <w:tc>
          <w:tcPr>
            <w:tcW w:w="554" w:type="dxa"/>
            <w:gridSpan w:val="3"/>
            <w:vMerge w:val="continue"/>
            <w:tcBorders>
              <w:top w:val="single" w:sz="8" w:space="0" w:color="939598"/>
              <w:bottom w:val="single" w:sz="8" w:space="0" w:color="29378D"/>
            </w:tcBorders>
            <w:shd w:fill="E6E7E8" w:val="clear"/>
            <w:tcMar>
              <w:top w:w="30" w:type="dxa"/>
              <w:left w:w="0" w:type="dxa"/>
              <w:bottom w:w="3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734695"/>
                <wp:effectExtent l="0" t="0" r="0" b="0"/>
                <wp:wrapNone/>
                <wp:docPr id="178" name="Frame1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2025 Nominees for Director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pages contain biographical and other information about each of the nominees. In addition, we have provided information regarding some of the particular experiences and skills that led the Board to conclude that each nominee should serve as a director.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Unless instructed otherwise, the proxyholders will vote the proxies received by them “FOR” the election of the director nominees listed below.</w:t>
      </w:r>
    </w:p>
    <w:tbl>
      <w:tblPr>
        <w:tblW w:w="10205" w:type="dxa"/>
        <w:jc w:val="left"/>
        <w:tblInd w:w="0" w:type="dxa"/>
        <w:tblLayout w:type="fixed"/>
        <w:tblCellMar>
          <w:top w:w="28" w:type="dxa"/>
          <w:left w:w="28" w:type="dxa"/>
          <w:bottom w:w="28" w:type="dxa"/>
          <w:right w:w="28" w:type="dxa"/>
        </w:tblCellMar>
      </w:tblPr>
      <w:tblGrid>
        <w:gridCol w:w="864"/>
        <w:gridCol w:w="759"/>
        <w:gridCol w:w="761"/>
        <w:gridCol w:w="109"/>
        <w:gridCol w:w="109"/>
        <w:gridCol w:w="109"/>
        <w:gridCol w:w="2193"/>
        <w:gridCol w:w="2193"/>
        <w:gridCol w:w="3108"/>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76350"/>
                  <wp:effectExtent l="0" t="0" r="0" b="0"/>
                  <wp:docPr id="17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0" descr=""/>
                          <pic:cNvPicPr>
                            <a:picLocks noChangeAspect="1" noChangeArrowheads="1"/>
                          </pic:cNvPicPr>
                        </pic:nvPicPr>
                        <pic:blipFill>
                          <a:blip r:embed="rId161"/>
                          <a:stretch>
                            <a:fillRect/>
                          </a:stretch>
                        </pic:blipFill>
                        <pic:spPr bwMode="auto">
                          <a:xfrm>
                            <a:off x="0" y="0"/>
                            <a:ext cx="1228725" cy="12763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494" w:type="dxa"/>
            <w:gridSpan w:val="3"/>
            <w:vMerge w:val="restart"/>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Kathy J. Warden has served as Chair since August 2019 and as Chief Executive Officer and President of the Company since January 2019. She has served on the Board of Directors since July 2018. Prior to becoming CEO and President, Ms. Warden served as President and Chief Operating Officer of the Company from January 2018 through December 2018, as Corporate Vice President and President of the Company’s Mission Systems Sector from 2016 through 2017, as Corporate Vice President and President of the Company’s former Information Systems Sector from 2013 to 2015, and as Vice President of the Company’s Cyber Intelligence Division from 2011 to 2012. Prior to joining the Company in 2008, Ms. Warden held leadership roles at General Dynamics and Veridian Corporation. Earlier, she was a principal in a venture internet firm and also spent nearly a decade with General Electric Company working in commercial industries.</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in operational leadership, strategy, performance and business development in government and commercial markets, including cybersecurity and technology expertise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Prior leadership positions within Northrop Grumman (including as President, Chief Operating Officer and President of two business sectors)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aerospace and defense industry experience</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Merck &amp; Co., Inc.</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and former Chair of the Aerospace Industries Association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Chair of the Board of Directors of Catalyst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Former Chair of the Board of Directors of the Federal Reserve Bank of Richmond</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Former member of the Board of Visitors of James Madison University</w:t>
            </w:r>
          </w:p>
        </w:tc>
      </w:tr>
      <w:tr>
        <w:trPr/>
        <w:tc>
          <w:tcPr>
            <w:tcW w:w="238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4"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Kathy J. Warden</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Chair, Chief Executive Officer and President, Northrop Grumman Corporation</w:t>
            </w:r>
          </w:p>
          <w:p>
            <w:pPr>
              <w:pStyle w:val="TableContents"/>
              <w:bidi w:val="0"/>
              <w:spacing w:lineRule="auto" w:line="288" w:before="20" w:after="2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53</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July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554990"/>
                <wp:effectExtent l="0" t="0" r="0" b="0"/>
                <wp:wrapNone/>
                <wp:docPr id="180" name="Frame2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1146"/>
        <w:gridCol w:w="1007"/>
        <w:gridCol w:w="1010"/>
        <w:gridCol w:w="128"/>
        <w:gridCol w:w="128"/>
        <w:gridCol w:w="130"/>
        <w:gridCol w:w="1947"/>
        <w:gridCol w:w="1947"/>
        <w:gridCol w:w="2762"/>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31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3"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28725"/>
                  <wp:effectExtent l="0" t="0" r="0" b="0"/>
                  <wp:docPr id="18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1" descr=""/>
                          <pic:cNvPicPr>
                            <a:picLocks noChangeAspect="1" noChangeArrowheads="1"/>
                          </pic:cNvPicPr>
                        </pic:nvPicPr>
                        <pic:blipFill>
                          <a:blip r:embed="rId162"/>
                          <a:stretch>
                            <a:fillRect/>
                          </a:stretch>
                        </pic:blipFill>
                        <pic:spPr bwMode="auto">
                          <a:xfrm>
                            <a:off x="0" y="0"/>
                            <a:ext cx="1228725" cy="1228725"/>
                          </a:xfrm>
                          <a:prstGeom prst="rect">
                            <a:avLst/>
                          </a:prstGeom>
                        </pic:spPr>
                      </pic:pic>
                    </a:graphicData>
                  </a:graphic>
                </wp:inline>
              </w:drawing>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6656"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Mr. David P. Abney served as the Executive Chairman of the UPS Board of Directors from March 2016 through September 2020. From September 2014 to June 2020, he was the Chief Executive Officer of UPS. Prior to that, Mr. Abney was UPS’s Chief Operating Officer from 2007 to 2014. From 2003 to 2007, he was Senior Vice President and President of UPS International. Mr. Abney began his UPS career in 1974.</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Extensive leadership and business experience as a former Executive Chairman, Chief Executive Officer and Chief Operating Officer of a large multinational enterprise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Significant expertise in international operations and global logistics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Broad experience with talent management and leading global teams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Significant board experience, including as non-executive chair </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 xml:space="preserve">OTHER CURRENT PUBLIC COMPANY DIRECTORSHIPS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Freeport-McMoRan Inc.</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Target Corporation</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Executive Chairman of the Board of Directors of UPS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Macy’s, Inc.</w:t>
            </w:r>
          </w:p>
        </w:tc>
      </w:tr>
      <w:tr>
        <w:trPr/>
        <w:tc>
          <w:tcPr>
            <w:tcW w:w="31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3" w:type="dxa"/>
            <w:gridSpan w:val="3"/>
            <w:tcBorders/>
            <w:shd w:fill="E6E7E8" w:val="clear"/>
            <w:tcMar>
              <w:top w:w="0" w:type="dxa"/>
              <w:left w:w="0" w:type="dxa"/>
              <w:bottom w:w="0" w:type="dxa"/>
              <w:right w:w="0" w:type="dxa"/>
            </w:tcMar>
            <w:vAlign w:val="center"/>
          </w:tcPr>
          <w:p>
            <w:pPr>
              <w:pStyle w:val="TableContents"/>
              <w:bidi w:val="0"/>
              <w:spacing w:lineRule="auto" w:line="283"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David P. Abney</w:t>
            </w:r>
          </w:p>
          <w:p>
            <w:pPr>
              <w:pStyle w:val="TableContents"/>
              <w:bidi w:val="0"/>
              <w:spacing w:lineRule="auto" w:line="283"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Executive Chairman of the Board of Directors and Chief Executive Officer of United Parcel Service, Inc. (UPS)</w:t>
            </w:r>
          </w:p>
          <w:p>
            <w:pPr>
              <w:pStyle w:val="TableContents"/>
              <w:bidi w:val="0"/>
              <w:spacing w:lineRule="auto" w:line="283"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69</w:t>
            </w:r>
          </w:p>
          <w:p>
            <w:pPr>
              <w:pStyle w:val="TableContents"/>
              <w:bidi w:val="0"/>
              <w:spacing w:lineRule="auto" w:line="283"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3" w:before="20" w:after="20"/>
              <w:jc w:val="left"/>
              <w:rPr>
                <w:rFonts w:ascii="Futura Std Book;sans-serif" w:hAnsi="Futura Std Book;sans-serif"/>
                <w:b/>
                <w:color w:val="29378D"/>
                <w:sz w:val="18"/>
              </w:rPr>
            </w:pPr>
            <w:r>
              <w:rPr>
                <w:rFonts w:ascii="Futura Std Book;sans-serif" w:hAnsi="Futura Std Book;sans-serif"/>
                <w:b/>
                <w:color w:val="29378D"/>
                <w:sz w:val="18"/>
              </w:rPr>
              <w:t>June 2020</w:t>
            </w:r>
          </w:p>
          <w:p>
            <w:pPr>
              <w:pStyle w:val="TableContents"/>
              <w:bidi w:val="0"/>
              <w:spacing w:lineRule="auto" w:line="283"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3" w:before="20" w:after="20"/>
              <w:jc w:val="left"/>
              <w:rPr>
                <w:rFonts w:ascii="Futura Std Book;sans-serif" w:hAnsi="Futura Std Book;sans-serif"/>
                <w:b/>
                <w:color w:val="29378D"/>
                <w:sz w:val="18"/>
              </w:rPr>
            </w:pPr>
            <w:r>
              <w:rPr>
                <w:rFonts w:ascii="Futura Std Book;sans-serif" w:hAnsi="Futura Std Book;sans-serif"/>
                <w:b/>
                <w:color w:val="29378D"/>
                <w:sz w:val="18"/>
              </w:rPr>
              <w:t>Compensation and Human Capital Committee (Chair), Nominating and Corporate Governance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6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734695"/>
                <wp:effectExtent l="0" t="0" r="0" b="0"/>
                <wp:wrapNone/>
                <wp:docPr id="182" name="Frame2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948"/>
        <w:gridCol w:w="832"/>
        <w:gridCol w:w="835"/>
        <w:gridCol w:w="128"/>
        <w:gridCol w:w="128"/>
        <w:gridCol w:w="130"/>
        <w:gridCol w:w="2109"/>
        <w:gridCol w:w="2109"/>
        <w:gridCol w:w="2986"/>
      </w:tblGrid>
      <w:tr>
        <w:trPr/>
        <w:tc>
          <w:tcPr>
            <w:tcW w:w="94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2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81100" cy="1228725"/>
                  <wp:effectExtent l="0" t="0" r="0" b="0"/>
                  <wp:docPr id="183"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2" descr=""/>
                          <pic:cNvPicPr>
                            <a:picLocks noChangeAspect="1" noChangeArrowheads="1"/>
                          </pic:cNvPicPr>
                        </pic:nvPicPr>
                        <pic:blipFill>
                          <a:blip r:embed="rId163"/>
                          <a:stretch>
                            <a:fillRect/>
                          </a:stretch>
                        </pic:blipFill>
                        <pic:spPr bwMode="auto">
                          <a:xfrm>
                            <a:off x="0" y="0"/>
                            <a:ext cx="1181100" cy="1228725"/>
                          </a:xfrm>
                          <a:prstGeom prst="rect">
                            <a:avLst/>
                          </a:prstGeom>
                        </pic:spPr>
                      </pic:pic>
                    </a:graphicData>
                  </a:graphic>
                </wp:inline>
              </w:drawing>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204" w:type="dxa"/>
            <w:gridSpan w:val="3"/>
            <w:vMerge w:val="restart"/>
            <w:tcBorders/>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Ms. Marianne C. Brown served as the Chief Operating Officer of Fidelity National Information Services, Inc.’s (FIS) Global Financial Solutions organization from January 2018 until June 2019. Prior to that, Ms. Brown served as Chief Operating Officer, Institutional and Wholesale Business of FIS since December 2015, when it acquired SunGard Financial Systems. Ms. Brown was the Chief Operating Officer of SunGard Financial Systems, a software and IT services provider, from February 2014 to November 2015. Prior to that, Ms. Brown was the CEO and president of Omgeo, a global financial services technology company, from March 2006 to February 2014. </w:t>
            </w:r>
          </w:p>
          <w:p>
            <w:pPr>
              <w:pStyle w:val="TableContents"/>
              <w:bidi w:val="0"/>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Substantial business experience as a former Chief Operating Officer and Chief Executive Officer</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experience in IT goods and services, cyber protection and business management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Community and philanthropic leader</w:t>
            </w:r>
          </w:p>
          <w:p>
            <w:pPr>
              <w:pStyle w:val="TableContents"/>
              <w:bidi w:val="0"/>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Akamai Technologies, Inc.</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Member of the Board of Directors of The Charles Schwab Corporation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Member of the Board of Directors of IBM </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VMWare, Inc.</w:t>
            </w:r>
          </w:p>
        </w:tc>
      </w:tr>
      <w:tr>
        <w:trPr/>
        <w:tc>
          <w:tcPr>
            <w:tcW w:w="2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5" w:type="dxa"/>
            <w:gridSpan w:val="3"/>
            <w:tcBorders/>
            <w:shd w:fill="E6E7E8" w:val="clear"/>
            <w:tcMar>
              <w:top w:w="0" w:type="dxa"/>
              <w:left w:w="0" w:type="dxa"/>
              <w:bottom w:w="0" w:type="dxa"/>
              <w:right w:w="0" w:type="dxa"/>
            </w:tcMar>
            <w:vAlign w:val="center"/>
          </w:tcPr>
          <w:p>
            <w:pPr>
              <w:pStyle w:val="TableContents"/>
              <w:bidi w:val="0"/>
              <w:spacing w:lineRule="auto" w:line="283"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Marianne C. Brown</w:t>
            </w:r>
          </w:p>
          <w:p>
            <w:pPr>
              <w:pStyle w:val="TableContents"/>
              <w:bidi w:val="0"/>
              <w:spacing w:lineRule="auto" w:line="283"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Chief Operating Officer, Global Financial Solutions, Fidelity National Information Services, Inc.</w:t>
            </w:r>
          </w:p>
          <w:p>
            <w:pPr>
              <w:pStyle w:val="TableContents"/>
              <w:bidi w:val="0"/>
              <w:spacing w:lineRule="auto" w:line="283" w:before="0" w:after="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66</w:t>
            </w:r>
          </w:p>
          <w:p>
            <w:pPr>
              <w:pStyle w:val="TableContents"/>
              <w:bidi w:val="0"/>
              <w:spacing w:lineRule="auto" w:line="283"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3" w:before="0" w:after="0"/>
              <w:jc w:val="left"/>
              <w:rPr>
                <w:rFonts w:ascii="Futura Std Book;sans-serif" w:hAnsi="Futura Std Book;sans-serif"/>
                <w:b/>
                <w:color w:val="29378D"/>
                <w:sz w:val="18"/>
              </w:rPr>
            </w:pPr>
            <w:r>
              <w:rPr>
                <w:rFonts w:ascii="Futura Std Book;sans-serif" w:hAnsi="Futura Std Book;sans-serif"/>
                <w:b/>
                <w:color w:val="29378D"/>
                <w:sz w:val="18"/>
              </w:rPr>
              <w:t>March 2015</w:t>
            </w:r>
          </w:p>
          <w:p>
            <w:pPr>
              <w:pStyle w:val="TableContents"/>
              <w:bidi w:val="0"/>
              <w:spacing w:lineRule="auto" w:line="283"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3" w:before="0" w:after="0"/>
              <w:jc w:val="left"/>
              <w:rPr>
                <w:rFonts w:ascii="Futura Std Book;sans-serif" w:hAnsi="Futura Std Book;sans-serif"/>
                <w:b/>
                <w:color w:val="29378D"/>
                <w:sz w:val="18"/>
              </w:rPr>
            </w:pPr>
            <w:r>
              <w:rPr>
                <w:rFonts w:ascii="Futura Std Book;sans-serif" w:hAnsi="Futura Std Book;sans-serif"/>
                <w:b/>
                <w:color w:val="29378D"/>
                <w:sz w:val="18"/>
              </w:rPr>
              <w:t>Audit and Risk Committee, Nominating and Corporate Governance Committee (Chair)</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00"/>
        <w:gridCol w:w="878"/>
        <w:gridCol w:w="881"/>
        <w:gridCol w:w="128"/>
        <w:gridCol w:w="128"/>
        <w:gridCol w:w="130"/>
        <w:gridCol w:w="2066"/>
        <w:gridCol w:w="2066"/>
        <w:gridCol w:w="292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28725"/>
                  <wp:effectExtent l="0" t="0" r="0" b="0"/>
                  <wp:docPr id="18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3" descr=""/>
                          <pic:cNvPicPr>
                            <a:picLocks noChangeAspect="1" noChangeArrowheads="1"/>
                          </pic:cNvPicPr>
                        </pic:nvPicPr>
                        <pic:blipFill>
                          <a:blip r:embed="rId164"/>
                          <a:stretch>
                            <a:fillRect/>
                          </a:stretch>
                        </pic:blipFill>
                        <pic:spPr bwMode="auto">
                          <a:xfrm>
                            <a:off x="0" y="0"/>
                            <a:ext cx="1228725" cy="1228725"/>
                          </a:xfrm>
                          <a:prstGeom prst="rect">
                            <a:avLst/>
                          </a:prstGeom>
                        </pic:spPr>
                      </pic:pic>
                    </a:graphicData>
                  </a:graphic>
                </wp:inline>
              </w:drawing>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060" w:type="dxa"/>
            <w:gridSpan w:val="3"/>
            <w:vMerge w:val="restart"/>
            <w:tcBorders/>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Ann M. Fudge served as Chairman and Chief Executive Officer of Young &amp; Rubicam Brands at WPP Group PLC from May 2003 to December 2006. Prior to that, she served in various leadership positions at Kraft Foods from 1986 to 2001, including President of Beverages, Desserts and Post Divisions, and President of Maxwell House Coffee and Kraft General Foods.</w:t>
            </w:r>
          </w:p>
          <w:p>
            <w:pPr>
              <w:pStyle w:val="TableContents"/>
              <w:bidi w:val="0"/>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business experience as former Chief Executive Officer and former president of leading consumer products business units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Substantial international experience through service as an executive and director of a large multinational company and a director of other large multinational companies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public company board experience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Experience with talent development and acquisition</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Former Chair of the Board of Trustees of WGBH Public Media</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Senior trustee of the Brookings Institution</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Catalyst Partners Acquisition Corp.</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Novartis AG</w:t>
            </w:r>
          </w:p>
        </w:tc>
      </w:tr>
      <w:tr>
        <w:trPr/>
        <w:tc>
          <w:tcPr>
            <w:tcW w:w="275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9"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Ann M. Fudge</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Chairman and Chief Executive Officer, Young &amp; Rubicam Brands</w:t>
            </w:r>
          </w:p>
          <w:p>
            <w:pPr>
              <w:pStyle w:val="TableContents"/>
              <w:bidi w:val="0"/>
              <w:spacing w:lineRule="auto" w:line="288" w:before="0" w:after="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73</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March 2016</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Audit and Risk Committee, Policy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554990"/>
                <wp:effectExtent l="0" t="0" r="0" b="0"/>
                <wp:wrapNone/>
                <wp:docPr id="185" name="Frame2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940"/>
        <w:gridCol w:w="826"/>
        <w:gridCol w:w="828"/>
        <w:gridCol w:w="128"/>
        <w:gridCol w:w="128"/>
        <w:gridCol w:w="130"/>
        <w:gridCol w:w="2114"/>
        <w:gridCol w:w="2114"/>
        <w:gridCol w:w="2997"/>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76350"/>
                  <wp:effectExtent l="0" t="0" r="0" b="0"/>
                  <wp:docPr id="186"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4" descr=""/>
                          <pic:cNvPicPr>
                            <a:picLocks noChangeAspect="1" noChangeArrowheads="1"/>
                          </pic:cNvPicPr>
                        </pic:nvPicPr>
                        <pic:blipFill>
                          <a:blip r:embed="rId165"/>
                          <a:stretch>
                            <a:fillRect/>
                          </a:stretch>
                        </pic:blipFill>
                        <pic:spPr bwMode="auto">
                          <a:xfrm>
                            <a:off x="0" y="0"/>
                            <a:ext cx="1228725" cy="1276350"/>
                          </a:xfrm>
                          <a:prstGeom prst="rect">
                            <a:avLst/>
                          </a:prstGeom>
                        </pic:spPr>
                      </pic:pic>
                    </a:graphicData>
                  </a:graphic>
                </wp:inline>
              </w:drawing>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225" w:type="dxa"/>
            <w:gridSpan w:val="3"/>
            <w:vMerge w:val="restart"/>
            <w:tcBorders/>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Madeleine A. Kleiner has served as the Lead Independent Director of the Board of Directors of Northrop Grumman Corporation since December 2022. She served as Executive Vice President, General Counsel and Corporate Secretary for Hilton Hotels Corporation from January 2001 until February 2008. From 1999 through 2001, she served as a director of a number of Merrill Lynch mutual funds operating under the Hotchkis and Wiley name. From 1995 to 1998, she served as Senior Executive Vice President, Chief Administrative Officer and General Counsel of H. F. Ahmanson &amp; Company and its subsidiary, Home Savings of America. Prior to that, she was a partner at the law firm of Gibson, Dunn &amp; Crutcher, where she advised corporations and their boards primarily in the areas of mergers and acquisitions, corporate governance, and securities transactions and compliance.</w:t>
            </w:r>
          </w:p>
          <w:p>
            <w:pPr>
              <w:pStyle w:val="TableContents"/>
              <w:bidi w:val="0"/>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Expertise in corporate governance and corporate responsibility, Sarbanes-Oxley controls, risk management, securities transactions and mergers and acquisitions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experience from past roles as general counsel for two public companies, outside counsel to numerous public companies and through service on another public company board</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Substantial international experience as an executive officer of a large company with global operations</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Jack in the Box Inc.</w:t>
            </w:r>
          </w:p>
          <w:p>
            <w:pPr>
              <w:pStyle w:val="TableContents"/>
              <w:bidi w:val="0"/>
              <w:spacing w:lineRule="auto" w:line="288" w:before="120" w:after="120"/>
              <w:ind w:left="0" w:right="0" w:firstLine="144"/>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the Ladies Professional Golf Association</w:t>
            </w:r>
          </w:p>
        </w:tc>
      </w:tr>
      <w:tr>
        <w:trPr/>
        <w:tc>
          <w:tcPr>
            <w:tcW w:w="259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4"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Madeleine A. Kleiner</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Executive Vice President and General Counsel, Hilton Hotels Corporation</w:t>
            </w:r>
          </w:p>
          <w:p>
            <w:pPr>
              <w:pStyle w:val="TableContents"/>
              <w:bidi w:val="0"/>
              <w:spacing w:lineRule="auto" w:line="288" w:before="0" w:after="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73</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October 2008</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Compensation and Human Capital Committee, Nominating and Corporate Governance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9"/>
        <w:gridCol w:w="825"/>
        <w:gridCol w:w="827"/>
        <w:gridCol w:w="128"/>
        <w:gridCol w:w="128"/>
        <w:gridCol w:w="130"/>
        <w:gridCol w:w="2115"/>
        <w:gridCol w:w="2115"/>
        <w:gridCol w:w="2998"/>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r>
      <w:tr>
        <w:trPr/>
        <w:tc>
          <w:tcPr>
            <w:tcW w:w="259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1"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28725"/>
                  <wp:effectExtent l="0" t="0" r="0" b="0"/>
                  <wp:docPr id="187"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5" descr=""/>
                          <pic:cNvPicPr>
                            <a:picLocks noChangeAspect="1" noChangeArrowheads="1"/>
                          </pic:cNvPicPr>
                        </pic:nvPicPr>
                        <pic:blipFill>
                          <a:blip r:embed="rId166"/>
                          <a:stretch>
                            <a:fillRect/>
                          </a:stretch>
                        </pic:blipFill>
                        <pic:spPr bwMode="auto">
                          <a:xfrm>
                            <a:off x="0" y="0"/>
                            <a:ext cx="1228725" cy="1228725"/>
                          </a:xfrm>
                          <a:prstGeom prst="rect">
                            <a:avLst/>
                          </a:prstGeom>
                        </pic:spPr>
                      </pic:pic>
                    </a:graphicData>
                  </a:graphic>
                </wp:inline>
              </w:drawing>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228" w:type="dxa"/>
            <w:gridSpan w:val="3"/>
            <w:vMerge w:val="restart"/>
            <w:tcBorders/>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Mr. Arvind Krishna has served as Chief Executive Officer of IBM and a member of IBM’s Board of Directors since April 2020. He was elected Chairman of IBM’s Board of Directors in December 2020. He joined IBM in 1990. Mr. Krishna led the IBM Cloud and Cognitive Software business unit from 2017 to April 2020 and was a principal architect of the acquisition of Red Hat, the largest acquisition in IBM’s history. Mr. Krishna also served as the director of IBM’s Research division from 2015 to 2020. Previously, he was general manager of IBM’s Systems and Technology Group, IBM’s development and manufacturing organization. Prior to that, he built and led many of IBM’s data-related businesses.</w:t>
            </w:r>
          </w:p>
          <w:p>
            <w:pPr>
              <w:pStyle w:val="TableContents"/>
              <w:bidi w:val="0"/>
              <w:spacing w:lineRule="auto" w:line="288" w:before="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global business and organizational leadership experience as the Chairman and Chief Executive Officer of a large multinational corporation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Deep knowledge of manufacturing and research, including in artificial intelligence and computing</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experience in cyber and digital transformation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technology experience</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Chairman of the Board of Directors of IBM</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the Federal Reserve Bank of New York</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the US-India Strategic Partnership Forum</w:t>
            </w:r>
          </w:p>
        </w:tc>
      </w:tr>
      <w:tr>
        <w:trPr/>
        <w:tc>
          <w:tcPr>
            <w:tcW w:w="259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1"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Arvind Krishna</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Chairman and Chief Executive Officer, International Business Machines Corporation (IBM)</w:t>
            </w:r>
          </w:p>
          <w:p>
            <w:pPr>
              <w:pStyle w:val="TableContents"/>
              <w:bidi w:val="0"/>
              <w:spacing w:lineRule="auto" w:line="288" w:before="0" w:after="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62</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November 2022</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Compensation and Human Capital Committee, Policy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734695"/>
                <wp:effectExtent l="0" t="0" r="0" b="0"/>
                <wp:wrapNone/>
                <wp:docPr id="188" name="Frame2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928"/>
        <w:gridCol w:w="815"/>
        <w:gridCol w:w="817"/>
        <w:gridCol w:w="128"/>
        <w:gridCol w:w="128"/>
        <w:gridCol w:w="130"/>
        <w:gridCol w:w="2125"/>
        <w:gridCol w:w="2125"/>
        <w:gridCol w:w="3009"/>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r>
      <w:tr>
        <w:trPr/>
        <w:tc>
          <w:tcPr>
            <w:tcW w:w="256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66825"/>
                  <wp:effectExtent l="0" t="0" r="0" b="0"/>
                  <wp:docPr id="18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6" descr=""/>
                          <pic:cNvPicPr>
                            <a:picLocks noChangeAspect="1" noChangeArrowheads="1"/>
                          </pic:cNvPicPr>
                        </pic:nvPicPr>
                        <pic:blipFill>
                          <a:blip r:embed="rId167"/>
                          <a:stretch>
                            <a:fillRect/>
                          </a:stretch>
                        </pic:blipFill>
                        <pic:spPr bwMode="auto">
                          <a:xfrm>
                            <a:off x="0" y="0"/>
                            <a:ext cx="1228725" cy="1266825"/>
                          </a:xfrm>
                          <a:prstGeom prst="rect">
                            <a:avLst/>
                          </a:prstGeom>
                        </pic:spPr>
                      </pic:pic>
                    </a:graphicData>
                  </a:graphic>
                </wp:inline>
              </w:drawing>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259" w:type="dxa"/>
            <w:gridSpan w:val="3"/>
            <w:vMerge w:val="restart"/>
            <w:tcBorders/>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Kimberly A. Ross served as Chief Financial Officer of WeWork from March through October 2020. She served as Senior Vice President and Chief Financial Officer of Baker Hughes Company from 2014 to 2017. Ms. Ross was Executive Vice President and Chief Financial Officer of Avon Products, Inc. from 2011 to 2014. Prior to that, she served as the Executive Vice President and Chief Financial Officer of Royal Ahold N.V. from 2007 to 2011 and previously held a variety of senior management positions at Royal Ahold.</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through service as the Chief Financial Officer of large public companies, including expertise in financial reporting, internal auditing processes and managing corporate finance for global companies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international business experience through her service as an executive of large public companies with extensive international operations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Substantial senior leadership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Audit committee financial expert</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The Cigna Group</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KKR &amp; Co. Inc.</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Member of the Board of Directors of Nestlé S.A.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KKR Acquisition Holdings I Corp.</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Member of the Board of Directors of PQ Group Holdings Inc.</w:t>
            </w:r>
          </w:p>
        </w:tc>
      </w:tr>
      <w:tr>
        <w:trPr/>
        <w:tc>
          <w:tcPr>
            <w:tcW w:w="256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0"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Kimberly A. Ross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Chief Financial Officer, WeWork and Baker Hughes Company</w:t>
            </w:r>
          </w:p>
          <w:p>
            <w:pPr>
              <w:pStyle w:val="TableContents"/>
              <w:bidi w:val="0"/>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59</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March 2023</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 xml:space="preserve">Audit and Risk Committee, Policy Committee </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6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6"/>
        <w:gridCol w:w="787"/>
        <w:gridCol w:w="789"/>
        <w:gridCol w:w="128"/>
        <w:gridCol w:w="128"/>
        <w:gridCol w:w="130"/>
        <w:gridCol w:w="2152"/>
        <w:gridCol w:w="2152"/>
        <w:gridCol w:w="3043"/>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r>
      <w:tr>
        <w:trPr/>
        <w:tc>
          <w:tcPr>
            <w:tcW w:w="247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28725"/>
                  <wp:effectExtent l="0" t="0" r="0" b="0"/>
                  <wp:docPr id="19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7" descr=""/>
                          <pic:cNvPicPr>
                            <a:picLocks noChangeAspect="1" noChangeArrowheads="1"/>
                          </pic:cNvPicPr>
                        </pic:nvPicPr>
                        <pic:blipFill>
                          <a:blip r:embed="rId168"/>
                          <a:stretch>
                            <a:fillRect/>
                          </a:stretch>
                        </pic:blipFill>
                        <pic:spPr bwMode="auto">
                          <a:xfrm>
                            <a:off x="0" y="0"/>
                            <a:ext cx="1228725" cy="1228725"/>
                          </a:xfrm>
                          <a:prstGeom prst="rect">
                            <a:avLst/>
                          </a:prstGeom>
                        </pic:spPr>
                      </pic:pic>
                    </a:graphicData>
                  </a:graphic>
                </wp:inline>
              </w:drawing>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347"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Admiral Gary Roughead retired from his position as the 29th Chief of Naval Operations in September 2011, after serving in that position for four years. The Chief of Naval Operations is the senior military position in the United States Navy. As Chief of Naval Operations, Admiral Roughead stabilized and accelerated ship and aircraft procurement plans and the Navy’s capability and capacity in ballistic missile defense and unmanned air and underwater systems. He restructured the Navy to address the challenges and opportunities in cyber operations. Prior to becoming the Chief of Naval Operations, he held six operational commands (including commanding both the Atlantic and Pacific Fleets). Admiral Roughead is a Robert and Marion Oster Distinguished Military Fellow at the Hoover Institution.</w:t>
            </w:r>
          </w:p>
          <w:p>
            <w:pPr>
              <w:pStyle w:val="TableContents"/>
              <w:bidi w:val="0"/>
              <w:spacing w:lineRule="auto" w:line="288" w:before="120" w:after="6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Extensive career as a senior military officer with the United States Navy, including numerous operational commands, as well as leadership positions, most recently as the 29th Chief of Naval Operations</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Significant expertise in national security, information warfare, cyber operations and global security issues</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Broad experience in leadership and matters of global relations, particularly in the Pacific region, Europe and the Middle East</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Experience with talent development and management</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 xml:space="preserve">SELECTED DIRECTORSHIPS AND MEMBERSHIPS </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Member of the Board of Directors of Maersk Line, Limited</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Trustee of the Dodge and Cox Funds</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Trustee of Johns Hopkins University</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Member of the Board of Managers of the Johns Hopkins University Applied Physics Laboratory</w:t>
            </w:r>
          </w:p>
          <w:p>
            <w:pPr>
              <w:pStyle w:val="TableContents"/>
              <w:bidi w:val="0"/>
              <w:spacing w:lineRule="auto" w:line="276" w:before="80" w:after="80"/>
              <w:ind w:left="0" w:right="0" w:hanging="216"/>
              <w:jc w:val="left"/>
              <w:rPr/>
            </w:pPr>
            <w:r>
              <w:rPr>
                <w:color w:val="29378D"/>
              </w:rPr>
              <w:t>•</w:t>
            </w:r>
            <w:r>
              <w:rPr>
                <w:rFonts w:ascii="Futura Std Book;sans-serif" w:hAnsi="Futura Std Book;sans-serif"/>
                <w:b w:val="false"/>
                <w:color w:val="000000"/>
                <w:sz w:val="18"/>
              </w:rPr>
              <w:t>Former Chairman of the Board of Directors of Fincantieri Marinette Marine Corporation</w:t>
            </w:r>
          </w:p>
        </w:tc>
      </w:tr>
      <w:tr>
        <w:trPr/>
        <w:tc>
          <w:tcPr>
            <w:tcW w:w="247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2" w:type="dxa"/>
            <w:gridSpan w:val="3"/>
            <w:tcBorders/>
            <w:shd w:fill="E6E7E8" w:val="clear"/>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29378D"/>
                <w:sz w:val="26"/>
              </w:rPr>
            </w:pPr>
            <w:r>
              <w:rPr>
                <w:rFonts w:ascii="Futura Std Book;sans-serif" w:hAnsi="Futura Std Book;sans-serif"/>
                <w:b w:val="false"/>
                <w:color w:val="29378D"/>
                <w:sz w:val="26"/>
              </w:rPr>
              <w:t>Gary Roughead</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Admiral, United States Navy (Ret.) and Former Chief of Naval Operations</w:t>
            </w:r>
          </w:p>
          <w:p>
            <w:pPr>
              <w:pStyle w:val="TableContents"/>
              <w:bidi w:val="0"/>
              <w:spacing w:lineRule="auto" w:line="288" w:before="20" w:after="2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73</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February 2012</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Compensation and Human Capital Committee, Policy Committee (Chair)</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7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554990"/>
                <wp:effectExtent l="0" t="0" r="0" b="0"/>
                <wp:wrapNone/>
                <wp:docPr id="191" name="Frame2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1326"/>
        <w:gridCol w:w="1167"/>
        <w:gridCol w:w="1168"/>
        <w:gridCol w:w="128"/>
        <w:gridCol w:w="128"/>
        <w:gridCol w:w="130"/>
        <w:gridCol w:w="1802"/>
        <w:gridCol w:w="1802"/>
        <w:gridCol w:w="2554"/>
      </w:tblGrid>
      <w:tr>
        <w:trPr/>
        <w:tc>
          <w:tcPr>
            <w:tcW w:w="132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center"/>
              <w:rPr/>
            </w:pPr>
            <w:r>
              <w:rPr/>
              <w:drawing>
                <wp:inline distT="0" distB="0" distL="0" distR="0">
                  <wp:extent cx="1228725" cy="1228725"/>
                  <wp:effectExtent l="0" t="0" r="0" b="0"/>
                  <wp:docPr id="19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8" descr=""/>
                          <pic:cNvPicPr>
                            <a:picLocks noChangeAspect="1" noChangeArrowheads="1"/>
                          </pic:cNvPicPr>
                        </pic:nvPicPr>
                        <pic:blipFill>
                          <a:blip r:embed="rId169"/>
                          <a:stretch>
                            <a:fillRect/>
                          </a:stretch>
                        </pic:blipFill>
                        <pic:spPr bwMode="auto">
                          <a:xfrm>
                            <a:off x="0" y="0"/>
                            <a:ext cx="1228725" cy="1228725"/>
                          </a:xfrm>
                          <a:prstGeom prst="rect">
                            <a:avLst/>
                          </a:prstGeom>
                        </pic:spPr>
                      </pic:pic>
                    </a:graphicData>
                  </a:graphic>
                </wp:inline>
              </w:drawing>
            </w:r>
            <w:r>
              <w:rPr>
                <w:color w:val="000000"/>
              </w:rPr>
              <w:t> </w:t>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6158"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Mr. Thomas M. Schoewe was Executive Vice President and Chief Financial Officer of Wal-Mart Stores, Inc. from 2000 to 2011. Prior to his employment with Wal-Mart, he held several leadership roles at the Black &amp; Decker Corporation.</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financial experience acquired through positions held as the Chief Financial Officer of large public companies, as well as expertise in Sarbanes-Oxley controls, risk management and mergers and acquisitions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international experience through his service as an executive of large public companies with substantial international operations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Experience at Wal-Mart and Black &amp; Decker on large-scale transformational enterprise information technology implementations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as a member of the audit, risk, compensation and policy committees of other public companies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Audit committee financial expert</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General Motors Corporation</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Former Member of the Board of the Ladies Professional Golf Association</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bidi w:val="0"/>
              <w:spacing w:lineRule="auto" w:line="288" w:before="60" w:after="60"/>
              <w:ind w:left="0" w:right="0" w:hanging="216"/>
              <w:jc w:val="left"/>
              <w:rPr/>
            </w:pPr>
            <w:r>
              <w:rPr>
                <w:color w:val="00249C"/>
              </w:rPr>
              <w:t>•</w:t>
            </w:r>
            <w:r>
              <w:rPr>
                <w:rFonts w:ascii="Futura Std Book;sans-serif" w:hAnsi="Futura Std Book;sans-serif"/>
                <w:b w:val="false"/>
                <w:color w:val="000000"/>
                <w:sz w:val="18"/>
              </w:rPr>
              <w:t>Former Member of the Board of Directors of KKR &amp; Co. Inc.</w:t>
            </w:r>
          </w:p>
        </w:tc>
      </w:tr>
      <w:tr>
        <w:trPr/>
        <w:tc>
          <w:tcPr>
            <w:tcW w:w="366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61" w:type="dxa"/>
            <w:gridSpan w:val="3"/>
            <w:tcBorders/>
            <w:shd w:fill="E6E7E8" w:val="clear"/>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Thomas M. Schoewe</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Executive Vice President and Chief Financial Officer, Wal-Mart Stores, Inc.</w:t>
            </w:r>
          </w:p>
          <w:p>
            <w:pPr>
              <w:pStyle w:val="TableContents"/>
              <w:bidi w:val="0"/>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72</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August 2011</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Audit and Risk Committee (Chair), Nominating and Corporate Governance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61"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8"/>
        <w:gridCol w:w="1096"/>
        <w:gridCol w:w="1100"/>
        <w:gridCol w:w="128"/>
        <w:gridCol w:w="128"/>
        <w:gridCol w:w="130"/>
        <w:gridCol w:w="1865"/>
        <w:gridCol w:w="1865"/>
        <w:gridCol w:w="2645"/>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3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4"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76350"/>
                  <wp:effectExtent l="0" t="0" r="0" b="0"/>
                  <wp:docPr id="19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9" descr=""/>
                          <pic:cNvPicPr>
                            <a:picLocks noChangeAspect="1" noChangeArrowheads="1"/>
                          </pic:cNvPicPr>
                        </pic:nvPicPr>
                        <pic:blipFill>
                          <a:blip r:embed="rId170"/>
                          <a:stretch>
                            <a:fillRect/>
                          </a:stretch>
                        </pic:blipFill>
                        <pic:spPr bwMode="auto">
                          <a:xfrm>
                            <a:off x="0" y="0"/>
                            <a:ext cx="1228725" cy="1276350"/>
                          </a:xfrm>
                          <a:prstGeom prst="rect">
                            <a:avLst/>
                          </a:prstGeom>
                        </pic:spPr>
                      </pic:pic>
                    </a:graphicData>
                  </a:graphic>
                </wp:inline>
              </w:drawing>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6375"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Mr. James S. Turley served as Chairman and Chief Executive Officer of Ernst &amp; Young from 2001 until his retirement in 2013. Mr. Turley joined Ernst &amp; Young in 1977 and held various positions there. He was named Deputy Chairman in 2000.</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and expertise in areas of finance, accounting and business management acquired over 36-year career at Ernst &amp; Young, including serving as Chairman and Chief Executive Officer of Ernst &amp; Young</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Significant experience in areas of risk management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as a member of the audit committee of other public companies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Audit committee financial expert</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Member of the Board of Directors of Citigroup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Independent Chair of the Board of Directors of Emerson Electric Company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Precigen, Inc.</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SELECTED DIRECTORSHIPS AND MEMBERSHIPS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Kohler Co.</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St. Louis Trust &amp; Family Office</w:t>
            </w:r>
          </w:p>
          <w:p>
            <w:pPr>
              <w:pStyle w:val="TableContents"/>
              <w:bidi w:val="0"/>
              <w:spacing w:before="80" w:after="80"/>
              <w:ind w:left="0" w:right="0" w:hanging="216"/>
              <w:jc w:val="left"/>
              <w:rPr/>
            </w:pPr>
            <w:r>
              <w:rPr/>
            </w:r>
          </w:p>
        </w:tc>
      </w:tr>
      <w:tr>
        <w:trPr/>
        <w:tc>
          <w:tcPr>
            <w:tcW w:w="3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44" w:type="dxa"/>
            <w:gridSpan w:val="3"/>
            <w:tcBorders/>
            <w:shd w:fill="E6E7E8" w:val="clear"/>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29378D"/>
                <w:sz w:val="26"/>
              </w:rPr>
            </w:pPr>
            <w:r>
              <w:rPr>
                <w:rFonts w:ascii="Futura Std Book;sans-serif" w:hAnsi="Futura Std Book;sans-serif"/>
                <w:b w:val="false"/>
                <w:color w:val="29378D"/>
                <w:sz w:val="26"/>
              </w:rPr>
              <w:t>James S. Turley</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Former Chairman and Chief Executive Officer, Ernst &amp; Young</w:t>
            </w:r>
          </w:p>
          <w:p>
            <w:pPr>
              <w:pStyle w:val="TableContents"/>
              <w:bidi w:val="0"/>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69</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February 2015</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Audit and Risk Committee, Nominating and Corporate Governance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734695"/>
                <wp:effectExtent l="0" t="0" r="0" b="0"/>
                <wp:wrapNone/>
                <wp:docPr id="194" name="Frame2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tbl>
      <w:tblPr>
        <w:tblW w:w="10205" w:type="dxa"/>
        <w:jc w:val="left"/>
        <w:tblInd w:w="0" w:type="dxa"/>
        <w:tblLayout w:type="fixed"/>
        <w:tblCellMar>
          <w:top w:w="28" w:type="dxa"/>
          <w:left w:w="28" w:type="dxa"/>
          <w:bottom w:w="28" w:type="dxa"/>
          <w:right w:w="28" w:type="dxa"/>
        </w:tblCellMar>
      </w:tblPr>
      <w:tblGrid>
        <w:gridCol w:w="887"/>
        <w:gridCol w:w="778"/>
        <w:gridCol w:w="781"/>
        <w:gridCol w:w="128"/>
        <w:gridCol w:w="128"/>
        <w:gridCol w:w="130"/>
        <w:gridCol w:w="2156"/>
        <w:gridCol w:w="2156"/>
        <w:gridCol w:w="3061"/>
      </w:tblGrid>
      <w:tr>
        <w:trPr/>
        <w:tc>
          <w:tcPr>
            <w:tcW w:w="88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276350"/>
                  <wp:effectExtent l="0" t="0" r="0" b="0"/>
                  <wp:docPr id="195"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0" descr=""/>
                          <pic:cNvPicPr>
                            <a:picLocks noChangeAspect="1" noChangeArrowheads="1"/>
                          </pic:cNvPicPr>
                        </pic:nvPicPr>
                        <pic:blipFill>
                          <a:blip r:embed="rId171"/>
                          <a:stretch>
                            <a:fillRect/>
                          </a:stretch>
                        </pic:blipFill>
                        <pic:spPr bwMode="auto">
                          <a:xfrm>
                            <a:off x="0" y="0"/>
                            <a:ext cx="1228725" cy="1276350"/>
                          </a:xfrm>
                          <a:prstGeom prst="rect">
                            <a:avLst/>
                          </a:prstGeom>
                        </pic:spPr>
                      </pic:pic>
                    </a:graphicData>
                  </a:graphic>
                </wp:inline>
              </w:drawing>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373"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General Mark A. Welsh III has been the President of Texas A&amp;M University since December 2023 after being named interim President in July 2023. Prior to being named interim President, he had served as Dean of the Bush School of Government and Public Service at Texas A&amp;M University since August 2016. Prior to that, General Welsh served as Chief of Staff of the United States Air Force (USAF), the senior uniformed Air Force officer responsible for the organization, training and equipping of active duty, Guard, Reserve and civilian forces serving in the United States and overseas. During his long career, General Welsh also served as a member of the Joint Chiefs of Staff, Commander of the United States Air Forces in Europe and Commander of NATO’s Air Command, Associate Director for Military Affairs at the Central Intelligence Agency and Commandant of the United States Air Force Academy.</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career as a senior military officer and member of the Joint Chiefs of Staff, having held leadership positions at the highest levels of the United States Air Force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Experience with administration of large, complex educational institution, including serving as president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Extensive experience and in-depth knowledge of issues related to global security and the intelligence community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Broad leadership experience and international experience, particularly in Europe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Experience with talent development and management</w:t>
            </w:r>
          </w:p>
        </w:tc>
      </w:tr>
      <w:tr>
        <w:trPr/>
        <w:tc>
          <w:tcPr>
            <w:tcW w:w="24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6" w:type="dxa"/>
            <w:gridSpan w:val="3"/>
            <w:tcBorders/>
            <w:shd w:fill="E6E7E8" w:val="clear"/>
            <w:tcMar>
              <w:top w:w="0" w:type="dxa"/>
              <w:left w:w="0" w:type="dxa"/>
              <w:bottom w:w="0" w:type="dxa"/>
              <w:right w:w="0" w:type="dxa"/>
            </w:tcMar>
            <w:vAlign w:val="center"/>
          </w:tcPr>
          <w:p>
            <w:pPr>
              <w:pStyle w:val="TableContents"/>
              <w:bidi w:val="0"/>
              <w:spacing w:lineRule="auto" w:line="288" w:before="20" w:after="60"/>
              <w:jc w:val="left"/>
              <w:rPr>
                <w:rFonts w:ascii="Futura Std Book;sans-serif" w:hAnsi="Futura Std Book;sans-serif"/>
                <w:b w:val="false"/>
                <w:color w:val="29378D"/>
                <w:sz w:val="26"/>
              </w:rPr>
            </w:pPr>
            <w:r>
              <w:rPr>
                <w:rFonts w:ascii="Futura Std Book;sans-serif" w:hAnsi="Futura Std Book;sans-serif"/>
                <w:b w:val="false"/>
                <w:color w:val="29378D"/>
                <w:sz w:val="26"/>
              </w:rPr>
              <w:t>Mark A. Welsh III</w:t>
            </w:r>
          </w:p>
          <w:p>
            <w:pPr>
              <w:pStyle w:val="TableContents"/>
              <w:bidi w:val="0"/>
              <w:spacing w:lineRule="auto" w:line="288"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President, Texas A&amp;M University; General, USAF (Ret.); Former Chief of Staff, USAF</w:t>
            </w:r>
          </w:p>
          <w:p>
            <w:pPr>
              <w:pStyle w:val="TableContents"/>
              <w:bidi w:val="0"/>
              <w:spacing w:lineRule="auto" w:line="288" w:before="20" w:after="20"/>
              <w:jc w:val="left"/>
              <w:rPr/>
            </w:pPr>
            <w:r>
              <w:rPr>
                <w:rFonts w:ascii="Futura Std Book;sans-serif" w:hAnsi="Futura Std Book;sans-serif"/>
                <w:b w:val="false"/>
                <w:color w:val="000000"/>
                <w:sz w:val="18"/>
              </w:rPr>
              <w:t xml:space="preserve">Age: </w:t>
            </w:r>
            <w:r>
              <w:rPr>
                <w:rFonts w:ascii="Futura Std Book;sans-serif" w:hAnsi="Futura Std Book;sans-serif"/>
                <w:b/>
                <w:color w:val="29378D"/>
                <w:sz w:val="18"/>
              </w:rPr>
              <w:t>71</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December 2016</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Audit and Risk Committee, Policy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9"/>
        <w:gridCol w:w="807"/>
        <w:gridCol w:w="809"/>
        <w:gridCol w:w="128"/>
        <w:gridCol w:w="128"/>
        <w:gridCol w:w="130"/>
        <w:gridCol w:w="2132"/>
        <w:gridCol w:w="2132"/>
        <w:gridCol w:w="3020"/>
      </w:tblGrid>
      <w:tr>
        <w:trPr/>
        <w:tc>
          <w:tcPr>
            <w:tcW w:w="91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28725" cy="1323975"/>
                  <wp:effectExtent l="0" t="0" r="0" b="0"/>
                  <wp:docPr id="196"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71" descr=""/>
                          <pic:cNvPicPr>
                            <a:picLocks noChangeAspect="1" noChangeArrowheads="1"/>
                          </pic:cNvPicPr>
                        </pic:nvPicPr>
                        <pic:blipFill>
                          <a:blip r:embed="rId172"/>
                          <a:stretch>
                            <a:fillRect/>
                          </a:stretch>
                        </pic:blipFill>
                        <pic:spPr bwMode="auto">
                          <a:xfrm>
                            <a:off x="0" y="0"/>
                            <a:ext cx="1228725" cy="1323975"/>
                          </a:xfrm>
                          <a:prstGeom prst="rect">
                            <a:avLst/>
                          </a:prstGeom>
                        </pic:spPr>
                      </pic:pic>
                    </a:graphicData>
                  </a:graphic>
                </wp:inline>
              </w:drawing>
            </w:r>
          </w:p>
        </w:tc>
        <w:tc>
          <w:tcPr>
            <w:tcW w:w="3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284" w:type="dxa"/>
            <w:gridSpan w:val="3"/>
            <w:vMerge w:val="restart"/>
            <w:tcBorders/>
            <w:tcMar>
              <w:top w:w="0" w:type="dxa"/>
              <w:left w:w="0" w:type="dxa"/>
              <w:bottom w:w="0" w:type="dxa"/>
              <w:right w:w="0" w:type="dxa"/>
            </w:tcMar>
            <w:vAlign w:val="center"/>
          </w:tcPr>
          <w:p>
            <w:pPr>
              <w:pStyle w:val="TableContents"/>
              <w:bidi w:val="0"/>
              <w:spacing w:lineRule="auto" w:line="288" w:before="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Mary A. Winston is the President and Founder of WinsCo Enterprises, a consulting firm providing financial and board governance advisory services since 2016. She served as interim Chief Executive Officer of Bed Bath &amp; Beyond from May 2019 to November 2019, and as Executive Vice President and Chief Financial Officer of Family Dollar Stores from 2012 to 2015. Prior to that, Ms. Winston served as Senior Vice President and Chief Financial Officer of Giant Eagle, Inc. from 2008 to 2012, and as Executive Vice President and Chief Financial Officer of Scholastic Corporation from 2004 to 2007.</w:t>
            </w:r>
          </w:p>
          <w:p>
            <w:pPr>
              <w:pStyle w:val="TableContents"/>
              <w:bidi w:val="0"/>
              <w:spacing w:lineRule="auto" w:line="288" w:before="120" w:after="80"/>
              <w:jc w:val="left"/>
              <w:rPr>
                <w:rFonts w:ascii="Futura Std Book;sans-serif" w:hAnsi="Futura Std Book;sans-serif"/>
                <w:b/>
                <w:color w:val="000000"/>
                <w:sz w:val="16"/>
              </w:rPr>
            </w:pPr>
            <w:r>
              <w:rPr>
                <w:rFonts w:ascii="Futura Std Book;sans-serif" w:hAnsi="Futura Std Book;sans-serif"/>
                <w:b/>
                <w:color w:val="000000"/>
                <w:sz w:val="16"/>
              </w:rPr>
              <w:t>EXPERIENCE AND SKILLS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Substantial financial expertise acquired through positions held as the Chief Financial Officer of large public and private companies, as well as expertise in risk management and mergers and acquisitions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Significant senior leadership and international experience as an executive officer or director of large companies with global operations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Extensive expertise in corporate governance</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Broad operations, manufacturing and supply chain experience</w:t>
            </w:r>
          </w:p>
          <w:p>
            <w:pPr>
              <w:pStyle w:val="TableContents"/>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OTHER CURRENT PUBLIC COMPANY DIRECTORSHIPS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Directors of Chipotle Mexican Grill</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Directors of The Toronto-Dominion Bank</w:t>
            </w:r>
          </w:p>
          <w:p>
            <w:pPr>
              <w:pStyle w:val="TableContents"/>
              <w:bidi w:val="0"/>
              <w:spacing w:lineRule="auto" w:line="288" w:before="120" w:after="80"/>
              <w:jc w:val="left"/>
              <w:rPr>
                <w:rFonts w:ascii="Futura Std Book;sans-serif" w:hAnsi="Futura Std Book;sans-serif"/>
                <w:b/>
                <w:color w:val="000000"/>
                <w:sz w:val="16"/>
              </w:rPr>
            </w:pPr>
            <w:r>
              <w:rPr>
                <w:rFonts w:ascii="Futura Std Book;sans-serif" w:hAnsi="Futura Std Book;sans-serif"/>
                <w:b/>
                <w:color w:val="000000"/>
                <w:sz w:val="16"/>
              </w:rPr>
              <w:t>FORMER PUBLIC COMPANY DIRECTORSHIPS WITHIN THE LAST FIVE YEARS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Member of the Board of Directors of Acuity Brands, Inc.</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 of the Board of Directors of Bed Bath &amp; Beyond, Inc.</w:t>
            </w:r>
          </w:p>
          <w:p>
            <w:pPr>
              <w:pStyle w:val="TableContents"/>
              <w:bidi w:val="0"/>
              <w:spacing w:lineRule="auto" w:line="288" w:before="60" w:after="60"/>
              <w:ind w:left="0" w:right="0" w:hanging="216"/>
              <w:jc w:val="left"/>
              <w:rPr/>
            </w:pPr>
            <w:r>
              <w:rPr>
                <w:color w:val="00249C"/>
              </w:rPr>
              <w:t>•</w:t>
            </w:r>
            <w:r>
              <w:rPr>
                <w:rFonts w:ascii="Futura Std Book;sans-serif" w:hAnsi="Futura Std Book;sans-serif"/>
                <w:b w:val="false"/>
                <w:color w:val="000000"/>
                <w:sz w:val="18"/>
              </w:rPr>
              <w:t>Member of the Board of Directors of Domtar Corporation</w:t>
            </w:r>
          </w:p>
          <w:p>
            <w:pPr>
              <w:pStyle w:val="TableContents"/>
              <w:bidi w:val="0"/>
              <w:spacing w:lineRule="auto" w:line="288" w:before="60" w:after="60"/>
              <w:ind w:left="0" w:right="0" w:hanging="216"/>
              <w:jc w:val="left"/>
              <w:rPr/>
            </w:pPr>
            <w:r>
              <w:rPr>
                <w:color w:val="00249C"/>
              </w:rPr>
              <w:t>•</w:t>
            </w:r>
            <w:r>
              <w:rPr>
                <w:rFonts w:ascii="Futura Std Book;sans-serif" w:hAnsi="Futura Std Book;sans-serif"/>
                <w:b w:val="false"/>
                <w:color w:val="000000"/>
                <w:sz w:val="18"/>
              </w:rPr>
              <w:t>Member of the Board of Directors of Dover Corporation</w:t>
            </w:r>
          </w:p>
        </w:tc>
      </w:tr>
      <w:tr>
        <w:trPr/>
        <w:tc>
          <w:tcPr>
            <w:tcW w:w="253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5"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29378D"/>
                <w:sz w:val="26"/>
              </w:rPr>
            </w:pPr>
            <w:r>
              <w:rPr>
                <w:rFonts w:ascii="Futura Std Book;sans-serif" w:hAnsi="Futura Std Book;sans-serif"/>
                <w:b w:val="false"/>
                <w:color w:val="29378D"/>
                <w:sz w:val="26"/>
              </w:rPr>
              <w:t>Mary A. Winston</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President and Founder of WinsCo Enterprises, Inc.</w:t>
            </w:r>
          </w:p>
          <w:p>
            <w:pPr>
              <w:pStyle w:val="TableContents"/>
              <w:bidi w:val="0"/>
              <w:spacing w:lineRule="auto" w:line="288" w:before="20" w:after="20"/>
              <w:jc w:val="left"/>
              <w:rPr/>
            </w:pPr>
            <w:r>
              <w:rPr>
                <w:rFonts w:ascii="Futura Std Book;sans-serif" w:hAnsi="Futura Std Book;sans-serif"/>
                <w:b w:val="false"/>
                <w:color w:val="000000"/>
                <w:sz w:val="18"/>
              </w:rPr>
              <w:t>Age:</w:t>
            </w:r>
            <w:r>
              <w:rPr>
                <w:color w:val="29378D"/>
              </w:rPr>
              <w:t xml:space="preserve"> </w:t>
            </w:r>
            <w:r>
              <w:rPr>
                <w:rFonts w:ascii="Futura Std Book;sans-serif" w:hAnsi="Futura Std Book;sans-serif"/>
                <w:b/>
                <w:color w:val="29378D"/>
                <w:sz w:val="18"/>
              </w:rPr>
              <w:t>63</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Director since:</w:t>
            </w:r>
          </w:p>
          <w:p>
            <w:pPr>
              <w:pStyle w:val="TableContents"/>
              <w:bidi w:val="0"/>
              <w:spacing w:lineRule="auto" w:line="288" w:before="20" w:after="20"/>
              <w:jc w:val="left"/>
              <w:rPr>
                <w:rFonts w:ascii="Futura Std Book;sans-serif" w:hAnsi="Futura Std Book;sans-serif"/>
                <w:b/>
                <w:color w:val="29378D"/>
                <w:sz w:val="18"/>
              </w:rPr>
            </w:pPr>
            <w:r>
              <w:rPr>
                <w:rFonts w:ascii="Futura Std Book;sans-serif" w:hAnsi="Futura Std Book;sans-serif"/>
                <w:b/>
                <w:color w:val="29378D"/>
                <w:sz w:val="18"/>
              </w:rPr>
              <w:t>March 2023</w:t>
            </w:r>
          </w:p>
          <w:p>
            <w:pPr>
              <w:pStyle w:val="TableContents"/>
              <w:bidi w:val="0"/>
              <w:spacing w:lineRule="auto" w:line="288" w:before="20" w:after="20"/>
              <w:jc w:val="left"/>
              <w:rPr>
                <w:rFonts w:ascii="Futura Std Book;sans-serif" w:hAnsi="Futura Std Book;sans-serif"/>
                <w:b w:val="false"/>
                <w:color w:val="000000"/>
                <w:sz w:val="18"/>
              </w:rPr>
            </w:pPr>
            <w:r>
              <w:rPr>
                <w:rFonts w:ascii="Futura Std Book;sans-serif" w:hAnsi="Futura Std Book;sans-serif"/>
                <w:b w:val="false"/>
                <w:color w:val="000000"/>
                <w:sz w:val="18"/>
              </w:rPr>
              <w:t>Committee membership:</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Compensation and Human Capital Committee, Policy Committee</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3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554990"/>
                <wp:effectExtent l="0" t="0" r="0" b="0"/>
                <wp:wrapNone/>
                <wp:docPr id="197" name="Frame2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Director Nomination Process</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Board Composition, Refreshment and Succession Planning</w:t>
      </w:r>
    </w:p>
    <w:p>
      <w:pPr>
        <w:pStyle w:val="TextBody"/>
        <w:bidi w:val="0"/>
        <w:spacing w:lineRule="auto" w:line="288" w:before="120" w:after="120"/>
        <w:jc w:val="left"/>
        <w:rPr/>
      </w:pPr>
      <w:r>
        <w:rPr>
          <w:rFonts w:ascii="Futura Std Book;sans-serif" w:hAnsi="Futura Std Book;sans-serif"/>
          <w:b w:val="false"/>
          <w:color w:val="000000"/>
          <w:sz w:val="18"/>
        </w:rPr>
        <w:t xml:space="preserve">The Nominating and Corporate Governance Committee actively considers the composition, capabilities and range of skills and perspectives of the Board to ensure it is well positioned to serve the best interests of the Company and its shareholders. The Nominating and Corporate Governance Committee regularly assesses what skills, experiences and other attributes can best contribute to the effective operation of the Board, particularly in light of the changing environment and evolving needs of the Company, including the criteria described on page </w:t>
      </w:r>
      <w:hyperlink w:anchor="ia3e70e0b392246f2b9c1d1da4c4d4b8c_23034">
        <w:r>
          <w:rPr>
            <w:rStyle w:val="InternetLink"/>
            <w:rFonts w:ascii="Futura Std Book;sans-serif" w:hAnsi="Futura Std Book;sans-serif"/>
            <w:b w:val="false"/>
            <w:strike w:val="false"/>
            <w:dstrike w:val="false"/>
            <w:color w:val="000000"/>
            <w:sz w:val="18"/>
            <w:u w:val="none"/>
            <w:effect w:val="none"/>
          </w:rPr>
          <w:t>15</w:t>
        </w:r>
      </w:hyperlink>
      <w:r>
        <w:rPr>
          <w:rFonts w:ascii="Futura Std Book;sans-serif" w:hAnsi="Futura Std Book;sans-serif"/>
          <w:b w:val="false"/>
          <w:color w:val="000000"/>
          <w:sz w:val="18"/>
        </w:rPr>
        <w:t>. The Committee strives to achieve an effective balance, with strong and varied capabilities, including new perspectives. The Committee also considers other commitments of our directors, including service on other public company boards and leadership positions. The Nominating and Corporate Governance Committee identifies director candidates from a wide range of sources and may employ a third-party search firm to assist in the process. Information regarding Board changes and the skills and tenure of our Board nominees is provided below.</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11"/>
        <w:gridCol w:w="1065"/>
        <w:gridCol w:w="1070"/>
        <w:gridCol w:w="109"/>
        <w:gridCol w:w="109"/>
        <w:gridCol w:w="109"/>
        <w:gridCol w:w="347"/>
        <w:gridCol w:w="260"/>
        <w:gridCol w:w="260"/>
        <w:gridCol w:w="822"/>
        <w:gridCol w:w="822"/>
        <w:gridCol w:w="824"/>
        <w:gridCol w:w="353"/>
        <w:gridCol w:w="260"/>
        <w:gridCol w:w="260"/>
        <w:gridCol w:w="823"/>
        <w:gridCol w:w="635"/>
        <w:gridCol w:w="866"/>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Board changes since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2" w:type="dxa"/>
            <w:gridSpan w:val="12"/>
            <w:tcBorders>
              <w:left w:val="single" w:sz="4" w:space="0" w:color="FFFFFF"/>
            </w:tcBorders>
            <w:shd w:fill="E6E7E8" w:val="clear"/>
            <w:tcMar>
              <w:top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24"/>
              </w:rPr>
            </w:pPr>
            <w:r>
              <w:rPr>
                <w:rFonts w:ascii="Futura Std Book;sans-serif" w:hAnsi="Futura Std Book;sans-serif"/>
                <w:b/>
                <w:color w:val="000000"/>
                <w:sz w:val="24"/>
              </w:rPr>
              <w:t>Skills of recently added Directors</w:t>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lineRule="auto" w:line="312" w:before="120" w:after="120"/>
              <w:jc w:val="left"/>
              <w:rPr/>
            </w:pPr>
            <w:r>
              <w:rPr>
                <w:color w:val="000000"/>
              </w:rPr>
              <w:t> </w:t>
            </w:r>
            <w:r>
              <w:rPr>
                <w:rFonts w:ascii="Futura Std Book;sans-serif" w:hAnsi="Futura Std Book;sans-serif"/>
                <w:b/>
                <w:color w:val="000000"/>
                <w:sz w:val="20"/>
              </w:rPr>
              <w:t xml:space="preserve">5 </w:t>
            </w:r>
            <w:r>
              <w:rPr>
                <w:rFonts w:ascii="Futura Std Book;sans-serif" w:hAnsi="Futura Std Book;sans-serif"/>
                <w:b w:val="false"/>
                <w:color w:val="000000"/>
                <w:sz w:val="20"/>
              </w:rPr>
              <w:t>new directors have been added to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E6E7E8" w:val="clear"/>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85750" cy="285750"/>
                  <wp:effectExtent l="0" t="0" r="0" b="0"/>
                  <wp:docPr id="19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72" descr=""/>
                          <pic:cNvPicPr>
                            <a:picLocks noChangeAspect="1" noChangeArrowheads="1"/>
                          </pic:cNvPicPr>
                        </pic:nvPicPr>
                        <pic:blipFill>
                          <a:blip r:embed="rId173"/>
                          <a:stretch>
                            <a:fillRect/>
                          </a:stretch>
                        </pic:blipFill>
                        <pic:spPr bwMode="auto">
                          <a:xfrm>
                            <a:off x="0" y="0"/>
                            <a:ext cx="285750" cy="285750"/>
                          </a:xfrm>
                          <a:prstGeom prst="rect">
                            <a:avLst/>
                          </a:prstGeom>
                        </pic:spPr>
                      </pic:pic>
                    </a:graphicData>
                  </a:graphic>
                </wp:inline>
              </w:drawing>
            </w:r>
          </w:p>
        </w:tc>
        <w:tc>
          <w:tcPr>
            <w:tcW w:w="2468"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0"/>
              </w:rPr>
            </w:pPr>
            <w:r>
              <w:rPr>
                <w:rFonts w:ascii="Futura Std Book;sans-serif" w:hAnsi="Futura Std Book;sans-serif"/>
                <w:b w:val="false"/>
                <w:color w:val="000000"/>
                <w:sz w:val="20"/>
              </w:rPr>
              <w:t>Defense and Industrial Experience</w:t>
            </w:r>
          </w:p>
        </w:tc>
        <w:tc>
          <w:tcPr>
            <w:tcW w:w="873"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285750"/>
                  <wp:effectExtent l="0" t="0" r="0" b="0"/>
                  <wp:docPr id="199"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3" descr=""/>
                          <pic:cNvPicPr>
                            <a:picLocks noChangeAspect="1" noChangeArrowheads="1"/>
                          </pic:cNvPicPr>
                        </pic:nvPicPr>
                        <pic:blipFill>
                          <a:blip r:embed="rId174"/>
                          <a:stretch>
                            <a:fillRect/>
                          </a:stretch>
                        </pic:blipFill>
                        <pic:spPr bwMode="auto">
                          <a:xfrm>
                            <a:off x="0" y="0"/>
                            <a:ext cx="200025" cy="285750"/>
                          </a:xfrm>
                          <a:prstGeom prst="rect">
                            <a:avLst/>
                          </a:prstGeom>
                        </pic:spPr>
                      </pic:pic>
                    </a:graphicData>
                  </a:graphic>
                </wp:inline>
              </w:drawing>
            </w:r>
          </w:p>
        </w:tc>
        <w:tc>
          <w:tcPr>
            <w:tcW w:w="2324"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Financial Expertise/Literacy </w:t>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lineRule="auto" w:line="333" w:before="120" w:after="120"/>
              <w:jc w:val="left"/>
              <w:rPr/>
            </w:pPr>
            <w:r>
              <w:rPr>
                <w:color w:val="000000"/>
              </w:rPr>
              <w:t> </w:t>
            </w:r>
            <w:r>
              <w:rPr>
                <w:rFonts w:ascii="Futura Std Book;sans-serif" w:hAnsi="Futura Std Book;sans-serif"/>
                <w:b/>
                <w:color w:val="000000"/>
                <w:sz w:val="20"/>
              </w:rPr>
              <w:t xml:space="preserve">4 </w:t>
            </w:r>
            <w:r>
              <w:rPr>
                <w:rFonts w:ascii="Futura Std Book;sans-serif" w:hAnsi="Futura Std Book;sans-serif"/>
                <w:b w:val="false"/>
                <w:color w:val="000000"/>
                <w:sz w:val="20"/>
              </w:rPr>
              <w:t>directors have left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before="120" w:after="1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238125"/>
                  <wp:effectExtent l="0" t="0" r="0" b="0"/>
                  <wp:docPr id="200"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4" descr=""/>
                          <pic:cNvPicPr>
                            <a:picLocks noChangeAspect="1" noChangeArrowheads="1"/>
                          </pic:cNvPicPr>
                        </pic:nvPicPr>
                        <pic:blipFill>
                          <a:blip r:embed="rId175"/>
                          <a:stretch>
                            <a:fillRect/>
                          </a:stretch>
                        </pic:blipFill>
                        <pic:spPr bwMode="auto">
                          <a:xfrm>
                            <a:off x="0" y="0"/>
                            <a:ext cx="238125" cy="238125"/>
                          </a:xfrm>
                          <a:prstGeom prst="rect">
                            <a:avLst/>
                          </a:prstGeom>
                        </pic:spPr>
                      </pic:pic>
                    </a:graphicData>
                  </a:graphic>
                </wp:inline>
              </w:drawing>
            </w:r>
          </w:p>
        </w:tc>
        <w:tc>
          <w:tcPr>
            <w:tcW w:w="2468"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0"/>
              </w:rPr>
            </w:pPr>
            <w:r>
              <w:rPr>
                <w:rFonts w:ascii="Futura Std Book;sans-serif" w:hAnsi="Futura Std Book;sans-serif"/>
                <w:b w:val="false"/>
                <w:color w:val="000000"/>
                <w:sz w:val="20"/>
              </w:rPr>
              <w:t>Operations and Logistics</w:t>
            </w:r>
          </w:p>
        </w:tc>
        <w:tc>
          <w:tcPr>
            <w:tcW w:w="873" w:type="dxa"/>
            <w:gridSpan w:val="3"/>
            <w:tcBorders/>
            <w:shd w:fill="E6E7E8"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95275" cy="247650"/>
                  <wp:effectExtent l="0" t="0" r="0" b="0"/>
                  <wp:docPr id="201"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5" descr=""/>
                          <pic:cNvPicPr>
                            <a:picLocks noChangeAspect="1" noChangeArrowheads="1"/>
                          </pic:cNvPicPr>
                        </pic:nvPicPr>
                        <pic:blipFill>
                          <a:blip r:embed="rId176"/>
                          <a:stretch>
                            <a:fillRect/>
                          </a:stretch>
                        </pic:blipFill>
                        <pic:spPr bwMode="auto">
                          <a:xfrm>
                            <a:off x="0" y="0"/>
                            <a:ext cx="295275" cy="247650"/>
                          </a:xfrm>
                          <a:prstGeom prst="rect">
                            <a:avLst/>
                          </a:prstGeom>
                        </pic:spPr>
                      </pic:pic>
                    </a:graphicData>
                  </a:graphic>
                </wp:inline>
              </w:drawing>
            </w:r>
          </w:p>
        </w:tc>
        <w:tc>
          <w:tcPr>
            <w:tcW w:w="2324" w:type="dxa"/>
            <w:gridSpan w:val="3"/>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20"/>
              </w:rPr>
            </w:pPr>
            <w:r>
              <w:rPr>
                <w:rFonts w:ascii="Futura Std Book;sans-serif" w:hAnsi="Futura Std Book;sans-serif"/>
                <w:b w:val="false"/>
                <w:color w:val="000000"/>
                <w:sz w:val="20"/>
              </w:rPr>
              <w:t xml:space="preserve">Cybersecurity/Technology </w:t>
            </w:r>
          </w:p>
        </w:tc>
      </w:tr>
      <w:tr>
        <w:trPr/>
        <w:tc>
          <w:tcPr>
            <w:tcW w:w="334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44" w:type="dxa"/>
        <w:jc w:val="left"/>
        <w:tblInd w:w="0" w:type="dxa"/>
        <w:tblLayout w:type="fixed"/>
        <w:tblCellMar>
          <w:top w:w="28" w:type="dxa"/>
          <w:left w:w="28" w:type="dxa"/>
          <w:bottom w:w="28" w:type="dxa"/>
          <w:right w:w="28" w:type="dxa"/>
        </w:tblCellMar>
      </w:tblPr>
      <w:tblGrid>
        <w:gridCol w:w="553"/>
        <w:gridCol w:w="485"/>
        <w:gridCol w:w="485"/>
        <w:gridCol w:w="1050"/>
        <w:gridCol w:w="1050"/>
        <w:gridCol w:w="1061"/>
        <w:gridCol w:w="604"/>
        <w:gridCol w:w="604"/>
        <w:gridCol w:w="606"/>
        <w:gridCol w:w="921"/>
        <w:gridCol w:w="921"/>
        <w:gridCol w:w="1304"/>
      </w:tblGrid>
      <w:tr>
        <w:trPr/>
        <w:tc>
          <w:tcPr>
            <w:tcW w:w="55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4684" w:type="dxa"/>
            <w:gridSpan w:val="6"/>
            <w:tcBorders/>
            <w:tcMar>
              <w:top w:w="0" w:type="dxa"/>
              <w:left w:w="0" w:type="dxa"/>
              <w:bottom w:w="0" w:type="dxa"/>
              <w:right w:w="0" w:type="dxa"/>
            </w:tcMar>
            <w:vAlign w:val="center"/>
          </w:tcPr>
          <w:p>
            <w:pPr>
              <w:pStyle w:val="TableContents"/>
              <w:bidi w:val="0"/>
              <w:spacing w:lineRule="auto" w:line="276" w:before="0" w:after="400"/>
              <w:jc w:val="left"/>
              <w:rPr>
                <w:rFonts w:ascii="Futura Std Book;sans-serif" w:hAnsi="Futura Std Book;sans-serif"/>
                <w:b/>
                <w:color w:val="00249C"/>
                <w:sz w:val="30"/>
              </w:rPr>
            </w:pPr>
            <w:r>
              <w:rPr>
                <w:rFonts w:ascii="Futura Std Book;sans-serif" w:hAnsi="Futura Std Book;sans-serif"/>
                <w:b/>
                <w:color w:val="00249C"/>
                <w:sz w:val="30"/>
              </w:rPr>
              <w:t>Board nominees:</w:t>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tcMar>
              <w:top w:w="0" w:type="dxa"/>
              <w:left w:w="0" w:type="dxa"/>
              <w:bottom w:w="0" w:type="dxa"/>
              <w:right w:w="0" w:type="dxa"/>
            </w:tcMar>
            <w:vAlign w:val="center"/>
          </w:tcPr>
          <w:p>
            <w:pPr>
              <w:pStyle w:val="TableContents"/>
              <w:bidi w:val="0"/>
              <w:spacing w:lineRule="auto" w:line="276" w:before="400" w:after="283"/>
              <w:jc w:val="left"/>
              <w:rPr>
                <w:rFonts w:ascii="Futura Std Book;sans-serif" w:hAnsi="Futura Std Book;sans-serif"/>
                <w:b/>
                <w:color w:val="00249C"/>
                <w:sz w:val="16"/>
              </w:rPr>
            </w:pPr>
            <w:r>
              <w:rPr>
                <w:rFonts w:ascii="Futura Std Book;sans-serif" w:hAnsi="Futura Std Book;sans-serif"/>
                <w:b/>
                <w:color w:val="00249C"/>
                <w:sz w:val="16"/>
              </w:rPr>
              <w:t>AVERAGE AGE</w:t>
            </w:r>
          </w:p>
          <w:p>
            <w:pPr>
              <w:pStyle w:val="TableContents"/>
              <w:bidi w:val="0"/>
              <w:spacing w:lineRule="auto" w:line="312" w:before="220" w:after="40"/>
              <w:jc w:val="left"/>
              <w:rPr>
                <w:rFonts w:ascii="Futura Std Book;sans-serif" w:hAnsi="Futura Std Book;sans-serif"/>
                <w:b/>
                <w:color w:val="29378D"/>
                <w:sz w:val="48"/>
              </w:rPr>
            </w:pPr>
            <w:r>
              <w:rPr>
                <w:rFonts w:ascii="Futura Std Book;sans-serif" w:hAnsi="Futura Std Book;sans-serif"/>
                <w:b/>
                <w:color w:val="29378D"/>
                <w:sz w:val="48"/>
              </w:rPr>
              <w:t>66.9</w:t>
            </w:r>
          </w:p>
          <w:p>
            <w:pPr>
              <w:pStyle w:val="TableContents"/>
              <w:bidi w:val="0"/>
              <w:spacing w:lineRule="auto" w:line="288" w:before="40" w:after="60"/>
              <w:jc w:val="left"/>
              <w:rPr>
                <w:rFonts w:ascii="Futura Std Book;sans-serif" w:hAnsi="Futura Std Book;sans-serif"/>
                <w:b/>
                <w:color w:val="29378D"/>
                <w:sz w:val="16"/>
              </w:rPr>
            </w:pPr>
            <w:r>
              <w:rPr>
                <w:rFonts w:ascii="Futura Std Book;sans-serif" w:hAnsi="Futura Std Book;sans-serif"/>
                <w:b/>
                <w:color w:val="29378D"/>
                <w:sz w:val="16"/>
              </w:rPr>
              <w:t>YEARS</w:t>
            </w:r>
          </w:p>
        </w:tc>
        <w:tc>
          <w:tcPr>
            <w:tcW w:w="316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drawing>
                <wp:inline distT="0" distB="0" distL="0" distR="0">
                  <wp:extent cx="1914525" cy="762000"/>
                  <wp:effectExtent l="0" t="0" r="0" b="0"/>
                  <wp:docPr id="20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6" descr=""/>
                          <pic:cNvPicPr>
                            <a:picLocks noChangeAspect="1" noChangeArrowheads="1"/>
                          </pic:cNvPicPr>
                        </pic:nvPicPr>
                        <pic:blipFill>
                          <a:blip r:embed="rId177"/>
                          <a:stretch>
                            <a:fillRect/>
                          </a:stretch>
                        </pic:blipFill>
                        <pic:spPr bwMode="auto">
                          <a:xfrm>
                            <a:off x="0" y="0"/>
                            <a:ext cx="1914525" cy="762000"/>
                          </a:xfrm>
                          <a:prstGeom prst="rect">
                            <a:avLst/>
                          </a:prstGeom>
                        </pic:spPr>
                      </pic:pic>
                    </a:graphicData>
                  </a:graphic>
                </wp:inline>
              </w:drawing>
            </w:r>
          </w:p>
        </w:tc>
        <w:tc>
          <w:tcPr>
            <w:tcW w:w="1814" w:type="dxa"/>
            <w:gridSpan w:val="3"/>
            <w:tcBorders/>
            <w:tcMar>
              <w:top w:w="0" w:type="dxa"/>
              <w:left w:w="0" w:type="dxa"/>
              <w:bottom w:w="0" w:type="dxa"/>
              <w:right w:w="0" w:type="dxa"/>
            </w:tcMar>
            <w:vAlign w:val="center"/>
          </w:tcPr>
          <w:p>
            <w:pPr>
              <w:pStyle w:val="TableContents"/>
              <w:bidi w:val="0"/>
              <w:spacing w:lineRule="auto" w:line="276" w:before="400" w:after="283"/>
              <w:jc w:val="left"/>
              <w:rPr>
                <w:rFonts w:ascii="Futura Std Book;sans-serif" w:hAnsi="Futura Std Book;sans-serif"/>
                <w:b/>
                <w:color w:val="00249C"/>
                <w:sz w:val="16"/>
              </w:rPr>
            </w:pPr>
            <w:r>
              <w:rPr>
                <w:rFonts w:ascii="Futura Std Book;sans-serif" w:hAnsi="Futura Std Book;sans-serif"/>
                <w:b/>
                <w:color w:val="00249C"/>
                <w:sz w:val="16"/>
              </w:rPr>
              <w:t>AVERAGE TENURE</w:t>
            </w:r>
          </w:p>
          <w:p>
            <w:pPr>
              <w:pStyle w:val="TableContents"/>
              <w:bidi w:val="0"/>
              <w:spacing w:lineRule="auto" w:line="312" w:before="220" w:after="40"/>
              <w:jc w:val="left"/>
              <w:rPr>
                <w:rFonts w:ascii="Futura Std Book;sans-serif" w:hAnsi="Futura Std Book;sans-serif"/>
                <w:b/>
                <w:color w:val="00249C"/>
                <w:sz w:val="48"/>
              </w:rPr>
            </w:pPr>
            <w:r>
              <w:rPr>
                <w:rFonts w:ascii="Futura Std Book;sans-serif" w:hAnsi="Futura Std Book;sans-serif"/>
                <w:b/>
                <w:color w:val="00249C"/>
                <w:sz w:val="48"/>
              </w:rPr>
              <w:t>8.2</w:t>
            </w:r>
          </w:p>
          <w:p>
            <w:pPr>
              <w:pStyle w:val="TableContents"/>
              <w:bidi w:val="0"/>
              <w:spacing w:lineRule="auto" w:line="312" w:before="40" w:after="283"/>
              <w:jc w:val="left"/>
              <w:rPr>
                <w:rFonts w:ascii="Futura Std Book;sans-serif" w:hAnsi="Futura Std Book;sans-serif"/>
                <w:b/>
                <w:color w:val="00249C"/>
                <w:sz w:val="16"/>
              </w:rPr>
            </w:pPr>
            <w:r>
              <w:rPr>
                <w:rFonts w:ascii="Futura Std Book;sans-serif" w:hAnsi="Futura Std Book;sans-serif"/>
                <w:b/>
                <w:color w:val="00249C"/>
                <w:sz w:val="16"/>
              </w:rPr>
              <w:t>YEARS</w:t>
            </w:r>
          </w:p>
        </w:tc>
        <w:tc>
          <w:tcPr>
            <w:tcW w:w="31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14525" cy="762000"/>
                  <wp:effectExtent l="0" t="0" r="0" b="0"/>
                  <wp:docPr id="20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7" descr=""/>
                          <pic:cNvPicPr>
                            <a:picLocks noChangeAspect="1" noChangeArrowheads="1"/>
                          </pic:cNvPicPr>
                        </pic:nvPicPr>
                        <pic:blipFill>
                          <a:blip r:embed="rId178"/>
                          <a:stretch>
                            <a:fillRect/>
                          </a:stretch>
                        </pic:blipFill>
                        <pic:spPr bwMode="auto">
                          <a:xfrm>
                            <a:off x="0" y="0"/>
                            <a:ext cx="1914525" cy="762000"/>
                          </a:xfrm>
                          <a:prstGeom prst="rect">
                            <a:avLst/>
                          </a:prstGeom>
                        </pic:spPr>
                      </pic:pic>
                    </a:graphicData>
                  </a:graphic>
                </wp:inline>
              </w:drawing>
            </w:r>
          </w:p>
        </w:tc>
      </w:tr>
      <w:tr>
        <w:trPr/>
        <w:tc>
          <w:tcPr>
            <w:tcW w:w="1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260" w:after="283"/>
        <w:jc w:val="left"/>
        <w:rPr>
          <w:rFonts w:ascii="Futura Std Book;sans-serif" w:hAnsi="Futura Std Book;sans-serif"/>
          <w:b w:val="false"/>
          <w:color w:val="000000"/>
          <w:sz w:val="26"/>
        </w:rPr>
      </w:pPr>
      <w:r>
        <w:rPr>
          <w:rFonts w:ascii="Futura Std Book;sans-serif" w:hAnsi="Futura Std Book;sans-serif"/>
          <w:b w:val="false"/>
          <w:color w:val="000000"/>
          <w:sz w:val="26"/>
        </w:rPr>
        <w:t>Retirement Policy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have a retirement policy that provides for a director to retire at the annual meeting following his or her 75th birthday, unless the Board determines, based on special circumstances, that it is in the Company’s best interest to request that the director serve beyond such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734695"/>
                <wp:effectExtent l="0" t="0" r="0" b="0"/>
                <wp:wrapNone/>
                <wp:docPr id="204" name="Frame2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Identification and Consideration of New Nominees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9"/>
        <w:gridCol w:w="490"/>
        <w:gridCol w:w="468"/>
        <w:gridCol w:w="109"/>
        <w:gridCol w:w="109"/>
        <w:gridCol w:w="109"/>
        <w:gridCol w:w="2181"/>
        <w:gridCol w:w="2181"/>
        <w:gridCol w:w="3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16"/>
              </w:rPr>
            </w:pPr>
            <w:r>
              <w:rPr>
                <w:rFonts w:ascii="Futura Std Book;sans-serif" w:hAnsi="Futura Std Book;sans-serif"/>
                <w:b/>
                <w:color w:val="29378D"/>
                <w:sz w:val="16"/>
              </w:rPr>
              <w:t>1</w:t>
            </w:r>
          </w:p>
        </w:tc>
        <w:tc>
          <w:tcPr>
            <w:tcW w:w="2077"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ESTABLISH NOMINEE CRITERIA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Nominating and Corporate Governance Committee is responsible for establishing the criteria for Board membership, recognizing that it is the responsibility of a director to represent the long-term interests of our shareholders as a whole.</w:t>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133350"/>
                  <wp:effectExtent l="0" t="0" r="0" b="0"/>
                  <wp:docPr id="20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8" descr=""/>
                          <pic:cNvPicPr>
                            <a:picLocks noChangeAspect="1" noChangeArrowheads="1"/>
                          </pic:cNvPicPr>
                        </pic:nvPicPr>
                        <pic:blipFill>
                          <a:blip r:embed="rId179"/>
                          <a:stretch>
                            <a:fillRect/>
                          </a:stretch>
                        </pic:blipFill>
                        <pic:spPr bwMode="auto">
                          <a:xfrm>
                            <a:off x="0" y="0"/>
                            <a:ext cx="200025" cy="1333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16"/>
              </w:rPr>
            </w:pPr>
            <w:r>
              <w:rPr>
                <w:rFonts w:ascii="Futura Std Book;sans-serif" w:hAnsi="Futura Std Book;sans-serif"/>
                <w:b/>
                <w:color w:val="29378D"/>
                <w:sz w:val="16"/>
              </w:rPr>
              <w:t>2</w:t>
            </w:r>
          </w:p>
        </w:tc>
        <w:tc>
          <w:tcPr>
            <w:tcW w:w="2077"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REVIEW OF CANDIDATE’S HISTORY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employment and other activities and associations of candidates are reviewed for any legal impediment, conflict of interest or other consideration or concerns that might prevent or interfere with service on our Board.</w:t>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133350"/>
                  <wp:effectExtent l="0" t="0" r="0" b="0"/>
                  <wp:docPr id="20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9" descr=""/>
                          <pic:cNvPicPr>
                            <a:picLocks noChangeAspect="1" noChangeArrowheads="1"/>
                          </pic:cNvPicPr>
                        </pic:nvPicPr>
                        <pic:blipFill>
                          <a:blip r:embed="rId180"/>
                          <a:stretch>
                            <a:fillRect/>
                          </a:stretch>
                        </pic:blipFill>
                        <pic:spPr bwMode="auto">
                          <a:xfrm>
                            <a:off x="0" y="0"/>
                            <a:ext cx="200025" cy="1333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16"/>
              </w:rPr>
            </w:pPr>
            <w:r>
              <w:rPr>
                <w:rFonts w:ascii="Futura Std Book;sans-serif" w:hAnsi="Futura Std Book;sans-serif"/>
                <w:b/>
                <w:color w:val="29378D"/>
                <w:sz w:val="16"/>
              </w:rPr>
              <w:t>3</w:t>
            </w:r>
          </w:p>
        </w:tc>
        <w:tc>
          <w:tcPr>
            <w:tcW w:w="2077"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CANDIDATE EVALUATION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In evaluating candidates, the Nominating and Corporate Governance Committee considers:</w:t>
            </w:r>
          </w:p>
          <w:p>
            <w:pPr>
              <w:pStyle w:val="TableContents"/>
              <w:bidi w:val="0"/>
              <w:spacing w:before="0" w:after="0"/>
              <w:jc w:val="left"/>
              <w:rPr/>
            </w:pPr>
            <w:r>
              <w:rPr/>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the personal integrity and the professional reputation of the individual;</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the education, professional background and particular skills and experience most beneficial to service on our Board;</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how the nominee brings diverse and complementary skills, experiences and perspectives valuable to the Company and Board at the time;</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a director candidate's ability and willingness to devote appropriate time and resources to Board service, taking into account the director candidate's outside time commitments, including service on other public company boards of directors and leadership positions held on such boards; and</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a director candidate's willingness to obtain and retain a top secret security clearance.</w:t>
            </w:r>
          </w:p>
          <w:p>
            <w:pPr>
              <w:pStyle w:val="TableContents"/>
              <w:bidi w:val="0"/>
              <w:spacing w:before="0" w:after="0"/>
              <w:ind w:left="0" w:right="0" w:firstLine="360"/>
              <w:jc w:val="left"/>
              <w:rPr/>
            </w:pPr>
            <w:r>
              <w:rPr/>
            </w:r>
          </w:p>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Nominating and Corporate Governance Committee evaluates potential director candidates on the basis of the candidate’s background, qualifications and experience. The Committee carefully considers whether a potential candidate would be able to fulfill his or her duties to the Company consistent with Delaware law and the Company’s governing documents, including the Company's Principles of Corporate Governance, and security requirements. The Committee seeks to ensure each candidate will enhance the effectiveness of the Board overall.</w:t>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025" cy="133350"/>
                  <wp:effectExtent l="0" t="0" r="0" b="0"/>
                  <wp:docPr id="20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80" descr=""/>
                          <pic:cNvPicPr>
                            <a:picLocks noChangeAspect="1" noChangeArrowheads="1"/>
                          </pic:cNvPicPr>
                        </pic:nvPicPr>
                        <pic:blipFill>
                          <a:blip r:embed="rId181"/>
                          <a:stretch>
                            <a:fillRect/>
                          </a:stretch>
                        </pic:blipFill>
                        <pic:spPr bwMode="auto">
                          <a:xfrm>
                            <a:off x="0" y="0"/>
                            <a:ext cx="200025" cy="1333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op w:val="single" w:sz="8" w:space="0" w:color="93959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16"/>
              </w:rPr>
            </w:pPr>
            <w:r>
              <w:rPr>
                <w:rFonts w:ascii="Futura Std Book;sans-serif" w:hAnsi="Futura Std Book;sans-serif"/>
                <w:b/>
                <w:color w:val="29378D"/>
                <w:sz w:val="16"/>
              </w:rPr>
              <w:t>4</w:t>
            </w:r>
          </w:p>
        </w:tc>
        <w:tc>
          <w:tcPr>
            <w:tcW w:w="2077" w:type="dxa"/>
            <w:gridSpan w:val="3"/>
            <w:tcBorders/>
            <w:shd w:fill="E6E7E8" w:val="clear"/>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RECOMMENDATION FOR ELECTION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Nominating and Corporate Governance Committee recommends to the full Board nominees for election.</w:t>
            </w:r>
          </w:p>
        </w:tc>
      </w:tr>
      <w:tr>
        <w:trPr/>
        <w:tc>
          <w:tcPr>
            <w:tcW w:w="342"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554990"/>
                <wp:effectExtent l="0" t="0" r="0" b="0"/>
                <wp:wrapNone/>
                <wp:docPr id="208" name="Frame2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1: Election of Directors</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Shareholder Nominations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Shareholders may recommend director candidates for consideration by the Nominating and Corporate Governance Committee pursuant to our Principles of Corporate Governance. The Nominating and Corporate Governance Committee considers such director candidates recommended by shareholders similarly to other potential director candidates brought to the attention of the Nominating and Corporate Governance Committee. Shareholder recommendations for director candidates under our Principles of Corporate Governance must be addressed to the Nominating and Corporate Governance Committee in care of the Corporate Secretary. In addition, and as discussed immediately below, shareholders may also directly nominate director candidates in accordance with our Bylaws.</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Proxy Access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Under the Company’s proxy access bylaws, a shareholder, or a group of up to 20 shareholders, that has maintained continuous ownership of 3% or more of the Company’s outstanding common stock for at least three years may include in the Company’s proxy materials director nominees constituting up to the greater of two nominees or nominees constituting 20% of the number of directors in office. Director nominees may receive compensation from third parties for their candidacy, up to the total annual compensation paid to directors of the Company, as well as reimbursement for reasonable expenses, provided there is full disclosure of such compensation. Under the Company’s bylaw provisions, directors are treated similarly, whether nominated through proxy access or otherwise, and held to the same high fiduciary standards to serve all shareholders.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Company’s Bylaws provide our shareholders with broad and meaningful access to the Company’s proxy materials while enhancing transparency, protecting the interests of all shareholders and ensuring good governance. The terms of the Company's proxy access bylaw provisions are also broadly consistent with other Fortune 500 companies' terms, reflecting best practices.</w:t>
      </w:r>
    </w:p>
    <w:p>
      <w:pPr>
        <w:pStyle w:val="TextBody"/>
        <w:bidi w:val="0"/>
        <w:spacing w:lineRule="auto" w:line="288" w:before="300" w:after="120"/>
        <w:jc w:val="left"/>
        <w:rPr>
          <w:rFonts w:ascii="Futura Std Book;sans-serif" w:hAnsi="Futura Std Book;sans-serif"/>
          <w:b/>
          <w:color w:val="29378D"/>
          <w:sz w:val="30"/>
        </w:rPr>
      </w:pPr>
      <w:bookmarkStart w:id="1" w:name="i9ccf6b6d1e7449eba0edfd501a2a3c9a_5966"/>
      <w:bookmarkEnd w:id="1"/>
      <w:r>
        <w:rPr>
          <w:rFonts w:ascii="Futura Std Book;sans-serif" w:hAnsi="Futura Std Book;sans-serif"/>
          <w:b/>
          <w:color w:val="29378D"/>
          <w:sz w:val="30"/>
        </w:rPr>
        <w:t>Director Election Process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Bylaws and Certificate of Incorporation provide for the annual election of directors. Each director will hold office until the next annual meeting of shareholders or until his or her earlier resignation or removal. Generally, in order to be elected, a director must receive more votes cast “for” than “against” his or her election, unless one or more shareholders provide notice of an intention to nominate one or more candidates to compete with the Board’s nominees for election in accordance with the procedures set forth in the Company’s corporate governance documents.</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Effect of Failure to Obtain and Retain Security Clearance or Receive the Required Vote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Each director is required to tender a resignation in the event of and effective upon the failure to obtain top secret security clearance within 12 months of election or appointment to the Board, or the failure to retain a top secret security clearance once obtained. If an incumbent director fails to obtain and retain a top secret security clearance, the Nominating and Corporate Governance Committee will consider whether the Board should accept the director’s resignation and will submit a recommendation for prompt consideration by the Board. In addition, each director is required to tender a resignation in the event of and effective upon the failure to receive the required vote at any future meeting at which such director faces re-election. The Nominating and Corporate Governance Committee and the Board will consider relevant facts in deciding whether to accept a resignation, including, without limitation, any harm to the Company that may result from accepting the resignation.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734695"/>
                <wp:effectExtent l="0" t="0" r="0" b="0"/>
                <wp:wrapNone/>
                <wp:docPr id="209" name="Frame2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20"/>
        <w:jc w:val="left"/>
        <w:rPr>
          <w:rFonts w:ascii="Futura Std Book;sans-serif" w:hAnsi="Futura Std Book;sans-serif"/>
          <w:b/>
          <w:color w:val="29378D"/>
          <w:sz w:val="48"/>
        </w:rPr>
      </w:pPr>
      <w:r>
        <w:rPr>
          <w:rFonts w:ascii="Futura Std Book;sans-serif" w:hAnsi="Futura Std Book;sans-serif"/>
          <w:b/>
          <w:color w:val="29378D"/>
          <w:sz w:val="48"/>
        </w:rPr>
        <w:t>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Futura Std Book;sans-serif" w:hAnsi="Futura Std Book;sans-serif"/>
          <w:b/>
          <w:color w:val="000000"/>
          <w:sz w:val="36"/>
        </w:rPr>
      </w:pPr>
      <w:r>
        <w:rPr>
          <w:rFonts w:ascii="Futura Std Book;sans-serif" w:hAnsi="Futura Std Book;sans-serif"/>
          <w:b/>
          <w:color w:val="000000"/>
          <w:sz w:val="36"/>
        </w:rPr>
        <w:t>Overview</w:t>
      </w:r>
    </w:p>
    <w:p>
      <w:pPr>
        <w:pStyle w:val="TextBody"/>
        <w:bidi w:val="0"/>
        <w:spacing w:lineRule="auto" w:line="276"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We are dedicated to maintaining high standards of corporate governance with robust practices that promote accountability, transparency, and ethics, ultimately enhancing long-term shareholder value. By continually assessing our governance framework and incorporating stakeholder feedback and best practices, we ensure that our policies align with our values and drive sustainable growth that benefits our shareholders, employees, customers, partners and communities.</w:t>
      </w:r>
    </w:p>
    <w:p>
      <w:pPr>
        <w:pStyle w:val="TextBody"/>
        <w:bidi w:val="0"/>
        <w:spacing w:lineRule="auto" w:line="276"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We outline some key aspects of our strong corporate governance and responsible business practices below. </w:t>
      </w:r>
    </w:p>
    <w:tbl>
      <w:tblPr>
        <w:tblW w:w="10205" w:type="dxa"/>
        <w:jc w:val="left"/>
        <w:tblInd w:w="0" w:type="dxa"/>
        <w:tblLayout w:type="fixed"/>
        <w:tblCellMar>
          <w:top w:w="28" w:type="dxa"/>
          <w:left w:w="28" w:type="dxa"/>
          <w:bottom w:w="28" w:type="dxa"/>
          <w:right w:w="28" w:type="dxa"/>
        </w:tblCellMar>
      </w:tblPr>
      <w:tblGrid>
        <w:gridCol w:w="437"/>
        <w:gridCol w:w="383"/>
        <w:gridCol w:w="388"/>
        <w:gridCol w:w="702"/>
        <w:gridCol w:w="702"/>
        <w:gridCol w:w="708"/>
        <w:gridCol w:w="332"/>
        <w:gridCol w:w="332"/>
        <w:gridCol w:w="337"/>
        <w:gridCol w:w="2280"/>
        <w:gridCol w:w="1500"/>
        <w:gridCol w:w="2104"/>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1208"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269A"/>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85750" cy="323850"/>
                  <wp:effectExtent l="0" t="0" r="0" b="0"/>
                  <wp:docPr id="210"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1" descr=""/>
                          <pic:cNvPicPr>
                            <a:picLocks noChangeAspect="1" noChangeArrowheads="1"/>
                          </pic:cNvPicPr>
                        </pic:nvPicPr>
                        <pic:blipFill>
                          <a:blip r:embed="rId182"/>
                          <a:stretch>
                            <a:fillRect/>
                          </a:stretch>
                        </pic:blipFill>
                        <pic:spPr bwMode="auto">
                          <a:xfrm>
                            <a:off x="0" y="0"/>
                            <a:ext cx="285750" cy="323850"/>
                          </a:xfrm>
                          <a:prstGeom prst="rect">
                            <a:avLst/>
                          </a:prstGeom>
                        </pic:spPr>
                      </pic:pic>
                    </a:graphicData>
                  </a:graphic>
                </wp:inline>
              </w:drawing>
            </w:r>
          </w:p>
        </w:tc>
        <w:tc>
          <w:tcPr>
            <w:tcW w:w="2112" w:type="dxa"/>
            <w:gridSpan w:val="3"/>
            <w:tcBorders/>
            <w:shd w:fill="FFFFFF" w:val="clear"/>
            <w:tcMar>
              <w:top w:w="0" w:type="dxa"/>
              <w:left w:w="0" w:type="dxa"/>
              <w:bottom w:w="0" w:type="dxa"/>
              <w:right w:w="0" w:type="dxa"/>
            </w:tcMar>
            <w:vAlign w:val="center"/>
          </w:tcPr>
          <w:p>
            <w:pPr>
              <w:pStyle w:val="TableContents"/>
              <w:bidi w:val="0"/>
              <w:spacing w:lineRule="auto" w:line="312" w:before="120" w:after="120"/>
              <w:jc w:val="left"/>
              <w:rPr>
                <w:rFonts w:ascii="Futura LT Medium;sans-serif" w:hAnsi="Futura LT Medium;sans-serif"/>
                <w:b/>
                <w:color w:val="29378D"/>
                <w:sz w:val="22"/>
              </w:rPr>
            </w:pPr>
            <w:r>
              <w:rPr>
                <w:rFonts w:ascii="Futura LT Medium;sans-serif" w:hAnsi="Futura LT Medium;sans-serif"/>
                <w:b/>
                <w:color w:val="29378D"/>
                <w:sz w:val="22"/>
              </w:rPr>
              <w:t>Values</w:t>
            </w:r>
          </w:p>
        </w:tc>
        <w:tc>
          <w:tcPr>
            <w:tcW w:w="1001" w:type="dxa"/>
            <w:gridSpan w:val="3"/>
            <w:tcBorders>
              <w:left w:val="single" w:sz="4" w:space="0" w:color="000000"/>
            </w:tcBorders>
            <w:shd w:fill="FFFFFF" w:val="clear"/>
            <w:tcMar>
              <w:top w:w="0" w:type="dxa"/>
              <w:bottom w:w="0" w:type="dxa"/>
              <w:right w:w="0" w:type="dxa"/>
            </w:tcMar>
            <w:vAlign w:val="center"/>
          </w:tcPr>
          <w:p>
            <w:pPr>
              <w:pStyle w:val="TableContents"/>
              <w:bidi w:val="0"/>
              <w:spacing w:lineRule="auto" w:line="276" w:before="0" w:after="0"/>
              <w:jc w:val="left"/>
              <w:rPr/>
            </w:pPr>
            <w:r>
              <w:rPr/>
              <w:drawing>
                <wp:inline distT="0" distB="0" distL="0" distR="0">
                  <wp:extent cx="285750" cy="304800"/>
                  <wp:effectExtent l="0" t="0" r="0" b="0"/>
                  <wp:docPr id="211"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2" descr=""/>
                          <pic:cNvPicPr>
                            <a:picLocks noChangeAspect="1" noChangeArrowheads="1"/>
                          </pic:cNvPicPr>
                        </pic:nvPicPr>
                        <pic:blipFill>
                          <a:blip r:embed="rId183"/>
                          <a:stretch>
                            <a:fillRect/>
                          </a:stretch>
                        </pic:blipFill>
                        <pic:spPr bwMode="auto">
                          <a:xfrm>
                            <a:off x="0" y="0"/>
                            <a:ext cx="285750" cy="304800"/>
                          </a:xfrm>
                          <a:prstGeom prst="rect">
                            <a:avLst/>
                          </a:prstGeom>
                        </pic:spPr>
                      </pic:pic>
                    </a:graphicData>
                  </a:graphic>
                </wp:inline>
              </w:drawing>
            </w:r>
            <w:r>
              <w:rPr>
                <w:color w:val="000000"/>
              </w:rPr>
              <w:t xml:space="preserve"> </w:t>
            </w:r>
          </w:p>
        </w:tc>
        <w:tc>
          <w:tcPr>
            <w:tcW w:w="5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Futura LT Medium;sans-serif" w:hAnsi="Futura LT Medium;sans-serif"/>
                <w:b/>
                <w:color w:val="29378D"/>
                <w:sz w:val="22"/>
              </w:rPr>
            </w:pPr>
            <w:r>
              <w:rPr>
                <w:rFonts w:ascii="Futura LT Medium;sans-serif" w:hAnsi="Futura LT Medium;sans-serif"/>
                <w:b/>
                <w:color w:val="29378D"/>
                <w:sz w:val="22"/>
              </w:rPr>
              <w:t>Principles of Corporate Governance</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6"/>
            <w:tcBorders/>
            <w:shd w:fill="FFFFFF" w:val="clear"/>
            <w:tcMar>
              <w:top w:w="0" w:type="dxa"/>
              <w:left w:w="0" w:type="dxa"/>
              <w:bottom w:w="0" w:type="dxa"/>
              <w:right w:w="0" w:type="dxa"/>
            </w:tcMar>
            <w:vAlign w:val="center"/>
          </w:tcPr>
          <w:p>
            <w:pPr>
              <w:pStyle w:val="TableContents"/>
              <w:bidi w:val="0"/>
              <w:spacing w:lineRule="auto" w:line="276"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Our values provide the foundation for our culture and success:</w:t>
            </w:r>
          </w:p>
          <w:p>
            <w:pPr>
              <w:pStyle w:val="TableContents"/>
              <w:bidi w:val="0"/>
              <w:spacing w:lineRule="auto" w:line="288" w:before="40" w:after="40"/>
              <w:ind w:left="0" w:right="0" w:hanging="216"/>
              <w:jc w:val="left"/>
              <w:rPr/>
            </w:pPr>
            <w:r>
              <w:rPr>
                <w:color w:val="29378D"/>
              </w:rPr>
              <w:t>•</w:t>
            </w:r>
            <w:r>
              <w:rPr>
                <w:rFonts w:ascii="Futura Std Book;sans-serif" w:hAnsi="Futura Std Book;sans-serif"/>
                <w:b w:val="false"/>
                <w:color w:val="000000"/>
                <w:sz w:val="18"/>
              </w:rPr>
              <w:t>We Do The Right Thing - we earn trust, act with ethics, integrity and transparency, treat everyone with respect and value diverse perspectives;</w:t>
            </w:r>
          </w:p>
          <w:p>
            <w:pPr>
              <w:pStyle w:val="TableContents"/>
              <w:bidi w:val="0"/>
              <w:spacing w:lineRule="auto" w:line="288" w:before="40" w:after="40"/>
              <w:ind w:left="0" w:right="0" w:hanging="216"/>
              <w:jc w:val="left"/>
              <w:rPr/>
            </w:pPr>
            <w:r>
              <w:rPr>
                <w:color w:val="29378D"/>
              </w:rPr>
              <w:t>•</w:t>
            </w:r>
            <w:r>
              <w:rPr>
                <w:rFonts w:ascii="Futura Std Book;sans-serif" w:hAnsi="Futura Std Book;sans-serif"/>
                <w:b w:val="false"/>
                <w:color w:val="000000"/>
                <w:sz w:val="18"/>
              </w:rPr>
              <w:t xml:space="preserve">We Do What We Promise - we own the delivery of results, focused on quality outcomes; </w:t>
            </w:r>
          </w:p>
          <w:p>
            <w:pPr>
              <w:pStyle w:val="TableContents"/>
              <w:bidi w:val="0"/>
              <w:spacing w:lineRule="auto" w:line="288" w:before="40" w:after="40"/>
              <w:ind w:left="0" w:right="0" w:hanging="216"/>
              <w:jc w:val="left"/>
              <w:rPr/>
            </w:pPr>
            <w:r>
              <w:rPr>
                <w:color w:val="29378D"/>
              </w:rPr>
              <w:t>•</w:t>
            </w:r>
            <w:r>
              <w:rPr>
                <w:rFonts w:ascii="Futura Std Book;sans-serif" w:hAnsi="Futura Std Book;sans-serif"/>
                <w:b w:val="false"/>
                <w:color w:val="000000"/>
                <w:sz w:val="18"/>
              </w:rPr>
              <w:t xml:space="preserve">We Commit To Shared Success - we work together to focus on the mission and take accountability for the sustainable success of our people, customers, shareholders, suppliers and communities; and </w:t>
            </w:r>
          </w:p>
          <w:p>
            <w:pPr>
              <w:pStyle w:val="TableContents"/>
              <w:bidi w:val="0"/>
              <w:spacing w:lineRule="auto" w:line="288" w:before="40" w:after="40"/>
              <w:ind w:left="0" w:right="0" w:hanging="216"/>
              <w:jc w:val="left"/>
              <w:rPr/>
            </w:pPr>
            <w:r>
              <w:rPr>
                <w:color w:val="29378D"/>
              </w:rPr>
              <w:t>•</w:t>
            </w:r>
            <w:r>
              <w:rPr>
                <w:rFonts w:ascii="Futura Std Book;sans-serif" w:hAnsi="Futura Std Book;sans-serif"/>
                <w:b w:val="false"/>
                <w:color w:val="000000"/>
                <w:sz w:val="18"/>
              </w:rPr>
              <w:t>We Pioneer - with fierce curiosity, dedication and innovation, we seek to solve the world’s most challenging problems.</w:t>
            </w:r>
          </w:p>
        </w:tc>
        <w:tc>
          <w:tcPr>
            <w:tcW w:w="6885" w:type="dxa"/>
            <w:gridSpan w:val="6"/>
            <w:tcBorders>
              <w:left w:val="single" w:sz="4" w:space="0" w:color="000000"/>
            </w:tcBorders>
            <w:shd w:fill="FFFFFF" w:val="clear"/>
            <w:tcMar>
              <w:top w:w="0" w:type="dxa"/>
              <w:bottom w:w="0" w:type="dxa"/>
              <w:right w:w="0" w:type="dxa"/>
            </w:tcMar>
            <w:vAlign w:val="center"/>
          </w:tcPr>
          <w:p>
            <w:pPr>
              <w:pStyle w:val="TableContents"/>
              <w:bidi w:val="0"/>
              <w:spacing w:lineRule="auto" w:line="276"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Our Principles of Corporate Governance outline the role and responsibilities of our Board and the high standards our directors maintain. They set forth additional independence requirements for our directors and provide guidelines for Board leadership and Board and committee membership, among other items. The Board reviews these principles at least annually and considers opportunities for improvement and modification. Our Principles of Corporate Governance are available at investor.northropgrumman.com.</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top w:val="single" w:sz="8" w:space="0" w:color="00269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drawing>
                <wp:inline distT="0" distB="0" distL="0" distR="0">
                  <wp:extent cx="285750" cy="295275"/>
                  <wp:effectExtent l="0" t="0" r="0" b="0"/>
                  <wp:docPr id="212"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83" descr=""/>
                          <pic:cNvPicPr>
                            <a:picLocks noChangeAspect="1" noChangeArrowheads="1"/>
                          </pic:cNvPicPr>
                        </pic:nvPicPr>
                        <pic:blipFill>
                          <a:blip r:embed="rId184"/>
                          <a:stretch>
                            <a:fillRect/>
                          </a:stretch>
                        </pic:blipFill>
                        <pic:spPr bwMode="auto">
                          <a:xfrm>
                            <a:off x="0" y="0"/>
                            <a:ext cx="285750" cy="295275"/>
                          </a:xfrm>
                          <a:prstGeom prst="rect">
                            <a:avLst/>
                          </a:prstGeom>
                        </pic:spPr>
                      </pic:pic>
                    </a:graphicData>
                  </a:graphic>
                </wp:inline>
              </w:drawing>
            </w:r>
            <w:r>
              <w:rPr>
                <w:color w:val="000000"/>
              </w:rPr>
              <w:t xml:space="preserve"> </w:t>
            </w:r>
          </w:p>
        </w:tc>
        <w:tc>
          <w:tcPr>
            <w:tcW w:w="8997"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Futura LT Medium;sans-serif" w:hAnsi="Futura LT Medium;sans-serif"/>
                <w:b/>
                <w:color w:val="29378D"/>
                <w:sz w:val="22"/>
              </w:rPr>
            </w:pPr>
            <w:r>
              <w:rPr>
                <w:rFonts w:ascii="Futura LT Medium;sans-serif" w:hAnsi="Futura LT Medium;sans-serif"/>
                <w:b/>
                <w:color w:val="29378D"/>
                <w:sz w:val="22"/>
              </w:rPr>
              <w:t>Standards of Business Conduct</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76"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Our Standards of Business Conduct outline our commitment to ethics and integrity, consistent with our values and how we do business. They reflect and reinforce our commitment to our core values. They apply to our directors, officers and employees. We also require our suppliers to meet similar standards through our Standards of Business Conduct for Suppliers and Other Trading Partners. In 2023, we updated our Standards of Business Conduct as part of our efforts to review and continuously update key governance documents. Our Standards of Business Conduct and our Standards of Business Conduct for Suppliers and Other Trading Partners are available at www.northropgrumman.com/corporate-responsibility/ethics-and-business-conduct/standards-of-business-conduct.</w:t>
            </w:r>
          </w:p>
          <w:p>
            <w:pPr>
              <w:pStyle w:val="TableContents"/>
              <w:bidi w:val="0"/>
              <w:spacing w:lineRule="auto" w:line="276"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Among other things, our Standards of Business Conduct: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require our employees to live our values in all aspects of our business;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require strict adherence to all applicable laws and regulations;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reflect our commitment to maintaining a speak-up culture that values inclusion, and provides our employees a sense of belonging to enable success;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reinforce our commitment to good corporate citizenship and the global communities where we live, work and serve;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reflect our commitment to providing a work environment where every person is treated with equal respect and dignity;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reflect our sustainability initiatives, including reducing our environmental impacts, conserving natural and energy resources, as well as innovating practices that maintain the quality of the environment;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require a focus on performance and the consistent production of quality results;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reflect our commitment to the safety of our people and products; and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call upon all employees and other stakeholders to raise any questions or issues of concern (including on an anonymous basis).</w:t>
            </w:r>
          </w:p>
          <w:p>
            <w:pPr>
              <w:pStyle w:val="TableContents"/>
              <w:bidi w:val="0"/>
              <w:spacing w:lineRule="auto" w:line="276"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We report amendments to provisions of our Standards of Business Conduct on our website.</w:t>
            </w:r>
          </w:p>
        </w:tc>
      </w:tr>
      <w:tr>
        <w:trPr/>
        <w:tc>
          <w:tcPr>
            <w:tcW w:w="1208" w:type="dxa"/>
            <w:gridSpan w:val="3"/>
            <w:tcBorders>
              <w:bottom w:val="single" w:sz="8" w:space="0" w:color="00269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3"/>
            <w:tcBorders>
              <w:bottom w:val="single" w:sz="8" w:space="0" w:color="00269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bottom w:val="single" w:sz="8" w:space="0" w:color="00269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bottom w:val="single" w:sz="8" w:space="0" w:color="00269A"/>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554990"/>
                <wp:effectExtent l="0" t="0" r="0" b="0"/>
                <wp:wrapNone/>
                <wp:docPr id="213" name="Frame3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0"/>
        <w:jc w:val="left"/>
        <w:rPr>
          <w:rFonts w:ascii="Futura Std Book;sans-serif" w:hAnsi="Futura Std Book;sans-serif"/>
          <w:b/>
          <w:color w:val="000000"/>
          <w:sz w:val="36"/>
        </w:rPr>
      </w:pPr>
      <w:r>
        <w:rPr>
          <w:rFonts w:ascii="Futura Std Book;sans-serif" w:hAnsi="Futura Std Book;sans-serif"/>
          <w:b/>
          <w:color w:val="000000"/>
          <w:sz w:val="36"/>
        </w:rPr>
        <w:t xml:space="preserve">Role of the Board and Key Areas of </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Board Oversight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primary responsibility of our Board is to foster the long-term success of the Company, promoting the interests of our shareholders. Our directors are well-informed and exercise their business judgment in a manner they reasonably believe to be in the best interests of the Company and our shareholders and in a manner consistent with their fiduciary responsibilities. The role of the Board includes, but is not limited to, the following:</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97"/>
        <w:gridCol w:w="397"/>
        <w:gridCol w:w="402"/>
        <w:gridCol w:w="2649"/>
        <w:gridCol w:w="2489"/>
        <w:gridCol w:w="3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52450" cy="438150"/>
                  <wp:effectExtent l="0" t="0" r="0" b="0"/>
                  <wp:docPr id="21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4" descr=""/>
                          <pic:cNvPicPr>
                            <a:picLocks noChangeAspect="1" noChangeArrowheads="1"/>
                          </pic:cNvPicPr>
                        </pic:nvPicPr>
                        <pic:blipFill>
                          <a:blip r:embed="rId185"/>
                          <a:stretch>
                            <a:fillRect/>
                          </a:stretch>
                        </pic:blipFill>
                        <pic:spPr bwMode="auto">
                          <a:xfrm>
                            <a:off x="0" y="0"/>
                            <a:ext cx="552450" cy="438150"/>
                          </a:xfrm>
                          <a:prstGeom prst="rect">
                            <a:avLst/>
                          </a:prstGeom>
                        </pic:spPr>
                      </pic:pic>
                    </a:graphicData>
                  </a:graphic>
                </wp:inline>
              </w:drawing>
            </w:r>
          </w:p>
        </w:tc>
        <w:tc>
          <w:tcPr>
            <w:tcW w:w="8667" w:type="dxa"/>
            <w:gridSpan w:val="3"/>
            <w:tcBorders/>
            <w:tcMar>
              <w:top w:w="0" w:type="dxa"/>
              <w:left w:w="0" w:type="dxa"/>
              <w:bottom w:w="0" w:type="dxa"/>
              <w:right w:w="0" w:type="dxa"/>
            </w:tcMar>
            <w:vAlign w:val="center"/>
          </w:tcPr>
          <w:p>
            <w:pPr>
              <w:pStyle w:val="TableContents"/>
              <w:bidi w:val="0"/>
              <w:spacing w:lineRule="auto" w:line="276" w:before="0" w:after="300"/>
              <w:jc w:val="left"/>
              <w:rPr>
                <w:rFonts w:ascii="Futura Std Book;sans-serif" w:hAnsi="Futura Std Book;sans-serif"/>
                <w:b/>
                <w:color w:val="29378D"/>
                <w:sz w:val="32"/>
              </w:rPr>
            </w:pPr>
            <w:r>
              <w:rPr>
                <w:rFonts w:ascii="Futura Std Book;sans-serif" w:hAnsi="Futura Std Book;sans-serif"/>
                <w:b/>
                <w:color w:val="29378D"/>
                <w:sz w:val="32"/>
              </w:rPr>
              <w:t>Strategy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 our long-term business strategies, operations and performance (including restricted programs)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 and approve significant corporate actions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Provide advice and guidance to management</w:t>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52450" cy="561975"/>
                  <wp:effectExtent l="0" t="0" r="0" b="0"/>
                  <wp:docPr id="21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5" descr=""/>
                          <pic:cNvPicPr>
                            <a:picLocks noChangeAspect="1" noChangeArrowheads="1"/>
                          </pic:cNvPicPr>
                        </pic:nvPicPr>
                        <pic:blipFill>
                          <a:blip r:embed="rId186"/>
                          <a:stretch>
                            <a:fillRect/>
                          </a:stretch>
                        </pic:blipFill>
                        <pic:spPr bwMode="auto">
                          <a:xfrm>
                            <a:off x="0" y="0"/>
                            <a:ext cx="552450" cy="561975"/>
                          </a:xfrm>
                          <a:prstGeom prst="rect">
                            <a:avLst/>
                          </a:prstGeom>
                        </pic:spPr>
                      </pic:pic>
                    </a:graphicData>
                  </a:graphic>
                </wp:inline>
              </w:drawing>
            </w:r>
          </w:p>
        </w:tc>
        <w:tc>
          <w:tcPr>
            <w:tcW w:w="8667" w:type="dxa"/>
            <w:gridSpan w:val="3"/>
            <w:tcBorders/>
            <w:tcMar>
              <w:top w:w="0" w:type="dxa"/>
              <w:left w:w="0" w:type="dxa"/>
              <w:bottom w:w="0" w:type="dxa"/>
              <w:right w:w="0" w:type="dxa"/>
            </w:tcMar>
            <w:vAlign w:val="center"/>
          </w:tcPr>
          <w:p>
            <w:pPr>
              <w:pStyle w:val="TableContents"/>
              <w:bidi w:val="0"/>
              <w:spacing w:lineRule="auto" w:line="276" w:before="0" w:after="300"/>
              <w:jc w:val="left"/>
              <w:rPr>
                <w:rFonts w:ascii="Futura Std Book;sans-serif" w:hAnsi="Futura Std Book;sans-serif"/>
                <w:b/>
                <w:color w:val="29378D"/>
                <w:sz w:val="32"/>
              </w:rPr>
            </w:pPr>
            <w:r>
              <w:rPr>
                <w:rFonts w:ascii="Futura Std Book;sans-serif" w:hAnsi="Futura Std Book;sans-serif"/>
                <w:b/>
                <w:color w:val="29378D"/>
                <w:sz w:val="32"/>
              </w:rPr>
              <w:t>Risk</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 the enterprise risk management process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Ensure that each of our significant risks is effectively considered and mitigated</w:t>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52450" cy="552450"/>
                  <wp:effectExtent l="0" t="0" r="0" b="0"/>
                  <wp:docPr id="21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6" descr=""/>
                          <pic:cNvPicPr>
                            <a:picLocks noChangeAspect="1" noChangeArrowheads="1"/>
                          </pic:cNvPicPr>
                        </pic:nvPicPr>
                        <pic:blipFill>
                          <a:blip r:embed="rId187"/>
                          <a:stretch>
                            <a:fillRect/>
                          </a:stretch>
                        </pic:blipFill>
                        <pic:spPr bwMode="auto">
                          <a:xfrm>
                            <a:off x="0" y="0"/>
                            <a:ext cx="552450" cy="552450"/>
                          </a:xfrm>
                          <a:prstGeom prst="rect">
                            <a:avLst/>
                          </a:prstGeom>
                        </pic:spPr>
                      </pic:pic>
                    </a:graphicData>
                  </a:graphic>
                </wp:inline>
              </w:drawing>
            </w:r>
          </w:p>
        </w:tc>
        <w:tc>
          <w:tcPr>
            <w:tcW w:w="8667" w:type="dxa"/>
            <w:gridSpan w:val="3"/>
            <w:tcBorders/>
            <w:tcMar>
              <w:top w:w="0" w:type="dxa"/>
              <w:left w:w="0" w:type="dxa"/>
              <w:bottom w:w="0" w:type="dxa"/>
              <w:right w:w="0" w:type="dxa"/>
            </w:tcMar>
            <w:vAlign w:val="center"/>
          </w:tcPr>
          <w:p>
            <w:pPr>
              <w:pStyle w:val="TableContents"/>
              <w:bidi w:val="0"/>
              <w:spacing w:lineRule="auto" w:line="288" w:before="120" w:after="300"/>
              <w:jc w:val="left"/>
              <w:rPr>
                <w:rFonts w:ascii="Futura Std Book;sans-serif" w:hAnsi="Futura Std Book;sans-serif"/>
                <w:b/>
                <w:color w:val="29378D"/>
                <w:sz w:val="32"/>
              </w:rPr>
            </w:pPr>
            <w:r>
              <w:rPr>
                <w:rFonts w:ascii="Futura Std Book;sans-serif" w:hAnsi="Futura Std Book;sans-serif"/>
                <w:b/>
                <w:color w:val="29378D"/>
                <w:sz w:val="32"/>
              </w:rPr>
              <w:t>Culture and Human Capital</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Ensure a strong culture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 human capital strategy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Execute robust succession planning, including selecting the Chief Executive Officer, and electing officers of the Company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 certain human-capital related policies and programs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 and approve executive compensation</w:t>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color w:val="000000"/>
              </w:rPr>
              <w:t> </w:t>
            </w:r>
            <w:r>
              <w:rPr/>
              <w:drawing>
                <wp:inline distT="0" distB="0" distL="0" distR="0">
                  <wp:extent cx="628650" cy="552450"/>
                  <wp:effectExtent l="0" t="0" r="0" b="0"/>
                  <wp:docPr id="21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87" descr=""/>
                          <pic:cNvPicPr>
                            <a:picLocks noChangeAspect="1" noChangeArrowheads="1"/>
                          </pic:cNvPicPr>
                        </pic:nvPicPr>
                        <pic:blipFill>
                          <a:blip r:embed="rId188"/>
                          <a:stretch>
                            <a:fillRect/>
                          </a:stretch>
                        </pic:blipFill>
                        <pic:spPr bwMode="auto">
                          <a:xfrm>
                            <a:off x="0" y="0"/>
                            <a:ext cx="628650" cy="552450"/>
                          </a:xfrm>
                          <a:prstGeom prst="rect">
                            <a:avLst/>
                          </a:prstGeom>
                        </pic:spPr>
                      </pic:pic>
                    </a:graphicData>
                  </a:graphic>
                </wp:inline>
              </w:drawing>
            </w:r>
            <w:r>
              <w:rPr>
                <w:color w:val="000000"/>
              </w:rPr>
              <w:t> </w:t>
            </w:r>
          </w:p>
        </w:tc>
        <w:tc>
          <w:tcPr>
            <w:tcW w:w="8667" w:type="dxa"/>
            <w:gridSpan w:val="3"/>
            <w:tcBorders/>
            <w:tcMar>
              <w:top w:w="0" w:type="dxa"/>
              <w:left w:w="0" w:type="dxa"/>
              <w:bottom w:w="0" w:type="dxa"/>
              <w:right w:w="0" w:type="dxa"/>
            </w:tcMar>
            <w:vAlign w:val="center"/>
          </w:tcPr>
          <w:p>
            <w:pPr>
              <w:pStyle w:val="TableContents"/>
              <w:bidi w:val="0"/>
              <w:spacing w:lineRule="auto" w:line="276" w:before="0" w:after="300"/>
              <w:jc w:val="left"/>
              <w:rPr>
                <w:rFonts w:ascii="Futura Std Book;sans-serif" w:hAnsi="Futura Std Book;sans-serif"/>
                <w:b/>
                <w:color w:val="29378D"/>
                <w:sz w:val="32"/>
              </w:rPr>
            </w:pPr>
            <w:r>
              <w:rPr>
                <w:rFonts w:ascii="Futura Std Book;sans-serif" w:hAnsi="Futura Std Book;sans-serif"/>
                <w:b/>
                <w:color w:val="29378D"/>
                <w:sz w:val="32"/>
              </w:rPr>
              <w:t>Governance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Ensure effective corporate governance practices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 our ethics and compliance programs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 and enhance Board performance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Elect directors to fill vacant positions between Annual Meetings</w:t>
            </w:r>
          </w:p>
          <w:p>
            <w:pPr>
              <w:pStyle w:val="TableContents"/>
              <w:bidi w:val="0"/>
              <w:spacing w:before="80" w:after="80"/>
              <w:ind w:left="0" w:right="0" w:hanging="216"/>
              <w:jc w:val="left"/>
              <w:rPr/>
            </w:pPr>
            <w:r>
              <w:rPr/>
            </w:r>
          </w:p>
        </w:tc>
      </w:tr>
      <w:tr>
        <w:trPr/>
        <w:tc>
          <w:tcPr>
            <w:tcW w:w="34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734695"/>
                <wp:effectExtent l="0" t="0" r="0" b="0"/>
                <wp:wrapNone/>
                <wp:docPr id="218" name="Frame3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28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0"/>
        <w:jc w:val="left"/>
        <w:rPr>
          <w:rFonts w:ascii="Futura Std Book;sans-serif" w:hAnsi="Futura Std Book;sans-serif"/>
          <w:b/>
          <w:color w:val="000000"/>
          <w:sz w:val="36"/>
        </w:rPr>
      </w:pPr>
      <w:bookmarkStart w:id="2" w:name="ia095505c16ac46b884a719dbf9a15bcd_18763"/>
      <w:bookmarkEnd w:id="2"/>
      <w:r>
        <w:rPr>
          <w:rFonts w:ascii="Futura Std Book;sans-serif" w:hAnsi="Futura Std Book;sans-serif"/>
          <w:b/>
          <w:color w:val="000000"/>
          <w:sz w:val="36"/>
        </w:rPr>
        <w:t>Risk Oversight</w:t>
      </w:r>
    </w:p>
    <w:p>
      <w:pPr>
        <w:pStyle w:val="TextBody"/>
        <w:bidi w:val="0"/>
        <w:spacing w:before="0" w:after="0"/>
        <w:jc w:val="left"/>
        <w:rPr/>
      </w:pPr>
      <w:r>
        <w:rPr/>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As noted above, the Board is responsible for overseeing risk management, with a focus on both near and long term significant risks to the Company, our business and our strategy. For each significant risk, the Company identifies a senior executive responsible for its management, alongside a designated Board committee (or the full Board) tasked with providing oversight. The Board's governance framework for risk management allows for clear allocation of responsibilities of risk oversight among the full Board and its committees, leveraging the Board's skills and leadership structure. Our risk oversight framework facilitates regular assessments of the Company’s risk management processes and controls and whether they are functioning at maximum effectiveness.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Futura Std Book;sans-serif" w:hAnsi="Futura Std Book;sans-serif"/>
          <w:b/>
          <w:color w:val="29378D"/>
          <w:sz w:val="30"/>
        </w:rPr>
      </w:pPr>
      <w:r>
        <w:rPr>
          <w:rFonts w:ascii="Futura Std Book;sans-serif" w:hAnsi="Futura Std Book;sans-serif"/>
          <w:b/>
          <w:color w:val="29378D"/>
          <w:sz w:val="30"/>
        </w:rPr>
        <w:t>Risk Oversight Framework</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chart summarizes the Company's allocation of risk management oversight for certain significant risks.</w:t>
      </w:r>
    </w:p>
    <w:tbl>
      <w:tblPr>
        <w:tblW w:w="10205" w:type="dxa"/>
        <w:jc w:val="left"/>
        <w:tblInd w:w="0" w:type="dxa"/>
        <w:tblLayout w:type="fixed"/>
        <w:tblCellMar>
          <w:top w:w="28" w:type="dxa"/>
          <w:left w:w="28" w:type="dxa"/>
          <w:bottom w:w="28" w:type="dxa"/>
          <w:right w:w="28" w:type="dxa"/>
        </w:tblCellMar>
      </w:tblPr>
      <w:tblGrid>
        <w:gridCol w:w="810"/>
        <w:gridCol w:w="188"/>
        <w:gridCol w:w="188"/>
        <w:gridCol w:w="188"/>
        <w:gridCol w:w="188"/>
        <w:gridCol w:w="188"/>
        <w:gridCol w:w="148"/>
        <w:gridCol w:w="148"/>
        <w:gridCol w:w="148"/>
        <w:gridCol w:w="795"/>
        <w:gridCol w:w="644"/>
        <w:gridCol w:w="218"/>
        <w:gridCol w:w="218"/>
        <w:gridCol w:w="218"/>
        <w:gridCol w:w="218"/>
        <w:gridCol w:w="148"/>
        <w:gridCol w:w="148"/>
        <w:gridCol w:w="148"/>
        <w:gridCol w:w="148"/>
        <w:gridCol w:w="148"/>
        <w:gridCol w:w="148"/>
        <w:gridCol w:w="795"/>
        <w:gridCol w:w="236"/>
        <w:gridCol w:w="218"/>
        <w:gridCol w:w="218"/>
        <w:gridCol w:w="218"/>
        <w:gridCol w:w="218"/>
        <w:gridCol w:w="148"/>
        <w:gridCol w:w="148"/>
        <w:gridCol w:w="148"/>
        <w:gridCol w:w="815"/>
        <w:gridCol w:w="587"/>
        <w:gridCol w:w="237"/>
        <w:gridCol w:w="237"/>
        <w:gridCol w:w="237"/>
        <w:gridCol w:w="352"/>
      </w:tblGrid>
      <w:tr>
        <w:trPr/>
        <w:tc>
          <w:tcPr>
            <w:tcW w:w="8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BOARD OF DIRECTORS</w:t>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Ultimate responsibility for the oversight of risk, ensuring allocation of responsibility for the management of each significant risk</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Provides oversight of the Company’s risk management processes, including the Enterprise Risk Management Council</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Committees and management provide updates to the full Board on significant and emerging risks, including financial risks and risks related to cybersecurity, significant customers and programs, long term strategy, culture, human capital, technology development and artificial intelligence</w:t>
            </w:r>
          </w:p>
          <w:p>
            <w:pPr>
              <w:pStyle w:val="TableContents"/>
              <w:bidi w:val="0"/>
              <w:spacing w:before="0" w:after="0"/>
              <w:jc w:val="left"/>
              <w:rPr/>
            </w:pPr>
            <w:r>
              <w:rPr/>
            </w:r>
          </w:p>
          <w:p>
            <w:pPr>
              <w:pStyle w:val="TableContents"/>
              <w:bidi w:val="0"/>
              <w:spacing w:before="0" w:after="0"/>
              <w:jc w:val="left"/>
              <w:rPr/>
            </w:pPr>
            <w:r>
              <w:rPr/>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8"/>
              </w:rPr>
            </w:pPr>
            <w:r>
              <w:rPr>
                <w:rFonts w:ascii="Futura Std Book;sans-serif" w:hAnsi="Futura Std Book;sans-serif"/>
                <w:b/>
                <w:color w:val="000000"/>
                <w:sz w:val="18"/>
              </w:rPr>
              <w:t>AUDIT AND RISK COMMITTEE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Responsible for assisting the Board in its overall oversight of enterprise risk management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Oversight of financial risks, including related to environmental matters and insurance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Oversight of cybersecurity risk and legal, ethics and compliance risk</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8"/>
              </w:rPr>
            </w:pPr>
            <w:r>
              <w:rPr>
                <w:rFonts w:ascii="Futura Std Book;sans-serif" w:hAnsi="Futura Std Book;sans-serif"/>
                <w:b/>
                <w:color w:val="000000"/>
                <w:sz w:val="18"/>
              </w:rPr>
              <w:t>COMPENSATION AND HUMAN CAPITAL COMMITTEE</w:t>
            </w:r>
          </w:p>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Oversight of human capital risk, including related to talent acquisition and retention</w:t>
            </w:r>
          </w:p>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Oversight of risk related to compensation programs and employee experience and engagement policies and practices</w:t>
            </w:r>
          </w:p>
          <w:p>
            <w:pPr>
              <w:pStyle w:val="TableContents"/>
              <w:bidi w:val="0"/>
              <w:spacing w:before="0" w:after="0"/>
              <w:jc w:val="left"/>
              <w:rPr/>
            </w:pPr>
            <w:r>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8"/>
              </w:rPr>
            </w:pPr>
            <w:r>
              <w:rPr>
                <w:rFonts w:ascii="Futura Std Book;sans-serif" w:hAnsi="Futura Std Book;sans-serif"/>
                <w:b/>
                <w:color w:val="000000"/>
                <w:sz w:val="18"/>
              </w:rPr>
              <w:t>POLICY COMMITTEE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Oversight of risks related to global security, political, budgetary, and technological issues</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8"/>
              </w:rPr>
              <w:t>Oversight of risks related to human rights, health and safety, corporate social responsibility and political contributions</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8"/>
              </w:rPr>
              <w:t>Oversight of environmental and sustainability policies, programs and reports</w:t>
            </w:r>
          </w:p>
          <w:p>
            <w:pPr>
              <w:pStyle w:val="TableContents"/>
              <w:bidi w:val="0"/>
              <w:spacing w:before="0" w:after="0"/>
              <w:ind w:left="0" w:right="0" w:firstLine="144"/>
              <w:jc w:val="left"/>
              <w:rPr/>
            </w:pPr>
            <w:r>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8"/>
              </w:rPr>
            </w:pPr>
            <w:r>
              <w:rPr>
                <w:rFonts w:ascii="Futura Std Book;sans-serif" w:hAnsi="Futura Std Book;sans-serif"/>
                <w:b/>
                <w:color w:val="000000"/>
                <w:sz w:val="18"/>
              </w:rPr>
              <w:t>NOMINATING AND CORPORATE GOVERNANCE COMMITTEE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Oversight of governance-related risks (including the Company's corporate governance policies and practices) and risks related to corporate culture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Assist the Board in its oversight of succession planning risk</w:t>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8"/>
              </w:rPr>
            </w:pPr>
            <w:r>
              <w:rPr>
                <w:rFonts w:ascii="Futura Std Book;sans-serif" w:hAnsi="Futura Std Book;sans-serif"/>
                <w:b/>
                <w:color w:val="000000"/>
                <w:sz w:val="18"/>
              </w:rPr>
              <w:t>ENTERPRISE RISK MANAGEMENT COUNCIL (ERMC)</w:t>
            </w:r>
          </w:p>
        </w:tc>
      </w:tr>
      <w:tr>
        <w:trPr/>
        <w:tc>
          <w:tcPr>
            <w:tcW w:w="118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Designed to ensure that the Company has identified significant risks (including emerging risks) and is effectively managing such risks, including by developing comprehensive mitigation plans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Comprised of all members of the Executive Leadership Team (ELT), as well as the Chief Accounting Officer, Corporate Secretary, Treasurer, Chief Ethics and Compliance Officer, Chief Sustainability Officer and VP, Internal Audit and also attended by the Chief Information and Digital Officer, Chief Technology Officer (CTO) and VP, Supply Chain</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The Steering Committee, comprised of certain ELT members, and the Working Committee, comprised of certain VP-level ERMC members, meet multiple times a year to align on risk calibration and management strategies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The full ERMC meets twice a year to oversee, review and ensure effective management of enterprise risks and members of the ERMC brief the Audit and Risk Committee at least annually on its deliberations and significant areas of concern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554990"/>
                <wp:effectExtent l="0" t="0" r="0" b="0"/>
                <wp:wrapNone/>
                <wp:docPr id="219" name="Frame3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Management's Role in Enterprise Risk Management</w:t>
      </w:r>
    </w:p>
    <w:p>
      <w:pPr>
        <w:pStyle w:val="TextBody"/>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Our governance framework has been carefully developed to ensure a comprehensive system of oversight and accountability. The Company's management, under the oversight of the Board, executes the Company's risk management strategies and is the first line of defense in identifying emerging risks. </w:t>
      </w:r>
    </w:p>
    <w:p>
      <w:pPr>
        <w:pStyle w:val="TextBody"/>
        <w:bidi w:val="0"/>
        <w:spacing w:before="0" w:after="0"/>
        <w:jc w:val="left"/>
        <w:rPr/>
      </w:pPr>
      <w:r>
        <w:rPr/>
      </w:r>
    </w:p>
    <w:p>
      <w:pPr>
        <w:pStyle w:val="TextBody"/>
        <w:bidi w:val="0"/>
        <w:spacing w:lineRule="auto" w:line="276" w:before="0" w:after="0"/>
        <w:jc w:val="left"/>
        <w:rPr>
          <w:rFonts w:ascii="Futura Std Book;sans-serif" w:hAnsi="Futura Std Book;sans-serif"/>
          <w:b w:val="false"/>
          <w:color w:val="000000"/>
          <w:sz w:val="26"/>
        </w:rPr>
      </w:pPr>
      <w:r>
        <w:rPr>
          <w:rFonts w:ascii="Futura Std Book;sans-serif" w:hAnsi="Futura Std Book;sans-serif"/>
          <w:b w:val="false"/>
          <w:color w:val="000000"/>
          <w:sz w:val="26"/>
        </w:rPr>
        <w:t>Enterprise Risk Management Council</w:t>
      </w:r>
    </w:p>
    <w:p>
      <w:pPr>
        <w:pStyle w:val="TextBody"/>
        <w:bidi w:val="0"/>
        <w:spacing w:before="0" w:after="0"/>
        <w:jc w:val="left"/>
        <w:rPr/>
      </w:pPr>
      <w:r>
        <w:rPr/>
      </w:r>
    </w:p>
    <w:p>
      <w:pPr>
        <w:pStyle w:val="TextBody"/>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Enterprise Risk Management Council (ERMC), comprised of key members of the Company's management team, plays a vital role in reviewing the significant risks to the enterprise and ensuring effective consideration, mitigation, and management. For each significant risk, the Company identifies a senior executive responsible for its management. During meetings of the ERMC, the Council receives updates from each management lead, with particular focus on any significant changes in the risk profile or necessary mitigations for such risk. During its meetings, the Council also discusses risk mitigation strategies, process enhancements and evolving and emerging risks. The ERMC ensures each risk is reviewed by a cross-functional team and provides a robust system of accountability.</w:t>
      </w:r>
    </w:p>
    <w:p>
      <w:pPr>
        <w:pStyle w:val="TextBody"/>
        <w:bidi w:val="0"/>
        <w:spacing w:before="0" w:after="0"/>
        <w:jc w:val="left"/>
        <w:rPr/>
      </w:pPr>
      <w:r>
        <w:rPr/>
      </w:r>
    </w:p>
    <w:p>
      <w:pPr>
        <w:pStyle w:val="TextBody"/>
        <w:bidi w:val="0"/>
        <w:spacing w:lineRule="auto" w:line="276" w:before="0" w:after="0"/>
        <w:jc w:val="left"/>
        <w:rPr>
          <w:rFonts w:ascii="Futura Std Book;sans-serif" w:hAnsi="Futura Std Book;sans-serif"/>
          <w:b w:val="false"/>
          <w:color w:val="000000"/>
          <w:sz w:val="26"/>
        </w:rPr>
      </w:pPr>
      <w:r>
        <w:rPr>
          <w:rFonts w:ascii="Futura Std Book;sans-serif" w:hAnsi="Futura Std Book;sans-serif"/>
          <w:b w:val="false"/>
          <w:color w:val="000000"/>
          <w:sz w:val="26"/>
        </w:rPr>
        <w:t>Management Accountability: Briefings to the Board and its Committees</w:t>
      </w:r>
    </w:p>
    <w:p>
      <w:pPr>
        <w:pStyle w:val="TextBody"/>
        <w:bidi w:val="0"/>
        <w:spacing w:before="0" w:after="0"/>
        <w:jc w:val="left"/>
        <w:rPr/>
      </w:pPr>
      <w:r>
        <w:rPr/>
      </w:r>
    </w:p>
    <w:p>
      <w:pPr>
        <w:pStyle w:val="TextBody"/>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Although not exhaustive, the following is a summary of the briefings and reports the Board and its committees receive from management in connection with the Board's risk oversight function.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7"/>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279"/>
        <w:gridCol w:w="402"/>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BOARD OF DIRECTORS</w:t>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CEO, CFO, VP, Corporate Strategy and other senior executives regarding corporate strategy, including specific strategic deep-dives and matters involving our key customers and pursuits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the General Counsel regarding legal and compliance matters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Chief Human Resource Officer (CHRO) regarding human capital strategy</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the Chief Information Security Officer and other senior management regarding cybersecurity</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senior executive management regarding government relations and geopolitical matters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Chief Information and Digital Officer regarding digital transformation matters</w:t>
            </w:r>
          </w:p>
          <w:p>
            <w:pPr>
              <w:pStyle w:val="TableContents"/>
              <w:bidi w:val="0"/>
              <w:spacing w:before="0" w:after="0"/>
              <w:jc w:val="left"/>
              <w:rPr/>
            </w:pPr>
            <w:r>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AUDIT AND RISK COMMITTEE</w:t>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the CFO and General Counsel on overall risk management</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the Chief Ethics and Compliance Officer on ethics and compliance matters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CFO regarding financial risk</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Controller and Chief Accounting Officer on internal controls and SEC filings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Reports from the VP, Internal Audit addressing the internal audits, with a focus on high risk areas</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 xml:space="preserve">Reports from the Chief Information Security Officer on information security and cybersecurity </w:t>
            </w:r>
          </w:p>
          <w:p>
            <w:pPr>
              <w:pStyle w:val="TableContents"/>
              <w:bidi w:val="0"/>
              <w:spacing w:lineRule="auto" w:line="276" w:before="0" w:after="0"/>
              <w:ind w:left="0" w:right="0" w:hanging="216"/>
              <w:jc w:val="left"/>
              <w:rPr/>
            </w:pPr>
            <w:r>
              <w:rPr>
                <w:color w:val="29378D"/>
              </w:rPr>
              <w:t>•</w:t>
            </w:r>
            <w:r>
              <w:rPr>
                <w:rFonts w:ascii="Futura Std Book;sans-serif" w:hAnsi="Futura Std Book;sans-serif"/>
                <w:b w:val="false"/>
                <w:color w:val="000000"/>
                <w:sz w:val="16"/>
              </w:rPr>
              <w:t>Updates from the Treasurer regarding risk related to financial derivatives and insurance matters</w:t>
            </w:r>
          </w:p>
          <w:p>
            <w:pPr>
              <w:pStyle w:val="TableContents"/>
              <w:bidi w:val="0"/>
              <w:spacing w:before="0" w:after="0"/>
              <w:jc w:val="left"/>
              <w:rPr/>
            </w:pPr>
            <w:r>
              <w:rPr/>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6"/>
              </w:rPr>
            </w:pPr>
            <w:r>
              <w:rPr>
                <w:rFonts w:ascii="Futura Std Book;sans-serif" w:hAnsi="Futura Std Book;sans-serif"/>
                <w:b/>
                <w:color w:val="000000"/>
                <w:sz w:val="16"/>
              </w:rPr>
              <w:t>POLICY COMMITTEE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Reports from senior executive for government affairs regarding political contributions, trade association memberships and related governance policies</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Updates from the Chief Sustainability Officer regarding sustainability and health and safety matters</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Reports from the General Counsel (or her designee) regarding human rights matters</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Updates from CTO and CVP, Global Operations regarding technology policy, including artificial intelligence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Updates from VP, Global Corporate Responsibility regarding community relations and charitable giving</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 xml:space="preserve">Reports from CVP, Global Business Development regarding recent geopolitical events and developments </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6"/>
              </w:rPr>
            </w:pPr>
            <w:r>
              <w:rPr>
                <w:rFonts w:ascii="Futura Std Book;sans-serif" w:hAnsi="Futura Std Book;sans-serif"/>
                <w:b/>
                <w:color w:val="000000"/>
                <w:sz w:val="16"/>
              </w:rPr>
              <w:t>COMPENSATION AND HUMAN CAPITAL COMMITTEE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Reports from the CFO and CHRO regarding incentive plans and incentive compensation performance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Reports from the CHRO and VP, Global Corporate Responsibility regarding matters related to employee experience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 xml:space="preserve">Updates from VP, Total Rewards regarding the Company's benefit plans </w:t>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E6E7E8" w:val="clear"/>
            <w:tcMar>
              <w:top w:w="0" w:type="dxa"/>
              <w:left w:w="0" w:type="dxa"/>
              <w:bottom w:w="0" w:type="dxa"/>
              <w:right w:w="0" w:type="dxa"/>
            </w:tcMar>
            <w:vAlign w:val="center"/>
          </w:tcPr>
          <w:p>
            <w:pPr>
              <w:pStyle w:val="TableContents"/>
              <w:bidi w:val="0"/>
              <w:spacing w:lineRule="auto" w:line="288" w:before="80" w:after="80"/>
              <w:jc w:val="center"/>
              <w:rPr>
                <w:rFonts w:ascii="Futura Std Book;sans-serif" w:hAnsi="Futura Std Book;sans-serif"/>
                <w:b/>
                <w:color w:val="000000"/>
                <w:sz w:val="16"/>
              </w:rPr>
            </w:pPr>
            <w:r>
              <w:rPr>
                <w:rFonts w:ascii="Futura Std Book;sans-serif" w:hAnsi="Futura Std Book;sans-serif"/>
                <w:b/>
                <w:color w:val="000000"/>
                <w:sz w:val="16"/>
              </w:rPr>
              <w:t>NOMINATING AND CORPORATE GOVERNANCE COMMITTEE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Reports from the General Counsel regarding corporate governance risks, including risks related to corporate culture</w:t>
            </w:r>
          </w:p>
          <w:p>
            <w:pPr>
              <w:pStyle w:val="TableContents"/>
              <w:bidi w:val="0"/>
              <w:spacing w:lineRule="auto" w:line="288" w:before="0" w:after="0"/>
              <w:ind w:left="0" w:right="0" w:hanging="216"/>
              <w:jc w:val="left"/>
              <w:rPr/>
            </w:pPr>
            <w:r>
              <w:rPr>
                <w:color w:val="29378D"/>
              </w:rPr>
              <w:t>•</w:t>
            </w:r>
            <w:r>
              <w:rPr>
                <w:rFonts w:ascii="Futura Std Book;sans-serif" w:hAnsi="Futura Std Book;sans-serif"/>
                <w:b w:val="false"/>
                <w:color w:val="000000"/>
                <w:sz w:val="16"/>
              </w:rPr>
              <w:t>Reports from the General Counsel on the Company's corporate governance policies and practices, including Board composition and succession and the roles and responsibilities of Committees</w:t>
            </w:r>
          </w:p>
          <w:p>
            <w:pPr>
              <w:pStyle w:val="TableContents"/>
              <w:bidi w:val="0"/>
              <w:spacing w:before="0" w:after="0"/>
              <w:jc w:val="left"/>
              <w:rPr/>
            </w:pPr>
            <w:r>
              <w:rPr/>
            </w:r>
          </w:p>
        </w:tc>
      </w:tr>
      <w:tr>
        <w:trPr/>
        <w:tc>
          <w:tcPr>
            <w:tcW w:w="10205" w:type="dxa"/>
            <w:gridSpan w:val="36"/>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734695"/>
                <wp:effectExtent l="0" t="0" r="0" b="0"/>
                <wp:wrapNone/>
                <wp:docPr id="220" name="Frame3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 xml:space="preserve">Evolving Risk Focus Areas </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Our corporate governance framework is designed not only to understand and mitigate our current significant risks, but also to evaluate and prepare for evolving and future risks. Below are some of the evolving risk areas that our Board, committees, and management continue to assess and plan for.</w:t>
      </w:r>
    </w:p>
    <w:p>
      <w:pPr>
        <w:pStyle w:val="TextBody"/>
        <w:bidi w:val="0"/>
        <w:spacing w:before="120" w:after="120"/>
        <w:jc w:val="left"/>
        <w:rPr/>
      </w:pPr>
      <w:r>
        <w:rPr/>
      </w:r>
    </w:p>
    <w:p>
      <w:pPr>
        <w:pStyle w:val="TextBody"/>
        <w:bidi w:val="0"/>
        <w:spacing w:before="120" w:after="120"/>
        <w:jc w:val="left"/>
        <w:rPr/>
      </w:pPr>
      <w:r>
        <w:rPr/>
        <w:drawing>
          <wp:inline distT="0" distB="0" distL="0" distR="0">
            <wp:extent cx="6172200" cy="2971800"/>
            <wp:effectExtent l="0" t="0" r="0" b="0"/>
            <wp:docPr id="22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88" descr=""/>
                    <pic:cNvPicPr>
                      <a:picLocks noChangeAspect="1" noChangeArrowheads="1"/>
                    </pic:cNvPicPr>
                  </pic:nvPicPr>
                  <pic:blipFill>
                    <a:blip r:embed="rId189"/>
                    <a:stretch>
                      <a:fillRect/>
                    </a:stretch>
                  </pic:blipFill>
                  <pic:spPr bwMode="auto">
                    <a:xfrm>
                      <a:off x="0" y="0"/>
                      <a:ext cx="6172200" cy="2971800"/>
                    </a:xfrm>
                    <a:prstGeom prst="rect">
                      <a:avLst/>
                    </a:prstGeom>
                  </pic:spPr>
                </pic:pic>
              </a:graphicData>
            </a:graphic>
          </wp:inline>
        </w:drawing>
      </w:r>
    </w:p>
    <w:p>
      <w:pPr>
        <w:pStyle w:val="TextBody"/>
        <w:bidi w:val="0"/>
        <w:spacing w:before="30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554990"/>
                <wp:effectExtent l="0" t="0" r="0" b="0"/>
                <wp:wrapNone/>
                <wp:docPr id="222" name="Frame3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Board Leadership Structure</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Chair of the Board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Bylaws provide that our directors will designate a Chair of the Board from among its members. The Chair presides at all Board and shareholder meetings. The Chair interacts directly with all members of the Board and assists the Board to fulfill its responsibilities, including those related to risk oversight. As the Principles of Corporate Governance provide, the Board believes it is in the best interests of the Company and its shareholders for the Board to have flexibility to determine the best director to serve as Chair of the Board at the time, based on consideration of all relevant factors.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At least once every year, the Board considers who will best serve as Chair and whether that person should be an independent director given the environment and needs of the Company. The Board has concluded that having Ms. Warden, our Chief Executive Officer, serve as Chair is the most appropriate leadership structure for the Company at this time, and best positions the Company to be innovative, compete successfully, present one face to our customers and advance shareholder interests in today’s environment. The Board believes that Ms. Warden’s years of experience and her deep understanding of the Company’s business, day-to-day operations, growth opportunities, challenges and risk management practices gained through various leadership positions enable her to provide strong and effective leadership to the Board and to ensure that the Board is informed of important issues facing the Company. The Board consists entirely of independent directors, other than Ms. Warden, and continues to exercise a comprehensive, independent oversight function, with fully independent Board committees and a strong Lead Independent Director with clearly articulated responsibilities. The Board will continue to review and discuss the leadership structure of the Board and determine the leadership structure, including the Chair, that best serves the needs of the Company and its shareholders.</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Lead Independent Director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If the Chair is not independent, the independent directors will designate annually from among them a Lead Independent Director. Following our 2024 Annual Meeting, the independent directors designated Ms. Kleiner as Lead Independent Director.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Principles of Corporate Governance explicitly prescribe a strong role for our Lead Independent Director, describing in detail significant responsibilities with respect to the operation and functioning of the Board and reflecting our commitment to robust corporate governance. The specific duties and responsibilities of the Lead Independent Director include the following:</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serve as the principal advisor to the Chair, including in connection with crisis management;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authority to call, establish the agenda and review all the materials for, and chair all meetings of the Independent Directors, including executive sessions regularly scheduled at each full Board meeting, and special sessions of Independent Directors called in case of an emergency or matter requiring their separate consideration or decision;</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chair all other meetings of the Board at which the Chair is not present;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regularly meet and consult with the Chair to provide independent oversight, as well as guidance and requests from Independent Directors; review agendas for upcoming Board and committee meetings, and discuss materials to be provided to Directors; review the results of recent Board meetings and agree to next steps; advise the Chair on decisions made by the Independent Directors in executive session and ensure implementation; and consult with the Chair more broadly to help ensure the Board’s effective exercise of governance, risk and oversight responsibilities;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consult with the Chair on the topics to be considered during Board and committee meetings and approve the schedule of Board and committee meetings to ensure there is significant opportunity for the Board to consider properly all necessary agenda items;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serve as a liaison between the Chair and the Independent Directors;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meet with shareholders and other stakeholders as appropriate;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meet with senior management outside of Board meetings periodically and as requested;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interview, along with the Chair and the Chair of the Nominating and Corporate Governance Committee, Board candidates and make recommendations to the Nominating and Corporate Governance Committee and the Board, helping to prioritize the specific skill sets, diverse perspectives, experience and values that candidates for consideration should possess;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coordinate with the Chair on the structure of committee membership and leadership;</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support the Chair to help facilitate succession planning and management development;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lead the annual evaluation of the Chair and CEO;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734695"/>
                <wp:effectExtent l="0" t="0" r="0" b="0"/>
                <wp:wrapNone/>
                <wp:docPr id="223" name="Frame3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 along with the Chair, Nominating and Corporate Governance Committee (or Chair of the Board, as appropriate) whether a Board member's service on another company's board would interfere with such Board member's duties and responsibilities as a member of the Board;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 along with the Chair, Nominating and Corporate Governance Committee, the evaluation of the performance of the Board and meet with independent directors to discuss results of director peer evaluations;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perform such other duties as may be assigned by the Board.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Lead Independent Director plays a critical role in reviewing director feedback received through the annual director evaluation process and providing feedback to each director on their individual performance. Our Lead Independent Director is empowered to and does actively engage with our Chair and Chief Executive Officer to help enable a strong and effective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554990"/>
                <wp:effectExtent l="0" t="0" r="0" b="0"/>
                <wp:wrapNone/>
                <wp:docPr id="224" name="Frame3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Committees of the Board</w:t>
      </w:r>
    </w:p>
    <w:p>
      <w:pPr>
        <w:pStyle w:val="TextBody"/>
        <w:bidi w:val="0"/>
        <w:spacing w:lineRule="auto" w:line="288" w:before="120" w:after="120"/>
        <w:jc w:val="left"/>
        <w:rPr/>
      </w:pPr>
      <w:r>
        <w:rPr>
          <w:rFonts w:ascii="Futura Std Book;sans-serif" w:hAnsi="Futura Std Book;sans-serif"/>
          <w:b w:val="false"/>
          <w:color w:val="000000"/>
          <w:sz w:val="18"/>
        </w:rPr>
        <w:t>The Board has four standing committees: the Audit and Risk Committee, the Compensation and Human Capital Committee, the Nominating and Corporate Governance Committee and the Policy Committee. The membership of these committees is typically determined at the organizational meeting of the Board held in conjunction with the annual meeting. All the committees are composed entirely of independent directors. The primary responsibilities of each of the committees, as of the date of this Proxy Statement, are summarized below, together with a table listing the membership as of December 31, 2024, and Chair of each committee. The charters for each standing committee can be found on the Investor Relations section of our website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115"/>
        <w:gridCol w:w="980"/>
        <w:gridCol w:w="984"/>
        <w:gridCol w:w="109"/>
        <w:gridCol w:w="109"/>
        <w:gridCol w:w="109"/>
        <w:gridCol w:w="1990"/>
        <w:gridCol w:w="1990"/>
        <w:gridCol w:w="2819"/>
      </w:tblGrid>
      <w:tr>
        <w:trPr/>
        <w:tc>
          <w:tcPr>
            <w:tcW w:w="111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top w:val="single" w:sz="56" w:space="0" w:color="29378D"/>
            </w:tcBorders>
            <w:shd w:fill="ECEC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9"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overseeing, among other things, the integrity of the Company’s financial statements and enterprise risk management, including by: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discussing the Company’s Annual Reports on Form 10-K and Quarterly Reports on Form 10-Q</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discussing management’s assessment of, and report on, the effectiveness of the Company’s internal control over financial reporting at least annually and the independent auditor's related report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assisting the Board in its oversight of enterprise risk management (including through the different Board committees), including reviewing at least annually the Company's enterprise risk management processes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appointing, retaining, overseeing, evaluating and terminating, if necessary, the independent auditor; reviewing the performance of the lead audit partner and involvement in the selection and approval of the lead audit partner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and pre-approving audit and permitted non-audit services and related fees for the independent auditor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and discussing with the independent auditor any critical audit matters identified by the independent auditor, the Company’s critical accounting policies and estimates, and material written communications with management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and approving the annual risk-based internal audit plan and reviewing any significant issues raised by the internal audit function and, as appropriate, management’s actions for remediation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reviewing with the General Counsel, at least annually, the status of significant pending litigation and other significant legal, compliance or regulatory matters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with the Chief Ethics and Compliance Officer (CECO), at least annually, the state of the Company’s global compliance program and policies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receiving reports periodically from the CECO on the Company’s ethics programs and policies, including contacts received through the Company’s OpenLine reporting system</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providing oversight and reviewing periodically the Company’s assessment and management of its financial risks, including those related to, among other things, insurance, nuclear, and environmental matters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Providing oversight and reviewing periodically the Company’s assessment and management of cybersecurity risks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providing oversight of audit and assurance processes for sustainability reporting and related internal controls over publicly reported data</w:t>
            </w:r>
          </w:p>
          <w:p>
            <w:pPr>
              <w:pStyle w:val="TableContents"/>
              <w:bidi w:val="0"/>
              <w:spacing w:before="80" w:after="80"/>
              <w:ind w:left="0" w:right="0" w:firstLine="144"/>
              <w:jc w:val="left"/>
              <w:rPr/>
            </w:pPr>
            <w:r>
              <w:rPr/>
            </w:r>
          </w:p>
        </w:tc>
      </w:tr>
      <w:tr>
        <w:trPr/>
        <w:tc>
          <w:tcPr>
            <w:tcW w:w="3079" w:type="dxa"/>
            <w:gridSpan w:val="3"/>
            <w:tcBorders/>
            <w:shd w:fill="ECECEC" w:val="clear"/>
            <w:tcMar>
              <w:top w:w="0" w:type="dxa"/>
              <w:left w:w="0" w:type="dxa"/>
              <w:bottom w:w="0" w:type="dxa"/>
              <w:right w:w="0" w:type="dxa"/>
            </w:tcMar>
            <w:vAlign w:val="center"/>
          </w:tcPr>
          <w:p>
            <w:pPr>
              <w:pStyle w:val="TableContents"/>
              <w:bidi w:val="0"/>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Audit and Risk Committee</w:t>
            </w:r>
          </w:p>
          <w:p>
            <w:pPr>
              <w:pStyle w:val="TableContents"/>
              <w:bidi w:val="0"/>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 xml:space="preserve">COMMITTEE MEMBERS: </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Thomas M. Schoewe* (chair)</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Marianne C. Brown </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Ann M. Fudge</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Kimberly A. Ross*</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James S. Turley* </w:t>
            </w:r>
          </w:p>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Mark A. Welsh III</w:t>
            </w:r>
          </w:p>
          <w:p>
            <w:pPr>
              <w:pStyle w:val="TableContents"/>
              <w:bidi w:val="0"/>
              <w:spacing w:lineRule="auto" w:line="288" w:before="0" w:after="240"/>
              <w:jc w:val="left"/>
              <w:rPr/>
            </w:pPr>
            <w:r>
              <w:rPr>
                <w:rFonts w:ascii="Futura Std Book;sans-serif" w:hAnsi="Futura Std Book;sans-serif"/>
                <w:b w:val="false"/>
                <w:color w:val="000000"/>
                <w:sz w:val="18"/>
              </w:rPr>
              <w:t xml:space="preserve">Number of meetings in 2024: </w:t>
            </w:r>
            <w:r>
              <w:rPr>
                <w:rFonts w:ascii="Futura Std Book;sans-serif" w:hAnsi="Futura Std Book;sans-serif"/>
                <w:b/>
                <w:color w:val="29378D"/>
                <w:sz w:val="18"/>
              </w:rPr>
              <w:t>9</w:t>
            </w:r>
          </w:p>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  Qualifies as Audit Committee Financial Expert; all members are financially literate.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79"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734695"/>
                <wp:effectExtent l="0" t="0" r="0" b="0"/>
                <wp:wrapNone/>
                <wp:docPr id="225" name="Frame3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tbl>
      <w:tblPr>
        <w:tblW w:w="10205" w:type="dxa"/>
        <w:jc w:val="left"/>
        <w:tblInd w:w="0" w:type="dxa"/>
        <w:tblLayout w:type="fixed"/>
        <w:tblCellMar>
          <w:top w:w="28" w:type="dxa"/>
          <w:left w:w="28" w:type="dxa"/>
          <w:bottom w:w="28" w:type="dxa"/>
          <w:right w:w="28" w:type="dxa"/>
        </w:tblCellMar>
      </w:tblPr>
      <w:tblGrid>
        <w:gridCol w:w="949"/>
        <w:gridCol w:w="835"/>
        <w:gridCol w:w="837"/>
        <w:gridCol w:w="109"/>
        <w:gridCol w:w="109"/>
        <w:gridCol w:w="109"/>
        <w:gridCol w:w="2124"/>
        <w:gridCol w:w="2124"/>
        <w:gridCol w:w="3009"/>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r>
      <w:tr>
        <w:trPr/>
        <w:tc>
          <w:tcPr>
            <w:tcW w:w="2621" w:type="dxa"/>
            <w:gridSpan w:val="3"/>
            <w:tcBorders>
              <w:top w:val="single" w:sz="56" w:space="0" w:color="29378D"/>
            </w:tcBorders>
            <w:shd w:fill="ECEC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overseeing the Company’s compensation and human capital-related policies and practices, including by: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overseeing and reviewing at least annually a risk assessment of the Company’s compensation programs, ensuring, among other factors, that compensation appropriately reflects Company priorities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approving the compensation for elected officers (other than the Chief Executive Officer, whose compensation is recommended by the Committee and approved or ratified by all the independent directors)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reviewing incentive and equity compensation plans (including performance metrics under such plans), approving financial and non-financial metrics, and approving payments or grants under these plans for elected officers (other than the Chief Executive Officer, whose payments or grants are recommended by the Committee and approved by all the independent directors)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recommending for approval compensation for the non-employee directors, after consultation with the independent compensation consultant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overseeing and reviewing the Company’s management of its human capital risk, including risks related to talent acquisition and retention</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overseeing and reviewing the Company’s policies and practices with respect to employee experience and engagement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conducting an annual evaluation of the compensation consultant and reporting results of the evaluation to the Board</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preparing a Compensation and Human Capital Committee Report for inclusion in the Company's proxy statement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establishing stock ownership guidelines and reviewing ownership levels on an annual basis</w:t>
            </w:r>
          </w:p>
        </w:tc>
      </w:tr>
      <w:tr>
        <w:trPr/>
        <w:tc>
          <w:tcPr>
            <w:tcW w:w="2621" w:type="dxa"/>
            <w:gridSpan w:val="3"/>
            <w:tcBorders/>
            <w:shd w:fill="ECECEC" w:val="clear"/>
            <w:tcMar>
              <w:top w:w="0" w:type="dxa"/>
              <w:left w:w="0" w:type="dxa"/>
              <w:bottom w:w="0" w:type="dxa"/>
              <w:right w:w="0" w:type="dxa"/>
            </w:tcMar>
            <w:vAlign w:val="center"/>
          </w:tcPr>
          <w:p>
            <w:pPr>
              <w:pStyle w:val="TableContents"/>
              <w:bidi w:val="0"/>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Compensation and Human Capital Committee</w:t>
            </w:r>
          </w:p>
          <w:p>
            <w:pPr>
              <w:pStyle w:val="TableContents"/>
              <w:bidi w:val="0"/>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COMMITTEE MEMBERS:</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David P. Abney (chair)</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Madeleine A. Kleiner </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Arvind Krishna</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Graham N. Robinson</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Gary Roughead</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Mary A. Winston</w:t>
            </w:r>
          </w:p>
          <w:p>
            <w:pPr>
              <w:pStyle w:val="TableContents"/>
              <w:bidi w:val="0"/>
              <w:spacing w:before="0" w:after="120"/>
              <w:jc w:val="left"/>
              <w:rPr/>
            </w:pPr>
            <w:r>
              <w:rPr/>
            </w:r>
          </w:p>
          <w:p>
            <w:pPr>
              <w:pStyle w:val="TableContents"/>
              <w:bidi w:val="0"/>
              <w:spacing w:lineRule="auto" w:line="288" w:before="0" w:after="120"/>
              <w:jc w:val="left"/>
              <w:rPr/>
            </w:pPr>
            <w:r>
              <w:rPr>
                <w:rFonts w:ascii="Futura Std Book;sans-serif" w:hAnsi="Futura Std Book;sans-serif"/>
                <w:b w:val="false"/>
                <w:color w:val="000000"/>
                <w:sz w:val="18"/>
              </w:rPr>
              <w:t xml:space="preserve">Number of meetings in 2024: </w:t>
            </w:r>
            <w:r>
              <w:rPr>
                <w:rFonts w:ascii="Futura Std Book;sans-serif" w:hAnsi="Futura Std Book;sans-serif"/>
                <w:b/>
                <w:color w:val="29378D"/>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21"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Compensation and Human Capital Committee Interlocks and Insider Participation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During 2024, Ms. Kleiner, Ms. Winston and Messrs. Abney, Krishna, Robinson and Roughead served as members of the Compensation and Human Capital Committee. During 2024, no member of the Compensation and Human Capital Committee had a relationship with the Company or any of our subsidiaries, other than as directors and shareholders, and no member was an officer or employee of the Company or any of our subsidiaries, a participant in a related person transaction or an executive officer of another entity, where one of our executive officers serves on the board of directors that would constitute a related person transaction or raise concerns of a compensation committee interlock.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554990"/>
                <wp:effectExtent l="0" t="0" r="0" b="0"/>
                <wp:wrapNone/>
                <wp:docPr id="226" name="Frame3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tbl>
      <w:tblPr>
        <w:tblW w:w="10205" w:type="dxa"/>
        <w:jc w:val="left"/>
        <w:tblInd w:w="0" w:type="dxa"/>
        <w:tblLayout w:type="fixed"/>
        <w:tblCellMar>
          <w:top w:w="28" w:type="dxa"/>
          <w:left w:w="28" w:type="dxa"/>
          <w:bottom w:w="28" w:type="dxa"/>
          <w:right w:w="28" w:type="dxa"/>
        </w:tblCellMar>
      </w:tblPr>
      <w:tblGrid>
        <w:gridCol w:w="1002"/>
        <w:gridCol w:w="880"/>
        <w:gridCol w:w="882"/>
        <w:gridCol w:w="109"/>
        <w:gridCol w:w="109"/>
        <w:gridCol w:w="109"/>
        <w:gridCol w:w="2082"/>
        <w:gridCol w:w="2082"/>
        <w:gridCol w:w="2950"/>
      </w:tblGrid>
      <w:tr>
        <w:trPr/>
        <w:tc>
          <w:tcPr>
            <w:tcW w:w="10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op w:val="single" w:sz="56" w:space="0" w:color="29378D"/>
            </w:tcBorders>
            <w:shd w:fill="ECEC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4" w:type="dxa"/>
            <w:gridSpan w:val="3"/>
            <w:vMerge w:val="restart"/>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overseeing the Company’s corporate governance policies and practices, including by:</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overseeing and reviewing the Company’s management of governance-related risks, including the risks related to corporate culture</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assisting the Board in ensuring a comprehensive and effective framework for Board oversight</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regularly reviewing the Company’s corporate governance policies and practices, including the Company’s bylaws, charter and other corporate governance documents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regularly reviewing and considering corporate governance developments, emerging trends and best practices and recommending changes to the Board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reviewing and making recommendations to the Board with respect to the corporate governance section of the proxy statement, including proposed responses to any shareholder proposals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meeting with shareholders and proxy advisory groups, as needed, to discuss issues of corporate governance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regularly reviewing and making recommendations to the Board regarding the composition and size of the Board and the criteria for Board membership, which should include, among other things, skills, diverse perspectives and experiences, engagement and integrity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providing effective Board succession planning, identifying and recommending to the Board qualified potential candidates to serve on the Board and its committees, including candidates who are recommended by the shareholders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reviewing and determining whether a director’s service on another board or elsewhere is likely to interfere with the director’s duties and responsibilities as a member of the Board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developing, recommending to the Board, and overseeing implementation of a robust annual performance evaluation process that includes an evaluation of each individual director, each committee and of the full Board's performance</w:t>
            </w:r>
          </w:p>
        </w:tc>
      </w:tr>
      <w:tr>
        <w:trPr/>
        <w:tc>
          <w:tcPr>
            <w:tcW w:w="2764" w:type="dxa"/>
            <w:gridSpan w:val="3"/>
            <w:tcBorders/>
            <w:shd w:fill="ECECEC" w:val="clear"/>
            <w:tcMar>
              <w:top w:w="0" w:type="dxa"/>
              <w:left w:w="0" w:type="dxa"/>
              <w:bottom w:w="0" w:type="dxa"/>
              <w:right w:w="0" w:type="dxa"/>
            </w:tcMar>
            <w:vAlign w:val="center"/>
          </w:tcPr>
          <w:p>
            <w:pPr>
              <w:pStyle w:val="TableContents"/>
              <w:bidi w:val="0"/>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Nominating and Corporate Governance Committee</w:t>
            </w:r>
          </w:p>
          <w:p>
            <w:pPr>
              <w:pStyle w:val="TableContents"/>
              <w:bidi w:val="0"/>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COMMITTEE MEMBERS:</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Marianne C. Brown (chair)</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David P. Abney</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Madeleine A. Kleiner</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Thomas M. Schoewe</w:t>
            </w:r>
          </w:p>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James S. Turley</w:t>
            </w:r>
          </w:p>
          <w:p>
            <w:pPr>
              <w:pStyle w:val="TableContents"/>
              <w:bidi w:val="0"/>
              <w:spacing w:lineRule="auto" w:line="288" w:before="0" w:after="120"/>
              <w:jc w:val="left"/>
              <w:rPr/>
            </w:pPr>
            <w:r>
              <w:rPr>
                <w:rFonts w:ascii="Futura Std Book;sans-serif" w:hAnsi="Futura Std Book;sans-serif"/>
                <w:b w:val="false"/>
                <w:color w:val="000000"/>
                <w:sz w:val="18"/>
              </w:rPr>
              <w:t xml:space="preserve">Number of meetings in 2024: </w:t>
            </w:r>
            <w:r>
              <w:rPr>
                <w:rFonts w:ascii="Futura Std Book;sans-serif" w:hAnsi="Futura Std Book;sans-serif"/>
                <w:b/>
                <w:color w:val="29378D"/>
                <w:sz w:val="18"/>
              </w:rPr>
              <w:t>5</w:t>
            </w:r>
          </w:p>
          <w:p>
            <w:pPr>
              <w:pStyle w:val="TableContents"/>
              <w:bidi w:val="0"/>
              <w:spacing w:before="0" w:after="120"/>
              <w:jc w:val="left"/>
              <w:rPr/>
            </w:pPr>
            <w:r>
              <w:rPr/>
            </w:r>
          </w:p>
          <w:p>
            <w:pPr>
              <w:pStyle w:val="TableContents"/>
              <w:bidi w:val="0"/>
              <w:spacing w:before="0" w:after="120"/>
              <w:jc w:val="left"/>
              <w:rPr/>
            </w:pPr>
            <w:r>
              <w:rPr/>
            </w:r>
          </w:p>
          <w:p>
            <w:pPr>
              <w:pStyle w:val="TableContents"/>
              <w:bidi w:val="0"/>
              <w:spacing w:before="0" w:after="120"/>
              <w:jc w:val="left"/>
              <w:rPr/>
            </w:pPr>
            <w:r>
              <w:rPr/>
            </w:r>
          </w:p>
          <w:p>
            <w:pPr>
              <w:pStyle w:val="TableContents"/>
              <w:bidi w:val="0"/>
              <w:spacing w:before="0" w:after="120"/>
              <w:jc w:val="left"/>
              <w:rPr/>
            </w:pPr>
            <w:r>
              <w:rPr/>
            </w:r>
          </w:p>
          <w:p>
            <w:pPr>
              <w:pStyle w:val="TableContents"/>
              <w:bidi w:val="0"/>
              <w:spacing w:before="0" w:after="1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64"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1"/>
        <w:gridCol w:w="589"/>
        <w:gridCol w:w="592"/>
        <w:gridCol w:w="109"/>
        <w:gridCol w:w="109"/>
        <w:gridCol w:w="109"/>
        <w:gridCol w:w="2349"/>
        <w:gridCol w:w="2349"/>
        <w:gridCol w:w="3328"/>
      </w:tblGrid>
      <w:tr>
        <w:trPr/>
        <w:tc>
          <w:tcPr>
            <w:tcW w:w="67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1852" w:type="dxa"/>
            <w:gridSpan w:val="3"/>
            <w:tcBorders>
              <w:top w:val="single" w:sz="56" w:space="0" w:color="29378D"/>
            </w:tcBorders>
            <w:shd w:fill="ECEC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Futura Std Book;sans-serif" w:hAnsi="Futura Std Book;sans-serif"/>
                <w:b/>
                <w:color w:val="000000"/>
                <w:sz w:val="18"/>
              </w:rPr>
            </w:pPr>
            <w:r>
              <w:rPr>
                <w:rFonts w:ascii="Futura Std Book;sans-serif" w:hAnsi="Futura Std Book;sans-serif"/>
                <w:b/>
                <w:color w:val="000000"/>
                <w:sz w:val="18"/>
              </w:rPr>
              <w:t>ROLES AND RESPONSIBILITIES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Assist the Board in reviewing policy, government relations and corporate responsibility, including by:</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reviewing and providing input on select global security, political, budgetary, technological and other similar issues and trends that could significantly impact the Company’s business activities and performance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reviewing and providing oversight of the Company’s sustainability and environmental policies and programs (including climate change, net-zero, water and waste reduction, and other environmental initiatives and matters), and reviewing with the Company’s Chief Sustainability Officer at least annually the status of such programs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reviewing and providing oversight of the Company’s policies supporting human rights and health and safety, and receiving reports from the Company’s General Counsel (or her delegate) on the Company’s Human Rights Working Group</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reviewing and providing oversight over the Company’s policies and programs for corporate social responsibility, including community relations programs and support of charitable organizations</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 xml:space="preserve">reviewing the Company’s communications strategy </w:t>
            </w:r>
          </w:p>
          <w:p>
            <w:pPr>
              <w:pStyle w:val="TableContents"/>
              <w:bidi w:val="0"/>
              <w:spacing w:lineRule="auto" w:line="288" w:before="60" w:after="60"/>
              <w:ind w:left="0" w:right="0" w:hanging="216"/>
              <w:jc w:val="left"/>
              <w:rPr/>
            </w:pPr>
            <w:r>
              <w:rPr>
                <w:color w:val="29378D"/>
              </w:rPr>
              <w:t>•</w:t>
            </w:r>
            <w:r>
              <w:rPr>
                <w:rFonts w:ascii="Futura Std Book;sans-serif" w:hAnsi="Futura Std Book;sans-serif"/>
                <w:b w:val="false"/>
                <w:color w:val="000000"/>
                <w:sz w:val="18"/>
              </w:rPr>
              <w:t>reviewing the Company’s government relations strategy and providing oversight of the governance and compliance of the political action committee and policies and practices with respect to political contributions</w:t>
            </w:r>
          </w:p>
        </w:tc>
      </w:tr>
      <w:tr>
        <w:trPr/>
        <w:tc>
          <w:tcPr>
            <w:tcW w:w="1852" w:type="dxa"/>
            <w:gridSpan w:val="3"/>
            <w:tcBorders/>
            <w:shd w:fill="ECECEC" w:val="clear"/>
            <w:tcMar>
              <w:top w:w="0" w:type="dxa"/>
              <w:left w:w="0" w:type="dxa"/>
              <w:bottom w:w="0" w:type="dxa"/>
              <w:right w:w="0" w:type="dxa"/>
            </w:tcMar>
            <w:vAlign w:val="center"/>
          </w:tcPr>
          <w:p>
            <w:pPr>
              <w:pStyle w:val="TableContents"/>
              <w:bidi w:val="0"/>
              <w:spacing w:lineRule="auto" w:line="288" w:before="0" w:after="240"/>
              <w:jc w:val="left"/>
              <w:rPr>
                <w:rFonts w:ascii="Futura Std Book;sans-serif" w:hAnsi="Futura Std Book;sans-serif"/>
                <w:b w:val="false"/>
                <w:color w:val="29378D"/>
                <w:sz w:val="26"/>
              </w:rPr>
            </w:pPr>
            <w:r>
              <w:rPr>
                <w:rFonts w:ascii="Futura Std Book;sans-serif" w:hAnsi="Futura Std Book;sans-serif"/>
                <w:b w:val="false"/>
                <w:color w:val="29378D"/>
                <w:sz w:val="26"/>
              </w:rPr>
              <w:t>Policy Committee</w:t>
            </w:r>
          </w:p>
          <w:p>
            <w:pPr>
              <w:pStyle w:val="TableContents"/>
              <w:bidi w:val="0"/>
              <w:spacing w:lineRule="auto" w:line="288" w:before="0" w:after="120"/>
              <w:jc w:val="left"/>
              <w:rPr>
                <w:rFonts w:ascii="Futura Std Book;sans-serif" w:hAnsi="Futura Std Book;sans-serif"/>
                <w:b/>
                <w:color w:val="000000"/>
                <w:sz w:val="16"/>
              </w:rPr>
            </w:pPr>
            <w:r>
              <w:rPr>
                <w:rFonts w:ascii="Futura Std Book;sans-serif" w:hAnsi="Futura Std Book;sans-serif"/>
                <w:b/>
                <w:color w:val="000000"/>
                <w:sz w:val="16"/>
              </w:rPr>
              <w:t>COMMITTEE MEMBERS:</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Gary Roughead (chair)</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Ann M. Fudge</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Arvind Krishna</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Graham N. Robinson</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Kimberly A. Ross</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Mark A. Welsh III</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Mary A. Winston</w:t>
            </w:r>
          </w:p>
          <w:p>
            <w:pPr>
              <w:pStyle w:val="TableContents"/>
              <w:bidi w:val="0"/>
              <w:spacing w:before="0" w:after="120"/>
              <w:jc w:val="left"/>
              <w:rPr/>
            </w:pPr>
            <w:r>
              <w:rPr/>
            </w:r>
          </w:p>
          <w:p>
            <w:pPr>
              <w:pStyle w:val="TableContents"/>
              <w:bidi w:val="0"/>
              <w:spacing w:lineRule="auto" w:line="288" w:before="0" w:after="60"/>
              <w:jc w:val="left"/>
              <w:rPr/>
            </w:pPr>
            <w:r>
              <w:rPr>
                <w:rFonts w:ascii="Futura Std Book;sans-serif" w:hAnsi="Futura Std Book;sans-serif"/>
                <w:b w:val="false"/>
                <w:color w:val="000000"/>
                <w:sz w:val="18"/>
              </w:rPr>
              <w:t xml:space="preserve">Number of meetings in 2024: </w:t>
            </w:r>
            <w:r>
              <w:rPr>
                <w:rFonts w:ascii="Futura Std Book;sans-serif" w:hAnsi="Futura Std Book;sans-serif"/>
                <w:b/>
                <w:color w:val="29378D"/>
                <w:sz w:val="18"/>
              </w:rPr>
              <w:t>4</w:t>
            </w:r>
          </w:p>
          <w:p>
            <w:pPr>
              <w:pStyle w:val="TableContents"/>
              <w:bidi w:val="0"/>
              <w:spacing w:before="0" w:after="0"/>
              <w:jc w:val="left"/>
              <w:rPr/>
            </w:pPr>
            <w:r>
              <w:rPr/>
            </w:r>
          </w:p>
          <w:p>
            <w:pPr>
              <w:pStyle w:val="TableContents"/>
              <w:bidi w:val="0"/>
              <w:spacing w:before="0" w:after="0"/>
              <w:ind w:left="0" w:right="0" w:hanging="216"/>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2" w:type="dxa"/>
            <w:gridSpan w:val="3"/>
            <w:tcBorders/>
            <w:shd w:fill="ECEC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734695"/>
                <wp:effectExtent l="0" t="0" r="0" b="0"/>
                <wp:wrapNone/>
                <wp:docPr id="227" name="Frame3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 xml:space="preserve">Board Meetings and Executive Sessions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meets no fewer than nine times each year (including via telephonic meetings). Special meetings of the Board may be called from time to time as appropriate. On an annual basis, the Board holds an extended meeting to review our long-term strategy.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Board often holds its meetings at Company locations other than our corporate headquarters to provide the directors with a first-hand view of different elements of our business and an opportunity to interact with local management and employees at various levels.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meets in executive session (with the directors only and then with the independent directors only) following each in-person Board meeting and on other occasions as needed. The Lead Independent Director presides over the executive sessions of the independent directors. The Audit and Risk Committee meets in executive session at least four times each year, and regularly requests separate executive sessions with representatives of our independent auditor and our senior management, including our Chief Financial Officer, General Counsel and our Vice President, Internal Audit. The Compensation and Human Capital Committee also meets in executive session from time to time and regularly receives a report from the Compensation and Human Capital Committee’s independent compensation consultant. The Nominating and Corporate Governance and Policy Committees also meet in executive session as they deem necessary.</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Meeting Attendance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2024, the Board held nine meetings. Each director serving in 2024 attended 75% or more of the meetings of the Board and the committees on which he or she served during 2024, with the average attendance for all Board and committee meetings being over 97%. Board members are expected to attend each annual meeting, except where the failure to attend is due to unavoidable circumstances. All of our directors attended our 2024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Director Orientation and Continuing Education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comprehensive director orientation, continuing education initiatives and site visits help strengthen our Board's oversight function by ensuring that each of our directors have a deep understanding of our Company, our shareholders and the trends that impact our business.</w:t>
      </w:r>
    </w:p>
    <w:tbl>
      <w:tblPr>
        <w:tblW w:w="10205" w:type="dxa"/>
        <w:jc w:val="left"/>
        <w:tblInd w:w="0" w:type="dxa"/>
        <w:tblLayout w:type="fixed"/>
        <w:tblCellMar>
          <w:top w:w="28" w:type="dxa"/>
          <w:left w:w="28" w:type="dxa"/>
          <w:bottom w:w="28" w:type="dxa"/>
          <w:right w:w="28" w:type="dxa"/>
        </w:tblCellMar>
      </w:tblPr>
      <w:tblGrid>
        <w:gridCol w:w="591"/>
        <w:gridCol w:w="519"/>
        <w:gridCol w:w="521"/>
        <w:gridCol w:w="2507"/>
        <w:gridCol w:w="2507"/>
        <w:gridCol w:w="3560"/>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NEW DIRECTOR</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ORIENTATION</w:t>
            </w:r>
          </w:p>
        </w:tc>
        <w:tc>
          <w:tcPr>
            <w:tcW w:w="8574"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All new directors to the Board receive in-person orientation and training that is individually tailored, taking into account the director’s experience, background, education and committee assignments. The orientation program is led by members of senior management and covers a review of our strategy and operating plans, financial statements, corporate governance and key policies and practices, as well as the roles and responsibilities of our directors.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All directors receive regular in-person training regarding our Company policies and procedures, including the Standards of Business Conduct, and broad exposure to our operations and teams. Members of senior management review with the Board the operating plan for each of our business sectors and the Company as a whole.</w:t>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CONTINUING</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DIRECTOR EDUCATION</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AND SITE VISITS</w:t>
            </w:r>
          </w:p>
        </w:tc>
        <w:tc>
          <w:tcPr>
            <w:tcW w:w="8574"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Directors attend outside director and other continuing education programs to assist them in staying current on developments in corporate governance, our industry, the global environment and issues critical to the operation of public company boards.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Board also conducts periodic site visits to our facilities as part of its regularly scheduled Board meetings, and during “Sector Days,” when our directors visit our business operations to meet with local employees and management. These visits allow directors to interact with a broader group of our executives and employees and gain firsthand insights into our operations.</w:t>
            </w:r>
          </w:p>
        </w:tc>
      </w:tr>
      <w:tr>
        <w:trPr/>
        <w:tc>
          <w:tcPr>
            <w:tcW w:w="1631"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554990"/>
                <wp:effectExtent l="0" t="0" r="0" b="0"/>
                <wp:wrapNone/>
                <wp:docPr id="228" name="Frame4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 xml:space="preserve">Director Independence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and the Nominating and Corporate Governance Committee annually review the relevant relationships or arrangements between the Company and our directors or parties related to the directors in determining whether such directors are independent. No director is considered independent unless the Board has determined that the director meets the independence requirements under applicable New York Stock Exchange (NYSE) and SEC rules and under our categorical independence standards, which are described in our Principles of Corporate Governance. For a director to be considered independent, the Board must determine that a director has no material relationship with the Company other than as a director.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Our Principles of Corporate Governance provide that a director may be found not to qualify as an independent director if the director: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has within the prior three years been a director, executive officer or trustee of a charitable organization that received annual contributions from the Company exceeding the greater of $1 million or 2% of the charitable organization’s annual gross revenues, where the gifts were not normal matching charitable gifts, did not go through normal corporate charitable donation approval processes or were made “on behalf of” a director;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has, or has an immediate family member who has, within the prior three years been employed by, a partner in or otherwise affiliated with any law firm or investment bank in which the director’s or the immediate family member’s compensation was contingent on the services performed for the Company or in which the director or the immediate family member personally performed services for the Company and the annual fees paid by the Company during the preceding fiscal year exceeded the greater of $1 million or 2% of the gross annual revenues of such firm; or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has, or has an immediate family member who has, within the prior three years owned, either directly or indirectly as a partner, shareholder or officer of another company, more than 5% of the equity of an organization that has a material business relationship with (including as a significant purchaser or supplier of goods or services), or more than 5% ownership in, the Company.</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Independence Determination</w:t>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In connection with their annual independence review, the Board and Nominating and Corporate Governance Committee considered certain relationships with organizations to which we have made payments or from which we have received payments in the usual course of our business in 2024. The Board of Directors considered that Mr. Abney, Ms. Brown, Ms. Fudge, Mr. Krishna, Mr. Robinson, Ms. Ross, Adm. Roughead, Mr. Schoewe, Mr. Turley, Gen. Welsh and Ms. Winston served as members of the board of directors or trustees and/or employees or executive officers of companies with which we do business or have made payments in the ordinary course.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of Directors considered that Ms. Ross, Adm. Roughead and Mr. Turley served as members of the boards of organizations to which the Company made contributions during 2024 in the usual course of our charitable contributions program, or in connection with our matching gifts program (which limits the contributions to $10,000 per year per director). The amounts paid were below the applicable thresholds under NYSE rules and our Principles of Corporate Governance.</w:t>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Following its review and the recommendation of the Nominating and Corporate Governance Committee, the Board affirmatively determined that all of the directors, except Ms. Warden, are independent. The independent directors constitute approximately 92% of the members of our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734695"/>
                <wp:effectExtent l="0" t="0" r="0" b="0"/>
                <wp:wrapNone/>
                <wp:docPr id="229" name="Frame4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38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pPr>
      <w:r>
        <w:rPr>
          <w:rFonts w:ascii="Futura Std Book;sans-serif" w:hAnsi="Futura Std Book;sans-serif"/>
          <w:b/>
          <w:color w:val="000000"/>
          <w:sz w:val="36"/>
        </w:rPr>
        <w:t>Our Culture</w:t>
      </w:r>
      <w:r>
        <w:rPr>
          <w:color w:val="29378D"/>
        </w:rPr>
        <w:t xml:space="preserv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strong culture — founded on our values; reflecting our commitment to ethics and integrity; enabling our employees to feel respected, included, and that they belong so they can perform at their best; and focused on enduring performance, innovation, agility and accountability — enables our success and long-term sustainable growth. Culture is critical to who we are and how we do business. Our values guide our Company and provide the foundation for our culture. Our culture is critical to our ability to do business, to attract and retain talent, to perform, to earn trust, to serve our customers and to deliver long-term value for our shareholders. Our entire Company shares the responsibility to maintain and enhance it.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are proud of our long-standing service to our communities and the progress we have driven across the various aspects of sustainability. Corporate responsibility and sustainability help us drive long-term value creation for our shareholders, customers, employees and suppliers, and the communities we serve.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Management establishes and reinforces the Company’s culture, and our Board is actively engaged in providing oversight. The Board is committed to sustaining and enhancing the Company’s strong culture. For example: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Company conducts an annual employee experience survey, which gives our employees the opportunity to provide feedback on our Company culture and the environment that enables their success. This survey is managed by a third-party vendor to encourage candor and solicit feedback on many aspects of the employee experience, including ethical climate, career development, enablement, team culture, manager effectiveness, belonging and well-being. The results of this survey are reported to and discussed with the full Board annually.</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Board meets regularly with employees at all levels to reaffirm the health of our culture. The Board meets with employees during site visits that are a critical part of Board meetings, and also during “Sector Days,” when our directors visit the operations across our four business sectors.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Members of our Board often share their time by generously participating as speakers in Company leadership programs.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Board’s committees oversee elements of the Company’s culture associated with their respective area of responsibility. For example:</w:t>
      </w:r>
    </w:p>
    <w:p>
      <w:pPr>
        <w:pStyle w:val="TextBody"/>
        <w:bidi w:val="0"/>
        <w:spacing w:lineRule="auto" w:line="276" w:before="0" w:after="0"/>
        <w:ind w:left="0" w:right="0" w:hanging="216"/>
        <w:jc w:val="left"/>
        <w:rPr/>
      </w:pPr>
      <w:r>
        <w:rPr>
          <w:color w:val="29378D"/>
        </w:rPr>
        <w:t>•</w:t>
      </w:r>
      <w:r>
        <w:rPr>
          <w:rFonts w:ascii="Futura Std Book;sans-serif" w:hAnsi="Futura Std Book;sans-serif"/>
          <w:b w:val="false"/>
          <w:color w:val="000000"/>
          <w:sz w:val="18"/>
        </w:rPr>
        <w:t>The Audit and Risk Committee reviews and discusses the Company’s global compliance programs and policies with our General Counsel and CECO, including the Company’s Standards of Business Conduct and related business conduct policies, and the tone set by leaders throughout the organization, and they meet periodically with our CECO to receive a report on matters that are communicated through the Company's OpenLine reporting system.</w:t>
      </w:r>
    </w:p>
    <w:p>
      <w:pPr>
        <w:pStyle w:val="TextBody"/>
        <w:bidi w:val="0"/>
        <w:spacing w:lineRule="auto" w:line="288" w:before="120" w:after="120"/>
        <w:ind w:left="0" w:right="0" w:hanging="216"/>
        <w:jc w:val="left"/>
        <w:rPr/>
      </w:pPr>
      <w:r>
        <w:rPr>
          <w:color w:val="29378D"/>
        </w:rPr>
        <w:t>•</w:t>
      </w:r>
      <w:r>
        <w:rPr>
          <w:rFonts w:ascii="Futura Std Book;sans-serif" w:hAnsi="Futura Std Book;sans-serif"/>
          <w:b w:val="false"/>
          <w:color w:val="000000"/>
          <w:sz w:val="18"/>
        </w:rPr>
        <w:t>The Compensation and Human Capital Committee reviews with the CHRO the Company’s human capital management, oversees policies and practices with respect to employee experience and engagement and reviews a risk assessment of the Company’s compensation programs.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Nominating and Corporate Governance Committee provides the Board oversight of the Company’s corporate culture and governance-related risks.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Policy Committee reviews and provides oversight of the Company's policies and programs with respect to sustainability and environmental matters, human rights, health and safety, and corporate social responsibility, including support of charitable organizations.</w:t>
      </w:r>
    </w:p>
    <w:p>
      <w:pPr>
        <w:pStyle w:val="TextBody"/>
        <w:bidi w:val="0"/>
        <w:spacing w:before="30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554990"/>
                <wp:effectExtent l="0" t="0" r="0" b="0"/>
                <wp:wrapNone/>
                <wp:docPr id="230" name="Frame4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Board Memberships and External Relationships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While the Company recognizes the importance of having directors with significant experience in other businesses and activities, directors are required to ensure that other commitments, including, for example, other board memberships, employment, partnerships and consulting arrangements, do not interfere with their duties and responsibilities as members of the Board. Under our Principles of Corporate Governance, directors are required to provide notice to the General Counsel prior to accepting an invitation to serve on the board of any other organization or agreeing to other new commitments that could interfere with their duties and responsibilities as a member of our Board. The General Counsel then advises the Chair of the Nominating and Corporate Governance Committee (or the Chair of the Board, if notice is from the Chair of the Nominating and Corporate Governance Committee) and the Lead Independent Director. Our policies provide that a director should not accept the new commitment until advised by the Chair of the Nominating and Corporate Governance Committee (or Chair of the Board, as appropriate) that such engagement will not unacceptably create conflicts of interest or regulatory issues, conflict with Company policies or otherwise interfere with the director’s duties and responsibilities as a member of our Board. Directors are also required to promptly inform the General Counsel if an actual or potential conflict of interest arises, or they are concerned that a conflict may arise or circumstances exist that could otherwise interfere with their duties and responsibilities as a director. Directors are required to seek to avoid even an appearance of an improper conflict of interest.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Additionally, when a director’s principal occupation or business association changes substantially during his or her tenure as a director, our policies provide that the Board expects the director to tender his or her resignation for consideration by the Nominating and Corporate Governance Committee, which subsequently will recommend to the Board what action to take.</w:t>
      </w:r>
    </w:p>
    <w:tbl>
      <w:tblPr>
        <w:tblW w:w="10205" w:type="dxa"/>
        <w:jc w:val="left"/>
        <w:tblInd w:w="0" w:type="dxa"/>
        <w:tblLayout w:type="fixed"/>
        <w:tblCellMar>
          <w:top w:w="28" w:type="dxa"/>
          <w:left w:w="28" w:type="dxa"/>
          <w:bottom w:w="28" w:type="dxa"/>
          <w:right w:w="28" w:type="dxa"/>
        </w:tblCellMar>
      </w:tblPr>
      <w:tblGrid>
        <w:gridCol w:w="3263"/>
        <w:gridCol w:w="2867"/>
        <w:gridCol w:w="4075"/>
      </w:tblGrid>
      <w:tr>
        <w:trPr/>
        <w:tc>
          <w:tcPr>
            <w:tcW w:w="3263"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 xml:space="preserve">Director Overboarding </w:t>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regularly reviews the ability of our directors to devote the necessary time and resources to their service on the Board. At least annually, the Board considers the outside time commitments of all directors, including their service on other public company boards, as well as committee assignments and any leadership roles on those boards. Additionally, as part of the Board's annual self-assessment process, each non-employee director completes an individual director evaluation for each of the other non-employee directors. This evaluation includes an assessment as to whether each director commits sufficient time to the Board.</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Board seeks to ensure that each director has the time and ability to engage fully to fulfill their responsibilities to our Company, provide effective oversight and advance the long-term interests of our shareholders.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furtherance of this goal, our policies provide that independent directors may not serve on more than three other boards of publicly traded companies in addition to our Board, and a director who is a full-time employee of our Company may not serve on the board of more than one other public company, absent special approval.</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Further, as discussed above, the Board and the Nominating and Corporate Governance Committee also have a robust process for assessing whether a director’s service on another board could create conflicts or otherwise potentially interfere with their responsibilities as a Northrop Grumman director, before the director accepts service on such other board.</w:t>
            </w:r>
          </w:p>
          <w:p>
            <w:pPr>
              <w:pStyle w:val="TableContents"/>
              <w:bidi w:val="0"/>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 2024, the Board conducted its regular review of directors’ other commitments and determined each director was in compliance with applicable policies.</w:t>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734695"/>
                <wp:effectExtent l="0" t="0" r="0" b="0"/>
                <wp:wrapNone/>
                <wp:docPr id="231" name="Frame4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Annual Self-Assessment Process</w:t>
      </w:r>
    </w:p>
    <w:p>
      <w:pPr>
        <w:pStyle w:val="TextBody"/>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Each year, the Board conducts thorough self-assessment processes at each of the full Board level, within each committee, and at the individual director level. These processes are designed to ensure and enhance the effective operation of the Board. These evaluations also assist the Nominating and Corporate Governance Committee with its recommendation for directors to be renominated for election to the Board of Directors.</w:t>
      </w:r>
    </w:p>
    <w:tbl>
      <w:tblPr>
        <w:tblW w:w="10205" w:type="dxa"/>
        <w:jc w:val="left"/>
        <w:tblInd w:w="0" w:type="dxa"/>
        <w:tblLayout w:type="fixed"/>
        <w:tblCellMar>
          <w:top w:w="28" w:type="dxa"/>
          <w:left w:w="28" w:type="dxa"/>
          <w:bottom w:w="28" w:type="dxa"/>
          <w:right w:w="28" w:type="dxa"/>
        </w:tblCellMar>
      </w:tblPr>
      <w:tblGrid>
        <w:gridCol w:w="745"/>
        <w:gridCol w:w="653"/>
        <w:gridCol w:w="658"/>
        <w:gridCol w:w="2469"/>
        <w:gridCol w:w="2350"/>
        <w:gridCol w:w="3330"/>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BOARD</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EVALUATION</w:t>
            </w:r>
          </w:p>
        </w:tc>
        <w:tc>
          <w:tcPr>
            <w:tcW w:w="81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self-assessment of the full Board is overseen by the Nominating and Corporate Governance Committee. As part of this assessment, the Lead Independent Director and Chair of the Nominating and Corporate Governance Committee facilitate a broad discussion of Board performance, held in executive session. Among other topics, the Board considers:</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the Board’s effectiveness in evaluating and monitoring the Company’s business plan, long-term strategy and risks;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strategic and critical issues are being addressed by the Board in a timely manner;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the Board’s expectations and concerns are openly communicated to and discussed with the Chief Executive Officer;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there is adequate contact between the Board and members of senior management;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the directors collectively operate effectively as a Board;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the individual directors have the appropriate mix of attributes and skills to fulfill their duties as directors of the Company;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 xml:space="preserve">whether there are adequate opportunities to raise questions and comments on issues, both inside and outside of Board meetings; </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whether the Board has focused adequately on succession planning; and</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whether the Board is adequately responsive to shareholder communication.</w:t>
            </w:r>
          </w:p>
          <w:p>
            <w:pPr>
              <w:pStyle w:val="TableContents"/>
              <w:bidi w:val="0"/>
              <w:spacing w:lineRule="auto" w:line="273"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Following this review, the Board discusses the results and identifies opportunities for improvement, including any necessary steps to implement such improvements.</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COMMITTEE</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EVALUATION</w:t>
            </w:r>
          </w:p>
        </w:tc>
        <w:tc>
          <w:tcPr>
            <w:tcW w:w="81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Each of the Committees also conducts an annual self-assessment. During an executive session led by the Committee chair, each Committee considers, among other topics: whether the quality of participation and discussion at the Committee meetings is effective in facilitating the Committee’s fulfillment of its obligations under its charter; whether the Committee has sufficient opportunity to engage in strategic discussion; and whether the Committee is covering the right topics in the right amount of detail. Following this discussion, the Committee develops and implements a list of action items, as appropriate.</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 xml:space="preserve">INDIVIDUAL </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 xml:space="preserve">DIRECTOR </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EVALUATION</w:t>
            </w:r>
          </w:p>
        </w:tc>
        <w:tc>
          <w:tcPr>
            <w:tcW w:w="81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Also as part of the annual self-assessment process, each non-employee director completes an individual director evaluation for each of the other non-employee directors. These evaluations address various aspects of how each director contributes to the Board and serves our shareholders. The evaluation results are compiled and provided directly to the Chair, the Lead Independent Director and the Chair of the Nominating and Corporate Governance Committee. These assessments include, among other topics, each non-employee director’s:</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understanding of the Company’s overall business and risk profile and its significant financial opportunities and plans;</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engagement during meetings and ability to commit sufficient time to the Board;</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analysis of benefits and risks of courses of action considered by the Board; and</w:t>
            </w:r>
          </w:p>
          <w:p>
            <w:pPr>
              <w:pStyle w:val="TableContents"/>
              <w:bidi w:val="0"/>
              <w:spacing w:lineRule="auto" w:line="273" w:before="80" w:after="80"/>
              <w:ind w:left="0" w:right="0" w:hanging="216"/>
              <w:jc w:val="left"/>
              <w:rPr/>
            </w:pPr>
            <w:r>
              <w:rPr>
                <w:color w:val="29378D"/>
              </w:rPr>
              <w:t>•</w:t>
            </w:r>
            <w:r>
              <w:rPr>
                <w:rFonts w:ascii="Futura Std Book;sans-serif" w:hAnsi="Futura Std Book;sans-serif"/>
                <w:b w:val="false"/>
                <w:color w:val="000000"/>
                <w:sz w:val="18"/>
              </w:rPr>
              <w:t>appropriate respect for the views of other Board members.</w:t>
            </w:r>
          </w:p>
          <w:p>
            <w:pPr>
              <w:pStyle w:val="TableContents"/>
              <w:bidi w:val="0"/>
              <w:spacing w:lineRule="auto" w:line="273"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The Lead Independent Director or the Chair of the Nominating and Corporate Governance Committee meets with each non-employee director individually to discuss the results of his or her assessment, including comments provided by other non-employee directors, and opportunities for growth.</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SELF-ASSESSMENT</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FEEDBACK</w:t>
            </w:r>
          </w:p>
        </w:tc>
        <w:tc>
          <w:tcPr>
            <w:tcW w:w="8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Lead Independent Director or the Chair of the Nominating and Corporate Governance Committee reports generally on the overall results of these discussions to the Board in executive session. These evaluations also assist the Nominating and Corporate Governance Committee with its recommendation for directors to be renominated for election to the Board of Directors.</w:t>
            </w:r>
          </w:p>
        </w:tc>
      </w:tr>
      <w:tr>
        <w:trPr/>
        <w:tc>
          <w:tcPr>
            <w:tcW w:w="2056"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554990"/>
                <wp:effectExtent l="0" t="0" r="0" b="0"/>
                <wp:wrapNone/>
                <wp:docPr id="232" name="Frame4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Corporate Governance</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Succession Planning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believes that providing for strong and effective continuity of leadership is critical to the success of our Company. The Board commits significant resources to ongoing succession planning, with processes in place for the Board: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to evaluate the Chief Executive Officer annually based on a specific set of performance objectives;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to work with the Chief Executive Officer to support and ensure the development of potential succession candidates for the Chief Executive Officer and other leadership positions;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to discuss with the Chief Executive Officer annually an assessment of persons considered potential successors to various senior management positions;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robustly to consider, plan for and ensure successful transitions of leadership.</w:t>
      </w:r>
    </w:p>
    <w:p>
      <w:pPr>
        <w:pStyle w:val="TextBody"/>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Additionally, the Nominating and Corporate Governance Committee continuously assesses the composition of the Board and its future needs. The Committee regularly reviews the background, experience, engagement, skills, values and other attributes of current and potential future directors, considering the Company’s requirements for an effective Board and identifying potential current and future gaps.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Communications with the Board of Directors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Any interested person may communicate with any of our directors, our Board as a group, our non-employee directors as a group or our Lead Independent Director through the Corporate Secretary by writing to the following address: Office of the Corporate Secretary, Northrop Grumman Corporation, 2980 Fairview Park Drive, Falls Church, Virginia 22042. The Corporate Secretary will forward correspondence to the director or directors to whom it is addressed, except for job inquiries, surveys, business solicitations or advertisements and other inappropriate material. The Corporate Secretary may forward certain correspondence elsewhere within our Company for review and possible response.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has met with, and looks forward to the opportunity to meet with, interested shareholders to address concerns and to receive input.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Interested persons may also report any concerns relating to accounting matters, internal accounting controls or auditing matters to non-management directors (including anonymously) by writing to the Chair of the Audit and Risk Committee, Northrop Grumman Board of Directors c/o Corporate Ethics and Compliance Office, 2980 Fairview Park Drive, Falls Church, Virginia 22042.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734695"/>
                <wp:effectExtent l="0" t="0" r="0" b="0"/>
                <wp:wrapNone/>
                <wp:docPr id="233" name="Frame4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Compensation of Directors</w:t>
      </w:r>
    </w:p>
    <w:p>
      <w:pPr>
        <w:pStyle w:val="TextBody"/>
        <w:bidi w:val="0"/>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 May 2024, the Compensation and Human Capital Committee recommended to the Board, and the Board approved, the current non-employee director fee structure, effective May 15, 2024. The table below lists the annual fees payable to our non-employee directors from January 1, 2024 to May 15, 2024 under the prior fee structure and the annual fees payable under the current fee structure effective since May 15, 2024.</w:t>
      </w:r>
    </w:p>
    <w:tbl>
      <w:tblPr>
        <w:tblW w:w="6327" w:type="dxa"/>
        <w:jc w:val="center"/>
        <w:tblInd w:w="0" w:type="dxa"/>
        <w:tblLayout w:type="fixed"/>
        <w:tblCellMar>
          <w:top w:w="28" w:type="dxa"/>
          <w:left w:w="28" w:type="dxa"/>
          <w:bottom w:w="28" w:type="dxa"/>
          <w:right w:w="28" w:type="dxa"/>
        </w:tblCellMar>
      </w:tblPr>
      <w:tblGrid>
        <w:gridCol w:w="1217"/>
        <w:gridCol w:w="1073"/>
        <w:gridCol w:w="1084"/>
        <w:gridCol w:w="454"/>
        <w:gridCol w:w="454"/>
        <w:gridCol w:w="456"/>
        <w:gridCol w:w="465"/>
        <w:gridCol w:w="465"/>
        <w:gridCol w:w="659"/>
      </w:tblGrid>
      <w:tr>
        <w:trPr/>
        <w:tc>
          <w:tcPr>
            <w:tcW w:w="121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3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Amount ($)</w:t>
            </w:r>
          </w:p>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(1/1/24 - 5/15/24)</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Amount ($)</w:t>
            </w:r>
          </w:p>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(5/15/24 - 12/31/24)</w:t>
            </w:r>
          </w:p>
        </w:tc>
      </w:tr>
      <w:tr>
        <w:trPr/>
        <w:tc>
          <w:tcPr>
            <w:tcW w:w="337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Annual Cash Retainer</w:t>
            </w:r>
          </w:p>
        </w:tc>
        <w:tc>
          <w:tcPr>
            <w:tcW w:w="136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140,000</w:t>
            </w:r>
          </w:p>
        </w:tc>
        <w:tc>
          <w:tcPr>
            <w:tcW w:w="158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145,000</w:t>
            </w:r>
          </w:p>
        </w:tc>
      </w:tr>
      <w:tr>
        <w:trPr/>
        <w:tc>
          <w:tcPr>
            <w:tcW w:w="337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Lead Independent Director Retainer</w:t>
            </w:r>
          </w:p>
        </w:tc>
        <w:tc>
          <w:tcPr>
            <w:tcW w:w="13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50,000</w:t>
            </w:r>
          </w:p>
        </w:tc>
        <w:tc>
          <w:tcPr>
            <w:tcW w:w="158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50,000</w:t>
            </w:r>
          </w:p>
        </w:tc>
      </w:tr>
      <w:tr>
        <w:trPr/>
        <w:tc>
          <w:tcPr>
            <w:tcW w:w="337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Committee Chair Retainer</w:t>
            </w:r>
          </w:p>
        </w:tc>
        <w:tc>
          <w:tcPr>
            <w:tcW w:w="13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25,000</w:t>
            </w:r>
          </w:p>
        </w:tc>
        <w:tc>
          <w:tcPr>
            <w:tcW w:w="158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25,000</w:t>
            </w:r>
          </w:p>
        </w:tc>
      </w:tr>
      <w:tr>
        <w:trPr/>
        <w:tc>
          <w:tcPr>
            <w:tcW w:w="337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Audit and Risk Committee Retainer</w:t>
            </w:r>
          </w:p>
        </w:tc>
        <w:tc>
          <w:tcPr>
            <w:tcW w:w="13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15,000</w:t>
            </w:r>
          </w:p>
        </w:tc>
        <w:tc>
          <w:tcPr>
            <w:tcW w:w="1589"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15,000</w:t>
            </w:r>
          </w:p>
        </w:tc>
      </w:tr>
      <w:tr>
        <w:trPr/>
        <w:tc>
          <w:tcPr>
            <w:tcW w:w="337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Annual Equity Grant</w:t>
            </w:r>
          </w:p>
        </w:tc>
        <w:tc>
          <w:tcPr>
            <w:tcW w:w="136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0"/>
              <w:jc w:val="right"/>
              <w:rPr/>
            </w:pPr>
            <w:r>
              <w:rPr>
                <w:rFonts w:ascii="Futura Std Book;sans-serif" w:hAnsi="Futura Std Book;sans-serif"/>
                <w:b w:val="false"/>
                <w:color w:val="000000"/>
                <w:sz w:val="18"/>
              </w:rPr>
              <w:t>175,000</w:t>
            </w:r>
            <w:r>
              <w:rPr>
                <w:rFonts w:ascii="Futura Std Book;sans-serif" w:hAnsi="Futura Std Book;sans-serif"/>
                <w:b w:val="false"/>
                <w:color w:val="000000"/>
                <w:sz w:val="12"/>
              </w:rPr>
              <w:t>(1)</w:t>
            </w:r>
          </w:p>
        </w:tc>
        <w:tc>
          <w:tcPr>
            <w:tcW w:w="1589" w:type="dxa"/>
            <w:gridSpan w:val="3"/>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0"/>
              <w:jc w:val="right"/>
              <w:rPr/>
            </w:pPr>
            <w:r>
              <w:rPr>
                <w:rFonts w:ascii="Futura Std Book;sans-serif" w:hAnsi="Futura Std Book;sans-serif"/>
                <w:b w:val="false"/>
                <w:color w:val="000000"/>
                <w:sz w:val="18"/>
              </w:rPr>
              <w:t>182,500</w:t>
            </w:r>
            <w:r>
              <w:rPr>
                <w:rFonts w:ascii="Futura Std Book;sans-serif" w:hAnsi="Futura Std Book;sans-serif"/>
                <w:b w:val="false"/>
                <w:color w:val="000000"/>
                <w:sz w:val="12"/>
              </w:rPr>
              <w:t>(2)</w:t>
            </w:r>
          </w:p>
        </w:tc>
      </w:tr>
    </w:tbl>
    <w:p>
      <w:pPr>
        <w:pStyle w:val="TextBody"/>
        <w:bidi w:val="0"/>
        <w:spacing w:lineRule="auto" w:line="288" w:before="80" w:after="80"/>
        <w:ind w:left="0" w:right="0" w:hanging="360"/>
        <w:jc w:val="left"/>
        <w:rPr>
          <w:rFonts w:ascii="Futura Std Book;sans-serif" w:hAnsi="Futura Std Book;sans-serif"/>
          <w:b w:val="false"/>
          <w:color w:val="000000"/>
          <w:sz w:val="16"/>
        </w:rPr>
      </w:pPr>
      <w:r>
        <w:rPr>
          <w:rFonts w:ascii="Futura Std Book;sans-serif" w:hAnsi="Futura Std Book;sans-serif"/>
          <w:b w:val="false"/>
          <w:color w:val="000000"/>
          <w:sz w:val="16"/>
        </w:rPr>
        <w:t>(1)The annual equity grant is deferred into a stock unit account pursuant to the 2011 Long-Term Incentive Stock Plan (2011 Plan) as described below. The Northrop Grumman Corporation Equity Grant Program for Non-Employee Directors sets forth the terms and conditions of the equity awards granted to non-employee directors under the 2011 Plan.</w:t>
      </w:r>
    </w:p>
    <w:p>
      <w:pPr>
        <w:pStyle w:val="TextBody"/>
        <w:bidi w:val="0"/>
        <w:spacing w:lineRule="auto" w:line="268" w:before="0" w:after="0"/>
        <w:ind w:left="0" w:right="0" w:hanging="360"/>
        <w:jc w:val="left"/>
        <w:rPr>
          <w:rFonts w:ascii="Futura Std Book;sans-serif" w:hAnsi="Futura Std Book;sans-serif"/>
          <w:b w:val="false"/>
          <w:color w:val="000000"/>
          <w:sz w:val="16"/>
        </w:rPr>
      </w:pPr>
      <w:r>
        <w:rPr>
          <w:rFonts w:ascii="Futura Std Book;sans-serif" w:hAnsi="Futura Std Book;sans-serif"/>
          <w:b w:val="false"/>
          <w:color w:val="000000"/>
          <w:sz w:val="16"/>
        </w:rPr>
        <w:t>(2)The annual equity grant is deferred into a stock unit account pursuant to the 2024 Long-Term Incentive Stock Plan (2024 Plan) as described below. The Northrop Grumman Corporation Equity Grant Program for Non-Employee Directors (amended and restated effective May 15, 2024) sets forth the terms and conditions of the equity awards granted to non-employee directors under the 2024 Plan, including the timing of the 2024 grant made on July 31, 2024.</w:t>
      </w:r>
    </w:p>
    <w:p>
      <w:pPr>
        <w:pStyle w:val="TextBody"/>
        <w:bidi w:val="0"/>
        <w:spacing w:before="80" w:after="80"/>
        <w:jc w:val="left"/>
        <w:rPr/>
      </w:pPr>
      <w:r>
        <w:rPr/>
      </w:r>
    </w:p>
    <w:tbl>
      <w:tblPr>
        <w:tblW w:w="8276" w:type="dxa"/>
        <w:jc w:val="left"/>
        <w:tblInd w:w="0" w:type="dxa"/>
        <w:tblLayout w:type="fixed"/>
        <w:tblCellMar>
          <w:top w:w="28" w:type="dxa"/>
          <w:left w:w="28" w:type="dxa"/>
          <w:bottom w:w="28" w:type="dxa"/>
          <w:right w:w="28" w:type="dxa"/>
        </w:tblCellMar>
      </w:tblPr>
      <w:tblGrid>
        <w:gridCol w:w="1703"/>
        <w:gridCol w:w="1498"/>
        <w:gridCol w:w="1505"/>
        <w:gridCol w:w="1046"/>
        <w:gridCol w:w="1046"/>
        <w:gridCol w:w="1478"/>
      </w:tblGrid>
      <w:tr>
        <w:trPr/>
        <w:tc>
          <w:tcPr>
            <w:tcW w:w="170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 xml:space="preserve">Current Non-Employee Director Fees </w:t>
            </w:r>
          </w:p>
        </w:tc>
        <w:tc>
          <w:tcPr>
            <w:tcW w:w="35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0"/>
              </w:rPr>
            </w:pPr>
            <w:r>
              <w:rPr>
                <w:rFonts w:ascii="Futura Std Book;sans-serif" w:hAnsi="Futura Std Book;sans-serif"/>
                <w:b/>
                <w:color w:val="000000"/>
                <w:sz w:val="20"/>
              </w:rPr>
              <w:t>Current Additional Annual Fees</w:t>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924175" cy="1581150"/>
                  <wp:effectExtent l="0" t="0" r="0" b="0"/>
                  <wp:docPr id="234"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89" descr=""/>
                          <pic:cNvPicPr>
                            <a:picLocks noChangeAspect="1" noChangeArrowheads="1"/>
                          </pic:cNvPicPr>
                        </pic:nvPicPr>
                        <pic:blipFill>
                          <a:blip r:embed="rId190"/>
                          <a:stretch>
                            <a:fillRect/>
                          </a:stretch>
                        </pic:blipFill>
                        <pic:spPr bwMode="auto">
                          <a:xfrm>
                            <a:off x="0" y="0"/>
                            <a:ext cx="2924175" cy="1581150"/>
                          </a:xfrm>
                          <a:prstGeom prst="rect">
                            <a:avLst/>
                          </a:prstGeom>
                        </pic:spPr>
                      </pic:pic>
                    </a:graphicData>
                  </a:graphic>
                </wp:inline>
              </w:drawing>
            </w:r>
          </w:p>
        </w:tc>
        <w:tc>
          <w:tcPr>
            <w:tcW w:w="357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85975" cy="1733550"/>
                  <wp:effectExtent l="0" t="0" r="0" b="0"/>
                  <wp:docPr id="235"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90" descr=""/>
                          <pic:cNvPicPr>
                            <a:picLocks noChangeAspect="1" noChangeArrowheads="1"/>
                          </pic:cNvPicPr>
                        </pic:nvPicPr>
                        <pic:blipFill>
                          <a:blip r:embed="rId191"/>
                          <a:stretch>
                            <a:fillRect/>
                          </a:stretch>
                        </pic:blipFill>
                        <pic:spPr bwMode="auto">
                          <a:xfrm>
                            <a:off x="0" y="0"/>
                            <a:ext cx="2085975" cy="1733550"/>
                          </a:xfrm>
                          <a:prstGeom prst="rect">
                            <a:avLst/>
                          </a:prstGeom>
                        </pic:spPr>
                      </pic:pic>
                    </a:graphicData>
                  </a:graphic>
                </wp:inline>
              </w:drawing>
            </w:r>
          </w:p>
        </w:tc>
      </w:tr>
    </w:tbl>
    <w:p>
      <w:pPr>
        <w:pStyle w:val="TextBody"/>
        <w:bidi w:val="0"/>
        <w:spacing w:lineRule="auto" w:line="276"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Retainer fees are paid in arrears on a quarterly basis at the end of each quarter.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To encourage directors to have a direct and material investment in shares of our common stock, non-employee directors are awarded an annual equity grant of $182,500 in the form of deferred stock units (Automatic Stock Units).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with the assistance of its independent compensation consultant, is responsible for reviewing and recommending for Board approval the compensation of the non-employee directors. At the request of the Compensation and Human Capital Committee, the independent compensation consultant prepares annually a comprehensive benchmarking of our non-employee director compensation program against the compensation programs offered by our Target Industry Peer Group (the same peer group against which executive compensation is compared). Consistent with this benchmarking, the overarching approach for non-employee director compensation is to target approximately the 50th percentile of the Target Industry Peer Group and to align our director compensation with our shareholders’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554990"/>
                <wp:effectExtent l="0" t="0" r="0" b="0"/>
                <wp:wrapNone/>
                <wp:docPr id="236" name="Frame4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of Directors</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Awards to non-employee directors are made pursuant to the Northrop Grumman Corporation Equity Grant Program for Non-Employee Directors (the Director Program). The Director Program was amended and restated effective January 1, 2016 (the Amended Director Program). Non-employee directors received an annual equity grant of Automatic Stock Units on May 17, 2023 which vested on May 17, 2024. The Director Program was again amended and restated effective May 15, 2024, consistent with the shareholder-approved 2024 Long-Term Incentive Stock Plan (the Restated Director Program). Non-employee directors received an annual equity grant of Automatic Stock Units on July 31, 2024 which will vest on May 15, 2025. Under the Amended Director Program and Restated Director Program, directors may elect to have all or any portion of their Automatic Stock Units paid on (A) the earlier of (i) the beginning of a specified calendar year after the vesting date or (ii) their separation from service as a member of the Board, or (B) the vesting date. Directors may elect to defer to a later year all or a portion of their remaining cash retainer or committee retainer fees into a stock unit account as Elective Stock Units or in alternative investment options. Elective Stock Units are awarded on a calendar quarterly basis. Directors may elect to have all or a portion of their Elective Stock Units paid on the earlier of (i) the beginning of a specified calendar year or (ii) their separation from service as a member of the Board. Stock units awarded under the Amended Director Program and Restated Director Program will be paid out in an equivalent number of shares of our common stock. Deferral elections are made prior to the beginning of the year for which the retainer fees will be paid. Directors are credited with dividend equivalents in connection with the accumulated stock units until the shares of common stock related to such stock units are issued.</w:t>
      </w:r>
    </w:p>
    <w:p>
      <w:pPr>
        <w:pStyle w:val="TextBody"/>
        <w:bidi w:val="0"/>
        <w:spacing w:lineRule="auto" w:line="288" w:before="120" w:after="120"/>
        <w:jc w:val="left"/>
        <w:rPr>
          <w:rFonts w:ascii="Futura Std Book;sans-serif" w:hAnsi="Futura Std Book;sans-serif"/>
          <w:b w:val="false"/>
          <w:color w:val="000000"/>
          <w:sz w:val="18"/>
        </w:rPr>
      </w:pPr>
      <w:bookmarkStart w:id="3" w:name="if31098cc34844e9fb170bd4b9534a7d8_3957"/>
      <w:bookmarkEnd w:id="3"/>
      <w:r>
        <w:rPr>
          <w:rFonts w:ascii="Futura Std Book;sans-serif" w:hAnsi="Futura Std Book;sans-serif"/>
          <w:b w:val="false"/>
          <w:color w:val="000000"/>
          <w:sz w:val="18"/>
        </w:rPr>
        <w:t>Non-employee directors are eligible to participate in our Matching Gifts Program for Education. Under this program, the Northrop Grumman Foundation matches director contributions, up to $10,000 per year per director, to eligible educational programs in accordance with the program.</w:t>
      </w:r>
    </w:p>
    <w:tbl>
      <w:tblPr>
        <w:tblW w:w="10205" w:type="dxa"/>
        <w:jc w:val="left"/>
        <w:tblInd w:w="0" w:type="dxa"/>
        <w:tblLayout w:type="fixed"/>
        <w:tblCellMar>
          <w:top w:w="28" w:type="dxa"/>
          <w:left w:w="28" w:type="dxa"/>
          <w:bottom w:w="28" w:type="dxa"/>
          <w:right w:w="28" w:type="dxa"/>
        </w:tblCellMar>
      </w:tblPr>
      <w:tblGrid>
        <w:gridCol w:w="3267"/>
        <w:gridCol w:w="2873"/>
        <w:gridCol w:w="4065"/>
      </w:tblGrid>
      <w:tr>
        <w:trPr/>
        <w:tc>
          <w:tcPr>
            <w:tcW w:w="3267"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color w:val="000000"/>
                <w:sz w:val="18"/>
              </w:rPr>
            </w:pPr>
            <w:bookmarkStart w:id="4" w:name="ic2868521b8ab40f9a367978ae84cf605_1-0-1-"/>
            <w:bookmarkEnd w:id="4"/>
            <w:r>
              <w:rPr>
                <w:rFonts w:ascii="Futura Std Book;sans-serif" w:hAnsi="Futura Std Book;sans-serif"/>
                <w:b/>
                <w:color w:val="000000"/>
                <w:sz w:val="18"/>
              </w:rPr>
              <w:t>Stock Ownership Requirements</w:t>
            </w:r>
          </w:p>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Non-employee directors are required to own common stock of the Company in an amount equal to five times the annual cash retainer, with such ownership to be achieved within five years of the director’s election to the Board. Deferred stock units and Company stock owned outright by the director count towards this requirement.</w:t>
            </w:r>
          </w:p>
          <w:p>
            <w:pPr>
              <w:pStyle w:val="TableContents"/>
              <w:bidi w:val="0"/>
              <w:spacing w:lineRule="auto" w:line="288" w:before="120" w:after="120"/>
              <w:jc w:val="left"/>
              <w:rPr>
                <w:rFonts w:ascii="Futura Std Book;sans-serif" w:hAnsi="Futura Std Book;sans-serif"/>
                <w:b/>
                <w:color w:val="000000"/>
                <w:sz w:val="18"/>
              </w:rPr>
            </w:pPr>
            <w:r>
              <w:rPr>
                <w:rFonts w:ascii="Futura Std Book;sans-serif" w:hAnsi="Futura Std Book;sans-serif"/>
                <w:b/>
                <w:color w:val="000000"/>
                <w:sz w:val="18"/>
              </w:rPr>
              <w:t>Anti-Hedging and Pledging Policy</w:t>
            </w:r>
          </w:p>
          <w:p>
            <w:pPr>
              <w:pStyle w:val="TableContents"/>
              <w:bidi w:val="0"/>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Company policy prohibits our directors, NEOs, other elected and appointed officers, designated employees who are subject to specific preclearance procedures under the Company’s insider trading policy and any other employees who receive performance-based compensation, from engaging in hedging, pledging or other specified transactions. Specifically, this policy prohibits such persons from: engaging in hedging or derivative transactions, such as “cashless” collars, forward contracts, equity swaps or other similar or related transactions; entering into margin transactions involving Company stock; pledging Company securities as collateral for loans or other transactions; trading in puts, calls, options, warrants or other similar derivative instruments involving Company securities; or engaging in short sales of Company securities.</w:t>
            </w:r>
          </w:p>
          <w:p>
            <w:pPr>
              <w:pStyle w:val="TableContents"/>
              <w:bidi w:val="0"/>
              <w:spacing w:lineRule="auto" w:line="288" w:before="12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None of the shares of Company common stock held by our directors are pledged or subject to any hedging transaction.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734695"/>
                <wp:effectExtent l="0" t="0" r="0" b="0"/>
                <wp:wrapNone/>
                <wp:docPr id="237" name="Frame4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of Directors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2024 Director Compensation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table below provides information on the compensation of our non-employee directors for the year ended December 31, 2024.</w:t>
      </w:r>
    </w:p>
    <w:tbl>
      <w:tblPr>
        <w:tblW w:w="7246" w:type="dxa"/>
        <w:jc w:val="left"/>
        <w:tblInd w:w="0" w:type="dxa"/>
        <w:tblLayout w:type="fixed"/>
        <w:tblCellMar>
          <w:top w:w="28" w:type="dxa"/>
          <w:left w:w="28" w:type="dxa"/>
          <w:bottom w:w="28" w:type="dxa"/>
          <w:right w:w="28" w:type="dxa"/>
        </w:tblCellMar>
      </w:tblPr>
      <w:tblGrid>
        <w:gridCol w:w="799"/>
        <w:gridCol w:w="704"/>
        <w:gridCol w:w="716"/>
        <w:gridCol w:w="473"/>
        <w:gridCol w:w="473"/>
        <w:gridCol w:w="401"/>
        <w:gridCol w:w="473"/>
        <w:gridCol w:w="473"/>
        <w:gridCol w:w="266"/>
        <w:gridCol w:w="434"/>
        <w:gridCol w:w="434"/>
        <w:gridCol w:w="436"/>
        <w:gridCol w:w="473"/>
        <w:gridCol w:w="473"/>
        <w:gridCol w:w="218"/>
      </w:tblGrid>
      <w:tr>
        <w:trPr/>
        <w:tc>
          <w:tcPr>
            <w:tcW w:w="79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347"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Fees Earned or</w:t>
            </w:r>
          </w:p>
          <w:p>
            <w:pPr>
              <w:pStyle w:val="TableContents"/>
              <w:bidi w:val="0"/>
              <w:spacing w:lineRule="auto" w:line="276" w:before="0" w:after="0"/>
              <w:jc w:val="right"/>
              <w:rPr/>
            </w:pPr>
            <w:r>
              <w:rPr>
                <w:rFonts w:ascii="Futura Std Book;sans-serif" w:hAnsi="Futura Std Book;sans-serif"/>
                <w:b/>
                <w:color w:val="000000"/>
                <w:sz w:val="14"/>
              </w:rPr>
              <w:t>Paid in Cash</w:t>
            </w:r>
            <w:r>
              <w:rPr>
                <w:rFonts w:ascii="Futura Std Book;sans-serif" w:hAnsi="Futura Std Book;sans-serif"/>
                <w:b/>
                <w:color w:val="000000"/>
                <w:sz w:val="9"/>
              </w:rPr>
              <w:t>(1)</w:t>
            </w:r>
          </w:p>
          <w:p>
            <w:pPr>
              <w:pStyle w:val="TableContents"/>
              <w:bidi w:val="0"/>
              <w:spacing w:lineRule="auto" w:line="276" w:before="0" w:after="0"/>
              <w:jc w:val="right"/>
              <w:rPr>
                <w:color w:val="000000"/>
              </w:rPr>
            </w:pPr>
            <w:r>
              <w:rPr>
                <w:color w:val="000000"/>
              </w:rPr>
              <w:t> </w:t>
            </w:r>
            <w:r>
              <w:rPr>
                <w:rFonts w:ascii="Futura Std Book;sans-serif" w:hAnsi="Futura Std Book;sans-serif"/>
                <w:b/>
                <w:color w:val="000000"/>
                <w:sz w:val="14"/>
              </w:rPr>
              <w:t>($)</w:t>
            </w:r>
          </w:p>
        </w:tc>
        <w:tc>
          <w:tcPr>
            <w:tcW w:w="121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Stock</w:t>
            </w:r>
          </w:p>
          <w:p>
            <w:pPr>
              <w:pStyle w:val="TableContents"/>
              <w:bidi w:val="0"/>
              <w:spacing w:lineRule="auto" w:line="276" w:before="0" w:after="0"/>
              <w:jc w:val="right"/>
              <w:rPr/>
            </w:pPr>
            <w:r>
              <w:rPr>
                <w:rFonts w:ascii="Futura Std Book;sans-serif" w:hAnsi="Futura Std Book;sans-serif"/>
                <w:b/>
                <w:color w:val="000000"/>
                <w:sz w:val="14"/>
              </w:rPr>
              <w:t>Awards</w:t>
            </w:r>
            <w:r>
              <w:rPr>
                <w:rFonts w:ascii="Futura Std Book;sans-serif" w:hAnsi="Futura Std Book;sans-serif"/>
                <w:b/>
                <w:color w:val="000000"/>
                <w:sz w:val="9"/>
              </w:rPr>
              <w:t>(2)</w:t>
            </w:r>
          </w:p>
          <w:p>
            <w:pPr>
              <w:pStyle w:val="TableContents"/>
              <w:bidi w:val="0"/>
              <w:spacing w:lineRule="auto" w:line="276" w:before="0" w:after="0"/>
              <w:jc w:val="right"/>
              <w:rPr>
                <w:color w:val="000000"/>
              </w:rPr>
            </w:pPr>
            <w:r>
              <w:rPr>
                <w:color w:val="000000"/>
              </w:rPr>
              <w:t> </w:t>
            </w:r>
            <w:r>
              <w:rPr>
                <w:rFonts w:ascii="Futura Std Book;sans-serif" w:hAnsi="Futura Std Book;sans-serif"/>
                <w:b/>
                <w:color w:val="000000"/>
                <w:sz w:val="14"/>
              </w:rPr>
              <w:t>($)</w:t>
            </w:r>
          </w:p>
        </w:tc>
        <w:tc>
          <w:tcPr>
            <w:tcW w:w="130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All Other</w:t>
            </w:r>
          </w:p>
          <w:p>
            <w:pPr>
              <w:pStyle w:val="TableContents"/>
              <w:bidi w:val="0"/>
              <w:spacing w:lineRule="auto" w:line="276" w:before="0" w:after="0"/>
              <w:jc w:val="right"/>
              <w:rPr/>
            </w:pPr>
            <w:r>
              <w:rPr>
                <w:rFonts w:ascii="Futura Std Book;sans-serif" w:hAnsi="Futura Std Book;sans-serif"/>
                <w:b/>
                <w:color w:val="000000"/>
                <w:sz w:val="14"/>
              </w:rPr>
              <w:t>Compensation</w:t>
            </w:r>
            <w:r>
              <w:rPr>
                <w:rFonts w:ascii="Futura Std Book;sans-serif" w:hAnsi="Futura Std Book;sans-serif"/>
                <w:b/>
                <w:color w:val="000000"/>
                <w:sz w:val="9"/>
              </w:rPr>
              <w:t>(3)</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116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Total</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r>
      <w:tr>
        <w:trPr/>
        <w:tc>
          <w:tcPr>
            <w:tcW w:w="221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94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168,138 </w:t>
            </w:r>
          </w:p>
        </w:tc>
        <w:tc>
          <w:tcPr>
            <w:tcW w:w="401"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12 </w:t>
            </w:r>
          </w:p>
        </w:tc>
        <w:tc>
          <w:tcPr>
            <w:tcW w:w="436"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350,650 </w:t>
            </w:r>
          </w:p>
        </w:tc>
        <w:tc>
          <w:tcPr>
            <w:tcW w:w="218"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183,138 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16,046 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381,684 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158,138 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12,598 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353,236 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193,138 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35,395 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411,033 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143,138 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134 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325,772 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Graham N. Robinson</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143,138 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323 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325,961 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Kimberly A. Ross</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158,138 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10,074 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350,712 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168,138 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21,176 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371,814 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183,138 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13,394 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379,032 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158,138 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3,343 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343,981 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158,138 </w:t>
            </w:r>
          </w:p>
        </w:tc>
        <w:tc>
          <w:tcPr>
            <w:tcW w:w="4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2,240 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342,878 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Mary A. Winston</w:t>
            </w:r>
          </w:p>
        </w:tc>
        <w:tc>
          <w:tcPr>
            <w:tcW w:w="94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143,138 </w:t>
            </w:r>
          </w:p>
        </w:tc>
        <w:tc>
          <w:tcPr>
            <w:tcW w:w="40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182,500 </w:t>
            </w:r>
          </w:p>
        </w:tc>
        <w:tc>
          <w:tcPr>
            <w:tcW w:w="26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64 </w:t>
            </w:r>
          </w:p>
        </w:tc>
        <w:tc>
          <w:tcPr>
            <w:tcW w:w="43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325,702 </w:t>
            </w:r>
          </w:p>
        </w:tc>
        <w:tc>
          <w:tcPr>
            <w:tcW w:w="218"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(1)Amounts reflect the annual cash retainer paid to each director, including any applicable annual committee and committee chair retainers and any applicable Lead Independent Director or Chair retainer. As described above, a director may elect to defer all or a portion of his or her annual cash retainer into a deferred stock unit account or alternative investment options. Amounts deferred as Elective Stock Units or deferred into alternative investment options are reflected in this column.</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(2)The amount reported for each director reflects the aggregate fair value of the Automatic Stock Units on the grant date, as determined under Financial Accounting Standards Board Accounting Standards Codification Topic 718, Stock Compensation, excluding any assumed forfeitures. The grant date fair value assumes the value of dividend equivalents accrued directly on the awarded units. The aggregate number of Automatic Stock Units and Elective Stock Units held by each director as of December 31, 2024 is provided in the Deferred Stock Units table below.</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(3)Amounts reflect (i) the estimated dollar value of additional stock units credited to each non-employee director as a result of dividend equivalents earned, directly or indirectly, on reinvested dividend equivalents as such amounts are not assumed in the grant date fair value of the Automatic Stock Units shown in the “Stock Awards” column, and (ii) matching contributions made through our Matching Gifts Program for Education discussed above as follows: Ms. Brown, $10,000; Ms. Fudge, $10,000; Ms. Kleiner, $5,000; Ms. Ross,$10,000 and Mr. Roughead, $10,000.</w:t>
      </w:r>
    </w:p>
    <w:p>
      <w:pPr>
        <w:pStyle w:val="TextBody"/>
        <w:bidi w:val="0"/>
        <w:spacing w:before="8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554990"/>
                <wp:effectExtent l="0" t="0" r="0" b="0"/>
                <wp:wrapNone/>
                <wp:docPr id="238" name="Frame4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of Directors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Deferred Stock Units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 of December 31, 2024, the non-employee directors had the following aggregate number of deferred stock units accumulated in their deferral accounts for all years of service as a director, including additional stock units credited as a result of dividend equivalents earned on the stock units.</w:t>
      </w:r>
    </w:p>
    <w:tbl>
      <w:tblPr>
        <w:tblW w:w="5706" w:type="dxa"/>
        <w:jc w:val="center"/>
        <w:tblInd w:w="0" w:type="dxa"/>
        <w:tblLayout w:type="fixed"/>
        <w:tblCellMar>
          <w:top w:w="28" w:type="dxa"/>
          <w:left w:w="28" w:type="dxa"/>
          <w:bottom w:w="28" w:type="dxa"/>
          <w:right w:w="28" w:type="dxa"/>
        </w:tblCellMar>
      </w:tblPr>
      <w:tblGrid>
        <w:gridCol w:w="799"/>
        <w:gridCol w:w="704"/>
        <w:gridCol w:w="716"/>
        <w:gridCol w:w="434"/>
        <w:gridCol w:w="434"/>
        <w:gridCol w:w="436"/>
        <w:gridCol w:w="379"/>
        <w:gridCol w:w="379"/>
        <w:gridCol w:w="381"/>
        <w:gridCol w:w="413"/>
        <w:gridCol w:w="413"/>
        <w:gridCol w:w="218"/>
      </w:tblGrid>
      <w:tr>
        <w:trPr/>
        <w:tc>
          <w:tcPr>
            <w:tcW w:w="79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30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Automatic Stock</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Units</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Elective Stock</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Units</w:t>
            </w:r>
          </w:p>
        </w:tc>
        <w:tc>
          <w:tcPr>
            <w:tcW w:w="1044"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r>
      <w:tr>
        <w:trPr/>
        <w:tc>
          <w:tcPr>
            <w:tcW w:w="221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868"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380 </w:t>
            </w:r>
          </w:p>
        </w:tc>
        <w:tc>
          <w:tcPr>
            <w:tcW w:w="436"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380 </w:t>
            </w:r>
          </w:p>
        </w:tc>
        <w:tc>
          <w:tcPr>
            <w:tcW w:w="218"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5,867 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4,189 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10,056 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3,679 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532 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4,211 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20,528 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20,528 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963 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608 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1,571 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Graham N. Robinson</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1,563 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369 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1,932 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Kimberly A. Ross</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854 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854 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11,237 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11,237 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12,577 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12,577 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5,254 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5,254 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c>
          <w:tcPr>
            <w:tcW w:w="86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3,940 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3,940 </w:t>
            </w:r>
          </w:p>
        </w:tc>
        <w:tc>
          <w:tcPr>
            <w:tcW w:w="21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Mary A. Winston</w:t>
            </w:r>
          </w:p>
        </w:tc>
        <w:tc>
          <w:tcPr>
            <w:tcW w:w="86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783 </w:t>
            </w:r>
          </w:p>
        </w:tc>
        <w:tc>
          <w:tcPr>
            <w:tcW w:w="43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38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783 </w:t>
            </w:r>
          </w:p>
        </w:tc>
        <w:tc>
          <w:tcPr>
            <w:tcW w:w="218"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80"/>
        <w:ind w:left="0" w:right="0" w:firstLine="7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734695"/>
                <wp:effectExtent l="0" t="0" r="0" b="0"/>
                <wp:wrapNone/>
                <wp:docPr id="239" name="Frame4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Proposal 2: Advisory Vote on Compensation of Named Executive Officers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Consistent with Section 14A of the Exchange Act, we are providing our shareholders with the opportunity to cast a non-binding, advisory vote on the compensation of our NEOs. This advisory vote, commonly known as “say-on-pay,” gives our shareholders the opportunity to express their views on our 2024 executive compensation programs and policies for our NEOs. The vote does not address any specific item of compensation and is not binding on the Board; however, as an expression of our shareholders’ views, the Compensation and Human Capital Committee seriously considers the vote when making future executive compensation decisions. The Board has adopted a policy of providing for annual advisory votes on the compensation of our NEOs.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believe our compensation programs reflect responsible, measured practices that effectively incentivize our executives to dedicate themselves fully to value creation for our shareholders, customers and employees. Our pay practices are aligned with our shareholders’ interests and with leading industry practice and are governed by a set of strong policies. Examples include: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Double-trigger provisions for change in control situations, and no excise tax gross-ups for payments upon termination after a change in control;</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 recoupment policy applicable to cash and equity incentive compensation payments;</w:t>
      </w:r>
    </w:p>
    <w:p>
      <w:pPr>
        <w:pStyle w:val="TextBody"/>
        <w:bidi w:val="0"/>
        <w:spacing w:lineRule="auto" w:line="268" w:before="0" w:after="0"/>
        <w:ind w:left="0" w:right="0" w:hanging="216"/>
        <w:jc w:val="left"/>
        <w:rPr/>
      </w:pPr>
      <w:r>
        <w:rPr>
          <w:color w:val="29378D"/>
        </w:rPr>
        <w:t>•</w:t>
      </w:r>
      <w:r>
        <w:rPr>
          <w:rFonts w:ascii="Futura Std Book;sans-serif" w:hAnsi="Futura Std Book;sans-serif"/>
          <w:b w:val="false"/>
          <w:color w:val="000000"/>
          <w:sz w:val="18"/>
        </w:rPr>
        <w:t>Stock ownership guidelines of 7x base salary for the CEO and 3x base salary for other NEOs, and stock holding requirements of three years from the date paid for 50% of all net after-tax shares received;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Prohibitions on hedging or pledging of Company stock.</w:t>
      </w:r>
    </w:p>
    <w:p>
      <w:pPr>
        <w:pStyle w:val="TextBody"/>
        <w:bidi w:val="0"/>
        <w:spacing w:lineRule="auto" w:line="288" w:before="120" w:after="120"/>
        <w:jc w:val="left"/>
        <w:rPr/>
      </w:pPr>
      <w:r>
        <w:rPr>
          <w:rFonts w:ascii="Futura Std Book;sans-serif" w:hAnsi="Futura Std Book;sans-serif"/>
          <w:b w:val="false"/>
          <w:color w:val="000000"/>
          <w:sz w:val="18"/>
        </w:rPr>
        <w:t xml:space="preserve">For a more extensive list of our best practices, refer to page </w:t>
      </w:r>
      <w:hyperlink w:anchor="i3db608f1d57247a19c6d3e61d8093fa2_139">
        <w:r>
          <w:rPr>
            <w:rStyle w:val="InternetLink"/>
            <w:rFonts w:ascii="Futura Std Book;sans-serif" w:hAnsi="Futura Std Book;sans-serif"/>
            <w:b w:val="false"/>
            <w:strike w:val="false"/>
            <w:dstrike w:val="false"/>
            <w:color w:val="000000"/>
            <w:sz w:val="18"/>
            <w:u w:val="none"/>
            <w:effect w:val="none"/>
          </w:rPr>
          <w:t>53</w:t>
        </w:r>
      </w:hyperlink>
      <w:r>
        <w:rPr>
          <w:rFonts w:ascii="Futura Std Book;sans-serif" w:hAnsi="Futura Std Book;sans-serif"/>
          <w:b w:val="false"/>
          <w:color w:val="000000"/>
          <w:sz w:val="18"/>
        </w:rPr>
        <w:t xml:space="preserve"> of this Proxy Statement. In addition, our Compensation Discussion and Analysis (CD&amp;A) provides a detailed discussion of our performance-based approach to executive compensation. We encourage you to read the CD&amp;A, the rest of this Proxy Statement and our 2024 Form 10-K, which describes our business and 2024 results in more detail.</w:t>
      </w:r>
    </w:p>
    <w:p>
      <w:pPr>
        <w:pStyle w:val="TextBody"/>
        <w:bidi w:val="0"/>
        <w:spacing w:lineRule="auto" w:line="276" w:before="0" w:after="120"/>
        <w:jc w:val="left"/>
        <w:rPr>
          <w:rFonts w:ascii="Futura Std Book;sans-serif" w:hAnsi="Futura Std Book;sans-serif"/>
          <w:b/>
          <w:color w:val="000000"/>
          <w:sz w:val="18"/>
        </w:rPr>
      </w:pPr>
      <w:r>
        <w:rPr>
          <w:rFonts w:ascii="Futura Std Book;sans-serif" w:hAnsi="Futura Std Book;sans-serif"/>
          <w:b/>
          <w:color w:val="000000"/>
          <w:sz w:val="18"/>
        </w:rPr>
        <w:t>Recommendation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of our executives is aligned to performance, is sensitive to shareholder returns, appropriately motivates and retains our executives, and is a competitive advantage in attracting and retaining the high caliber talent necessary to drive our business forward and build sustainable value for our shareholders. Accordingly, the Board recommends that shareholders approve the following resolution:</w:t>
      </w:r>
    </w:p>
    <w:p>
      <w:pPr>
        <w:pStyle w:val="TextBody"/>
        <w:bidi w:val="0"/>
        <w:spacing w:lineRule="auto" w:line="288" w:before="120" w:after="120"/>
        <w:jc w:val="left"/>
        <w:rPr>
          <w:color w:val="000000"/>
        </w:rPr>
      </w:pPr>
      <w:r>
        <w:rPr>
          <w:color w:val="000000"/>
        </w:rPr>
        <w:t>“</w:t>
      </w:r>
      <w:r>
        <w:rPr>
          <w:rFonts w:ascii="Futura Std Book;sans-serif" w:hAnsi="Futura Std Book;sans-serif"/>
          <w:b w:val="false"/>
          <w:color w:val="000000"/>
          <w:sz w:val="18"/>
        </w:rPr>
        <w:t>RESOLVED, that, as an advisory matter, the shareholders of Northrop Grumman Corporation approve the compensation paid to the Company’s named executive officers as disclosed in this Proxy Statement pursuant to Item 402 of Regulation S-K, including the CD&amp;A, compensation tables and narrative discussion.”</w:t>
      </w:r>
    </w:p>
    <w:p>
      <w:pPr>
        <w:pStyle w:val="TextBody"/>
        <w:bidi w:val="0"/>
        <w:spacing w:lineRule="auto" w:line="276" w:before="0" w:after="120"/>
        <w:jc w:val="left"/>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Approval of this proposal requires that the votes cast “for” the proposal exceed the votes cast “against” the proposal. Abstentions and broker non-votes will have no effect on this proposal.</w:t>
      </w:r>
    </w:p>
    <w:tbl>
      <w:tblPr>
        <w:tblW w:w="9446" w:type="dxa"/>
        <w:jc w:val="left"/>
        <w:tblInd w:w="0" w:type="dxa"/>
        <w:tblLayout w:type="fixed"/>
        <w:tblCellMar>
          <w:top w:w="28" w:type="dxa"/>
          <w:left w:w="28" w:type="dxa"/>
          <w:bottom w:w="28" w:type="dxa"/>
          <w:right w:w="28" w:type="dxa"/>
        </w:tblCellMar>
      </w:tblPr>
      <w:tblGrid>
        <w:gridCol w:w="156"/>
        <w:gridCol w:w="137"/>
        <w:gridCol w:w="138"/>
        <w:gridCol w:w="2638"/>
        <w:gridCol w:w="2638"/>
        <w:gridCol w:w="3739"/>
      </w:tblGrid>
      <w:tr>
        <w:trPr/>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431" w:type="dxa"/>
            <w:gridSpan w:val="3"/>
            <w:tcBorders>
              <w:top w:val="single" w:sz="12" w:space="0" w:color="29378D"/>
              <w:left w:val="single" w:sz="12" w:space="0" w:color="29378D"/>
            </w:tcBorders>
            <w:shd w:fill="29378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op w:val="single" w:sz="12" w:space="0" w:color="29378D"/>
              <w:right w:val="single" w:sz="12" w:space="0" w:color="29378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31" w:type="dxa"/>
            <w:gridSpan w:val="3"/>
            <w:tcBorders>
              <w:left w:val="single" w:sz="12" w:space="0" w:color="29378D"/>
            </w:tcBorders>
            <w:shd w:fill="29378D" w:val="clear"/>
            <w:tcMar>
              <w:top w:w="0" w:type="dxa"/>
              <w:bottom w:w="0" w:type="dxa"/>
              <w:right w:w="0" w:type="dxa"/>
            </w:tcMar>
            <w:vAlign w:val="center"/>
          </w:tcPr>
          <w:p>
            <w:pPr>
              <w:pStyle w:val="TableContents"/>
              <w:bidi w:val="0"/>
              <w:spacing w:before="0" w:after="0"/>
              <w:jc w:val="center"/>
              <w:rPr/>
            </w:pPr>
            <w:r>
              <w:rPr/>
              <w:drawing>
                <wp:inline distT="0" distB="0" distL="0" distR="0">
                  <wp:extent cx="209550" cy="171450"/>
                  <wp:effectExtent l="0" t="0" r="0" b="0"/>
                  <wp:docPr id="240"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91" descr=""/>
                          <pic:cNvPicPr>
                            <a:picLocks noChangeAspect="1" noChangeArrowheads="1"/>
                          </pic:cNvPicPr>
                        </pic:nvPicPr>
                        <pic:blipFill>
                          <a:blip r:embed="rId192"/>
                          <a:stretch>
                            <a:fillRect/>
                          </a:stretch>
                        </pic:blipFill>
                        <pic:spPr bwMode="auto">
                          <a:xfrm>
                            <a:off x="0" y="0"/>
                            <a:ext cx="209550" cy="171450"/>
                          </a:xfrm>
                          <a:prstGeom prst="rect">
                            <a:avLst/>
                          </a:prstGeom>
                        </pic:spPr>
                      </pic:pic>
                    </a:graphicData>
                  </a:graphic>
                </wp:inline>
              </w:drawing>
            </w:r>
          </w:p>
        </w:tc>
        <w:tc>
          <w:tcPr>
            <w:tcW w:w="9015" w:type="dxa"/>
            <w:gridSpan w:val="3"/>
            <w:tcBorders>
              <w:right w:val="single" w:sz="12" w:space="0" w:color="29378D"/>
            </w:tcBorders>
            <w:tcMar>
              <w:top w:w="0" w:type="dxa"/>
              <w:left w:w="0" w:type="dxa"/>
              <w:bottom w:w="0" w:type="dxa"/>
            </w:tcMar>
            <w:vAlign w:val="center"/>
          </w:tcPr>
          <w:p>
            <w:pPr>
              <w:pStyle w:val="TableContents"/>
              <w:bidi w:val="0"/>
              <w:spacing w:lineRule="auto" w:line="288" w:before="120" w:after="120"/>
              <w:jc w:val="left"/>
              <w:rPr/>
            </w:pPr>
            <w:r>
              <w:rPr>
                <w:rFonts w:ascii="Futura Std Book;sans-serif" w:hAnsi="Futura Std Book;sans-serif"/>
                <w:b/>
                <w:color w:val="000000"/>
                <w:sz w:val="16"/>
              </w:rPr>
              <w:t xml:space="preserve">THE BOARD OF DIRECTORS UNANIMOUSLY RECOMMENDS THAT YOU VOTE </w:t>
            </w:r>
            <w:r>
              <w:rPr>
                <w:color w:val="29378D"/>
              </w:rPr>
              <w:t>“</w:t>
            </w:r>
            <w:r>
              <w:rPr>
                <w:rFonts w:ascii="Futura Std Book;sans-serif" w:hAnsi="Futura Std Book;sans-serif"/>
                <w:b/>
                <w:color w:val="29378D"/>
                <w:sz w:val="16"/>
              </w:rPr>
              <w:t xml:space="preserve">FOR” </w:t>
            </w:r>
            <w:r>
              <w:rPr>
                <w:rFonts w:ascii="Futura Std Book;sans-serif" w:hAnsi="Futura Std Book;sans-serif"/>
                <w:b/>
                <w:color w:val="000000"/>
                <w:sz w:val="16"/>
              </w:rPr>
              <w:t>PROPOSAL 2.</w:t>
            </w:r>
          </w:p>
        </w:tc>
      </w:tr>
      <w:tr>
        <w:trPr/>
        <w:tc>
          <w:tcPr>
            <w:tcW w:w="431" w:type="dxa"/>
            <w:gridSpan w:val="3"/>
            <w:tcBorders>
              <w:left w:val="single" w:sz="12" w:space="0" w:color="29378D"/>
              <w:bottom w:val="single" w:sz="12" w:space="0" w:color="29378D"/>
            </w:tcBorders>
            <w:shd w:fill="29378D" w:val="clear"/>
            <w:tcMar>
              <w:top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bottom w:val="single" w:sz="12" w:space="0" w:color="29378D"/>
              <w:right w:val="single" w:sz="12" w:space="0" w:color="29378D"/>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554990"/>
                <wp:effectExtent l="0" t="0" r="0" b="0"/>
                <wp:wrapNone/>
                <wp:docPr id="241" name="Frame5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 xml:space="preserve">Compensation Discussion &amp; Analysis </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2024 Named Executive Officers (NEOs)</w:t>
      </w:r>
    </w:p>
    <w:tbl>
      <w:tblPr>
        <w:tblW w:w="10205" w:type="dxa"/>
        <w:jc w:val="left"/>
        <w:tblInd w:w="0" w:type="dxa"/>
        <w:tblLayout w:type="fixed"/>
        <w:tblCellMar>
          <w:top w:w="28" w:type="dxa"/>
          <w:left w:w="28" w:type="dxa"/>
          <w:bottom w:w="28" w:type="dxa"/>
          <w:right w:w="28" w:type="dxa"/>
        </w:tblCellMar>
      </w:tblPr>
      <w:tblGrid>
        <w:gridCol w:w="395"/>
        <w:gridCol w:w="347"/>
        <w:gridCol w:w="349"/>
        <w:gridCol w:w="745"/>
        <w:gridCol w:w="723"/>
        <w:gridCol w:w="726"/>
        <w:gridCol w:w="468"/>
        <w:gridCol w:w="468"/>
        <w:gridCol w:w="470"/>
        <w:gridCol w:w="697"/>
        <w:gridCol w:w="697"/>
        <w:gridCol w:w="699"/>
        <w:gridCol w:w="408"/>
        <w:gridCol w:w="408"/>
        <w:gridCol w:w="410"/>
        <w:gridCol w:w="640"/>
        <w:gridCol w:w="640"/>
        <w:gridCol w:w="915"/>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47700"/>
                  <wp:effectExtent l="0" t="0" r="0" b="0"/>
                  <wp:docPr id="24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92" descr=""/>
                          <pic:cNvPicPr>
                            <a:picLocks noChangeAspect="1" noChangeArrowheads="1"/>
                          </pic:cNvPicPr>
                        </pic:nvPicPr>
                        <pic:blipFill>
                          <a:blip r:embed="rId193"/>
                          <a:stretch>
                            <a:fillRect/>
                          </a:stretch>
                        </pic:blipFill>
                        <pic:spPr bwMode="auto">
                          <a:xfrm>
                            <a:off x="0" y="0"/>
                            <a:ext cx="628650" cy="647700"/>
                          </a:xfrm>
                          <a:prstGeom prst="rect">
                            <a:avLst/>
                          </a:prstGeom>
                        </pic:spPr>
                      </pic:pic>
                    </a:graphicData>
                  </a:graphic>
                </wp:inline>
              </w:drawing>
            </w:r>
          </w:p>
        </w:tc>
        <w:tc>
          <w:tcPr>
            <w:tcW w:w="21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Kathy J. Warden</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Chair, Chief Executive Officer and President</w:t>
            </w:r>
          </w:p>
        </w:tc>
        <w:tc>
          <w:tcPr>
            <w:tcW w:w="14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38200" cy="819150"/>
                  <wp:effectExtent l="0" t="0" r="0" b="0"/>
                  <wp:docPr id="24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93" descr=""/>
                          <pic:cNvPicPr>
                            <a:picLocks noChangeAspect="1" noChangeArrowheads="1"/>
                          </pic:cNvPicPr>
                        </pic:nvPicPr>
                        <pic:blipFill>
                          <a:blip r:embed="rId194"/>
                          <a:stretch>
                            <a:fillRect/>
                          </a:stretch>
                        </pic:blipFill>
                        <pic:spPr bwMode="auto">
                          <a:xfrm>
                            <a:off x="0" y="0"/>
                            <a:ext cx="838200" cy="819150"/>
                          </a:xfrm>
                          <a:prstGeom prst="rect">
                            <a:avLst/>
                          </a:prstGeom>
                        </pic:spPr>
                      </pic:pic>
                    </a:graphicData>
                  </a:graphic>
                </wp:inline>
              </w:drawing>
            </w:r>
          </w:p>
        </w:tc>
        <w:tc>
          <w:tcPr>
            <w:tcW w:w="209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Kenneth B. Crews</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Chief Financial Officer</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723900" cy="647700"/>
                  <wp:effectExtent l="0" t="0" r="0" b="0"/>
                  <wp:docPr id="24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94" descr=""/>
                          <pic:cNvPicPr>
                            <a:picLocks noChangeAspect="1" noChangeArrowheads="1"/>
                          </pic:cNvPicPr>
                        </pic:nvPicPr>
                        <pic:blipFill>
                          <a:blip r:embed="rId195"/>
                          <a:stretch>
                            <a:fillRect/>
                          </a:stretch>
                        </pic:blipFill>
                        <pic:spPr bwMode="auto">
                          <a:xfrm>
                            <a:off x="0" y="0"/>
                            <a:ext cx="723900" cy="647700"/>
                          </a:xfrm>
                          <a:prstGeom prst="rect">
                            <a:avLst/>
                          </a:prstGeom>
                        </pic:spPr>
                      </pic:pic>
                    </a:graphicData>
                  </a:graphic>
                </wp:inline>
              </w:drawing>
            </w:r>
          </w:p>
        </w:tc>
        <w:tc>
          <w:tcPr>
            <w:tcW w:w="21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Robert J. Fleming</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President, Space Systems</w:t>
            </w:r>
          </w:p>
        </w:tc>
      </w:tr>
      <w:tr>
        <w:trPr/>
        <w:tc>
          <w:tcPr>
            <w:tcW w:w="109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194" w:type="dxa"/>
            <w:gridSpan w:val="3"/>
            <w:tcBorders/>
            <w:tcMar>
              <w:top w:w="0" w:type="dxa"/>
              <w:left w:w="0" w:type="dxa"/>
              <w:bottom w:w="0" w:type="dxa"/>
              <w:right w:w="0" w:type="dxa"/>
            </w:tcMar>
            <w:vAlign w:val="center"/>
          </w:tcPr>
          <w:p>
            <w:pPr>
              <w:pStyle w:val="TableContents"/>
              <w:bidi w:val="0"/>
              <w:spacing w:lineRule="auto" w:line="276" w:before="0" w:after="0"/>
              <w:jc w:val="left"/>
              <w:rPr>
                <w:color w:val="000000"/>
              </w:rPr>
            </w:pPr>
            <w:r>
              <w:rPr>
                <w:color w:val="000000"/>
              </w:rPr>
              <w:t> </w:t>
            </w:r>
          </w:p>
        </w:tc>
        <w:tc>
          <w:tcPr>
            <w:tcW w:w="1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00075" cy="600075"/>
                  <wp:effectExtent l="0" t="0" r="0" b="0"/>
                  <wp:docPr id="24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95" descr=""/>
                          <pic:cNvPicPr>
                            <a:picLocks noChangeAspect="1" noChangeArrowheads="1"/>
                          </pic:cNvPicPr>
                        </pic:nvPicPr>
                        <pic:blipFill>
                          <a:blip r:embed="rId196"/>
                          <a:stretch>
                            <a:fillRect/>
                          </a:stretch>
                        </pic:blipFill>
                        <pic:spPr bwMode="auto">
                          <a:xfrm>
                            <a:off x="0" y="0"/>
                            <a:ext cx="600075" cy="600075"/>
                          </a:xfrm>
                          <a:prstGeom prst="rect">
                            <a:avLst/>
                          </a:prstGeom>
                        </pic:spPr>
                      </pic:pic>
                    </a:graphicData>
                  </a:graphic>
                </wp:inline>
              </w:drawing>
            </w:r>
          </w:p>
        </w:tc>
        <w:tc>
          <w:tcPr>
            <w:tcW w:w="219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Thomas H. Jones</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President, Aeronautics Systems</w:t>
            </w:r>
          </w:p>
        </w:tc>
        <w:tc>
          <w:tcPr>
            <w:tcW w:w="14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24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96" descr=""/>
                          <pic:cNvPicPr>
                            <a:picLocks noChangeAspect="1" noChangeArrowheads="1"/>
                          </pic:cNvPicPr>
                        </pic:nvPicPr>
                        <pic:blipFill>
                          <a:blip r:embed="rId197"/>
                          <a:stretch>
                            <a:fillRect/>
                          </a:stretch>
                        </pic:blipFill>
                        <pic:spPr bwMode="auto">
                          <a:xfrm>
                            <a:off x="0" y="0"/>
                            <a:ext cx="628650" cy="628650"/>
                          </a:xfrm>
                          <a:prstGeom prst="rect">
                            <a:avLst/>
                          </a:prstGeom>
                        </pic:spPr>
                      </pic:pic>
                    </a:graphicData>
                  </a:graphic>
                </wp:inline>
              </w:drawing>
            </w:r>
          </w:p>
        </w:tc>
        <w:tc>
          <w:tcPr>
            <w:tcW w:w="209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Roshan S. Roeder</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President, Mission Systems</w:t>
            </w:r>
          </w:p>
        </w:tc>
        <w:tc>
          <w:tcPr>
            <w:tcW w:w="12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24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97" descr=""/>
                          <pic:cNvPicPr>
                            <a:picLocks noChangeAspect="1" noChangeArrowheads="1"/>
                          </pic:cNvPicPr>
                        </pic:nvPicPr>
                        <pic:blipFill>
                          <a:blip r:embed="rId198"/>
                          <a:stretch>
                            <a:fillRect/>
                          </a:stretch>
                        </pic:blipFill>
                        <pic:spPr bwMode="auto">
                          <a:xfrm>
                            <a:off x="0" y="0"/>
                            <a:ext cx="628650" cy="628650"/>
                          </a:xfrm>
                          <a:prstGeom prst="rect">
                            <a:avLst/>
                          </a:prstGeom>
                        </pic:spPr>
                      </pic:pic>
                    </a:graphicData>
                  </a:graphic>
                </wp:inline>
              </w:drawing>
            </w:r>
          </w:p>
        </w:tc>
        <w:tc>
          <w:tcPr>
            <w:tcW w:w="21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249C"/>
                <w:sz w:val="18"/>
              </w:rPr>
            </w:pPr>
            <w:r>
              <w:rPr>
                <w:rFonts w:ascii="Futura Std Book;sans-serif" w:hAnsi="Futura Std Book;sans-serif"/>
                <w:b/>
                <w:color w:val="00249C"/>
                <w:sz w:val="18"/>
              </w:rPr>
              <w:t>David F. Keffer</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Former Corporate Vice President and Chief Financial Officer</w:t>
            </w:r>
          </w:p>
        </w:tc>
      </w:tr>
    </w:tbl>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Executive Leadership Changes</w:t>
      </w:r>
    </w:p>
    <w:p>
      <w:pPr>
        <w:pStyle w:val="TextBody"/>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May 2024, the Company announced changes within the Company’s executive leadership team stemming from the retirements of two leaders.</w:t>
      </w:r>
    </w:p>
    <w:p>
      <w:pPr>
        <w:pStyle w:val="TextBody"/>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Roshan Roeder, who most recently served as Corporate Vice President and President, Defense Systems, succeeded Mark Caylor as Corporate Vice President and President of Mission Systems effective July 1, 2024. Mr. Caylor retired from the Company on July 26, 2024, after many significant contributions, key roles and more than 20 years with the Company. </w:t>
      </w:r>
    </w:p>
    <w:p>
      <w:pPr>
        <w:pStyle w:val="TextBody"/>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In addition, Kenneth Crews was elected Corporate Vice President and Chief Financial Officer, effective October 1, 2024. Mr. Crews joined Northrop Grumman in 2004 and has held several key financial roles in multiple sectors throughout the Company, including as the CFO of the Space Systems sector and Mission Systems sector. Most recently he served as Vice President, Corporate Finance working directly with former Chief Financial Officer, David Keffer, to facilitate a successful transition. Mr. Keffer retired on February 21, 2025, after five years with the Company. During this time, Mr. Keffer played a key role in guiding the Company's financial strategy, increasing shareholder value and strategically positioning the Company for future growth and success. Mr. Keffer remained an employee of the Company and advisor to Ms. Warden and Mr. Crews until his retirement. As a former Chief Financial Officer, Mr. Keffer's inclusion in this Compensation Discussion and Analysis (CD&amp;A) is required by SEC rules. </w:t>
      </w:r>
    </w:p>
    <w:p>
      <w:pPr>
        <w:pStyle w:val="TextBody"/>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These transitions demonstrate the Company’s commitment to thoughtful and well-executed succession planning.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734695"/>
                <wp:effectExtent l="0" t="0" r="0" b="0"/>
                <wp:wrapNone/>
                <wp:docPr id="248" name="Frame5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48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Compensation Philosophy and Objectives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provide attractive, flexible and market-based total compensation programs tied to performance and aligned with the interests of our shareholders. Our objective is to recruit and retain the caliber of executives and other key employees capable of achieving top performance and generating value for our shareholders, customers and employees.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goal is to lead our industry in sustainable performance and build on our strong, enduring values. For our performance-based plans, we select metrics that drive shareholder value and benchmark our performance against peers, the market and our long-range strategic plan (LRSP). Our executive compensation and benefit programs are guided by the following principles:</w:t>
      </w:r>
    </w:p>
    <w:tbl>
      <w:tblPr>
        <w:tblW w:w="10205" w:type="dxa"/>
        <w:jc w:val="left"/>
        <w:tblInd w:w="0" w:type="dxa"/>
        <w:tblLayout w:type="fixed"/>
        <w:tblCellMar>
          <w:top w:w="28" w:type="dxa"/>
          <w:left w:w="28" w:type="dxa"/>
          <w:bottom w:w="28" w:type="dxa"/>
          <w:right w:w="28" w:type="dxa"/>
        </w:tblCellMar>
      </w:tblPr>
      <w:tblGrid>
        <w:gridCol w:w="285"/>
        <w:gridCol w:w="250"/>
        <w:gridCol w:w="256"/>
        <w:gridCol w:w="2774"/>
        <w:gridCol w:w="2745"/>
        <w:gridCol w:w="3895"/>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3895"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7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00050" cy="400050"/>
                  <wp:effectExtent l="0" t="0" r="0" b="0"/>
                  <wp:docPr id="249"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98" descr=""/>
                          <pic:cNvPicPr>
                            <a:picLocks noChangeAspect="1" noChangeArrowheads="1"/>
                          </pic:cNvPicPr>
                        </pic:nvPicPr>
                        <pic:blipFill>
                          <a:blip r:embed="rId199"/>
                          <a:stretch>
                            <a:fillRect/>
                          </a:stretch>
                        </pic:blipFill>
                        <pic:spPr bwMode="auto">
                          <a:xfrm>
                            <a:off x="0" y="0"/>
                            <a:ext cx="400050" cy="400050"/>
                          </a:xfrm>
                          <a:prstGeom prst="rect">
                            <a:avLst/>
                          </a:prstGeom>
                        </pic:spPr>
                      </pic:pic>
                    </a:graphicData>
                  </a:graphic>
                </wp:inline>
              </w:drawing>
            </w:r>
          </w:p>
        </w:tc>
        <w:tc>
          <w:tcPr>
            <w:tcW w:w="9414" w:type="dxa"/>
            <w:gridSpan w:val="3"/>
            <w:tcBorders/>
            <w:tcMar>
              <w:top w:w="0" w:type="dxa"/>
              <w:left w:w="0" w:type="dxa"/>
              <w:bottom w:w="0" w:type="dxa"/>
              <w:right w:w="0" w:type="dxa"/>
            </w:tcMar>
            <w:vAlign w:val="center"/>
          </w:tcPr>
          <w:p>
            <w:pPr>
              <w:pStyle w:val="TableContents"/>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Pay for Performance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Our incentive plans are based on peer performance and benchmarks, the market and our LRSP.</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Above-target incentive payouts are awarded when we outperform our peers, market and LRSP benchmarks.</w:t>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7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79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19100" cy="419100"/>
                  <wp:effectExtent l="0" t="0" r="0" b="0"/>
                  <wp:docPr id="250"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99" descr=""/>
                          <pic:cNvPicPr>
                            <a:picLocks noChangeAspect="1" noChangeArrowheads="1"/>
                          </pic:cNvPicPr>
                        </pic:nvPicPr>
                        <pic:blipFill>
                          <a:blip r:embed="rId200"/>
                          <a:stretch>
                            <a:fillRect/>
                          </a:stretch>
                        </pic:blipFill>
                        <pic:spPr bwMode="auto">
                          <a:xfrm>
                            <a:off x="0" y="0"/>
                            <a:ext cx="419100" cy="419100"/>
                          </a:xfrm>
                          <a:prstGeom prst="rect">
                            <a:avLst/>
                          </a:prstGeom>
                        </pic:spPr>
                      </pic:pic>
                    </a:graphicData>
                  </a:graphic>
                </wp:inline>
              </w:drawing>
            </w:r>
          </w:p>
        </w:tc>
        <w:tc>
          <w:tcPr>
            <w:tcW w:w="9414" w:type="dxa"/>
            <w:gridSpan w:val="3"/>
            <w:tcBorders/>
            <w:tcMar>
              <w:top w:w="0" w:type="dxa"/>
              <w:left w:w="0" w:type="dxa"/>
              <w:bottom w:w="0" w:type="dxa"/>
              <w:right w:w="0" w:type="dxa"/>
            </w:tcMar>
            <w:vAlign w:val="center"/>
          </w:tcPr>
          <w:p>
            <w:pPr>
              <w:pStyle w:val="TableContents"/>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Leadership Recruitment, Retention and Succession</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Compensation is designed to be competitive with our peers and retain top talent.</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Programs are structured to attract, motivate and reward NEOs for delivering strong operational and strategic performance over time.</w:t>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8150" cy="438150"/>
                  <wp:effectExtent l="0" t="0" r="0" b="0"/>
                  <wp:docPr id="251"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00" descr=""/>
                          <pic:cNvPicPr>
                            <a:picLocks noChangeAspect="1" noChangeArrowheads="1"/>
                          </pic:cNvPicPr>
                        </pic:nvPicPr>
                        <pic:blipFill>
                          <a:blip r:embed="rId201"/>
                          <a:stretch>
                            <a:fillRect/>
                          </a:stretch>
                        </pic:blipFill>
                        <pic:spPr bwMode="auto">
                          <a:xfrm>
                            <a:off x="0" y="0"/>
                            <a:ext cx="438150" cy="438150"/>
                          </a:xfrm>
                          <a:prstGeom prst="rect">
                            <a:avLst/>
                          </a:prstGeom>
                        </pic:spPr>
                      </pic:pic>
                    </a:graphicData>
                  </a:graphic>
                </wp:inline>
              </w:drawing>
            </w:r>
          </w:p>
        </w:tc>
        <w:tc>
          <w:tcPr>
            <w:tcW w:w="941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29378D"/>
                <w:sz w:val="22"/>
              </w:rPr>
            </w:pPr>
            <w:r>
              <w:rPr>
                <w:rFonts w:ascii="Futura Std Book;sans-serif" w:hAnsi="Futura Std Book;sans-serif"/>
                <w:b w:val="false"/>
                <w:color w:val="29378D"/>
                <w:sz w:val="22"/>
              </w:rPr>
              <w:t>Sustainable Performance</w:t>
            </w:r>
          </w:p>
          <w:p>
            <w:pPr>
              <w:pStyle w:val="TableContents"/>
              <w:bidi w:val="0"/>
              <w:spacing w:lineRule="auto" w:line="288" w:before="80" w:after="283"/>
              <w:ind w:left="0" w:right="0" w:hanging="216"/>
              <w:jc w:val="left"/>
              <w:rPr/>
            </w:pPr>
            <w:r>
              <w:rPr>
                <w:color w:val="29378D"/>
              </w:rPr>
              <w:t>•</w:t>
            </w:r>
            <w:r>
              <w:rPr>
                <w:rFonts w:ascii="Futura Std Book;sans-serif" w:hAnsi="Futura Std Book;sans-serif"/>
                <w:b w:val="false"/>
                <w:color w:val="000000"/>
                <w:sz w:val="18"/>
              </w:rPr>
              <w:t>Our Annual Incentive Plan includes both financial and non-financial metrics to ensure we are building a strong foundation for long-term sustainable performance and shareholder value creation, and we are consistent with our commitment to sustainability.</w:t>
            </w:r>
          </w:p>
        </w:tc>
      </w:tr>
      <w:tr>
        <w:trPr/>
        <w:tc>
          <w:tcPr>
            <w:tcW w:w="791"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6"/>
        <w:gridCol w:w="252"/>
        <w:gridCol w:w="253"/>
        <w:gridCol w:w="2881"/>
        <w:gridCol w:w="2701"/>
        <w:gridCol w:w="3832"/>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32"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38150" cy="438150"/>
                  <wp:effectExtent l="0" t="0" r="0" b="0"/>
                  <wp:docPr id="25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01" descr=""/>
                          <pic:cNvPicPr>
                            <a:picLocks noChangeAspect="1" noChangeArrowheads="1"/>
                          </pic:cNvPicPr>
                        </pic:nvPicPr>
                        <pic:blipFill>
                          <a:blip r:embed="rId202"/>
                          <a:stretch>
                            <a:fillRect/>
                          </a:stretch>
                        </pic:blipFill>
                        <pic:spPr bwMode="auto">
                          <a:xfrm>
                            <a:off x="0" y="0"/>
                            <a:ext cx="438150" cy="438150"/>
                          </a:xfrm>
                          <a:prstGeom prst="rect">
                            <a:avLst/>
                          </a:prstGeom>
                        </pic:spPr>
                      </pic:pic>
                    </a:graphicData>
                  </a:graphic>
                </wp:inline>
              </w:drawing>
            </w:r>
          </w:p>
        </w:tc>
        <w:tc>
          <w:tcPr>
            <w:tcW w:w="941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29378D"/>
                <w:sz w:val="22"/>
              </w:rPr>
            </w:pPr>
            <w:r>
              <w:rPr>
                <w:rFonts w:ascii="Futura Std Book;sans-serif" w:hAnsi="Futura Std Book;sans-serif"/>
                <w:b w:val="false"/>
                <w:color w:val="29378D"/>
                <w:sz w:val="22"/>
              </w:rPr>
              <w:t>Alignment with Shareholder Interests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Our compensation structure places an appropriate amount of compensation at risk based on annual and long-term results.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At-risk compensation is based on financial and non-financial performance measures and relative Total Shareholder Return (rTSR). Payouts under the rTSR portion of the plan are capped at target if the Company’s TSR is negative over the three-year performance period.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 significant portion of compensation is delivered in equity, the vesting and value of which provides alignment with shareholder returns.</w:t>
            </w:r>
          </w:p>
          <w:p>
            <w:pPr>
              <w:pStyle w:val="TableContents"/>
              <w:bidi w:val="0"/>
              <w:spacing w:lineRule="auto" w:line="288" w:before="80" w:after="283"/>
              <w:ind w:left="0" w:right="0" w:hanging="216"/>
              <w:jc w:val="left"/>
              <w:rPr/>
            </w:pPr>
            <w:r>
              <w:rPr>
                <w:color w:val="29378D"/>
              </w:rPr>
              <w:t>•</w:t>
            </w:r>
            <w:r>
              <w:rPr>
                <w:rFonts w:ascii="Futura Std Book;sans-serif" w:hAnsi="Futura Std Book;sans-serif"/>
                <w:b w:val="false"/>
                <w:color w:val="000000"/>
                <w:sz w:val="18"/>
              </w:rPr>
              <w:t>Stock ownership guidelines, holding requirements for vested equity awards and our recoupment policy further align executive and shareholder interests.</w:t>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419100" cy="419100"/>
                  <wp:effectExtent l="0" t="0" r="0" b="0"/>
                  <wp:docPr id="253"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02" descr=""/>
                          <pic:cNvPicPr>
                            <a:picLocks noChangeAspect="1" noChangeArrowheads="1"/>
                          </pic:cNvPicPr>
                        </pic:nvPicPr>
                        <pic:blipFill>
                          <a:blip r:embed="rId203"/>
                          <a:stretch>
                            <a:fillRect/>
                          </a:stretch>
                        </pic:blipFill>
                        <pic:spPr bwMode="auto">
                          <a:xfrm>
                            <a:off x="0" y="0"/>
                            <a:ext cx="419100" cy="419100"/>
                          </a:xfrm>
                          <a:prstGeom prst="rect">
                            <a:avLst/>
                          </a:prstGeom>
                        </pic:spPr>
                      </pic:pic>
                    </a:graphicData>
                  </a:graphic>
                </wp:inline>
              </w:drawing>
            </w:r>
          </w:p>
        </w:tc>
        <w:tc>
          <w:tcPr>
            <w:tcW w:w="941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Futura Std Book;sans-serif" w:hAnsi="Futura Std Book;sans-serif"/>
                <w:b w:val="false"/>
                <w:color w:val="29378D"/>
                <w:sz w:val="22"/>
              </w:rPr>
            </w:pPr>
            <w:r>
              <w:rPr>
                <w:rFonts w:ascii="Futura Std Book;sans-serif" w:hAnsi="Futura Std Book;sans-serif"/>
                <w:b w:val="false"/>
                <w:color w:val="29378D"/>
                <w:sz w:val="22"/>
              </w:rPr>
              <w:t>Benchmarking</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Our compensation programs’ provisions and financial objectives are evaluated on an annual basis and modified in</w:t>
            </w:r>
            <w:r>
              <w:rPr>
                <w:color w:val="000000"/>
              </w:rPr>
              <w:t xml:space="preserve"> </w:t>
            </w:r>
            <w:r>
              <w:rPr>
                <w:rFonts w:ascii="Futura Std Book;sans-serif" w:hAnsi="Futura Std Book;sans-serif"/>
                <w:b w:val="false"/>
                <w:color w:val="000000"/>
                <w:sz w:val="18"/>
              </w:rPr>
              <w:t>accordance with industry and business conditions (e.g., divestitures, unforeseen impacts, etc.).</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Benchmarks are set using a hybrid approach of peer, market and LRSP data.</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We seek to outperform our peers (a group of top global defense companies identified as the Performance Peer Group on page </w:t>
            </w:r>
            <w:hyperlink w:anchor="i8fb2a057878b41ee8dd8c363104f2ab1_4654">
              <w:r>
                <w:rPr>
                  <w:rStyle w:val="InternetLink"/>
                  <w:rFonts w:ascii="Futura Std Book;sans-serif" w:hAnsi="Futura Std Book;sans-serif"/>
                  <w:b w:val="false"/>
                  <w:strike w:val="false"/>
                  <w:dstrike w:val="false"/>
                  <w:color w:val="000000"/>
                  <w:sz w:val="18"/>
                  <w:u w:val="none"/>
                  <w:effect w:val="none"/>
                </w:rPr>
                <w:t>55</w:t>
              </w:r>
            </w:hyperlink>
            <w:r>
              <w:rPr>
                <w:rFonts w:ascii="Futura Std Book;sans-serif" w:hAnsi="Futura Std Book;sans-serif"/>
                <w:b w:val="false"/>
                <w:color w:val="000000"/>
                <w:sz w:val="18"/>
              </w:rPr>
              <w:t>).</w:t>
            </w:r>
          </w:p>
          <w:p>
            <w:pPr>
              <w:pStyle w:val="TableContents"/>
              <w:bidi w:val="0"/>
              <w:spacing w:lineRule="auto" w:line="288" w:before="80" w:after="283"/>
              <w:ind w:left="0" w:right="0" w:hanging="216"/>
              <w:jc w:val="left"/>
              <w:rPr/>
            </w:pPr>
            <w:r>
              <w:rPr>
                <w:color w:val="29378D"/>
              </w:rPr>
              <w:t>•</w:t>
            </w:r>
            <w:r>
              <w:rPr>
                <w:rFonts w:ascii="Futura Std Book;sans-serif" w:hAnsi="Futura Std Book;sans-serif"/>
                <w:b w:val="false"/>
                <w:color w:val="000000"/>
                <w:sz w:val="18"/>
              </w:rPr>
              <w:t xml:space="preserve">We use a Target Industry Peer Group (TIPG) (identified on page </w:t>
            </w:r>
            <w:hyperlink w:anchor="i8fb2a057878b41ee8dd8c363104f2ab1_4656">
              <w:r>
                <w:rPr>
                  <w:rStyle w:val="InternetLink"/>
                  <w:rFonts w:ascii="Futura Std Book;sans-serif" w:hAnsi="Futura Std Book;sans-serif"/>
                  <w:b w:val="false"/>
                  <w:strike w:val="false"/>
                  <w:dstrike w:val="false"/>
                  <w:color w:val="000000"/>
                  <w:sz w:val="18"/>
                  <w:u w:val="none"/>
                  <w:effect w:val="none"/>
                </w:rPr>
                <w:t>55</w:t>
              </w:r>
            </w:hyperlink>
            <w:r>
              <w:rPr>
                <w:rFonts w:ascii="Futura Std Book;sans-serif" w:hAnsi="Futura Std Book;sans-serif"/>
                <w:b w:val="false"/>
                <w:color w:val="000000"/>
                <w:sz w:val="18"/>
              </w:rPr>
              <w:t>) for broader market executive compensation analyses that includes comparisons to companies that reflect the labor market for executive talent.</w:t>
            </w:r>
          </w:p>
        </w:tc>
      </w:tr>
      <w:tr>
        <w:trPr/>
        <w:tc>
          <w:tcPr>
            <w:tcW w:w="791"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14"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554990"/>
                <wp:effectExtent l="0" t="0" r="0" b="0"/>
                <wp:wrapNone/>
                <wp:docPr id="254" name="Frame5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In the CD&amp;A, we provide an overview of our executive compensation programs and the underlying philosophy used to develop the programs. We describe the material components of our executive compensation programs for our 2024 NEOs and explain how and why our Compensation and Human Capital Committee determined certain compensation policies and decisions. </w:t>
      </w:r>
    </w:p>
    <w:p>
      <w:pPr>
        <w:pStyle w:val="TextBody"/>
        <w:bidi w:val="0"/>
        <w:spacing w:lineRule="auto" w:line="288" w:before="120" w:after="120"/>
        <w:jc w:val="left"/>
        <w:rPr/>
      </w:pPr>
      <w:r>
        <w:rPr>
          <w:rFonts w:ascii="Futura Std Book;sans-serif" w:hAnsi="Futura Std Book;sans-serif"/>
          <w:b w:val="false"/>
          <w:color w:val="000000"/>
          <w:sz w:val="18"/>
        </w:rPr>
        <w:t xml:space="preserve">We refer to certain non-GAAP financial measures, which are identified with asterisks. For more information, including definitions, reconciliations to the most directly comparable GAAP measure and why these measures may be useful to investors, see “Appendix A - Use of Non-GAAP Financial Measures.” The 2024 NEO compensation is in the Summary Compensation Table on page </w:t>
      </w:r>
      <w:hyperlink w:anchor="idc6f358a7ea345daa8bbc8a5ea69f8d5_142">
        <w:r>
          <w:rPr>
            <w:rStyle w:val="InternetLink"/>
            <w:rFonts w:ascii="Futura Std Book;sans-serif" w:hAnsi="Futura Std Book;sans-serif"/>
            <w:b w:val="false"/>
            <w:strike w:val="false"/>
            <w:dstrike w:val="false"/>
            <w:color w:val="000000"/>
            <w:sz w:val="18"/>
            <w:u w:val="none"/>
            <w:effect w:val="none"/>
          </w:rPr>
          <w:t>70</w:t>
        </w:r>
      </w:hyperlink>
      <w:r>
        <w:rPr>
          <w:rFonts w:ascii="Futura Std Book;sans-serif" w:hAnsi="Futura Std Book;sans-serif"/>
          <w:b w:val="false"/>
          <w:color w:val="000000"/>
          <w:sz w:val="18"/>
        </w:rPr>
        <w:t xml:space="preserve"> and other compensation tables contained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734695"/>
                <wp:effectExtent l="0" t="0" r="0" b="0"/>
                <wp:wrapNone/>
                <wp:docPr id="255" name="Frame5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2024 Compensation Elements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executive compensation philosophy provides our NEOs with attractive, flexible and market-based total compensation tied to annual and long-term performance and aligned with the interests of our shareholders and our business objectives. The key elements of our compensation programs for our NEOs are summarized below.</w:t>
      </w:r>
    </w:p>
    <w:tbl>
      <w:tblPr>
        <w:tblW w:w="10205" w:type="dxa"/>
        <w:jc w:val="left"/>
        <w:tblInd w:w="0" w:type="dxa"/>
        <w:tblLayout w:type="fixed"/>
        <w:tblCellMar>
          <w:top w:w="28" w:type="dxa"/>
          <w:left w:w="28" w:type="dxa"/>
          <w:bottom w:w="28" w:type="dxa"/>
          <w:right w:w="28" w:type="dxa"/>
        </w:tblCellMar>
      </w:tblPr>
      <w:tblGrid>
        <w:gridCol w:w="756"/>
        <w:gridCol w:w="598"/>
        <w:gridCol w:w="600"/>
        <w:gridCol w:w="292"/>
        <w:gridCol w:w="292"/>
        <w:gridCol w:w="297"/>
        <w:gridCol w:w="324"/>
        <w:gridCol w:w="300"/>
        <w:gridCol w:w="270"/>
        <w:gridCol w:w="1117"/>
        <w:gridCol w:w="1117"/>
        <w:gridCol w:w="1127"/>
        <w:gridCol w:w="911"/>
        <w:gridCol w:w="911"/>
        <w:gridCol w:w="1293"/>
      </w:tblGrid>
      <w:tr>
        <w:trPr/>
        <w:tc>
          <w:tcPr>
            <w:tcW w:w="75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000000"/>
                <w:sz w:val="14"/>
              </w:rPr>
            </w:pPr>
            <w:r>
              <w:rPr>
                <w:rFonts w:ascii="Futura Std Book;sans-serif" w:hAnsi="Futura Std Book;sans-serif"/>
                <w:b/>
                <w:color w:val="000000"/>
                <w:sz w:val="14"/>
              </w:rPr>
              <w:t>Compensation Element</w:t>
            </w:r>
          </w:p>
        </w:tc>
        <w:tc>
          <w:tcPr>
            <w:tcW w:w="8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CEO</w:t>
            </w:r>
          </w:p>
        </w:tc>
        <w:tc>
          <w:tcPr>
            <w:tcW w:w="8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Other NEOs</w:t>
            </w:r>
          </w:p>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(Average)</w:t>
            </w:r>
          </w:p>
        </w:tc>
        <w:tc>
          <w:tcPr>
            <w:tcW w:w="33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Purpose</w:t>
            </w:r>
          </w:p>
        </w:tc>
        <w:tc>
          <w:tcPr>
            <w:tcW w:w="311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Key Characteristics</w:t>
            </w:r>
          </w:p>
        </w:tc>
      </w:tr>
      <w:tr>
        <w:trPr/>
        <w:tc>
          <w:tcPr>
            <w:tcW w:w="1954" w:type="dxa"/>
            <w:gridSpan w:val="3"/>
            <w:tcBorders/>
            <w:shd w:fill="6D6E71"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FFFFFF"/>
                <w:sz w:val="14"/>
              </w:rPr>
            </w:pPr>
            <w:r>
              <w:rPr>
                <w:rFonts w:ascii="Futura Std Book;sans-serif" w:hAnsi="Futura Std Book;sans-serif"/>
                <w:b/>
                <w:color w:val="FFFFFF"/>
                <w:sz w:val="14"/>
              </w:rPr>
              <w:t>Fixed</w:t>
            </w:r>
          </w:p>
        </w:tc>
        <w:tc>
          <w:tcPr>
            <w:tcW w:w="881" w:type="dxa"/>
            <w:gridSpan w:val="3"/>
            <w:tcBorders/>
            <w:shd w:fill="6D6E71"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8%</w:t>
            </w:r>
          </w:p>
        </w:tc>
        <w:tc>
          <w:tcPr>
            <w:tcW w:w="894" w:type="dxa"/>
            <w:gridSpan w:val="3"/>
            <w:tcBorders/>
            <w:shd w:fill="6D6E71"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17%</w:t>
            </w:r>
          </w:p>
        </w:tc>
        <w:tc>
          <w:tcPr>
            <w:tcW w:w="3361" w:type="dxa"/>
            <w:gridSpan w:val="3"/>
            <w:tcBorders/>
            <w:shd w:fill="6D6E7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3"/>
            <w:tcBorders/>
            <w:shd w:fill="6D6E7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Base Salary</w:t>
            </w:r>
          </w:p>
        </w:tc>
        <w:tc>
          <w:tcPr>
            <w:tcW w:w="88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04825" cy="504825"/>
                  <wp:effectExtent l="0" t="0" r="0" b="0"/>
                  <wp:docPr id="25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03" descr=""/>
                          <pic:cNvPicPr>
                            <a:picLocks noChangeAspect="1" noChangeArrowheads="1"/>
                          </pic:cNvPicPr>
                        </pic:nvPicPr>
                        <pic:blipFill>
                          <a:blip r:embed="rId204"/>
                          <a:stretch>
                            <a:fillRect/>
                          </a:stretch>
                        </pic:blipFill>
                        <pic:spPr bwMode="auto">
                          <a:xfrm>
                            <a:off x="0" y="0"/>
                            <a:ext cx="504825" cy="504825"/>
                          </a:xfrm>
                          <a:prstGeom prst="rect">
                            <a:avLst/>
                          </a:prstGeom>
                        </pic:spPr>
                      </pic:pic>
                    </a:graphicData>
                  </a:graphic>
                </wp:inline>
              </w:drawing>
            </w:r>
          </w:p>
        </w:tc>
        <w:tc>
          <w:tcPr>
            <w:tcW w:w="89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04825" cy="504825"/>
                  <wp:effectExtent l="0" t="0" r="0" b="0"/>
                  <wp:docPr id="25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04" descr=""/>
                          <pic:cNvPicPr>
                            <a:picLocks noChangeAspect="1" noChangeArrowheads="1"/>
                          </pic:cNvPicPr>
                        </pic:nvPicPr>
                        <pic:blipFill>
                          <a:blip r:embed="rId205"/>
                          <a:stretch>
                            <a:fillRect/>
                          </a:stretch>
                        </pic:blipFill>
                        <pic:spPr bwMode="auto">
                          <a:xfrm>
                            <a:off x="0" y="0"/>
                            <a:ext cx="504825" cy="504825"/>
                          </a:xfrm>
                          <a:prstGeom prst="rect">
                            <a:avLst/>
                          </a:prstGeom>
                        </pic:spPr>
                      </pic:pic>
                    </a:graphicData>
                  </a:graphic>
                </wp:inline>
              </w:drawing>
            </w:r>
          </w:p>
        </w:tc>
        <w:tc>
          <w:tcPr>
            <w:tcW w:w="3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Compensate equitably and competitively</w:t>
            </w:r>
          </w:p>
        </w:tc>
        <w:tc>
          <w:tcPr>
            <w:tcW w:w="3115"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Determined by level of responsibility, competitive market pay assessment and individual performance </w:t>
            </w:r>
          </w:p>
        </w:tc>
      </w:tr>
      <w:tr>
        <w:trPr/>
        <w:tc>
          <w:tcPr>
            <w:tcW w:w="1954"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FFFFFF"/>
                <w:sz w:val="14"/>
              </w:rPr>
            </w:pPr>
            <w:r>
              <w:rPr>
                <w:rFonts w:ascii="Futura Std Book;sans-serif" w:hAnsi="Futura Std Book;sans-serif"/>
                <w:b/>
                <w:color w:val="FFFFFF"/>
                <w:sz w:val="14"/>
              </w:rPr>
              <w:t>Variable</w:t>
            </w:r>
          </w:p>
        </w:tc>
        <w:tc>
          <w:tcPr>
            <w:tcW w:w="881"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92%</w:t>
            </w:r>
          </w:p>
        </w:tc>
        <w:tc>
          <w:tcPr>
            <w:tcW w:w="894" w:type="dxa"/>
            <w:gridSpan w:val="3"/>
            <w:tcBorders/>
            <w:shd w:fill="29378D"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4"/>
              </w:rPr>
            </w:pPr>
            <w:r>
              <w:rPr>
                <w:rFonts w:ascii="Futura Std Book;sans-serif" w:hAnsi="Futura Std Book;sans-serif"/>
                <w:b/>
                <w:color w:val="FFFFFF"/>
                <w:sz w:val="14"/>
              </w:rPr>
              <w:t>83%</w:t>
            </w:r>
          </w:p>
        </w:tc>
        <w:tc>
          <w:tcPr>
            <w:tcW w:w="3361"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Annual Incentive Plan (AIP)</w:t>
            </w:r>
          </w:p>
        </w:tc>
        <w:tc>
          <w:tcPr>
            <w:tcW w:w="881" w:type="dxa"/>
            <w:gridSpan w:val="3"/>
            <w:tcBorders>
              <w:top w:val="single" w:sz="4"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504825" cy="504825"/>
                  <wp:effectExtent l="0" t="0" r="0" b="0"/>
                  <wp:docPr id="25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05" descr=""/>
                          <pic:cNvPicPr>
                            <a:picLocks noChangeAspect="1" noChangeArrowheads="1"/>
                          </pic:cNvPicPr>
                        </pic:nvPicPr>
                        <pic:blipFill>
                          <a:blip r:embed="rId206"/>
                          <a:stretch>
                            <a:fillRect/>
                          </a:stretch>
                        </pic:blipFill>
                        <pic:spPr bwMode="auto">
                          <a:xfrm>
                            <a:off x="0" y="0"/>
                            <a:ext cx="504825" cy="504825"/>
                          </a:xfrm>
                          <a:prstGeom prst="rect">
                            <a:avLst/>
                          </a:prstGeom>
                        </pic:spPr>
                      </pic:pic>
                    </a:graphicData>
                  </a:graphic>
                </wp:inline>
              </w:drawing>
            </w:r>
          </w:p>
        </w:tc>
        <w:tc>
          <w:tcPr>
            <w:tcW w:w="894" w:type="dxa"/>
            <w:gridSpan w:val="3"/>
            <w:tcBorders>
              <w:top w:val="single" w:sz="4"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504825" cy="504825"/>
                  <wp:effectExtent l="0" t="0" r="0" b="0"/>
                  <wp:docPr id="25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06" descr=""/>
                          <pic:cNvPicPr>
                            <a:picLocks noChangeAspect="1" noChangeArrowheads="1"/>
                          </pic:cNvPicPr>
                        </pic:nvPicPr>
                        <pic:blipFill>
                          <a:blip r:embed="rId207"/>
                          <a:stretch>
                            <a:fillRect/>
                          </a:stretch>
                        </pic:blipFill>
                        <pic:spPr bwMode="auto">
                          <a:xfrm>
                            <a:off x="0" y="0"/>
                            <a:ext cx="504825" cy="504825"/>
                          </a:xfrm>
                          <a:prstGeom prst="rect">
                            <a:avLst/>
                          </a:prstGeom>
                        </pic:spPr>
                      </pic:pic>
                    </a:graphicData>
                  </a:graphic>
                </wp:inline>
              </w:drawing>
            </w:r>
          </w:p>
        </w:tc>
        <w:tc>
          <w:tcPr>
            <w:tcW w:w="336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Motivate and reward achievement of annual business objectives</w:t>
            </w:r>
          </w:p>
        </w:tc>
        <w:tc>
          <w:tcPr>
            <w:tcW w:w="311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 xml:space="preserve">90% Financial Metrics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35% Adjusted Cash Flow from Operations*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35% Segment Operating Income* Growth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20% Pension-Adjusted Operating Margin (OM) Rate*</w:t>
            </w:r>
          </w:p>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10% Non-financial Metrics</w:t>
            </w:r>
          </w:p>
        </w:tc>
      </w:tr>
      <w:tr>
        <w:trPr/>
        <w:tc>
          <w:tcPr>
            <w:tcW w:w="19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Long-Term Incentive Plan (LTIP) Restricted Stock Rights (RSRs)</w:t>
            </w:r>
          </w:p>
        </w:tc>
        <w:tc>
          <w:tcPr>
            <w:tcW w:w="881" w:type="dxa"/>
            <w:gridSpan w:val="3"/>
            <w:tcBorders>
              <w:top w:val="single" w:sz="4"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504825" cy="504825"/>
                  <wp:effectExtent l="0" t="0" r="0" b="0"/>
                  <wp:docPr id="26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07" descr=""/>
                          <pic:cNvPicPr>
                            <a:picLocks noChangeAspect="1" noChangeArrowheads="1"/>
                          </pic:cNvPicPr>
                        </pic:nvPicPr>
                        <pic:blipFill>
                          <a:blip r:embed="rId208"/>
                          <a:stretch>
                            <a:fillRect/>
                          </a:stretch>
                        </pic:blipFill>
                        <pic:spPr bwMode="auto">
                          <a:xfrm>
                            <a:off x="0" y="0"/>
                            <a:ext cx="504825" cy="504825"/>
                          </a:xfrm>
                          <a:prstGeom prst="rect">
                            <a:avLst/>
                          </a:prstGeom>
                        </pic:spPr>
                      </pic:pic>
                    </a:graphicData>
                  </a:graphic>
                </wp:inline>
              </w:drawing>
            </w:r>
          </w:p>
        </w:tc>
        <w:tc>
          <w:tcPr>
            <w:tcW w:w="894" w:type="dxa"/>
            <w:gridSpan w:val="3"/>
            <w:tcBorders>
              <w:top w:val="single" w:sz="4"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504825" cy="504825"/>
                  <wp:effectExtent l="0" t="0" r="0" b="0"/>
                  <wp:docPr id="26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08" descr=""/>
                          <pic:cNvPicPr>
                            <a:picLocks noChangeAspect="1" noChangeArrowheads="1"/>
                          </pic:cNvPicPr>
                        </pic:nvPicPr>
                        <pic:blipFill>
                          <a:blip r:embed="rId209"/>
                          <a:stretch>
                            <a:fillRect/>
                          </a:stretch>
                        </pic:blipFill>
                        <pic:spPr bwMode="auto">
                          <a:xfrm>
                            <a:off x="0" y="0"/>
                            <a:ext cx="504825" cy="504825"/>
                          </a:xfrm>
                          <a:prstGeom prst="rect">
                            <a:avLst/>
                          </a:prstGeom>
                        </pic:spPr>
                      </pic:pic>
                    </a:graphicData>
                  </a:graphic>
                </wp:inline>
              </w:drawing>
            </w:r>
          </w:p>
        </w:tc>
        <w:tc>
          <w:tcPr>
            <w:tcW w:w="336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Tie our executive officers’ priorities to shareholders’ and retain executive talent</w:t>
            </w:r>
          </w:p>
        </w:tc>
        <w:tc>
          <w:tcPr>
            <w:tcW w:w="311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 xml:space="preserve">30% of annual LTIP grant </w:t>
            </w:r>
          </w:p>
          <w:p>
            <w:pPr>
              <w:pStyle w:val="TableContents"/>
              <w:bidi w:val="0"/>
              <w:spacing w:lineRule="auto" w:line="288" w:before="80" w:after="283"/>
              <w:ind w:left="0" w:right="0" w:hanging="216"/>
              <w:jc w:val="left"/>
              <w:rPr/>
            </w:pPr>
            <w:r>
              <w:rPr>
                <w:color w:val="29378D"/>
              </w:rPr>
              <w:t>•</w:t>
            </w:r>
            <w:r>
              <w:rPr>
                <w:rFonts w:ascii="Futura Std Book;sans-serif" w:hAnsi="Futura Std Book;sans-serif"/>
                <w:b w:val="false"/>
                <w:color w:val="000000"/>
                <w:sz w:val="18"/>
              </w:rPr>
              <w:t>Three-year cliff vesting</w:t>
            </w:r>
          </w:p>
        </w:tc>
      </w:tr>
      <w:tr>
        <w:trPr/>
        <w:tc>
          <w:tcPr>
            <w:tcW w:w="195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LTIP Restricted Performance Stock Rights (RPSRs)</w:t>
            </w:r>
          </w:p>
        </w:tc>
        <w:tc>
          <w:tcPr>
            <w:tcW w:w="881"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0"/>
              <w:jc w:val="center"/>
              <w:rPr/>
            </w:pPr>
            <w:r>
              <w:rPr/>
              <w:drawing>
                <wp:inline distT="0" distB="0" distL="0" distR="0">
                  <wp:extent cx="504825" cy="514350"/>
                  <wp:effectExtent l="0" t="0" r="0" b="0"/>
                  <wp:docPr id="26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09" descr=""/>
                          <pic:cNvPicPr>
                            <a:picLocks noChangeAspect="1" noChangeArrowheads="1"/>
                          </pic:cNvPicPr>
                        </pic:nvPicPr>
                        <pic:blipFill>
                          <a:blip r:embed="rId210"/>
                          <a:stretch>
                            <a:fillRect/>
                          </a:stretch>
                        </pic:blipFill>
                        <pic:spPr bwMode="auto">
                          <a:xfrm>
                            <a:off x="0" y="0"/>
                            <a:ext cx="504825" cy="514350"/>
                          </a:xfrm>
                          <a:prstGeom prst="rect">
                            <a:avLst/>
                          </a:prstGeom>
                        </pic:spPr>
                      </pic:pic>
                    </a:graphicData>
                  </a:graphic>
                </wp:inline>
              </w:drawing>
            </w:r>
          </w:p>
        </w:tc>
        <w:tc>
          <w:tcPr>
            <w:tcW w:w="894"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0"/>
              <w:jc w:val="center"/>
              <w:rPr/>
            </w:pPr>
            <w:r>
              <w:rPr/>
              <w:drawing>
                <wp:inline distT="0" distB="0" distL="0" distR="0">
                  <wp:extent cx="504825" cy="504825"/>
                  <wp:effectExtent l="0" t="0" r="0" b="0"/>
                  <wp:docPr id="26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10" descr=""/>
                          <pic:cNvPicPr>
                            <a:picLocks noChangeAspect="1" noChangeArrowheads="1"/>
                          </pic:cNvPicPr>
                        </pic:nvPicPr>
                        <pic:blipFill>
                          <a:blip r:embed="rId211"/>
                          <a:stretch>
                            <a:fillRect/>
                          </a:stretch>
                        </pic:blipFill>
                        <pic:spPr bwMode="auto">
                          <a:xfrm>
                            <a:off x="0" y="0"/>
                            <a:ext cx="504825" cy="504825"/>
                          </a:xfrm>
                          <a:prstGeom prst="rect">
                            <a:avLst/>
                          </a:prstGeom>
                        </pic:spPr>
                      </pic:pic>
                    </a:graphicData>
                  </a:graphic>
                </wp:inline>
              </w:drawing>
            </w:r>
          </w:p>
        </w:tc>
        <w:tc>
          <w:tcPr>
            <w:tcW w:w="3361"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Link the interests of our executive officers to those of our shareholders, motivate and reward achievement of long-term strategic goals and retain executive talent</w:t>
            </w:r>
          </w:p>
        </w:tc>
        <w:tc>
          <w:tcPr>
            <w:tcW w:w="3115"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80"/>
              <w:ind w:left="0" w:right="0" w:hanging="216"/>
              <w:jc w:val="left"/>
              <w:rPr/>
            </w:pPr>
            <w:r>
              <w:rPr>
                <w:color w:val="29378D"/>
              </w:rPr>
              <w:t>•</w:t>
            </w:r>
            <w:r>
              <w:rPr>
                <w:rFonts w:ascii="Futura Std Book;sans-serif" w:hAnsi="Futura Std Book;sans-serif"/>
                <w:b w:val="false"/>
                <w:color w:val="000000"/>
                <w:sz w:val="18"/>
              </w:rPr>
              <w:t xml:space="preserve">70% of annual LTIP grant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Three-year performance period </w:t>
            </w:r>
          </w:p>
          <w:p>
            <w:pPr>
              <w:pStyle w:val="TableContents"/>
              <w:bidi w:val="0"/>
              <w:spacing w:lineRule="auto" w:line="288" w:before="80" w:after="283"/>
              <w:ind w:left="0" w:right="0" w:hanging="216"/>
              <w:jc w:val="left"/>
              <w:rPr/>
            </w:pPr>
            <w:r>
              <w:rPr>
                <w:color w:val="29378D"/>
              </w:rPr>
              <w:t>•</w:t>
            </w:r>
            <w:r>
              <w:rPr>
                <w:rFonts w:ascii="Futura Std Book;sans-serif" w:hAnsi="Futura Std Book;sans-serif"/>
                <w:b w:val="false"/>
                <w:color w:val="000000"/>
                <w:sz w:val="18"/>
              </w:rPr>
              <w:t>Equally weighted metrics of Adjusted Cumulative Free Cash Flow* (Adjusted Cumulative FCF*), Return on Invested Capital* (ROIC) and relative TSR</w:t>
            </w:r>
          </w:p>
        </w:tc>
      </w:tr>
    </w:tbl>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554990"/>
                <wp:effectExtent l="0" t="0" r="0" b="0"/>
                <wp:wrapNone/>
                <wp:docPr id="264" name="Frame5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2024 Performance Highlights</w:t>
      </w:r>
    </w:p>
    <w:tbl>
      <w:tblPr>
        <w:tblW w:w="8817" w:type="dxa"/>
        <w:jc w:val="left"/>
        <w:tblInd w:w="0" w:type="dxa"/>
        <w:tblLayout w:type="fixed"/>
        <w:tblCellMar>
          <w:top w:w="28" w:type="dxa"/>
          <w:left w:w="28" w:type="dxa"/>
          <w:bottom w:w="28" w:type="dxa"/>
          <w:right w:w="28" w:type="dxa"/>
        </w:tblCellMar>
      </w:tblPr>
      <w:tblGrid>
        <w:gridCol w:w="1394"/>
        <w:gridCol w:w="1226"/>
        <w:gridCol w:w="1235"/>
        <w:gridCol w:w="109"/>
        <w:gridCol w:w="109"/>
        <w:gridCol w:w="109"/>
        <w:gridCol w:w="1356"/>
        <w:gridCol w:w="1356"/>
        <w:gridCol w:w="1923"/>
      </w:tblGrid>
      <w:tr>
        <w:trPr/>
        <w:tc>
          <w:tcPr>
            <w:tcW w:w="139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left w:val="single" w:sz="8" w:space="0" w:color="000000"/>
            </w:tcBorders>
            <w:tcMar>
              <w:top w:w="0" w:type="dxa"/>
              <w:bottom w:w="0" w:type="dxa"/>
              <w:right w:w="0" w:type="dxa"/>
            </w:tcMar>
            <w:vAlign w:val="center"/>
          </w:tcPr>
          <w:p>
            <w:pPr>
              <w:pStyle w:val="TableContents"/>
              <w:bidi w:val="0"/>
              <w:spacing w:lineRule="auto" w:line="288" w:before="120" w:after="120"/>
              <w:jc w:val="center"/>
              <w:rPr/>
            </w:pPr>
            <w:r>
              <w:rPr>
                <w:rFonts w:ascii="Futura Std Book;sans-serif" w:hAnsi="Futura Std Book;sans-serif"/>
                <w:b w:val="false"/>
                <w:color w:val="000000"/>
                <w:sz w:val="18"/>
              </w:rPr>
              <w:t>Strong demand drove backlog of</w:t>
            </w:r>
            <w:r>
              <w:rPr>
                <w:color w:val="000000"/>
              </w:rPr>
              <w:t xml:space="preserve"> </w:t>
            </w:r>
            <w:r>
              <w:rPr>
                <w:rFonts w:ascii="Futura Std Book;sans-serif" w:hAnsi="Futura Std Book;sans-serif"/>
                <w:b/>
                <w:color w:val="000000"/>
                <w:sz w:val="18"/>
              </w:rPr>
              <w:t>$91.5B</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0"/>
              <w:jc w:val="center"/>
              <w:rPr/>
            </w:pPr>
            <w:r>
              <w:rPr>
                <w:rFonts w:ascii="Futura Std Book;sans-serif" w:hAnsi="Futura Std Book;sans-serif"/>
                <w:b w:val="false"/>
                <w:color w:val="000000"/>
                <w:sz w:val="18"/>
              </w:rPr>
              <w:t>Sales grew 4.4% to</w:t>
            </w:r>
            <w:r>
              <w:rPr>
                <w:color w:val="000000"/>
              </w:rPr>
              <w:t xml:space="preserve"> </w:t>
            </w:r>
            <w:r>
              <w:rPr>
                <w:rFonts w:ascii="Futura Std Book;sans-serif" w:hAnsi="Futura Std Book;sans-serif"/>
                <w:b/>
                <w:color w:val="000000"/>
                <w:sz w:val="18"/>
              </w:rPr>
              <w:t>$41.0B</w:t>
            </w:r>
          </w:p>
        </w:tc>
      </w:tr>
      <w:tr>
        <w:trPr/>
        <w:tc>
          <w:tcPr>
            <w:tcW w:w="3855"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center"/>
              <w:rPr/>
            </w:pPr>
            <w:r>
              <w:rPr>
                <w:rFonts w:ascii="Futura Std Book;sans-serif" w:hAnsi="Futura Std Book;sans-serif"/>
                <w:b w:val="false"/>
                <w:color w:val="000000"/>
                <w:sz w:val="18"/>
              </w:rPr>
              <w:t xml:space="preserve">Operating Cash Flow of </w:t>
            </w:r>
            <w:r>
              <w:rPr>
                <w:rFonts w:ascii="Futura Std Book;sans-serif" w:hAnsi="Futura Std Book;sans-serif"/>
                <w:b/>
                <w:color w:val="000000"/>
                <w:sz w:val="18"/>
              </w:rPr>
              <w:t>$4.4B</w:t>
            </w:r>
          </w:p>
          <w:p>
            <w:pPr>
              <w:pStyle w:val="TableContents"/>
              <w:bidi w:val="0"/>
              <w:spacing w:lineRule="auto" w:line="288" w:before="0" w:after="0"/>
              <w:jc w:val="center"/>
              <w:rPr/>
            </w:pPr>
            <w:r>
              <w:rPr>
                <w:rFonts w:ascii="Futura Std Book;sans-serif" w:hAnsi="Futura Std Book;sans-serif"/>
                <w:b w:val="false"/>
                <w:color w:val="000000"/>
                <w:sz w:val="18"/>
              </w:rPr>
              <w:t xml:space="preserve">Adjusted Free Cash Flow* of </w:t>
            </w:r>
            <w:r>
              <w:rPr>
                <w:rFonts w:ascii="Futura Std Book;sans-serif" w:hAnsi="Futura Std Book;sans-serif"/>
                <w:b/>
                <w:color w:val="000000"/>
                <w:sz w:val="18"/>
              </w:rPr>
              <w:t>$2.6B</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0"/>
              <w:jc w:val="center"/>
              <w:rPr/>
            </w:pPr>
            <w:r>
              <w:rPr>
                <w:rFonts w:ascii="Futura Std Book;sans-serif" w:hAnsi="Futura Std Book;sans-serif"/>
                <w:b w:val="false"/>
                <w:color w:val="000000"/>
                <w:sz w:val="18"/>
              </w:rPr>
              <w:t xml:space="preserve">Delivered strong return to shareholders of </w:t>
            </w:r>
            <w:r>
              <w:rPr>
                <w:rFonts w:ascii="Futura Std Book;sans-serif" w:hAnsi="Futura Std Book;sans-serif"/>
                <w:b/>
                <w:color w:val="000000"/>
                <w:sz w:val="18"/>
              </w:rPr>
              <w:t xml:space="preserve">$3.7B </w:t>
            </w:r>
          </w:p>
          <w:p>
            <w:pPr>
              <w:pStyle w:val="TableContents"/>
              <w:bidi w:val="0"/>
              <w:spacing w:lineRule="auto" w:line="288" w:before="0" w:after="0"/>
              <w:jc w:val="center"/>
              <w:rPr>
                <w:rFonts w:ascii="Futura Std Book;sans-serif" w:hAnsi="Futura Std Book;sans-serif"/>
                <w:b w:val="false"/>
                <w:color w:val="000000"/>
                <w:sz w:val="18"/>
              </w:rPr>
            </w:pPr>
            <w:r>
              <w:rPr>
                <w:rFonts w:ascii="Futura Std Book;sans-serif" w:hAnsi="Futura Std Book;sans-serif"/>
                <w:b w:val="false"/>
                <w:color w:val="000000"/>
                <w:sz w:val="18"/>
              </w:rPr>
              <w:t>in share repurchases &amp; dividends</w:t>
            </w:r>
          </w:p>
        </w:tc>
      </w:tr>
      <w:tr>
        <w:trPr/>
        <w:tc>
          <w:tcPr>
            <w:tcW w:w="385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Futura Std Book;sans-serif" w:hAnsi="Futura Std Book;sans-serif"/>
          <w:b w:val="false"/>
          <w:color w:val="00249C"/>
          <w:sz w:val="22"/>
        </w:rPr>
        <w:t>Adjusted Free Cash Flow*</w:t>
      </w:r>
      <w:r>
        <w:rPr>
          <w:rFonts w:ascii="Futura Std Book;sans-serif" w:hAnsi="Futura Std Book;sans-serif"/>
          <w:b w:val="false"/>
          <w:color w:val="000000"/>
          <w:sz w:val="18"/>
        </w:rPr>
        <w:br/>
        <w:t>($ in billions)</w:t>
      </w:r>
    </w:p>
    <w:p>
      <w:pPr>
        <w:pStyle w:val="TextBody"/>
        <w:bidi w:val="0"/>
        <w:spacing w:before="0" w:after="0"/>
        <w:jc w:val="center"/>
        <w:rPr/>
      </w:pPr>
      <w:r>
        <w:rPr/>
        <w:drawing>
          <wp:inline distT="0" distB="0" distL="0" distR="0">
            <wp:extent cx="3009900" cy="1638300"/>
            <wp:effectExtent l="0" t="0" r="0" b="0"/>
            <wp:docPr id="26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11" descr=""/>
                    <pic:cNvPicPr>
                      <a:picLocks noChangeAspect="1" noChangeArrowheads="1"/>
                    </pic:cNvPicPr>
                  </pic:nvPicPr>
                  <pic:blipFill>
                    <a:blip r:embed="rId212"/>
                    <a:stretch>
                      <a:fillRect/>
                    </a:stretch>
                  </pic:blipFill>
                  <pic:spPr bwMode="auto">
                    <a:xfrm>
                      <a:off x="0" y="0"/>
                      <a:ext cx="3009900" cy="1638300"/>
                    </a:xfrm>
                    <a:prstGeom prst="rect">
                      <a:avLst/>
                    </a:prstGeom>
                  </pic:spPr>
                </pic:pic>
              </a:graphicData>
            </a:graphic>
          </wp:inline>
        </w:drawing>
      </w:r>
    </w:p>
    <w:tbl>
      <w:tblPr>
        <w:tblW w:w="3818" w:type="dxa"/>
        <w:jc w:val="center"/>
        <w:tblInd w:w="0" w:type="dxa"/>
        <w:tblLayout w:type="fixed"/>
        <w:tblCellMar>
          <w:top w:w="28" w:type="dxa"/>
          <w:left w:w="28" w:type="dxa"/>
          <w:bottom w:w="28" w:type="dxa"/>
          <w:right w:w="28" w:type="dxa"/>
        </w:tblCellMar>
      </w:tblPr>
      <w:tblGrid>
        <w:gridCol w:w="124"/>
        <w:gridCol w:w="109"/>
        <w:gridCol w:w="109"/>
        <w:gridCol w:w="609"/>
        <w:gridCol w:w="609"/>
        <w:gridCol w:w="611"/>
        <w:gridCol w:w="109"/>
        <w:gridCol w:w="109"/>
        <w:gridCol w:w="109"/>
        <w:gridCol w:w="386"/>
        <w:gridCol w:w="386"/>
        <w:gridCol w:w="5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 2;sans-serif" w:hAnsi="Wingdings 2;sans-serif"/>
                <w:b w:val="false"/>
                <w:color w:val="00249C"/>
                <w:sz w:val="20"/>
              </w:rPr>
            </w:pPr>
            <w:r>
              <w:rPr>
                <w:rFonts w:ascii="Wingdings 2;sans-serif" w:hAnsi="Wingdings 2;sans-serif"/>
                <w:b w:val="false"/>
                <w:color w:val="00249C"/>
                <w:sz w:val="20"/>
              </w:rPr>
              <w:t>¢</w:t>
            </w:r>
          </w:p>
        </w:tc>
        <w:tc>
          <w:tcPr>
            <w:tcW w:w="18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Operating Cash Flow</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 2;sans-serif" w:hAnsi="Wingdings 2;sans-serif"/>
                <w:b w:val="false"/>
                <w:color w:val="DFDEEE"/>
                <w:sz w:val="20"/>
              </w:rPr>
            </w:pPr>
            <w:r>
              <w:rPr>
                <w:rFonts w:ascii="Wingdings 2;sans-serif" w:hAnsi="Wingdings 2;sans-serif"/>
                <w:b w:val="false"/>
                <w:color w:val="DFDEEE"/>
                <w:sz w:val="20"/>
              </w:rPr>
              <w:t>¢</w:t>
            </w:r>
          </w:p>
        </w:tc>
        <w:tc>
          <w:tcPr>
            <w:tcW w:w="132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Adjusted FCF*</w:t>
            </w:r>
          </w:p>
        </w:tc>
      </w:tr>
    </w:tbl>
    <w:p>
      <w:pPr>
        <w:pStyle w:val="TextBody"/>
        <w:bidi w:val="0"/>
        <w:spacing w:lineRule="auto" w:line="312" w:before="120" w:after="120"/>
        <w:jc w:val="left"/>
        <w:rPr>
          <w:rFonts w:ascii="Futura Std Book;sans-serif" w:hAnsi="Futura Std Book;sans-serif"/>
          <w:b w:val="false"/>
          <w:color w:val="00249C"/>
          <w:sz w:val="22"/>
        </w:rPr>
      </w:pPr>
      <w:r>
        <w:rPr>
          <w:rFonts w:ascii="Futura Std Book;sans-serif" w:hAnsi="Futura Std Book;sans-serif"/>
          <w:b w:val="false"/>
          <w:color w:val="00249C"/>
          <w:sz w:val="22"/>
        </w:rPr>
        <w:t>3-Year Cumulative Total Shareholder Return</w:t>
      </w:r>
    </w:p>
    <w:p>
      <w:pPr>
        <w:pStyle w:val="TextBody"/>
        <w:bidi w:val="0"/>
        <w:spacing w:before="0" w:after="0"/>
        <w:jc w:val="center"/>
        <w:rPr/>
      </w:pPr>
      <w:r>
        <w:rPr/>
        <w:drawing>
          <wp:inline distT="0" distB="0" distL="0" distR="0">
            <wp:extent cx="3009900" cy="1638300"/>
            <wp:effectExtent l="0" t="0" r="0" b="0"/>
            <wp:docPr id="26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12" descr=""/>
                    <pic:cNvPicPr>
                      <a:picLocks noChangeAspect="1" noChangeArrowheads="1"/>
                    </pic:cNvPicPr>
                  </pic:nvPicPr>
                  <pic:blipFill>
                    <a:blip r:embed="rId213"/>
                    <a:stretch>
                      <a:fillRect/>
                    </a:stretch>
                  </pic:blipFill>
                  <pic:spPr bwMode="auto">
                    <a:xfrm>
                      <a:off x="0" y="0"/>
                      <a:ext cx="3009900" cy="1638300"/>
                    </a:xfrm>
                    <a:prstGeom prst="rect">
                      <a:avLst/>
                    </a:prstGeom>
                  </pic:spPr>
                </pic:pic>
              </a:graphicData>
            </a:graphic>
          </wp:inline>
        </w:drawing>
      </w:r>
    </w:p>
    <w:tbl>
      <w:tblPr>
        <w:tblW w:w="2023" w:type="dxa"/>
        <w:jc w:val="center"/>
        <w:tblInd w:w="0" w:type="dxa"/>
        <w:tblLayout w:type="fixed"/>
        <w:tblCellMar>
          <w:top w:w="28" w:type="dxa"/>
          <w:left w:w="28" w:type="dxa"/>
          <w:bottom w:w="28" w:type="dxa"/>
          <w:right w:w="28" w:type="dxa"/>
        </w:tblCellMar>
      </w:tblPr>
      <w:tblGrid>
        <w:gridCol w:w="124"/>
        <w:gridCol w:w="109"/>
        <w:gridCol w:w="109"/>
        <w:gridCol w:w="160"/>
        <w:gridCol w:w="160"/>
        <w:gridCol w:w="161"/>
        <w:gridCol w:w="115"/>
        <w:gridCol w:w="115"/>
        <w:gridCol w:w="116"/>
        <w:gridCol w:w="249"/>
        <w:gridCol w:w="249"/>
        <w:gridCol w:w="3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 2;sans-serif" w:hAnsi="Wingdings 2;sans-serif"/>
                <w:b w:val="false"/>
                <w:color w:val="0A2299"/>
                <w:sz w:val="20"/>
              </w:rPr>
            </w:pPr>
            <w:r>
              <w:rPr>
                <w:rFonts w:ascii="Wingdings 2;sans-serif" w:hAnsi="Wingdings 2;sans-serif"/>
                <w:b w:val="false"/>
                <w:color w:val="0A2299"/>
                <w:sz w:val="20"/>
              </w:rPr>
              <w:t>¢</w:t>
            </w:r>
          </w:p>
        </w:tc>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NOC</w:t>
            </w:r>
          </w:p>
        </w:tc>
        <w:tc>
          <w:tcPr>
            <w:tcW w:w="34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667DC2"/>
              </w:rPr>
            </w:pPr>
            <w:r>
              <w:rPr>
                <w:color w:val="667DC2"/>
              </w:rPr>
              <w:t>—</w:t>
            </w:r>
          </w:p>
        </w:tc>
        <w:tc>
          <w:tcPr>
            <w:tcW w:w="8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S&amp;P 500</w:t>
            </w:r>
          </w:p>
        </w:tc>
      </w:tr>
    </w:tbl>
    <w:tbl>
      <w:tblPr>
        <w:tblW w:w="3617" w:type="dxa"/>
        <w:jc w:val="center"/>
        <w:tblInd w:w="0" w:type="dxa"/>
        <w:tblLayout w:type="fixed"/>
        <w:tblCellMar>
          <w:top w:w="28" w:type="dxa"/>
          <w:left w:w="28" w:type="dxa"/>
          <w:bottom w:w="28" w:type="dxa"/>
          <w:right w:w="28" w:type="dxa"/>
        </w:tblCellMar>
      </w:tblPr>
      <w:tblGrid>
        <w:gridCol w:w="130"/>
        <w:gridCol w:w="115"/>
        <w:gridCol w:w="116"/>
        <w:gridCol w:w="325"/>
        <w:gridCol w:w="325"/>
        <w:gridCol w:w="326"/>
        <w:gridCol w:w="115"/>
        <w:gridCol w:w="115"/>
        <w:gridCol w:w="116"/>
        <w:gridCol w:w="566"/>
        <w:gridCol w:w="566"/>
        <w:gridCol w:w="802"/>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99A8D7"/>
              </w:rPr>
            </w:pPr>
            <w:r>
              <w:rPr>
                <w:color w:val="99A8D7"/>
              </w:rPr>
              <w:t>—</w:t>
            </w:r>
          </w:p>
        </w:tc>
        <w:tc>
          <w:tcPr>
            <w:tcW w:w="9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Industrials</w:t>
            </w:r>
          </w:p>
        </w:tc>
        <w:tc>
          <w:tcPr>
            <w:tcW w:w="346"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999999"/>
              </w:rPr>
            </w:pPr>
            <w:r>
              <w:rPr>
                <w:color w:val="999999"/>
              </w:rPr>
              <w:t>—</w:t>
            </w:r>
          </w:p>
        </w:tc>
        <w:tc>
          <w:tcPr>
            <w:tcW w:w="19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Direct Peers Average</w:t>
            </w:r>
          </w:p>
        </w:tc>
      </w:tr>
    </w:tbl>
    <w:p>
      <w:pPr>
        <w:pStyle w:val="TextBody"/>
        <w:bidi w:val="0"/>
        <w:spacing w:lineRule="auto" w:line="312"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249C"/>
          <w:sz w:val="36"/>
        </w:rPr>
      </w:pPr>
      <w:r>
        <w:rPr>
          <w:rFonts w:ascii="Futura Std Book;sans-serif" w:hAnsi="Futura Std Book;sans-serif"/>
          <w:b/>
          <w:color w:val="00249C"/>
          <w:sz w:val="36"/>
        </w:rPr>
        <w:t>Consideration of Say-On-Pay Vote</w:t>
      </w:r>
    </w:p>
    <w:p>
      <w:pPr>
        <w:pStyle w:val="TextBody"/>
        <w:bidi w:val="0"/>
        <w:spacing w:lineRule="auto" w:line="312"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 annually asks shareholders to approve, on an advisory basis, the compensation paid to our NEOs. We regularly engage with our shareholders to address their questions regarding executive compensation and emphasize our philosophy and competitive pay practices. The Compensation and Human Capital Committee annually reviews and discusses the results of the say-on-pay vote. In 2024, our executive compensation programs continued to receive strong support from shareholders with 94% approval at our 2024 Annual Meeting of Shareholders. Based on its review and feedback from shareholder engagement, the Compensation and Human Capital Committee determined that our programs are effective and aligned with shareholder interests, and no substantive changes were required.</w:t>
      </w:r>
    </w:p>
    <w:p>
      <w:pPr>
        <w:pStyle w:val="TextBody"/>
        <w:bidi w:val="0"/>
        <w:spacing w:lineRule="auto" w:line="312" w:before="0" w:after="120"/>
        <w:jc w:val="left"/>
        <w:rPr>
          <w:rFonts w:ascii="Futura Std Book;sans-serif" w:hAnsi="Futura Std Book;sans-serif"/>
          <w:b/>
          <w:color w:val="00249C"/>
          <w:sz w:val="20"/>
        </w:rPr>
      </w:pPr>
      <w:r>
        <w:rPr>
          <w:rFonts w:ascii="Futura Std Book;sans-serif" w:hAnsi="Futura Std Book;sans-serif"/>
          <w:b/>
          <w:color w:val="00249C"/>
          <w:sz w:val="20"/>
        </w:rPr>
        <w:t>Say-On-Pay Results</w:t>
      </w:r>
    </w:p>
    <w:p>
      <w:pPr>
        <w:pStyle w:val="TextBody"/>
        <w:bidi w:val="0"/>
        <w:spacing w:before="0" w:after="0"/>
        <w:jc w:val="center"/>
        <w:rPr/>
      </w:pPr>
      <w:r>
        <w:rPr/>
        <w:drawing>
          <wp:inline distT="0" distB="0" distL="0" distR="0">
            <wp:extent cx="3009900" cy="1914525"/>
            <wp:effectExtent l="0" t="0" r="0" b="0"/>
            <wp:docPr id="26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13" descr=""/>
                    <pic:cNvPicPr>
                      <a:picLocks noChangeAspect="1" noChangeArrowheads="1"/>
                    </pic:cNvPicPr>
                  </pic:nvPicPr>
                  <pic:blipFill>
                    <a:blip r:embed="rId214"/>
                    <a:stretch>
                      <a:fillRect/>
                    </a:stretch>
                  </pic:blipFill>
                  <pic:spPr bwMode="auto">
                    <a:xfrm>
                      <a:off x="0" y="0"/>
                      <a:ext cx="3009900" cy="19145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734695"/>
                <wp:effectExtent l="0" t="0" r="0" b="0"/>
                <wp:wrapNone/>
                <wp:docPr id="268" name="Frame5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30"/>
        </w:rPr>
      </w:pPr>
      <w:bookmarkStart w:id="5" w:name="i3db608f1d57247a19c6d3e61d8093fa2_139"/>
      <w:bookmarkEnd w:id="5"/>
      <w:r>
        <w:rPr>
          <w:rFonts w:ascii="Futura Std Book;sans-serif" w:hAnsi="Futura Std Book;sans-serif"/>
          <w:b/>
          <w:color w:val="29378D"/>
          <w:sz w:val="30"/>
        </w:rPr>
        <w:t>Our Compensation Best Practices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compensation programs incorporate best practices across all industries, including the following:</w:t>
      </w:r>
    </w:p>
    <w:tbl>
      <w:tblPr>
        <w:tblW w:w="10205" w:type="dxa"/>
        <w:jc w:val="left"/>
        <w:tblInd w:w="0" w:type="dxa"/>
        <w:tblLayout w:type="fixed"/>
        <w:tblCellMar>
          <w:top w:w="28" w:type="dxa"/>
          <w:left w:w="28" w:type="dxa"/>
          <w:bottom w:w="28" w:type="dxa"/>
          <w:right w:w="28" w:type="dxa"/>
        </w:tblCellMar>
      </w:tblPr>
      <w:tblGrid>
        <w:gridCol w:w="898"/>
        <w:gridCol w:w="659"/>
        <w:gridCol w:w="660"/>
        <w:gridCol w:w="109"/>
        <w:gridCol w:w="109"/>
        <w:gridCol w:w="109"/>
        <w:gridCol w:w="1134"/>
        <w:gridCol w:w="541"/>
        <w:gridCol w:w="543"/>
        <w:gridCol w:w="109"/>
        <w:gridCol w:w="109"/>
        <w:gridCol w:w="109"/>
        <w:gridCol w:w="835"/>
        <w:gridCol w:w="714"/>
        <w:gridCol w:w="716"/>
        <w:gridCol w:w="109"/>
        <w:gridCol w:w="109"/>
        <w:gridCol w:w="109"/>
        <w:gridCol w:w="109"/>
        <w:gridCol w:w="109"/>
        <w:gridCol w:w="109"/>
        <w:gridCol w:w="969"/>
        <w:gridCol w:w="581"/>
        <w:gridCol w:w="647"/>
      </w:tblGrid>
      <w:tr>
        <w:trPr/>
        <w:tc>
          <w:tcPr>
            <w:tcW w:w="8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7354" w:type="dxa"/>
            <w:gridSpan w:val="15"/>
            <w:tcBorders/>
            <w:shd w:fill="C6C5DF"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283790"/>
                <w:sz w:val="18"/>
              </w:rPr>
            </w:pPr>
            <w:r>
              <w:rPr>
                <w:rFonts w:ascii="Futura Std Book;sans-serif" w:hAnsi="Futura Std Book;sans-serif"/>
                <w:b/>
                <w:color w:val="283790"/>
                <w:sz w:val="1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shd w:fill="C6C5DF" w:val="clear"/>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283790"/>
                <w:sz w:val="18"/>
              </w:rPr>
            </w:pPr>
            <w:r>
              <w:rPr>
                <w:rFonts w:ascii="Futura Std Book;sans-serif" w:hAnsi="Futura Std Book;sans-serif"/>
                <w:b/>
                <w:color w:val="283790"/>
                <w:sz w:val="18"/>
              </w:rPr>
              <w:t>What We Don’t Do</w:t>
            </w:r>
          </w:p>
        </w:tc>
      </w:tr>
      <w:tr>
        <w:trPr/>
        <w:tc>
          <w:tcPr>
            <w:tcW w:w="22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83790"/>
                <w:sz w:val="18"/>
              </w:rPr>
            </w:pPr>
            <w:r>
              <w:rPr>
                <w:rFonts w:ascii="Futura Std Book;sans-serif" w:hAnsi="Futura Std Book;sans-serif"/>
                <w:b/>
                <w:color w:val="283790"/>
                <w:sz w:val="18"/>
              </w:rPr>
              <w:t>Pay for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83790"/>
                <w:sz w:val="18"/>
              </w:rPr>
            </w:pPr>
            <w:r>
              <w:rPr>
                <w:rFonts w:ascii="Futura Std Book;sans-serif" w:hAnsi="Futura Std Book;sans-serif"/>
                <w:b/>
                <w:color w:val="283790"/>
                <w:sz w:val="18"/>
              </w:rPr>
              <w:t>Annual Peer Group Review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 xml:space="preserve">Long-Term Incentives </w:t>
            </w:r>
            <w:r>
              <w:rPr>
                <w:rFonts w:ascii="Futura Std Book;sans-serif" w:hAnsi="Futura Std Book;sans-serif"/>
                <w:b/>
                <w:color w:val="29378D"/>
                <w:sz w:val="18"/>
              </w:rPr>
              <w:t xml:space="preserve">Focused on Performance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No </w:t>
            </w:r>
            <w:r>
              <w:rPr>
                <w:rFonts w:ascii="Futura Std Book;sans-serif" w:hAnsi="Futura Std Book;sans-serif"/>
                <w:b w:val="false"/>
                <w:color w:val="000000"/>
                <w:sz w:val="18"/>
              </w:rPr>
              <w:t>Individual</w:t>
            </w:r>
            <w:r>
              <w:rPr>
                <w:color w:val="283790"/>
              </w:rPr>
              <w:t xml:space="preserve"> </w:t>
            </w:r>
            <w:r>
              <w:rPr>
                <w:rFonts w:ascii="Futura Std Book;sans-serif" w:hAnsi="Futura Std Book;sans-serif"/>
                <w:b/>
                <w:color w:val="283790"/>
                <w:sz w:val="18"/>
              </w:rPr>
              <w:t xml:space="preserve">Change in Control </w:t>
            </w:r>
            <w:r>
              <w:rPr>
                <w:rFonts w:ascii="Futura Std Book;sans-serif" w:hAnsi="Futura Std Book;sans-serif"/>
                <w:b w:val="false"/>
                <w:color w:val="000000"/>
                <w:sz w:val="18"/>
              </w:rPr>
              <w:t>Agreements</w:t>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9378D"/>
                <w:sz w:val="18"/>
              </w:rPr>
              <w:t>Compensation Elements Benchmarked</w:t>
            </w:r>
            <w:r>
              <w:rPr>
                <w:color w:val="000000"/>
              </w:rPr>
              <w:t xml:space="preserve"> </w:t>
            </w:r>
            <w:r>
              <w:rPr>
                <w:rFonts w:ascii="Futura Std Book;sans-serif" w:hAnsi="Futura Std Book;sans-serif"/>
                <w:b w:val="false"/>
                <w:color w:val="000000"/>
                <w:sz w:val="18"/>
              </w:rPr>
              <w:t xml:space="preserve">at Market Median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9378D"/>
                <w:sz w:val="18"/>
              </w:rPr>
              <w:t>Above-Target Annual Incentive Payouts</w:t>
            </w:r>
            <w:r>
              <w:rPr>
                <w:color w:val="000000"/>
              </w:rPr>
              <w:t xml:space="preserve"> </w:t>
            </w:r>
            <w:r>
              <w:rPr>
                <w:rFonts w:ascii="Futura Std Book;sans-serif" w:hAnsi="Futura Std Book;sans-serif"/>
                <w:b w:val="false"/>
                <w:color w:val="000000"/>
                <w:sz w:val="18"/>
              </w:rPr>
              <w:t xml:space="preserve">When We </w:t>
            </w:r>
            <w:r>
              <w:rPr>
                <w:rFonts w:ascii="Futura Std Book;sans-serif" w:hAnsi="Futura Std Book;sans-serif"/>
                <w:b/>
                <w:color w:val="00249C"/>
                <w:sz w:val="18"/>
              </w:rPr>
              <w:t xml:space="preserve">Outperform Our Peer Benchmarks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9378D"/>
                <w:sz w:val="18"/>
              </w:rPr>
              <w:t xml:space="preserve">Independent Consultant </w:t>
            </w:r>
            <w:r>
              <w:rPr>
                <w:rFonts w:ascii="Futura Std Book;sans-serif" w:hAnsi="Futura Std Book;sans-serif"/>
                <w:b w:val="false"/>
                <w:color w:val="000000"/>
                <w:sz w:val="18"/>
              </w:rPr>
              <w:t xml:space="preserve">Reports Directly to Compensation and Human Capital Committee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No Employment Contracts</w:t>
            </w:r>
            <w:r>
              <w:rPr>
                <w:color w:val="000000"/>
              </w:rPr>
              <w:t xml:space="preserve"> </w:t>
            </w:r>
            <w:r>
              <w:rPr>
                <w:rFonts w:ascii="Futura Std Book;sans-serif" w:hAnsi="Futura Std Book;sans-serif"/>
                <w:b w:val="false"/>
                <w:color w:val="000000"/>
                <w:sz w:val="18"/>
              </w:rPr>
              <w:t xml:space="preserve">for Chief Executive Officer (CEO) or Other NEOs </w:t>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Recoupment Policy on Cash </w:t>
            </w:r>
            <w:r>
              <w:rPr>
                <w:rFonts w:ascii="Futura Std Book;sans-serif" w:hAnsi="Futura Std Book;sans-serif"/>
                <w:b w:val="false"/>
                <w:color w:val="000000"/>
                <w:sz w:val="18"/>
              </w:rPr>
              <w:t>and</w:t>
            </w:r>
            <w:r>
              <w:rPr>
                <w:color w:val="283790"/>
              </w:rPr>
              <w:t xml:space="preserve"> </w:t>
            </w:r>
            <w:r>
              <w:rPr>
                <w:rFonts w:ascii="Futura Std Book;sans-serif" w:hAnsi="Futura Std Book;sans-serif"/>
                <w:b/>
                <w:color w:val="283790"/>
                <w:sz w:val="18"/>
              </w:rPr>
              <w:t xml:space="preserve">Equity Incentive Compensation Payments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83790"/>
                <w:sz w:val="18"/>
              </w:rPr>
            </w:pPr>
            <w:r>
              <w:rPr>
                <w:rFonts w:ascii="Futura Std Book;sans-serif" w:hAnsi="Futura Std Book;sans-serif"/>
                <w:b/>
                <w:color w:val="283790"/>
                <w:sz w:val="18"/>
              </w:rPr>
              <w:t>Dividends Paid Upon Vesting of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Stock Ownership Guidelines </w:t>
            </w:r>
            <w:r>
              <w:rPr>
                <w:rFonts w:ascii="Futura Std Book;sans-serif" w:hAnsi="Futura Std Book;sans-serif"/>
                <w:b w:val="false"/>
                <w:color w:val="000000"/>
                <w:sz w:val="18"/>
              </w:rPr>
              <w:t>and</w:t>
            </w:r>
            <w:r>
              <w:rPr>
                <w:color w:val="283790"/>
              </w:rPr>
              <w:t xml:space="preserve"> </w:t>
            </w:r>
            <w:r>
              <w:rPr>
                <w:rFonts w:ascii="Futura Std Book;sans-serif" w:hAnsi="Futura Std Book;sans-serif"/>
                <w:b/>
                <w:color w:val="283790"/>
                <w:sz w:val="18"/>
              </w:rPr>
              <w:t xml:space="preserve">Stock Holding Requirements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No Excise Tax Gross-ups </w:t>
            </w:r>
            <w:r>
              <w:rPr>
                <w:rFonts w:ascii="Futura Std Book;sans-serif" w:hAnsi="Futura Std Book;sans-serif"/>
                <w:b w:val="false"/>
                <w:color w:val="000000"/>
                <w:sz w:val="18"/>
              </w:rPr>
              <w:t xml:space="preserve">for Payments Received Upon Termination After a Change in Control </w:t>
            </w:r>
          </w:p>
        </w:tc>
      </w:tr>
      <w:tr>
        <w:trPr/>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LTIP Double Trigger Provisions </w:t>
            </w:r>
            <w:r>
              <w:rPr>
                <w:rFonts w:ascii="Futura Std Book;sans-serif" w:hAnsi="Futura Std Book;sans-serif"/>
                <w:b w:val="false"/>
                <w:color w:val="000000"/>
                <w:sz w:val="18"/>
              </w:rPr>
              <w:t>for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Regular Risk Assessments </w:t>
            </w:r>
            <w:r>
              <w:rPr>
                <w:rFonts w:ascii="Futura Std Book;sans-serif" w:hAnsi="Futura Std Book;sans-serif"/>
                <w:b w:val="false"/>
                <w:color w:val="000000"/>
                <w:sz w:val="18"/>
              </w:rPr>
              <w:t>Performed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Cap on Annual Bonuses </w:t>
            </w:r>
            <w:r>
              <w:rPr>
                <w:rFonts w:ascii="Futura Std Book;sans-serif" w:hAnsi="Futura Std Book;sans-serif"/>
                <w:b w:val="false"/>
                <w:color w:val="000000"/>
                <w:sz w:val="18"/>
              </w:rPr>
              <w:t>and</w:t>
            </w:r>
            <w:r>
              <w:rPr>
                <w:color w:val="283790"/>
              </w:rPr>
              <w:t xml:space="preserve"> </w:t>
            </w:r>
            <w:r>
              <w:rPr>
                <w:rFonts w:ascii="Futura Std Book;sans-serif" w:hAnsi="Futura Std Book;sans-serif"/>
                <w:b/>
                <w:color w:val="283790"/>
                <w:sz w:val="18"/>
              </w:rPr>
              <w:t xml:space="preserve">RPSR Payouts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24242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color w:val="283790"/>
                <w:sz w:val="18"/>
              </w:rPr>
              <w:t xml:space="preserve">No Hedging or Pledging </w:t>
            </w:r>
            <w:r>
              <w:rPr>
                <w:rFonts w:ascii="Futura Std Book;sans-serif" w:hAnsi="Futura Std Book;sans-serif"/>
                <w:b w:val="false"/>
                <w:color w:val="000000"/>
                <w:sz w:val="18"/>
              </w:rPr>
              <w:t>of Company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How We Make Executive Compensation Decisions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Compensation and Human Capital Committee leads a rigorous and continuous process evaluating our thoughtfully designed programs throughout the year to ensure that we maintain executive compensation programs that align with the interests of our shareholders.</w:t>
      </w:r>
    </w:p>
    <w:tbl>
      <w:tblPr>
        <w:tblW w:w="10205" w:type="dxa"/>
        <w:jc w:val="left"/>
        <w:tblInd w:w="0" w:type="dxa"/>
        <w:tblLayout w:type="fixed"/>
        <w:tblCellMar>
          <w:top w:w="28" w:type="dxa"/>
          <w:left w:w="28" w:type="dxa"/>
          <w:bottom w:w="28" w:type="dxa"/>
          <w:right w:w="28" w:type="dxa"/>
        </w:tblCellMar>
      </w:tblPr>
      <w:tblGrid>
        <w:gridCol w:w="2195"/>
        <w:gridCol w:w="1928"/>
        <w:gridCol w:w="1950"/>
        <w:gridCol w:w="109"/>
        <w:gridCol w:w="109"/>
        <w:gridCol w:w="109"/>
        <w:gridCol w:w="109"/>
        <w:gridCol w:w="109"/>
        <w:gridCol w:w="109"/>
        <w:gridCol w:w="1014"/>
        <w:gridCol w:w="1014"/>
        <w:gridCol w:w="1450"/>
      </w:tblGrid>
      <w:tr>
        <w:trPr/>
        <w:tc>
          <w:tcPr>
            <w:tcW w:w="219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6073" w:type="dxa"/>
            <w:gridSpan w:val="3"/>
            <w:vMerge w:val="restart"/>
            <w:tcBorders/>
            <w:shd w:fill="DFDEEE"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8"/>
              </w:rPr>
            </w:pPr>
            <w:r>
              <w:rPr>
                <w:rFonts w:ascii="Futura Std Book;sans-serif" w:hAnsi="Futura Std Book;sans-serif"/>
                <w:b/>
                <w:color w:val="000000"/>
                <w:sz w:val="18"/>
              </w:rPr>
              <w:t>Assess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vMerge w:val="restart"/>
            <w:tcBorders/>
            <w:shd w:fill="C6C5DF"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8"/>
              </w:rPr>
            </w:pPr>
            <w:r>
              <w:rPr>
                <w:rFonts w:ascii="Futura Std Book;sans-serif" w:hAnsi="Futura Std Book;sans-serif"/>
                <w:b/>
                <w:color w:val="000000"/>
                <w:sz w:val="18"/>
              </w:rPr>
              <w:t>Establish</w:t>
            </w:r>
          </w:p>
        </w:tc>
      </w:tr>
      <w:tr>
        <w:trPr/>
        <w:tc>
          <w:tcPr>
            <w:tcW w:w="6073" w:type="dxa"/>
            <w:gridSpan w:val="3"/>
            <w:vMerge w:val="continue"/>
            <w:tcBorders/>
            <w:shd w:fill="DFDEEE"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vMerge w:val="continue"/>
            <w:tcBorders/>
            <w:shd w:fill="C6C5DF" w:val="clear"/>
            <w:tcMar>
              <w:top w:w="0" w:type="dxa"/>
              <w:left w:w="0" w:type="dxa"/>
              <w:bottom w:w="0" w:type="dxa"/>
              <w:right w:w="0" w:type="dxa"/>
            </w:tcMar>
            <w:vAlign w:val="center"/>
          </w:tcPr>
          <w:p>
            <w:pPr>
              <w:pStyle w:val="Normal"/>
              <w:bidi w:val="0"/>
              <w:jc w:val="left"/>
              <w:rPr/>
            </w:pPr>
            <w:r>
              <w:rPr/>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Feedback from annual say-on-pay vote from shareholder outreach</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Market data with Independent Compensation Consultant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Alignment of our financial and non-financial performance metrics with our overall strategy</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Annual independent risk review of compensation 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Performance metrics for AIP and RPSRs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Relevant compensation and performance peer groups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Annual salary, target AIP and target LTIP awards for NEOs</w:t>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left w:val="single" w:sz="4" w:space="0" w:color="000000"/>
              <w:right w:val="single" w:sz="4" w:space="0" w:color="000000"/>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val="false"/>
                <w:color w:val="29378D"/>
                <w:sz w:val="22"/>
              </w:rPr>
            </w:pPr>
            <w:r>
              <w:rPr>
                <w:rFonts w:ascii="Futura Std Book;sans-serif" w:hAnsi="Futura Std Book;sans-serif"/>
                <w:b w:val="false"/>
                <w:color w:val="29378D"/>
                <w:sz w:val="22"/>
              </w:rPr>
              <w:t>Rigorous Committee Oversight</w:t>
            </w:r>
          </w:p>
        </w:tc>
      </w:tr>
      <w:tr>
        <w:trPr/>
        <w:tc>
          <w:tcPr>
            <w:tcW w:w="10205" w:type="dxa"/>
            <w:gridSpan w:val="12"/>
            <w:tcBorders>
              <w:left w:val="single" w:sz="4" w:space="0" w:color="000000"/>
              <w:right w:val="single" w:sz="4"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vMerge w:val="restart"/>
            <w:tcBorders/>
            <w:shd w:fill="7472AF"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8"/>
              </w:rPr>
            </w:pPr>
            <w:r>
              <w:rPr>
                <w:rFonts w:ascii="Futura Std Book;sans-serif" w:hAnsi="Futura Std Book;sans-serif"/>
                <w:b/>
                <w:color w:val="FFFFFF"/>
                <w:sz w:val="18"/>
              </w:rPr>
              <w:t>Approve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vMerge w:val="restart"/>
            <w:tcBorders/>
            <w:shd w:fill="9997C5" w:val="clear"/>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FFFFFF"/>
                <w:sz w:val="18"/>
              </w:rPr>
            </w:pPr>
            <w:r>
              <w:rPr>
                <w:rFonts w:ascii="Futura Std Book;sans-serif" w:hAnsi="Futura Std Book;sans-serif"/>
                <w:b/>
                <w:color w:val="FFFFFF"/>
                <w:sz w:val="18"/>
              </w:rPr>
              <w:t>Monitor</w:t>
            </w:r>
          </w:p>
        </w:tc>
      </w:tr>
      <w:tr>
        <w:trPr/>
        <w:tc>
          <w:tcPr>
            <w:tcW w:w="6073" w:type="dxa"/>
            <w:gridSpan w:val="3"/>
            <w:vMerge w:val="continue"/>
            <w:tcBorders/>
            <w:shd w:fill="7472A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vMerge w:val="continue"/>
            <w:tcBorders/>
            <w:shd w:fill="9997C5" w:val="clear"/>
            <w:tcMar>
              <w:top w:w="0" w:type="dxa"/>
              <w:left w:w="0" w:type="dxa"/>
              <w:bottom w:w="0" w:type="dxa"/>
              <w:right w:w="0" w:type="dxa"/>
            </w:tcMar>
            <w:vAlign w:val="center"/>
          </w:tcPr>
          <w:p>
            <w:pPr>
              <w:pStyle w:val="Normal"/>
              <w:bidi w:val="0"/>
              <w:jc w:val="left"/>
              <w:rPr/>
            </w:pPr>
            <w:r>
              <w:rPr/>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AIP and RPSR performance target and metric results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Final total compensation for NEOs (recommend CEO compensation to independent directors of the board for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8"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Progress against AIP and RPSR performance metrics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NEO performance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Company policies and practices with respect to human capital risks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554990"/>
                <wp:effectExtent l="0" t="0" r="0" b="0"/>
                <wp:wrapNone/>
                <wp:docPr id="269" name="Frame5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76" w:before="0" w:after="120"/>
        <w:jc w:val="left"/>
        <w:rPr>
          <w:rFonts w:ascii="Futura Std Book;sans-serif" w:hAnsi="Futura Std Book;sans-serif"/>
          <w:b w:val="false"/>
          <w:color w:val="29378D"/>
          <w:sz w:val="22"/>
        </w:rPr>
      </w:pPr>
      <w:r>
        <w:rPr>
          <w:rFonts w:ascii="Futura Std Book;sans-serif" w:hAnsi="Futura Std Book;sans-serif"/>
          <w:b w:val="false"/>
          <w:color w:val="29378D"/>
          <w:sz w:val="22"/>
        </w:rPr>
        <w:t xml:space="preserve">Roles and Responsibilities </w:t>
      </w:r>
    </w:p>
    <w:tbl>
      <w:tblPr>
        <w:tblW w:w="10205" w:type="dxa"/>
        <w:jc w:val="left"/>
        <w:tblInd w:w="0" w:type="dxa"/>
        <w:tblLayout w:type="fixed"/>
        <w:tblCellMar>
          <w:top w:w="28" w:type="dxa"/>
          <w:left w:w="28" w:type="dxa"/>
          <w:bottom w:w="28" w:type="dxa"/>
          <w:right w:w="28" w:type="dxa"/>
        </w:tblCellMar>
      </w:tblPr>
      <w:tblGrid>
        <w:gridCol w:w="1177"/>
        <w:gridCol w:w="1034"/>
        <w:gridCol w:w="1038"/>
        <w:gridCol w:w="2320"/>
        <w:gridCol w:w="1915"/>
        <w:gridCol w:w="2721"/>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r>
      <w:tr>
        <w:trPr/>
        <w:tc>
          <w:tcPr>
            <w:tcW w:w="3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top w:val="single" w:sz="8" w:space="0" w:color="29378D"/>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A2299"/>
                <w:sz w:val="16"/>
              </w:rPr>
            </w:pPr>
            <w:r>
              <w:rPr>
                <w:rFonts w:ascii="Futura Std Book;sans-serif" w:hAnsi="Futura Std Book;sans-serif"/>
                <w:b/>
                <w:color w:val="0A2299"/>
                <w:sz w:val="16"/>
              </w:rPr>
              <w:t>COMPENSATION</w:t>
            </w:r>
          </w:p>
          <w:p>
            <w:pPr>
              <w:pStyle w:val="TableContents"/>
              <w:bidi w:val="0"/>
              <w:spacing w:lineRule="auto" w:line="276" w:before="0" w:after="0"/>
              <w:jc w:val="left"/>
              <w:rPr>
                <w:rFonts w:ascii="Futura Std Book;sans-serif" w:hAnsi="Futura Std Book;sans-serif"/>
                <w:b/>
                <w:color w:val="0A2299"/>
                <w:sz w:val="16"/>
              </w:rPr>
            </w:pPr>
            <w:r>
              <w:rPr>
                <w:rFonts w:ascii="Futura Std Book;sans-serif" w:hAnsi="Futura Std Book;sans-serif"/>
                <w:b/>
                <w:color w:val="0A2299"/>
                <w:sz w:val="16"/>
              </w:rPr>
              <w:t>AND HUMAN CAPITAL COMMITTEE</w:t>
            </w:r>
          </w:p>
          <w:p>
            <w:pPr>
              <w:pStyle w:val="TableContents"/>
              <w:bidi w:val="0"/>
              <w:spacing w:before="120" w:after="120"/>
              <w:jc w:val="left"/>
              <w:rPr/>
            </w:pPr>
            <w:r>
              <w:rPr/>
            </w:r>
          </w:p>
        </w:tc>
        <w:tc>
          <w:tcPr>
            <w:tcW w:w="6956"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Oversees our compensation policies, incentive and equity compensation plans and approves payments or grants under these plans and the compensation for the elected officers, other than the CEO.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Recommends the base, bonus, and equity compensation for the CEO to the independent directors of the Board for approval.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market data and other input from its Independent Compensation Consultant.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and approves incentive goals and objectives (CEO goals and objectives are reviewed and approved by the independent directors).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Evaluates and approves executive benefit and perquisite programs.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Evaluates the competitiveness of each elected officer’s total compensation package.</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Oversees the Company's practices with respect to employee experience and engagement.</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 xml:space="preserve">Oversees the Company’s management of its human capital risk.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Conducts an annual evaluation of the Independent Compensation Consultant.</w:t>
            </w:r>
          </w:p>
          <w:p>
            <w:pPr>
              <w:pStyle w:val="TableContents"/>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Reviews the performance of elected officers.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and discusses with management the CD&amp;A and provides a Compensation and Human Capital Committee Report for inclusion in the proxy statement.</w:t>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top w:val="single" w:sz="4" w:space="0" w:color="BCBEC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INDEPENDENT</w:t>
            </w:r>
          </w:p>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DIRECTORS</w:t>
            </w:r>
          </w:p>
        </w:tc>
        <w:tc>
          <w:tcPr>
            <w:tcW w:w="6956"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Evaluate the performance and determine the compensation of the CEO (upon recommendation of the Compensation and Human Capital Committee).</w:t>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top w:val="single" w:sz="4" w:space="0" w:color="BCBEC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INDEPENDENT COMPENSATION CONSULTANT</w:t>
            </w:r>
          </w:p>
          <w:p>
            <w:pPr>
              <w:pStyle w:val="TableContents"/>
              <w:bidi w:val="0"/>
              <w:spacing w:lineRule="auto" w:line="276" w:before="0" w:after="0"/>
              <w:jc w:val="left"/>
              <w:rPr>
                <w:rFonts w:ascii="Futura Std Book;sans-serif" w:hAnsi="Futura Std Book;sans-serif"/>
                <w:b w:val="false"/>
                <w:i/>
                <w:color w:val="000000"/>
                <w:sz w:val="16"/>
              </w:rPr>
            </w:pPr>
            <w:r>
              <w:rPr>
                <w:rFonts w:ascii="Futura Std Book;sans-serif" w:hAnsi="Futura Std Book;sans-serif"/>
                <w:b w:val="false"/>
                <w:i/>
                <w:color w:val="000000"/>
                <w:sz w:val="16"/>
              </w:rPr>
              <w:t>(Frederic W. Cook &amp; Co.)</w:t>
            </w:r>
          </w:p>
        </w:tc>
        <w:tc>
          <w:tcPr>
            <w:tcW w:w="6956" w:type="dxa"/>
            <w:gridSpan w:val="3"/>
            <w:tcBorders/>
            <w:tcMar>
              <w:top w:w="0" w:type="dxa"/>
              <w:left w:w="0" w:type="dxa"/>
              <w:bottom w:w="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Reports directly to the Compensation and Human Capital Committee</w:t>
            </w:r>
            <w:r>
              <w:rPr>
                <w:rFonts w:ascii="Futura Std Book;sans-serif" w:hAnsi="Futura Std Book;sans-serif"/>
                <w:b w:val="false"/>
                <w:color w:val="29378D"/>
                <w:sz w:val="18"/>
              </w:rPr>
              <w:t>.</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Regularly participates in meetings of the Compensation and Human Capital Committee and communicates with the Compensation and Human Capital Committee Chair between meetings as needed.</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Participates in executive session with the Compensation and Human Capital Committee.</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Provides proactive advice to the Compensation and Human Capital Committee on best practices for Board governance of executive compensation, compensation-related risk management and areas for program design to most appropriately support the Company’s business strategy and organizational values.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Provides a review of market data and advises the Compensation and Human Capital Committee on the levels and structure of our executive compensation policies and procedures, including compensation matters for NEOs.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Reviews and advises the Compensation and Human Capital Committee on our total compensation philosophy, peer groups and target competitive positioning.</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Identifies market trends and practices and advises the Compensation and Human Capital Committee on program design implications.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Serves as a resource to the Compensation and Human Capital Committee Chair on setting agenda items for Compensation and Human Capital Committee meetings and researches special projects.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Receives compensation only for engagement with the Compensation and Human Capital Committee and does not receive any fees or income from the Company.</w:t>
            </w:r>
          </w:p>
        </w:tc>
      </w:tr>
      <w:tr>
        <w:trPr/>
        <w:tc>
          <w:tcPr>
            <w:tcW w:w="324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top w:val="single" w:sz="4" w:space="0" w:color="BCBEC0"/>
            </w:tcBorders>
            <w:shd w:fill="E6E7E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9" w:type="dxa"/>
            <w:gridSpan w:val="3"/>
            <w:tcBorders>
              <w:bottom w:val="single" w:sz="4" w:space="0" w:color="BCBEC0"/>
            </w:tcBorders>
            <w:shd w:fill="E6E7E8" w:val="clear"/>
            <w:tcMar>
              <w:top w:w="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 xml:space="preserve">MANAGEMENT </w:t>
            </w:r>
          </w:p>
          <w:p>
            <w:pPr>
              <w:pStyle w:val="TableContents"/>
              <w:bidi w:val="0"/>
              <w:spacing w:lineRule="auto" w:line="276" w:before="0" w:after="0"/>
              <w:jc w:val="left"/>
              <w:rPr>
                <w:rFonts w:ascii="Futura Std Book;sans-serif" w:hAnsi="Futura Std Book;sans-serif"/>
                <w:b w:val="false"/>
                <w:i/>
                <w:color w:val="000000"/>
                <w:sz w:val="16"/>
              </w:rPr>
            </w:pPr>
            <w:r>
              <w:rPr>
                <w:rFonts w:ascii="Futura Std Book;sans-serif" w:hAnsi="Futura Std Book;sans-serif"/>
                <w:b w:val="false"/>
                <w:i/>
                <w:color w:val="000000"/>
                <w:sz w:val="16"/>
              </w:rPr>
              <w:t>(CEO with assistance from the Corporate Vice President and Chief Human Resources Officer and other Company employees)</w:t>
            </w:r>
          </w:p>
        </w:tc>
        <w:tc>
          <w:tcPr>
            <w:tcW w:w="6956" w:type="dxa"/>
            <w:gridSpan w:val="3"/>
            <w:tcBorders>
              <w:bottom w:val="single" w:sz="4" w:space="0" w:color="BCBEC0"/>
            </w:tcBorders>
            <w:tcMar>
              <w:top w:w="0" w:type="dxa"/>
              <w:left w:w="0" w:type="dxa"/>
              <w:bottom w:w="30" w:type="dxa"/>
              <w:right w:w="0" w:type="dxa"/>
            </w:tcMar>
            <w:vAlign w:val="center"/>
          </w:tcPr>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Makes compensation-related recommendations for elected officers, other than the CEO, to the Compensation and Human Capital Committee for its review and approval. </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Assesses each executive’s performance, skills and industry knowledge, market compensation benchmarks, and succession and retention considerations.</w:t>
            </w:r>
          </w:p>
          <w:p>
            <w:pPr>
              <w:pStyle w:val="TableContents"/>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Provides recommendations to the Compensation and Human Capital Committee regarding executive incentive and benefit plan designs and strategies, other than with respect to the CEO. These recommendations include financial and non-financial operational goals and criteria for our annual and long-term incentive plans.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734695"/>
                <wp:effectExtent l="0" t="0" r="0" b="0"/>
                <wp:wrapNone/>
                <wp:docPr id="270" name="Frame5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val="false"/>
          <w:color w:val="000000"/>
          <w:sz w:val="26"/>
        </w:rPr>
      </w:pPr>
      <w:r>
        <w:rPr>
          <w:rFonts w:ascii="Futura Std Book;sans-serif" w:hAnsi="Futura Std Book;sans-serif"/>
          <w:b w:val="false"/>
          <w:color w:val="000000"/>
          <w:sz w:val="26"/>
        </w:rPr>
        <w:t>Use of Competitive Data</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Compensation and Human Capital Committee uses three separate peer groups to set our performance targets and evaluate performance, measure TSR and benchmark executive compensation practices, respectively. The three peer groups are outlined below.</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 xml:space="preserve">PERFORMANCE </w:t>
      </w:r>
      <w:bookmarkStart w:id="6" w:name="i8fb2a057878b41ee8dd8c363104f2ab1_4654"/>
      <w:bookmarkEnd w:id="6"/>
      <w:r>
        <w:rPr>
          <w:rFonts w:ascii="Futura Std Book;sans-serif" w:hAnsi="Futura Std Book;sans-serif"/>
          <w:b/>
          <w:color w:val="29378D"/>
          <w:sz w:val="16"/>
        </w:rPr>
        <w:t>PEER GROUP: SET PERFORMANCE TARGETS AND EVALUATE PERFORMANCE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uses the Performance Peer Group and LRSP (our five-year strategic operating and financial plan) data for the purpose of setting performance targets and evaluating performance of our AIP and LTIP. The Performance Peer Group encompasses the largest global defense companies by government revenues within the aerospace and defense market space. In 2024, the Compensation and Human Capital Committee used the peer group data from The Boeing Company, General Dynamics Corporation, L3Harris Technologies, Inc., Lockheed Martin Corporation and RTX Corporation for the purpose of setting performance targets.</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TSR PEER GROUP: 2022-2024 LONG-TERM INCENTIVE AWARDS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Earned awards from the 2022-2024 performance cycle were contingent on our ranking compared to the S&amp;P Industrials and the following TSR peer group:</w:t>
      </w:r>
    </w:p>
    <w:tbl>
      <w:tblPr>
        <w:tblW w:w="7544" w:type="dxa"/>
        <w:jc w:val="left"/>
        <w:tblInd w:w="0" w:type="dxa"/>
        <w:tblLayout w:type="fixed"/>
        <w:tblCellMar>
          <w:top w:w="28" w:type="dxa"/>
          <w:left w:w="28" w:type="dxa"/>
          <w:bottom w:w="28" w:type="dxa"/>
          <w:right w:w="28" w:type="dxa"/>
        </w:tblCellMar>
      </w:tblPr>
      <w:tblGrid>
        <w:gridCol w:w="1169"/>
        <w:gridCol w:w="1026"/>
        <w:gridCol w:w="1030"/>
        <w:gridCol w:w="904"/>
        <w:gridCol w:w="904"/>
        <w:gridCol w:w="906"/>
        <w:gridCol w:w="469"/>
        <w:gridCol w:w="469"/>
        <w:gridCol w:w="667"/>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7544" w:type="dxa"/>
            <w:gridSpan w:val="9"/>
            <w:tcBorders/>
            <w:shd w:fill="29378D" w:val="clear"/>
            <w:tcMar>
              <w:top w:w="0" w:type="dxa"/>
              <w:left w:w="0" w:type="dxa"/>
              <w:bottom w:w="0" w:type="dxa"/>
              <w:right w:w="0" w:type="dxa"/>
            </w:tcMar>
            <w:vAlign w:val="center"/>
          </w:tcPr>
          <w:p>
            <w:pPr>
              <w:pStyle w:val="TableContents"/>
              <w:bidi w:val="0"/>
              <w:spacing w:lineRule="auto" w:line="276" w:before="0" w:after="0"/>
              <w:jc w:val="center"/>
              <w:rPr>
                <w:color w:val="FFFFFF"/>
              </w:rPr>
            </w:pPr>
            <w:r>
              <w:rPr>
                <w:color w:val="FFFFFF"/>
              </w:rPr>
              <w:t> </w:t>
            </w:r>
            <w:r>
              <w:rPr>
                <w:rFonts w:ascii="Futura Std Book;sans-serif" w:hAnsi="Futura Std Book;sans-serif"/>
                <w:b/>
                <w:color w:val="FFFFFF"/>
                <w:sz w:val="14"/>
              </w:rPr>
              <w:t>2022 TSR PEER GROUP</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BAE Systems</w:t>
            </w:r>
          </w:p>
        </w:tc>
        <w:tc>
          <w:tcPr>
            <w:tcW w:w="27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L3Harris Technologies, Inc.</w:t>
            </w:r>
          </w:p>
        </w:tc>
        <w:tc>
          <w:tcPr>
            <w:tcW w:w="16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RTX Corporation</w:t>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Boeing Company</w:t>
            </w:r>
          </w:p>
        </w:tc>
        <w:tc>
          <w:tcPr>
            <w:tcW w:w="27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Leidos Holdings, Inc.</w:t>
            </w:r>
          </w:p>
        </w:tc>
        <w:tc>
          <w:tcPr>
            <w:tcW w:w="16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Thales Group</w:t>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General Dynamics Corporation</w:t>
            </w:r>
          </w:p>
        </w:tc>
        <w:tc>
          <w:tcPr>
            <w:tcW w:w="27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Leonardo</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Huntington Ingalls Industries, Inc.</w:t>
            </w:r>
          </w:p>
        </w:tc>
        <w:tc>
          <w:tcPr>
            <w:tcW w:w="27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Lockheed Martin Corporation</w:t>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br/>
      </w:r>
      <w:bookmarkStart w:id="7" w:name="i8fb2a057878b41ee8dd8c363104f2ab1_4656"/>
      <w:bookmarkEnd w:id="7"/>
      <w:r>
        <w:rPr>
          <w:rFonts w:ascii="Futura Std Book;sans-serif" w:hAnsi="Futura Std Book;sans-serif"/>
          <w:b/>
          <w:color w:val="29378D"/>
          <w:sz w:val="16"/>
        </w:rPr>
        <w:t>TARGET INDUSTRY PEER GROUP (TIPG): BENCHMARK EXECUTIVE COMPENSATION PRACTICES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benchmarks our executive compensation levels and practices against the TIPG of 22 companies, including a subset containing six direct peers. Prior to the beginning of the year, the Compensation and Human Capital Committee sets the TIPG based on recommendations from the Independent Compensation Consultant. The TIPG is used to benchmark compensation for the following year. To identify peer companies for compensation benchmarking purposes, the Independent Compensation Consultant employs an objective criteria-based methodology where: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peer company was identified as part of a subset of direct peers with strong alignment to the aerospace and defense industry;</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peer company was identified as a Global Industry Classification Standard company, with a prioritization of technology, manufacturing and engineering companies;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revenues, total employees and market capitalization of the peer company were broadly similar to those of the Company;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peer company participated in an annual third party compensation study.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554990"/>
                <wp:effectExtent l="0" t="0" r="0" b="0"/>
                <wp:wrapNone/>
                <wp:docPr id="271" name="Frame5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reviews the TIPG annually with the Independent Compensation Consultant. The companies that comprise the 2023 TIPG used for 2024 compensation decisions are listed in the following table:</w:t>
      </w:r>
    </w:p>
    <w:tbl>
      <w:tblPr>
        <w:tblW w:w="6239" w:type="dxa"/>
        <w:jc w:val="left"/>
        <w:tblInd w:w="0" w:type="dxa"/>
        <w:tblLayout w:type="fixed"/>
        <w:tblCellMar>
          <w:top w:w="28" w:type="dxa"/>
          <w:left w:w="28" w:type="dxa"/>
          <w:bottom w:w="28" w:type="dxa"/>
          <w:right w:w="28" w:type="dxa"/>
        </w:tblCellMar>
      </w:tblPr>
      <w:tblGrid>
        <w:gridCol w:w="1095"/>
        <w:gridCol w:w="967"/>
        <w:gridCol w:w="967"/>
        <w:gridCol w:w="938"/>
        <w:gridCol w:w="938"/>
        <w:gridCol w:w="1334"/>
      </w:tblGrid>
      <w:tr>
        <w:trPr/>
        <w:tc>
          <w:tcPr>
            <w:tcW w:w="109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6239" w:type="dxa"/>
            <w:gridSpan w:val="6"/>
            <w:tcBorders/>
            <w:shd w:fill="29378D" w:val="clear"/>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FFFFFF"/>
                <w:sz w:val="14"/>
              </w:rPr>
            </w:pPr>
            <w:r>
              <w:rPr>
                <w:rFonts w:ascii="Futura Std Book;sans-serif" w:hAnsi="Futura Std Book;sans-serif"/>
                <w:b/>
                <w:color w:val="FFFFFF"/>
                <w:sz w:val="14"/>
              </w:rPr>
              <w:t>2023 TARGET INDUSTRY PEER GROUP</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3M Company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Honeywell International, Inc.</w:t>
            </w:r>
            <w:r>
              <w:rPr>
                <w:rFonts w:ascii="Futura Std Book;sans-serif" w:hAnsi="Futura Std Book;sans-serif"/>
                <w:b w:val="false"/>
                <w:color w:val="000000"/>
                <w:sz w:val="12"/>
              </w:rPr>
              <w:t>(1)</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Abbott Laboratories</w:t>
            </w:r>
          </w:p>
        </w:tc>
        <w:tc>
          <w:tcPr>
            <w:tcW w:w="32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Illinois Tool Works Inc.</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Applied Materials, Inc.</w:t>
            </w:r>
          </w:p>
        </w:tc>
        <w:tc>
          <w:tcPr>
            <w:tcW w:w="32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Johnson Controls International plc</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The Boeing Company</w:t>
            </w:r>
            <w:r>
              <w:rPr>
                <w:rFonts w:ascii="Futura Std Book;sans-serif" w:hAnsi="Futura Std Book;sans-serif"/>
                <w:b w:val="false"/>
                <w:color w:val="000000"/>
                <w:sz w:val="12"/>
              </w:rPr>
              <w:t>(1)</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L3Harris Technologies, Inc.</w:t>
            </w:r>
            <w:r>
              <w:rPr>
                <w:rFonts w:ascii="Futura Std Book;sans-serif" w:hAnsi="Futura Std Book;sans-serif"/>
                <w:b w:val="false"/>
                <w:color w:val="000000"/>
                <w:sz w:val="12"/>
              </w:rPr>
              <w:t>(1)</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Caterpillar, Inc.</w:t>
            </w:r>
          </w:p>
        </w:tc>
        <w:tc>
          <w:tcPr>
            <w:tcW w:w="3210"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Lam Research Corporation</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Cisco Systems, Inc.</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Lockheed Martin Corporation</w:t>
            </w:r>
            <w:r>
              <w:rPr>
                <w:rFonts w:ascii="Futura Std Book;sans-serif" w:hAnsi="Futura Std Book;sans-serif"/>
                <w:b w:val="false"/>
                <w:color w:val="000000"/>
                <w:sz w:val="12"/>
              </w:rPr>
              <w:t>(1)</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Cummins Inc.</w:t>
            </w:r>
          </w:p>
        </w:tc>
        <w:tc>
          <w:tcPr>
            <w:tcW w:w="32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Medtronic plc</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Deere &amp; Company</w:t>
            </w:r>
          </w:p>
        </w:tc>
        <w:tc>
          <w:tcPr>
            <w:tcW w:w="321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PACCAR Inc.</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Eaton Corporation plc</w:t>
            </w:r>
          </w:p>
        </w:tc>
        <w:tc>
          <w:tcPr>
            <w:tcW w:w="32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Parker-Hannifin Corporation</w:t>
            </w:r>
          </w:p>
        </w:tc>
      </w:tr>
      <w:tr>
        <w:trPr/>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Emerson Electric Company</w:t>
            </w:r>
          </w:p>
        </w:tc>
        <w:tc>
          <w:tcPr>
            <w:tcW w:w="3210"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QUALCOMM Inc.</w:t>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General Dynamics Corporation</w:t>
            </w:r>
            <w:r>
              <w:rPr>
                <w:rFonts w:ascii="Futura Std Book;sans-serif" w:hAnsi="Futura Std Book;sans-serif"/>
                <w:b w:val="false"/>
                <w:color w:val="000000"/>
                <w:sz w:val="12"/>
              </w:rPr>
              <w:t>(1)</w:t>
            </w:r>
          </w:p>
        </w:tc>
        <w:tc>
          <w:tcPr>
            <w:tcW w:w="321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RTX Corporation</w:t>
            </w:r>
            <w:r>
              <w:rPr>
                <w:rFonts w:ascii="Futura Std Book;sans-serif" w:hAnsi="Futura Std Book;sans-serif"/>
                <w:b w:val="false"/>
                <w:color w:val="000000"/>
                <w:sz w:val="12"/>
              </w:rPr>
              <w:t>(1)</w:t>
            </w:r>
          </w:p>
        </w:tc>
      </w:tr>
      <w:tr>
        <w:trPr/>
        <w:tc>
          <w:tcPr>
            <w:tcW w:w="3029"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(1)Included in the subset of six direct peers also used for compensation benchmarking.</w:t>
      </w:r>
    </w:p>
    <w:p>
      <w:pPr>
        <w:pStyle w:val="TextBody"/>
        <w:bidi w:val="0"/>
        <w:spacing w:lineRule="auto" w:line="288" w:before="300" w:after="120"/>
        <w:jc w:val="center"/>
        <w:rPr>
          <w:rFonts w:ascii="Futura Std Book;sans-serif" w:hAnsi="Futura Std Book;sans-serif"/>
          <w:b/>
          <w:color w:val="29378D"/>
          <w:sz w:val="20"/>
        </w:rPr>
      </w:pPr>
      <w:r>
        <w:rPr>
          <w:rFonts w:ascii="Futura Std Book;sans-serif" w:hAnsi="Futura Std Book;sans-serif"/>
          <w:b/>
          <w:color w:val="29378D"/>
          <w:sz w:val="20"/>
        </w:rPr>
        <w:t>Peer Group Data (for the fiscal year ending 2024)</w:t>
      </w:r>
    </w:p>
    <w:tbl>
      <w:tblPr>
        <w:tblW w:w="8090" w:type="dxa"/>
        <w:jc w:val="center"/>
        <w:tblInd w:w="0" w:type="dxa"/>
        <w:tblLayout w:type="fixed"/>
        <w:tblCellMar>
          <w:top w:w="28" w:type="dxa"/>
          <w:left w:w="28" w:type="dxa"/>
          <w:bottom w:w="28" w:type="dxa"/>
          <w:right w:w="28" w:type="dxa"/>
        </w:tblCellMar>
      </w:tblPr>
      <w:tblGrid>
        <w:gridCol w:w="124"/>
        <w:gridCol w:w="109"/>
        <w:gridCol w:w="109"/>
        <w:gridCol w:w="584"/>
        <w:gridCol w:w="584"/>
        <w:gridCol w:w="586"/>
        <w:gridCol w:w="109"/>
        <w:gridCol w:w="109"/>
        <w:gridCol w:w="109"/>
        <w:gridCol w:w="749"/>
        <w:gridCol w:w="749"/>
        <w:gridCol w:w="752"/>
        <w:gridCol w:w="109"/>
        <w:gridCol w:w="109"/>
        <w:gridCol w:w="109"/>
        <w:gridCol w:w="904"/>
        <w:gridCol w:w="904"/>
        <w:gridCol w:w="12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 2;sans-serif" w:hAnsi="Wingdings 2;sans-serif"/>
                <w:b w:val="false"/>
                <w:color w:val="0A2299"/>
                <w:sz w:val="20"/>
              </w:rPr>
            </w:pPr>
            <w:r>
              <w:rPr>
                <w:rFonts w:ascii="Wingdings 2;sans-serif" w:hAnsi="Wingdings 2;sans-serif"/>
                <w:b w:val="false"/>
                <w:color w:val="0A2299"/>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 2;sans-serif" w:hAnsi="Wingdings 2;sans-serif"/>
                <w:b w:val="false"/>
                <w:color w:val="667DC2"/>
                <w:sz w:val="20"/>
              </w:rPr>
            </w:pPr>
            <w:r>
              <w:rPr>
                <w:rFonts w:ascii="Wingdings 2;sans-serif" w:hAnsi="Wingdings 2;sans-serif"/>
                <w:b w:val="false"/>
                <w:color w:val="667DC2"/>
                <w:sz w:val="20"/>
              </w:rPr>
              <w:t>¢</w:t>
            </w:r>
          </w:p>
        </w:tc>
        <w:tc>
          <w:tcPr>
            <w:tcW w:w="22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Direct Peer Group Median</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 2;sans-serif" w:hAnsi="Wingdings 2;sans-serif"/>
                <w:b w:val="false"/>
                <w:color w:val="999999"/>
                <w:sz w:val="20"/>
              </w:rPr>
            </w:pPr>
            <w:r>
              <w:rPr>
                <w:rFonts w:ascii="Wingdings 2;sans-serif" w:hAnsi="Wingdings 2;sans-serif"/>
                <w:b w:val="false"/>
                <w:color w:val="999999"/>
                <w:sz w:val="20"/>
              </w:rPr>
              <w:t>¢</w:t>
            </w:r>
          </w:p>
        </w:tc>
        <w:tc>
          <w:tcPr>
            <w:tcW w:w="30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Target Industry Peer Group Median</w:t>
            </w:r>
          </w:p>
        </w:tc>
      </w:tr>
    </w:tbl>
    <w:p>
      <w:pPr>
        <w:pStyle w:val="TextBody"/>
        <w:bidi w:val="0"/>
        <w:spacing w:before="0" w:after="0"/>
        <w:jc w:val="center"/>
        <w:rPr/>
      </w:pPr>
      <w:r>
        <w:rPr/>
        <w:drawing>
          <wp:inline distT="0" distB="0" distL="0" distR="0">
            <wp:extent cx="2190750" cy="1276350"/>
            <wp:effectExtent l="0" t="0" r="0" b="0"/>
            <wp:docPr id="272"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14" descr=""/>
                    <pic:cNvPicPr>
                      <a:picLocks noChangeAspect="1" noChangeArrowheads="1"/>
                    </pic:cNvPicPr>
                  </pic:nvPicPr>
                  <pic:blipFill>
                    <a:blip r:embed="rId215"/>
                    <a:stretch>
                      <a:fillRect/>
                    </a:stretch>
                  </pic:blipFill>
                  <pic:spPr bwMode="auto">
                    <a:xfrm>
                      <a:off x="0" y="0"/>
                      <a:ext cx="2190750" cy="1276350"/>
                    </a:xfrm>
                    <a:prstGeom prst="rect">
                      <a:avLst/>
                    </a:prstGeom>
                  </pic:spPr>
                </pic:pic>
              </a:graphicData>
            </a:graphic>
          </wp:inline>
        </w:drawing>
      </w:r>
    </w:p>
    <w:p>
      <w:pPr>
        <w:pStyle w:val="TextBody"/>
        <w:bidi w:val="0"/>
        <w:spacing w:before="0" w:after="0"/>
        <w:jc w:val="center"/>
        <w:rPr/>
      </w:pPr>
      <w:r>
        <w:rPr/>
        <w:drawing>
          <wp:inline distT="0" distB="0" distL="0" distR="0">
            <wp:extent cx="2190750" cy="1276350"/>
            <wp:effectExtent l="0" t="0" r="0" b="0"/>
            <wp:docPr id="273"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15" descr=""/>
                    <pic:cNvPicPr>
                      <a:picLocks noChangeAspect="1" noChangeArrowheads="1"/>
                    </pic:cNvPicPr>
                  </pic:nvPicPr>
                  <pic:blipFill>
                    <a:blip r:embed="rId216"/>
                    <a:stretch>
                      <a:fillRect/>
                    </a:stretch>
                  </pic:blipFill>
                  <pic:spPr bwMode="auto">
                    <a:xfrm>
                      <a:off x="0" y="0"/>
                      <a:ext cx="2190750" cy="12763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drawing>
          <wp:inline distT="0" distB="0" distL="0" distR="0">
            <wp:extent cx="5095875" cy="1095375"/>
            <wp:effectExtent l="0" t="0" r="0" b="0"/>
            <wp:docPr id="274"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16" descr=""/>
                    <pic:cNvPicPr>
                      <a:picLocks noChangeAspect="1" noChangeArrowheads="1"/>
                    </pic:cNvPicPr>
                  </pic:nvPicPr>
                  <pic:blipFill>
                    <a:blip r:embed="rId217"/>
                    <a:stretch>
                      <a:fillRect/>
                    </a:stretch>
                  </pic:blipFill>
                  <pic:spPr bwMode="auto">
                    <a:xfrm>
                      <a:off x="0" y="0"/>
                      <a:ext cx="5095875" cy="1095375"/>
                    </a:xfrm>
                    <a:prstGeom prst="rect">
                      <a:avLst/>
                    </a:prstGeom>
                  </pic:spPr>
                </pic:pic>
              </a:graphicData>
            </a:graphic>
          </wp:inline>
        </w:drawing>
      </w:r>
    </w:p>
    <w:p>
      <w:pPr>
        <w:pStyle w:val="TextBody"/>
        <w:bidi w:val="0"/>
        <w:spacing w:lineRule="auto" w:line="312" w:before="0" w:after="0"/>
        <w:jc w:val="center"/>
        <w:rPr>
          <w:rFonts w:ascii="Futura Std Book;sans-serif" w:hAnsi="Futura Std Book;sans-serif"/>
          <w:b/>
          <w:color w:val="000000"/>
          <w:sz w:val="18"/>
        </w:rPr>
      </w:pPr>
      <w:r>
        <w:rPr>
          <w:rFonts w:ascii="Futura Std Book;sans-serif" w:hAnsi="Futura Std Book;sans-serif"/>
          <w:b/>
          <w:color w:val="000000"/>
          <w:sz w:val="18"/>
        </w:rPr>
        <w:t>Number of Employees</w:t>
      </w:r>
    </w:p>
    <w:p>
      <w:pPr>
        <w:pStyle w:val="TextBody"/>
        <w:bidi w:val="0"/>
        <w:spacing w:before="0" w:after="0"/>
        <w:jc w:val="center"/>
        <w:rPr/>
      </w:pPr>
      <w:r>
        <w:rPr/>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It is the Company’s pay philosophy to provide the CEO a compensation package that includes competitive elements of base salary and target variable pay relative to the TIPG and the direct six peers noted in the table above.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Another element of the Company’s pay philosophy is to tie a significant portion of the CEO’s pay to performance. As a result, the CEO’s actual compensation may differ from the market median based on the Company’s actual performance.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determining the base salary and target variable pay elements for the other NEOs, the Compensation and Human Capital Committee establishes the TIPG median as the benchmark. The Compensation and Human Capital Committee also considers several factors in determining their compensation, including executive compensation levels and practices of the TIPG, NEO individual experience, growth in job as demonstrated through sustained performance, leadership impact, retention and pay relative to the CEO. Actual annual incentive awards and long-term incentive award opportunities reflect these factors, as well as Company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734695"/>
                <wp:effectExtent l="0" t="0" r="0" b="0"/>
                <wp:wrapNone/>
                <wp:docPr id="275" name="Frame5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Key Components of Our Executive Compensation Programs</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Base Salary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believes that competitive base salaries are necessary to attract and retain our NEOs. Base salaries are evaluated each year and determined by level of responsibility, competitive market pay assessment and individual performance. The table below reflects each NEO currently serving and their annual base salary as an elected officer, effective as of December 31 for the respective year, and year-over-year change if an NEO for two consecutive years.</w:t>
      </w:r>
    </w:p>
    <w:tbl>
      <w:tblPr>
        <w:tblW w:w="5877" w:type="dxa"/>
        <w:jc w:val="left"/>
        <w:tblInd w:w="0" w:type="dxa"/>
        <w:tblLayout w:type="fixed"/>
        <w:tblCellMar>
          <w:top w:w="28" w:type="dxa"/>
          <w:left w:w="28" w:type="dxa"/>
          <w:bottom w:w="28" w:type="dxa"/>
          <w:right w:w="28" w:type="dxa"/>
        </w:tblCellMar>
      </w:tblPr>
      <w:tblGrid>
        <w:gridCol w:w="699"/>
        <w:gridCol w:w="615"/>
        <w:gridCol w:w="621"/>
        <w:gridCol w:w="226"/>
        <w:gridCol w:w="1126"/>
        <w:gridCol w:w="109"/>
        <w:gridCol w:w="226"/>
        <w:gridCol w:w="1126"/>
        <w:gridCol w:w="109"/>
        <w:gridCol w:w="208"/>
        <w:gridCol w:w="208"/>
        <w:gridCol w:w="604"/>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461" w:type="dxa"/>
            <w:gridSpan w:val="3"/>
            <w:tcBorders/>
            <w:tcMar>
              <w:top w:w="0" w:type="dxa"/>
              <w:left w:w="0" w:type="dxa"/>
              <w:bottom w:w="0" w:type="dxa"/>
              <w:right w:w="0" w:type="dxa"/>
            </w:tcMar>
            <w:vAlign w:val="center"/>
          </w:tcPr>
          <w:p>
            <w:pPr>
              <w:pStyle w:val="TableContents"/>
              <w:bidi w:val="0"/>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2024</w:t>
            </w:r>
          </w:p>
          <w:p>
            <w:pPr>
              <w:pStyle w:val="TableContents"/>
              <w:bidi w:val="0"/>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Base Salary</w:t>
            </w:r>
          </w:p>
        </w:tc>
        <w:tc>
          <w:tcPr>
            <w:tcW w:w="1461" w:type="dxa"/>
            <w:gridSpan w:val="3"/>
            <w:tcBorders/>
            <w:tcMar>
              <w:top w:w="0" w:type="dxa"/>
              <w:left w:w="0" w:type="dxa"/>
              <w:bottom w:w="0" w:type="dxa"/>
              <w:right w:w="0" w:type="dxa"/>
            </w:tcMar>
            <w:vAlign w:val="center"/>
          </w:tcPr>
          <w:p>
            <w:pPr>
              <w:pStyle w:val="TableContents"/>
              <w:bidi w:val="0"/>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2023</w:t>
            </w:r>
          </w:p>
          <w:p>
            <w:pPr>
              <w:pStyle w:val="TableContents"/>
              <w:bidi w:val="0"/>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Base Salary</w:t>
            </w:r>
          </w:p>
        </w:tc>
        <w:tc>
          <w:tcPr>
            <w:tcW w:w="1020"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 xml:space="preserve">Change to </w:t>
              <w:br/>
              <w:t>Base Salary</w:t>
            </w:r>
          </w:p>
        </w:tc>
      </w:tr>
      <w:tr>
        <w:trPr/>
        <w:tc>
          <w:tcPr>
            <w:tcW w:w="1935" w:type="dxa"/>
            <w:gridSpan w:val="3"/>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226"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1,800,000 </w:t>
            </w:r>
          </w:p>
        </w:tc>
        <w:tc>
          <w:tcPr>
            <w:tcW w:w="10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1,750,000 </w:t>
            </w:r>
          </w:p>
        </w:tc>
        <w:tc>
          <w:tcPr>
            <w:tcW w:w="109" w:type="dxa"/>
            <w:tcBorders>
              <w:top w:val="single" w:sz="8" w:space="0" w:color="29378D"/>
            </w:tcBorders>
            <w:shd w:fill="E1E0E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3 </w:t>
            </w:r>
          </w:p>
        </w:tc>
        <w:tc>
          <w:tcPr>
            <w:tcW w:w="604"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Kenneth B. Crews</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850,000 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102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r>
      <w:tr>
        <w:trPr/>
        <w:tc>
          <w:tcPr>
            <w:tcW w:w="1935" w:type="dxa"/>
            <w:gridSpan w:val="3"/>
            <w:tcBorders>
              <w:top w:val="single" w:sz="4" w:space="0" w:color="BCBEC0"/>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Robert J. Fleming</w:t>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775,000 </w:t>
            </w:r>
          </w:p>
        </w:tc>
        <w:tc>
          <w:tcPr>
            <w:tcW w:w="10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1020"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r>
      <w:tr>
        <w:trPr/>
        <w:tc>
          <w:tcPr>
            <w:tcW w:w="193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815,000 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790,000 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3 </w:t>
            </w:r>
          </w:p>
        </w:tc>
        <w:tc>
          <w:tcPr>
            <w:tcW w:w="604"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Roshan S. Roeder</w:t>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775,000 </w:t>
            </w:r>
          </w:p>
        </w:tc>
        <w:tc>
          <w:tcPr>
            <w:tcW w:w="10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750,000 </w:t>
            </w:r>
          </w:p>
        </w:tc>
        <w:tc>
          <w:tcPr>
            <w:tcW w:w="10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3 </w:t>
            </w:r>
          </w:p>
        </w:tc>
        <w:tc>
          <w:tcPr>
            <w:tcW w:w="604"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bl>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Annual Incentive Compensation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NEOs are eligible to receive annual cash bonuses under our 2006 Annual Incentive Plan and Incentive Compensation Plan, as amended and restated effective January 1, 2024 (AIP). We use a balance of financial and non-financial performance metrics aligned with our long-term strategy.</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TARGET AWARD LEVELS FOR 2024 AIP</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approves the annual incentive compensation target payout percentage for each NEO, other than the CEO. For the CEO, such percentage is approved by the independent directors of the Board.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target incentive award (target bonus) represents a percentage of each NEO’s base salary. Following the completion of the fiscal year, the target bonus is used by the Compensation and Human Capital Committee, together with its assessment of Company and individual performance against established performance criteria, to determine the final bonus award amount. The table below reflects each NEO currently serving and their annual target bonus as an elected officer, effective as of December 31, 2024.</w:t>
      </w:r>
    </w:p>
    <w:tbl>
      <w:tblPr>
        <w:tblW w:w="4470" w:type="dxa"/>
        <w:jc w:val="left"/>
        <w:tblInd w:w="0" w:type="dxa"/>
        <w:tblLayout w:type="fixed"/>
        <w:tblCellMar>
          <w:top w:w="28" w:type="dxa"/>
          <w:left w:w="28" w:type="dxa"/>
          <w:bottom w:w="28" w:type="dxa"/>
          <w:right w:w="28" w:type="dxa"/>
        </w:tblCellMar>
      </w:tblPr>
      <w:tblGrid>
        <w:gridCol w:w="699"/>
        <w:gridCol w:w="615"/>
        <w:gridCol w:w="621"/>
        <w:gridCol w:w="514"/>
        <w:gridCol w:w="514"/>
        <w:gridCol w:w="1507"/>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535"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Target Bonus (% of Base Salary)</w:t>
            </w:r>
          </w:p>
        </w:tc>
      </w:tr>
      <w:tr>
        <w:trPr/>
        <w:tc>
          <w:tcPr>
            <w:tcW w:w="1935" w:type="dxa"/>
            <w:gridSpan w:val="3"/>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102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195 </w:t>
            </w:r>
          </w:p>
        </w:tc>
        <w:tc>
          <w:tcPr>
            <w:tcW w:w="1507"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Kenneth B. Crews</w:t>
            </w:r>
          </w:p>
        </w:tc>
        <w:tc>
          <w:tcPr>
            <w:tcW w:w="10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1507"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Robert J. Fleming</w:t>
            </w:r>
          </w:p>
        </w:tc>
        <w:tc>
          <w:tcPr>
            <w:tcW w:w="102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1507"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10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1507"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r>
        <w:trPr/>
        <w:tc>
          <w:tcPr>
            <w:tcW w:w="193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Roshan S. Roeder</w:t>
            </w:r>
          </w:p>
        </w:tc>
        <w:tc>
          <w:tcPr>
            <w:tcW w:w="102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150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Final bonus awards for each NEO were determined by multiplying the Northrop Grumman Company Performance Factor (CPF) by the target bonus. The CPF can range from 0% to 200%.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554990"/>
                <wp:effectExtent l="0" t="0" r="0" b="0"/>
                <wp:wrapNone/>
                <wp:docPr id="276" name="Frame6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16"/>
        </w:rPr>
      </w:pPr>
      <w:r>
        <w:rPr>
          <w:rFonts w:ascii="Futura Std Book;sans-serif" w:hAnsi="Futura Std Book;sans-serif"/>
          <w:b/>
          <w:color w:val="29378D"/>
          <w:sz w:val="16"/>
        </w:rPr>
        <w:t>ANNUAL INCENTIVE FORMULA FOR 2024:</w:t>
      </w:r>
    </w:p>
    <w:tbl>
      <w:tblPr>
        <w:tblW w:w="7943" w:type="dxa"/>
        <w:jc w:val="left"/>
        <w:tblInd w:w="0" w:type="dxa"/>
        <w:tblLayout w:type="fixed"/>
        <w:tblCellMar>
          <w:top w:w="28" w:type="dxa"/>
          <w:left w:w="28" w:type="dxa"/>
          <w:bottom w:w="28" w:type="dxa"/>
          <w:right w:w="28" w:type="dxa"/>
        </w:tblCellMar>
      </w:tblPr>
      <w:tblGrid>
        <w:gridCol w:w="570"/>
        <w:gridCol w:w="501"/>
        <w:gridCol w:w="504"/>
        <w:gridCol w:w="109"/>
        <w:gridCol w:w="109"/>
        <w:gridCol w:w="109"/>
        <w:gridCol w:w="1179"/>
        <w:gridCol w:w="1179"/>
        <w:gridCol w:w="1182"/>
        <w:gridCol w:w="109"/>
        <w:gridCol w:w="109"/>
        <w:gridCol w:w="109"/>
        <w:gridCol w:w="637"/>
        <w:gridCol w:w="637"/>
        <w:gridCol w:w="900"/>
      </w:tblGrid>
      <w:tr>
        <w:trPr/>
        <w:tc>
          <w:tcPr>
            <w:tcW w:w="57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24" w:space="0" w:color="BCBEC0"/>
              <w:left w:val="single" w:sz="24" w:space="0" w:color="BCBE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24" w:space="0" w:color="BCBEC0"/>
            </w:tcBorders>
            <w:tcMar>
              <w:top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X</w:t>
            </w:r>
          </w:p>
        </w:tc>
        <w:tc>
          <w:tcPr>
            <w:tcW w:w="3540" w:type="dxa"/>
            <w:gridSpan w:val="3"/>
            <w:tcBorders>
              <w:top w:val="single" w:sz="24" w:space="0" w:color="BCBEC0"/>
              <w:left w:val="single" w:sz="24" w:space="0" w:color="BCBE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24" w:space="0" w:color="BCBEC0"/>
            </w:tcBorders>
            <w:tcMar>
              <w:top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w:t>
            </w:r>
          </w:p>
        </w:tc>
        <w:tc>
          <w:tcPr>
            <w:tcW w:w="2174" w:type="dxa"/>
            <w:gridSpan w:val="3"/>
            <w:tcBorders>
              <w:top w:val="single" w:sz="24" w:space="0" w:color="29378D"/>
              <w:left w:val="single" w:sz="24" w:space="0" w:color="29378D"/>
              <w:right w:val="single" w:sz="24" w:space="0" w:color="29378D"/>
            </w:tcBorders>
            <w:tcMar>
              <w:bottom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left w:val="single" w:sz="24" w:space="0" w:color="BCBEC0"/>
              <w:right w:val="single" w:sz="24" w:space="0" w:color="BCBEC0"/>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BASE SALARY</w:t>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3540" w:type="dxa"/>
            <w:gridSpan w:val="3"/>
            <w:tcBorders>
              <w:left w:val="single" w:sz="24" w:space="0" w:color="BCBEC0"/>
              <w:right w:val="single" w:sz="24" w:space="0" w:color="BCBEC0"/>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TARGET PAYOUT %</w:t>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2174" w:type="dxa"/>
            <w:gridSpan w:val="3"/>
            <w:tcBorders>
              <w:left w:val="single" w:sz="24" w:space="0" w:color="29378D"/>
              <w:right w:val="single" w:sz="24" w:space="0" w:color="29378D"/>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TARGET BONUS</w:t>
            </w:r>
          </w:p>
        </w:tc>
      </w:tr>
      <w:tr>
        <w:trPr/>
        <w:tc>
          <w:tcPr>
            <w:tcW w:w="1575" w:type="dxa"/>
            <w:gridSpan w:val="3"/>
            <w:tcBorders>
              <w:left w:val="single" w:sz="24" w:space="0" w:color="BCBEC0"/>
              <w:right w:val="single" w:sz="24" w:space="0" w:color="BCBEC0"/>
            </w:tcBorders>
            <w:tcMar>
              <w:top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3540" w:type="dxa"/>
            <w:gridSpan w:val="3"/>
            <w:tcBorders>
              <w:left w:val="single" w:sz="24" w:space="0" w:color="BCBEC0"/>
              <w:right w:val="single" w:sz="24" w:space="0" w:color="BCBEC0"/>
            </w:tcBorders>
            <w:tcMar>
              <w:top w:w="0" w:type="dxa"/>
              <w:bottom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2174" w:type="dxa"/>
            <w:gridSpan w:val="3"/>
            <w:tcBorders>
              <w:left w:val="single" w:sz="24" w:space="0" w:color="29378D"/>
              <w:right w:val="single" w:sz="24" w:space="0" w:color="29378D"/>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2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top w:val="single" w:sz="2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24"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24" w:space="0" w:color="BCBEC0"/>
              <w:left w:val="single" w:sz="24" w:space="0" w:color="BCBE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24" w:space="0" w:color="BCBEC0"/>
            </w:tcBorders>
            <w:tcMar>
              <w:top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X</w:t>
            </w:r>
          </w:p>
        </w:tc>
        <w:tc>
          <w:tcPr>
            <w:tcW w:w="3540" w:type="dxa"/>
            <w:gridSpan w:val="3"/>
            <w:tcBorders>
              <w:top w:val="single" w:sz="24" w:space="0" w:color="BCBEC0"/>
              <w:left w:val="single" w:sz="24" w:space="0" w:color="BCBEC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left w:val="single" w:sz="24" w:space="0" w:color="BCBEC0"/>
            </w:tcBorders>
            <w:tcMar>
              <w:top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4"/>
              </w:rPr>
            </w:pPr>
            <w:r>
              <w:rPr>
                <w:rFonts w:ascii="Futura Std Book;sans-serif" w:hAnsi="Futura Std Book;sans-serif"/>
                <w:b/>
                <w:color w:val="000000"/>
                <w:sz w:val="24"/>
              </w:rPr>
              <w:t>=</w:t>
            </w:r>
          </w:p>
        </w:tc>
        <w:tc>
          <w:tcPr>
            <w:tcW w:w="2174" w:type="dxa"/>
            <w:gridSpan w:val="3"/>
            <w:tcBorders>
              <w:top w:val="single" w:sz="24" w:space="0" w:color="29378D"/>
              <w:left w:val="single" w:sz="24" w:space="0" w:color="29378D"/>
              <w:right w:val="single" w:sz="24" w:space="0" w:color="29378D"/>
            </w:tcBorders>
            <w:tcMar>
              <w:bottom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left w:val="single" w:sz="24" w:space="0" w:color="BCBEC0"/>
              <w:right w:val="single" w:sz="24" w:space="0" w:color="BCBEC0"/>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TARGET BONUS</w:t>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3540" w:type="dxa"/>
            <w:gridSpan w:val="3"/>
            <w:tcBorders>
              <w:left w:val="single" w:sz="24" w:space="0" w:color="BCBEC0"/>
              <w:right w:val="single" w:sz="24" w:space="0" w:color="BCBEC0"/>
            </w:tcBorders>
            <w:tcMar>
              <w:top w:w="0" w:type="dxa"/>
              <w:bottom w:w="0" w:type="dxa"/>
            </w:tcMar>
            <w:vAlign w:val="center"/>
          </w:tcPr>
          <w:p>
            <w:pPr>
              <w:pStyle w:val="TableContents"/>
              <w:bidi w:val="0"/>
              <w:spacing w:lineRule="auto" w:line="276" w:before="0" w:after="0"/>
              <w:jc w:val="center"/>
              <w:rPr/>
            </w:pPr>
            <w:r>
              <w:rPr>
                <w:rFonts w:ascii="Futura Std Book;sans-serif" w:hAnsi="Futura Std Book;sans-serif"/>
                <w:b/>
                <w:color w:val="000000"/>
                <w:sz w:val="16"/>
              </w:rPr>
              <w:t xml:space="preserve">COMPANY PERFORMANCE FACTOR </w:t>
            </w:r>
            <w:r>
              <w:rPr>
                <w:rFonts w:ascii="Futura Std Book;sans-serif" w:hAnsi="Futura Std Book;sans-serif"/>
                <w:b/>
                <w:color w:val="000000"/>
                <w:sz w:val="10"/>
              </w:rPr>
              <w:t>(1)</w:t>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2174" w:type="dxa"/>
            <w:gridSpan w:val="3"/>
            <w:tcBorders>
              <w:left w:val="single" w:sz="24" w:space="0" w:color="29378D"/>
              <w:right w:val="single" w:sz="24" w:space="0" w:color="29378D"/>
            </w:tcBorders>
            <w:tcMar>
              <w:top w:w="0" w:type="dxa"/>
              <w:bottom w:w="0" w:type="dxa"/>
            </w:tcMar>
            <w:vAlign w:val="center"/>
          </w:tcPr>
          <w:p>
            <w:pPr>
              <w:pStyle w:val="TableContents"/>
              <w:bidi w:val="0"/>
              <w:spacing w:lineRule="auto" w:line="276" w:before="0" w:after="283"/>
              <w:jc w:val="center"/>
              <w:rPr>
                <w:rFonts w:ascii="Futura Std Book;sans-serif" w:hAnsi="Futura Std Book;sans-serif"/>
                <w:b/>
                <w:color w:val="29378D"/>
                <w:sz w:val="16"/>
              </w:rPr>
            </w:pPr>
            <w:r>
              <w:rPr>
                <w:rFonts w:ascii="Futura Std Book;sans-serif" w:hAnsi="Futura Std Book;sans-serif"/>
                <w:b/>
                <w:color w:val="29378D"/>
                <w:sz w:val="16"/>
              </w:rPr>
              <w:t>FINAL BONUS AWARD</w:t>
            </w:r>
          </w:p>
        </w:tc>
      </w:tr>
      <w:tr>
        <w:trPr/>
        <w:tc>
          <w:tcPr>
            <w:tcW w:w="1575" w:type="dxa"/>
            <w:gridSpan w:val="3"/>
            <w:tcBorders>
              <w:left w:val="single" w:sz="24" w:space="0" w:color="BCBEC0"/>
              <w:bottom w:val="single" w:sz="24" w:space="0" w:color="BCBEC0"/>
              <w:right w:val="single" w:sz="24" w:space="0" w:color="BCBEC0"/>
            </w:tcBorders>
            <w:tcMar>
              <w:top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3540" w:type="dxa"/>
            <w:gridSpan w:val="3"/>
            <w:tcBorders>
              <w:left w:val="single" w:sz="24" w:space="0" w:color="BCBEC0"/>
              <w:bottom w:val="single" w:sz="24" w:space="0" w:color="BCBEC0"/>
              <w:right w:val="single" w:sz="24" w:space="0" w:color="BCBEC0"/>
            </w:tcBorders>
            <w:tcMar>
              <w:top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left w:val="single" w:sz="24" w:space="0" w:color="BCBEC0"/>
            </w:tcBorders>
            <w:tcMar>
              <w:top w:w="0" w:type="dxa"/>
              <w:bottom w:w="0" w:type="dxa"/>
              <w:right w:w="0" w:type="dxa"/>
            </w:tcMar>
            <w:vAlign w:val="center"/>
          </w:tcPr>
          <w:p>
            <w:pPr>
              <w:pStyle w:val="Normal"/>
              <w:bidi w:val="0"/>
              <w:jc w:val="left"/>
              <w:rPr/>
            </w:pPr>
            <w:r>
              <w:rPr/>
            </w:r>
          </w:p>
        </w:tc>
        <w:tc>
          <w:tcPr>
            <w:tcW w:w="2174" w:type="dxa"/>
            <w:gridSpan w:val="3"/>
            <w:tcBorders>
              <w:left w:val="single" w:sz="24" w:space="0" w:color="29378D"/>
              <w:bottom w:val="single" w:sz="24" w:space="0" w:color="29378D"/>
              <w:right w:val="single" w:sz="24" w:space="0" w:color="29378D"/>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 The CPF, which is capped at 200%, is comprised of two components, the Company Metrics Score (financial and non-financial), which can range from 0% to 200%, and a Strategic and Operational Assessment, which can range from 80% to 120%. The Strategic and Operational Assessment allows for broader application of business results not formally reflected in the core financial or non-financial metrics.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Annual performance evaluations are conducted by the Compensation and Human Capital Committee for the CEO, and by the CEO for each other NEO with review by the Compensation and Human Capital Committee. The Compensation and Human Capital Committee considers this performance information as well as the comparison to market data.</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2024 AIP METRICS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 the 2024 AIP, and as in prior years, we used a mix of financial and non-financial metrics to measure our performance. Our AIP metrics reflect our commitment to investing for and achieving long-term profitable growth, maintaining alignment with shareholders’ interests, and incentivizing top performance against our industry peers.</w:t>
      </w:r>
    </w:p>
    <w:p>
      <w:pPr>
        <w:pStyle w:val="TextBody"/>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Financial Metrics (90% Weight)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 2024, the Compensation and Human Capital Committee determined the financial metrics would be Adjusted Cash Flow from Operations*and Segment Operating Income* Growth, each weighted at 35% and Pension-Adjusted OM Rate* weighted at 20%. The financial metrics are defined as follows:</w:t>
      </w:r>
    </w:p>
    <w:tbl>
      <w:tblPr>
        <w:tblW w:w="10205" w:type="dxa"/>
        <w:jc w:val="left"/>
        <w:tblInd w:w="0" w:type="dxa"/>
        <w:tblLayout w:type="fixed"/>
        <w:tblCellMar>
          <w:top w:w="28" w:type="dxa"/>
          <w:left w:w="28" w:type="dxa"/>
          <w:bottom w:w="28" w:type="dxa"/>
          <w:right w:w="28" w:type="dxa"/>
        </w:tblCellMar>
      </w:tblPr>
      <w:tblGrid>
        <w:gridCol w:w="1256"/>
        <w:gridCol w:w="589"/>
        <w:gridCol w:w="412"/>
        <w:gridCol w:w="320"/>
        <w:gridCol w:w="320"/>
        <w:gridCol w:w="321"/>
        <w:gridCol w:w="1100"/>
        <w:gridCol w:w="1100"/>
        <w:gridCol w:w="1110"/>
        <w:gridCol w:w="1072"/>
        <w:gridCol w:w="1072"/>
        <w:gridCol w:w="1533"/>
      </w:tblGrid>
      <w:tr>
        <w:trPr/>
        <w:tc>
          <w:tcPr>
            <w:tcW w:w="125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8"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op w:val="single" w:sz="8"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op w:val="single" w:sz="8"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5"/>
              </w:rPr>
            </w:pPr>
            <w:r>
              <w:rPr>
                <w:rFonts w:ascii="Futura Std Book;sans-serif" w:hAnsi="Futura Std Book;sans-serif"/>
                <w:b/>
                <w:color w:val="000000"/>
                <w:sz w:val="15"/>
              </w:rPr>
              <w:t>Financial Metrics</w:t>
            </w:r>
          </w:p>
        </w:tc>
        <w:tc>
          <w:tcPr>
            <w:tcW w:w="9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5"/>
              </w:rPr>
            </w:pPr>
            <w:r>
              <w:rPr>
                <w:rFonts w:ascii="Futura Std Book;sans-serif" w:hAnsi="Futura Std Book;sans-serif"/>
                <w:b/>
                <w:color w:val="000000"/>
                <w:sz w:val="15"/>
              </w:rPr>
              <w:t>Weighting</w:t>
            </w:r>
          </w:p>
        </w:tc>
        <w:tc>
          <w:tcPr>
            <w:tcW w:w="33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5"/>
              </w:rPr>
            </w:pPr>
            <w:r>
              <w:rPr>
                <w:rFonts w:ascii="Futura Std Book;sans-serif" w:hAnsi="Futura Std Book;sans-serif"/>
                <w:b/>
                <w:color w:val="000000"/>
                <w:sz w:val="15"/>
              </w:rPr>
              <w:t>Rationale</w:t>
            </w:r>
          </w:p>
        </w:tc>
        <w:tc>
          <w:tcPr>
            <w:tcW w:w="367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5"/>
              </w:rPr>
            </w:pPr>
            <w:r>
              <w:rPr>
                <w:rFonts w:ascii="Futura Std Book;sans-serif" w:hAnsi="Futura Std Book;sans-serif"/>
                <w:b/>
                <w:color w:val="000000"/>
                <w:sz w:val="15"/>
              </w:rPr>
              <w:t>Calculation</w:t>
            </w:r>
          </w:p>
        </w:tc>
      </w:tr>
      <w:tr>
        <w:trPr/>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8"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op w:val="single" w:sz="8"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op w:val="single" w:sz="8"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cMar>
              <w:top w:w="0" w:type="dxa"/>
              <w:left w:w="0" w:type="dxa"/>
              <w:bottom w:w="0" w:type="dxa"/>
              <w:right w:w="0" w:type="dxa"/>
            </w:tcMar>
            <w:vAlign w:val="center"/>
          </w:tcPr>
          <w:p>
            <w:pPr>
              <w:pStyle w:val="TableContents"/>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ADJUSTED CASH FLOW FROM OPERATIONS*</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35%</w:t>
            </w:r>
          </w:p>
        </w:tc>
        <w:tc>
          <w:tcPr>
            <w:tcW w:w="3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Emphasizes the importance of generating cash for strategy execution. The metric incentivizes management to make capital investment decisions that support long-term profitable growth.</w:t>
            </w:r>
          </w:p>
        </w:tc>
        <w:tc>
          <w:tcPr>
            <w:tcW w:w="3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Net cash provided by operating activities, including adjustments as approved by the Compensation and Human Capital Committee.</w:t>
            </w:r>
          </w:p>
        </w:tc>
      </w:tr>
      <w:tr>
        <w:trPr/>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SEGMENT OPERATING</w:t>
            </w:r>
          </w:p>
          <w:p>
            <w:pPr>
              <w:pStyle w:val="TableContents"/>
              <w:bidi w:val="0"/>
              <w:spacing w:lineRule="auto" w:line="288" w:before="0" w:after="0"/>
              <w:jc w:val="left"/>
              <w:rPr>
                <w:rFonts w:ascii="Futura Std Book;sans-serif" w:hAnsi="Futura Std Book;sans-serif"/>
                <w:b/>
                <w:color w:val="29378D"/>
                <w:sz w:val="16"/>
              </w:rPr>
            </w:pPr>
            <w:r>
              <w:rPr>
                <w:rFonts w:ascii="Futura Std Book;sans-serif" w:hAnsi="Futura Std Book;sans-serif"/>
                <w:b/>
                <w:color w:val="29378D"/>
                <w:sz w:val="16"/>
              </w:rPr>
              <w:t>INCOME* GROWTH</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35%</w:t>
            </w:r>
          </w:p>
        </w:tc>
        <w:tc>
          <w:tcPr>
            <w:tcW w:w="3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Incentivizes management to focus on profitable growth and enables management to evaluate the financial performance and operational trends of our sectors.</w:t>
            </w:r>
          </w:p>
        </w:tc>
        <w:tc>
          <w:tcPr>
            <w:tcW w:w="367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combined operating income of our four segments, less the operating income associated with intersegment sales.</w:t>
            </w:r>
          </w:p>
        </w:tc>
      </w:tr>
      <w:tr>
        <w:trPr/>
        <w:tc>
          <w:tcPr>
            <w:tcW w:w="2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PENSION-ADJUSTED OM RATE*</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20%</w:t>
            </w:r>
          </w:p>
        </w:tc>
        <w:tc>
          <w:tcPr>
            <w:tcW w:w="3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Establishes high program performance expectations for the Company and incentivizes sound core operational business strategies.</w:t>
            </w:r>
          </w:p>
        </w:tc>
        <w:tc>
          <w:tcPr>
            <w:tcW w:w="3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Operating income before FAS/CAS operating adjustment and excluding unallocated state tax impacts reflected within unallocated corporate income (expense) and other approved adjustments, divided by sales.</w:t>
            </w:r>
          </w:p>
        </w:tc>
      </w:tr>
      <w:tr>
        <w:trPr/>
        <w:tc>
          <w:tcPr>
            <w:tcW w:w="2257"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77"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 This metric is a non-GAAP financial measure. For more information, see “Appendix A - Use of Non-GAAP Financial Measures.” </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734695"/>
                <wp:effectExtent l="0" t="0" r="0" b="0"/>
                <wp:wrapNone/>
                <wp:docPr id="277" name="Frame6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58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Non-Financial Metrics (10% Weight)</w:t>
      </w:r>
    </w:p>
    <w:tbl>
      <w:tblPr>
        <w:tblW w:w="10205" w:type="dxa"/>
        <w:jc w:val="lef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In addition to the financial goals, various non-financial goals are used to align our objectives with our stakeholders.</w:t>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For 2024, we selected the following non-financial metrics, each equally weighted at 2.5%:</w:t>
      </w:r>
    </w:p>
    <w:tbl>
      <w:tblPr>
        <w:tblW w:w="10205" w:type="dxa"/>
        <w:jc w:val="left"/>
        <w:tblInd w:w="0" w:type="dxa"/>
        <w:tblLayout w:type="fixed"/>
        <w:tblCellMar>
          <w:top w:w="28" w:type="dxa"/>
          <w:left w:w="28" w:type="dxa"/>
          <w:bottom w:w="28" w:type="dxa"/>
          <w:right w:w="28" w:type="dxa"/>
        </w:tblCellMar>
      </w:tblPr>
      <w:tblGrid>
        <w:gridCol w:w="633"/>
        <w:gridCol w:w="552"/>
        <w:gridCol w:w="556"/>
        <w:gridCol w:w="133"/>
        <w:gridCol w:w="133"/>
        <w:gridCol w:w="133"/>
        <w:gridCol w:w="883"/>
        <w:gridCol w:w="505"/>
        <w:gridCol w:w="503"/>
        <w:gridCol w:w="2173"/>
        <w:gridCol w:w="1649"/>
        <w:gridCol w:w="2352"/>
      </w:tblGrid>
      <w:tr>
        <w:trPr/>
        <w:tc>
          <w:tcPr>
            <w:tcW w:w="63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r>
      <w:tr>
        <w:trPr/>
        <w:tc>
          <w:tcPr>
            <w:tcW w:w="4031"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Non-Financial Metric</w:t>
            </w:r>
          </w:p>
        </w:tc>
        <w:tc>
          <w:tcPr>
            <w:tcW w:w="61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How Measured</w:t>
            </w:r>
          </w:p>
        </w:tc>
      </w:tr>
      <w:tr>
        <w:trPr/>
        <w:tc>
          <w:tcPr>
            <w:tcW w:w="1741" w:type="dxa"/>
            <w:gridSpan w:val="3"/>
            <w:vMerge w:val="restart"/>
            <w:tcBorders>
              <w:top w:val="single" w:sz="8" w:space="0" w:color="29378D"/>
            </w:tcBorders>
            <w:shd w:fill="E6E7E8"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People</w:t>
            </w:r>
          </w:p>
        </w:tc>
        <w:tc>
          <w:tcPr>
            <w:tcW w:w="399"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29378D"/>
            </w:tcBorders>
            <w:tcMar>
              <w:left w:w="0" w:type="dxa"/>
              <w:bottom w:w="0" w:type="dxa"/>
              <w:right w:w="0" w:type="dxa"/>
            </w:tcMar>
            <w:vAlign w:val="center"/>
          </w:tcPr>
          <w:p>
            <w:pPr>
              <w:pStyle w:val="TableContents"/>
              <w:bidi w:val="0"/>
              <w:spacing w:before="100" w:after="100"/>
              <w:jc w:val="left"/>
              <w:rPr/>
            </w:pPr>
            <w:r>
              <w:rPr/>
              <w:drawing>
                <wp:inline distT="0" distB="0" distL="0" distR="0">
                  <wp:extent cx="323850" cy="323850"/>
                  <wp:effectExtent l="0" t="0" r="0" b="0"/>
                  <wp:docPr id="278"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17" descr=""/>
                          <pic:cNvPicPr>
                            <a:picLocks noChangeAspect="1" noChangeArrowheads="1"/>
                          </pic:cNvPicPr>
                        </pic:nvPicPr>
                        <pic:blipFill>
                          <a:blip r:embed="rId218"/>
                          <a:stretch>
                            <a:fillRect/>
                          </a:stretch>
                        </pic:blipFill>
                        <pic:spPr bwMode="auto">
                          <a:xfrm>
                            <a:off x="0" y="0"/>
                            <a:ext cx="323850" cy="323850"/>
                          </a:xfrm>
                          <a:prstGeom prst="rect">
                            <a:avLst/>
                          </a:prstGeom>
                        </pic:spPr>
                      </pic:pic>
                    </a:graphicData>
                  </a:graphic>
                </wp:inline>
              </w:drawing>
            </w:r>
          </w:p>
        </w:tc>
        <w:tc>
          <w:tcPr>
            <w:tcW w:w="6174" w:type="dxa"/>
            <w:gridSpan w:val="3"/>
            <w:vMerge w:val="restart"/>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Perform at or above the Qualtrics Survey Global Norm, with a focus on inclusion, belonging and engagement. Results are derived from the annual employee survey with a "percent favorable response" measurement scale.</w:t>
            </w:r>
          </w:p>
        </w:tc>
      </w:tr>
      <w:tr>
        <w:trPr/>
        <w:tc>
          <w:tcPr>
            <w:tcW w:w="1741" w:type="dxa"/>
            <w:gridSpan w:val="3"/>
            <w:vMerge w:val="continue"/>
            <w:tcBorders>
              <w:top w:val="single" w:sz="8" w:space="0" w:color="29378D"/>
            </w:tcBorders>
            <w:shd w:fill="E6E7E8" w:val="clear"/>
            <w:tcMar>
              <w:top w:w="30" w:type="dxa"/>
              <w:left w:w="0" w:type="dxa"/>
              <w:bottom w:w="0" w:type="dxa"/>
              <w:right w:w="0" w:type="dxa"/>
            </w:tcMar>
            <w:vAlign w:val="center"/>
          </w:tcPr>
          <w:p>
            <w:pPr>
              <w:pStyle w:val="Normal"/>
              <w:bidi w:val="0"/>
              <w:jc w:val="left"/>
              <w:rPr/>
            </w:pPr>
            <w:r>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INCLUSION AND BELONGING</w:t>
            </w:r>
          </w:p>
        </w:tc>
        <w:tc>
          <w:tcPr>
            <w:tcW w:w="6174" w:type="dxa"/>
            <w:gridSpan w:val="3"/>
            <w:vMerge w:val="continue"/>
            <w:tcBorders>
              <w:top w:val="single" w:sz="8" w:space="0" w:color="29378D"/>
            </w:tcBorders>
            <w:tcMar>
              <w:top w:w="30" w:type="dxa"/>
              <w:left w:w="0" w:type="dxa"/>
              <w:bottom w:w="0" w:type="dxa"/>
              <w:right w:w="0" w:type="dxa"/>
            </w:tcMar>
            <w:vAlign w:val="center"/>
          </w:tcPr>
          <w:p>
            <w:pPr>
              <w:pStyle w:val="Normal"/>
              <w:bidi w:val="0"/>
              <w:jc w:val="left"/>
              <w:rPr/>
            </w:pPr>
            <w:r>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vMerge w:val="restart"/>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Environment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23850" cy="323850"/>
                  <wp:effectExtent l="0" t="0" r="0" b="0"/>
                  <wp:docPr id="279"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18" descr=""/>
                          <pic:cNvPicPr>
                            <a:picLocks noChangeAspect="1" noChangeArrowheads="1"/>
                          </pic:cNvPicPr>
                        </pic:nvPicPr>
                        <pic:blipFill>
                          <a:blip r:embed="rId219"/>
                          <a:stretch>
                            <a:fillRect/>
                          </a:stretch>
                        </pic:blipFill>
                        <pic:spPr bwMode="auto">
                          <a:xfrm>
                            <a:off x="0" y="0"/>
                            <a:ext cx="323850" cy="323850"/>
                          </a:xfrm>
                          <a:prstGeom prst="rect">
                            <a:avLst/>
                          </a:prstGeom>
                        </pic:spPr>
                      </pic:pic>
                    </a:graphicData>
                  </a:graphic>
                </wp:inline>
              </w:drawing>
            </w:r>
          </w:p>
        </w:tc>
        <w:tc>
          <w:tcPr>
            <w:tcW w:w="617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Annual targets supporting the Company's sustainability goals. Specifically, net zero greenhouse gas emissions in operations by 2035 and reductions in water withdrawals and disposed solid waste by 2030, coupled with sustainability communications on goals and progress across the Company.</w:t>
            </w:r>
          </w:p>
        </w:tc>
      </w:tr>
      <w:tr>
        <w:trPr/>
        <w:tc>
          <w:tcPr>
            <w:tcW w:w="1741"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ENVIRONMENTAL</w:t>
              <w:br/>
              <w:t>SUSTAINABILITY</w:t>
            </w:r>
          </w:p>
        </w:tc>
        <w:tc>
          <w:tcPr>
            <w:tcW w:w="61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vMerge w:val="restart"/>
            <w:tcBorders/>
            <w:shd w:fill="E6E7E8"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22"/>
              </w:rPr>
            </w:pPr>
            <w:r>
              <w:rPr>
                <w:rFonts w:ascii="Futura Std Book;sans-serif" w:hAnsi="Futura Std Book;sans-serif"/>
                <w:b/>
                <w:color w:val="29378D"/>
                <w:sz w:val="22"/>
              </w:rPr>
              <w:t>Customer</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323850" cy="323850"/>
                  <wp:effectExtent l="0" t="0" r="0" b="0"/>
                  <wp:docPr id="280"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19" descr=""/>
                          <pic:cNvPicPr>
                            <a:picLocks noChangeAspect="1" noChangeArrowheads="1"/>
                          </pic:cNvPicPr>
                        </pic:nvPicPr>
                        <pic:blipFill>
                          <a:blip r:embed="rId220"/>
                          <a:stretch>
                            <a:fillRect/>
                          </a:stretch>
                        </pic:blipFill>
                        <pic:spPr bwMode="auto">
                          <a:xfrm>
                            <a:off x="0" y="0"/>
                            <a:ext cx="323850" cy="323850"/>
                          </a:xfrm>
                          <a:prstGeom prst="rect">
                            <a:avLst/>
                          </a:prstGeom>
                        </pic:spPr>
                      </pic:pic>
                    </a:graphicData>
                  </a:graphic>
                </wp:inline>
              </w:drawing>
            </w:r>
          </w:p>
        </w:tc>
        <w:tc>
          <w:tcPr>
            <w:tcW w:w="617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Program-specific objectives, including defect rates, process quality, supplier quality or other appropriate criteria for program type and phase.</w:t>
            </w:r>
          </w:p>
        </w:tc>
      </w:tr>
      <w:tr>
        <w:trPr/>
        <w:tc>
          <w:tcPr>
            <w:tcW w:w="1741"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QUALITY</w:t>
            </w:r>
          </w:p>
        </w:tc>
        <w:tc>
          <w:tcPr>
            <w:tcW w:w="61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4" w:space="0" w:color="BCBEC0"/>
            </w:tcBorders>
            <w:tcMar>
              <w:left w:w="0" w:type="dxa"/>
              <w:bottom w:w="0" w:type="dxa"/>
              <w:right w:w="0" w:type="dxa"/>
            </w:tcMar>
            <w:vAlign w:val="center"/>
          </w:tcPr>
          <w:p>
            <w:pPr>
              <w:pStyle w:val="TableContents"/>
              <w:bidi w:val="0"/>
              <w:spacing w:before="0" w:after="0"/>
              <w:jc w:val="left"/>
              <w:rPr/>
            </w:pPr>
            <w:r>
              <w:rPr/>
              <w:drawing>
                <wp:inline distT="0" distB="0" distL="0" distR="0">
                  <wp:extent cx="295275" cy="285750"/>
                  <wp:effectExtent l="0" t="0" r="0" b="0"/>
                  <wp:docPr id="281"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20" descr=""/>
                          <pic:cNvPicPr>
                            <a:picLocks noChangeAspect="1" noChangeArrowheads="1"/>
                          </pic:cNvPicPr>
                        </pic:nvPicPr>
                        <pic:blipFill>
                          <a:blip r:embed="rId221"/>
                          <a:stretch>
                            <a:fillRect/>
                          </a:stretch>
                        </pic:blipFill>
                        <pic:spPr bwMode="auto">
                          <a:xfrm>
                            <a:off x="0" y="0"/>
                            <a:ext cx="295275" cy="285750"/>
                          </a:xfrm>
                          <a:prstGeom prst="rect">
                            <a:avLst/>
                          </a:prstGeom>
                        </pic:spPr>
                      </pic:pic>
                    </a:graphicData>
                  </a:graphic>
                </wp:inline>
              </w:drawing>
            </w:r>
          </w:p>
        </w:tc>
        <w:tc>
          <w:tcPr>
            <w:tcW w:w="617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Customer feedback, including customer-generated performance scores, award fees and verbal and written feedback.</w:t>
            </w:r>
          </w:p>
        </w:tc>
      </w:tr>
      <w:tr>
        <w:trPr/>
        <w:tc>
          <w:tcPr>
            <w:tcW w:w="1741" w:type="dxa"/>
            <w:gridSpan w:val="3"/>
            <w:vMerge w:val="continue"/>
            <w:tcBorders/>
            <w:shd w:fill="E6E7E8" w:val="clear"/>
            <w:tcMar>
              <w:top w:w="0" w:type="dxa"/>
              <w:left w:w="0" w:type="dxa"/>
              <w:bottom w:w="0" w:type="dxa"/>
              <w:right w:w="0" w:type="dxa"/>
            </w:tcMar>
            <w:vAlign w:val="center"/>
          </w:tcPr>
          <w:p>
            <w:pPr>
              <w:pStyle w:val="Normal"/>
              <w:bidi w:val="0"/>
              <w:jc w:val="left"/>
              <w:rPr/>
            </w:pPr>
            <w:r>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CUSTOMER</w:t>
            </w:r>
          </w:p>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SATISFACTION</w:t>
            </w:r>
          </w:p>
        </w:tc>
        <w:tc>
          <w:tcPr>
            <w:tcW w:w="617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r>
      <w:tr>
        <w:trPr/>
        <w:tc>
          <w:tcPr>
            <w:tcW w:w="1741"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Payout Levels</w:t>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Our AIP provides for payout levels from 0% to 200% of target. The minimum, target and maximum performance levels are derived based on an analysis of the historical and forecasted performance of our Performance Peer Group, and LRSP data for the Adjusted Cash Flow from Operations*, Segment Operating Income* Growth, and Pension-Adjusted OM Rate* metrics. The non-financial metrics’ performance levels are determined by specific goals approved by the Compensation and Human Capital Committee. Specific values are identified for each metric at selected points in the range between minimum and maximum and other values are determined by linear interpolation between these points. No payout is made if performance is below the minimum. Above-target payouts can be earned only if the Company’s performance exceeds the performance threshold noted in the table on the following page. The maximum payout of 200% is achieved if the Company’s performance is above the approximate top quartile performance target. This structure aligns above-target payouts with superior performance and provides reduced awards for below-target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554990"/>
                <wp:effectExtent l="0" t="0" r="0" b="0"/>
                <wp:wrapNone/>
                <wp:docPr id="282" name="Frame6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220" w:after="120"/>
        <w:jc w:val="left"/>
        <w:rPr>
          <w:rFonts w:ascii="Futura Std Book;sans-serif" w:hAnsi="Futura Std Book;sans-serif"/>
          <w:b w:val="false"/>
          <w:color w:val="29378D"/>
          <w:sz w:val="22"/>
        </w:rPr>
      </w:pPr>
      <w:r>
        <w:rPr>
          <w:rFonts w:ascii="Futura Std Book;sans-serif" w:hAnsi="Futura Std Book;sans-serif"/>
          <w:b w:val="false"/>
          <w:color w:val="29378D"/>
          <w:sz w:val="22"/>
        </w:rPr>
        <w:t>2024 AIP PERFORMANCE RESULTS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In determining the CPF, both financial and non-financial performance against goals are assessed. The 2024 Company Metrics Score based on the financial and non-financial metrics, was determined to be 148%. The Strategic and Operational Assessment was determined to be 100%, resulting in an overall CPF of 148%.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As approved by the Compensation and Human Capital Committee, 2024 Company performance calculations were adjusted, as applicable, to exclude the impact of net operating FAS/CAS, deferred state tax expense (benefit), CAS pension recoveries, and other adjustments to account for business conditions and certain costs unanticipated at the time the goals were established. All adjustments were made by the Compensation and Human Capital Committee using its discretion, as provided in our plan, to measure annual incentive performance while maintaining flexibility to provide equitable adjustments that address the impact of material non-operational and unforeseen events. Details are outlined in Appendix A - Use of Non-GAAP Financial Measures.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individual financial and non-financial performance results are noted below. </w:t>
      </w:r>
    </w:p>
    <w:p>
      <w:pPr>
        <w:pStyle w:val="TextBody"/>
        <w:bidi w:val="0"/>
        <w:spacing w:before="120" w:after="120"/>
        <w:jc w:val="left"/>
        <w:rPr/>
      </w:pPr>
      <w:r>
        <w:rPr/>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FINAL 2024 COMPANY AIP RESULTS</w:t>
      </w:r>
    </w:p>
    <w:tbl>
      <w:tblPr>
        <w:tblW w:w="4411" w:type="dxa"/>
        <w:jc w:val="left"/>
        <w:tblInd w:w="0" w:type="dxa"/>
        <w:tblLayout w:type="fixed"/>
        <w:tblCellMar>
          <w:top w:w="28" w:type="dxa"/>
          <w:left w:w="28" w:type="dxa"/>
          <w:bottom w:w="28" w:type="dxa"/>
          <w:right w:w="28" w:type="dxa"/>
        </w:tblCellMar>
      </w:tblPr>
      <w:tblGrid>
        <w:gridCol w:w="773"/>
        <w:gridCol w:w="675"/>
        <w:gridCol w:w="682"/>
        <w:gridCol w:w="285"/>
        <w:gridCol w:w="285"/>
        <w:gridCol w:w="286"/>
        <w:gridCol w:w="416"/>
        <w:gridCol w:w="416"/>
        <w:gridCol w:w="593"/>
      </w:tblGrid>
      <w:tr>
        <w:trPr/>
        <w:tc>
          <w:tcPr>
            <w:tcW w:w="7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14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Weighted Payout</w:t>
            </w:r>
          </w:p>
        </w:tc>
      </w:tr>
      <w:tr>
        <w:trPr/>
        <w:tc>
          <w:tcPr>
            <w:tcW w:w="213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Financial Metrics</w:t>
            </w:r>
          </w:p>
        </w:tc>
        <w:tc>
          <w:tcPr>
            <w:tcW w:w="85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90%</w:t>
            </w:r>
          </w:p>
        </w:tc>
        <w:tc>
          <w:tcPr>
            <w:tcW w:w="142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135%</w:t>
            </w:r>
          </w:p>
        </w:tc>
      </w:tr>
      <w:tr>
        <w:trPr/>
        <w:tc>
          <w:tcPr>
            <w:tcW w:w="213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Non-Financial Metrics</w:t>
            </w:r>
          </w:p>
        </w:tc>
        <w:tc>
          <w:tcPr>
            <w:tcW w:w="85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10%</w:t>
            </w:r>
          </w:p>
        </w:tc>
        <w:tc>
          <w:tcPr>
            <w:tcW w:w="142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r>
      <w:tr>
        <w:trPr/>
        <w:tc>
          <w:tcPr>
            <w:tcW w:w="2130"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0"/>
              <w:jc w:val="left"/>
              <w:rPr/>
            </w:pPr>
            <w:r>
              <w:rPr>
                <w:rFonts w:ascii="Futura Std Book;sans-serif" w:hAnsi="Futura Std Book;sans-serif"/>
                <w:b/>
                <w:color w:val="000000"/>
                <w:sz w:val="18"/>
              </w:rPr>
              <w:t xml:space="preserve">Company Payout </w:t>
            </w:r>
            <w:r>
              <w:rPr>
                <w:rFonts w:ascii="Futura Std Book;sans-serif" w:hAnsi="Futura Std Book;sans-serif"/>
                <w:b/>
                <w:color w:val="000000"/>
                <w:sz w:val="12"/>
              </w:rPr>
              <w:t>(1)</w:t>
            </w:r>
          </w:p>
        </w:tc>
        <w:tc>
          <w:tcPr>
            <w:tcW w:w="856"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8"/>
              </w:rPr>
            </w:pPr>
            <w:r>
              <w:rPr>
                <w:rFonts w:ascii="Futura Std Book;sans-serif" w:hAnsi="Futura Std Book;sans-serif"/>
                <w:b/>
                <w:color w:val="000000"/>
                <w:sz w:val="18"/>
              </w:rPr>
              <w:t>148%</w:t>
            </w:r>
          </w:p>
        </w:tc>
      </w:tr>
    </w:tbl>
    <w:p>
      <w:pPr>
        <w:pStyle w:val="TextBody"/>
        <w:bidi w:val="0"/>
        <w:spacing w:lineRule="auto" w:line="288" w:before="80" w:after="80"/>
        <w:ind w:left="0" w:right="0" w:hanging="288"/>
        <w:jc w:val="left"/>
        <w:rPr/>
      </w:pPr>
      <w:r>
        <w:rPr>
          <w:rFonts w:ascii="Futura Std Book;sans-serif" w:hAnsi="Futura Std Book;sans-serif"/>
          <w:b w:val="false"/>
          <w:color w:val="000000"/>
          <w:sz w:val="16"/>
        </w:rPr>
        <w:t>(1)The 2024 Company Payout includes a Strategic and Operational assessment, which was determined to be 100%</w:t>
      </w:r>
      <w:r>
        <w:rPr>
          <w:rFonts w:ascii="Futura Std Book;sans-serif" w:hAnsi="Futura Std Book;sans-serif"/>
          <w:b w:val="false"/>
          <w:color w:val="000000"/>
          <w:sz w:val="18"/>
        </w:rPr>
        <w:t>.</w:t>
      </w:r>
    </w:p>
    <w:p>
      <w:pPr>
        <w:pStyle w:val="TextBody"/>
        <w:bidi w:val="0"/>
        <w:spacing w:before="80" w:after="80"/>
        <w:ind w:left="0" w:right="0" w:firstLine="72"/>
        <w:jc w:val="left"/>
        <w:rPr/>
      </w:pPr>
      <w:r>
        <w:rPr/>
      </w:r>
    </w:p>
    <w:p>
      <w:pPr>
        <w:pStyle w:val="TextBody"/>
        <w:bidi w:val="0"/>
        <w:spacing w:lineRule="auto" w:line="288" w:before="180" w:after="120"/>
        <w:jc w:val="left"/>
        <w:rPr>
          <w:rFonts w:ascii="Futura Std Book;sans-serif" w:hAnsi="Futura Std Book;sans-serif"/>
          <w:b/>
          <w:color w:val="29378D"/>
          <w:sz w:val="16"/>
        </w:rPr>
      </w:pPr>
      <w:r>
        <w:rPr>
          <w:rFonts w:ascii="Futura Std Book;sans-serif" w:hAnsi="Futura Std Book;sans-serif"/>
          <w:b/>
          <w:color w:val="29378D"/>
          <w:sz w:val="16"/>
        </w:rPr>
        <w:t>FINANCIAL METRICS</w:t>
      </w:r>
    </w:p>
    <w:tbl>
      <w:tblPr>
        <w:tblW w:w="10205" w:type="dxa"/>
        <w:jc w:val="left"/>
        <w:tblInd w:w="0" w:type="dxa"/>
        <w:tblLayout w:type="fixed"/>
        <w:tblCellMar>
          <w:top w:w="28" w:type="dxa"/>
          <w:left w:w="28" w:type="dxa"/>
          <w:bottom w:w="28" w:type="dxa"/>
          <w:right w:w="28" w:type="dxa"/>
        </w:tblCellMar>
      </w:tblPr>
      <w:tblGrid>
        <w:gridCol w:w="1122"/>
        <w:gridCol w:w="757"/>
        <w:gridCol w:w="761"/>
        <w:gridCol w:w="285"/>
        <w:gridCol w:w="285"/>
        <w:gridCol w:w="286"/>
        <w:gridCol w:w="593"/>
        <w:gridCol w:w="593"/>
        <w:gridCol w:w="595"/>
        <w:gridCol w:w="405"/>
        <w:gridCol w:w="241"/>
        <w:gridCol w:w="241"/>
        <w:gridCol w:w="502"/>
        <w:gridCol w:w="241"/>
        <w:gridCol w:w="241"/>
        <w:gridCol w:w="593"/>
        <w:gridCol w:w="593"/>
        <w:gridCol w:w="597"/>
        <w:gridCol w:w="371"/>
        <w:gridCol w:w="371"/>
        <w:gridCol w:w="532"/>
      </w:tblGrid>
      <w:tr>
        <w:trPr/>
        <w:tc>
          <w:tcPr>
            <w:tcW w:w="112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Performance to Achieve Target Payout</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Threshold</w:t>
            </w:r>
          </w:p>
        </w:tc>
        <w:tc>
          <w:tcPr>
            <w:tcW w:w="1871"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Target</w:t>
            </w:r>
          </w:p>
        </w:tc>
        <w:tc>
          <w:tcPr>
            <w:tcW w:w="178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Maximum</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Metric/Goal</w:t>
            </w:r>
          </w:p>
        </w:tc>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178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0%</w:t>
            </w:r>
          </w:p>
        </w:tc>
        <w:tc>
          <w:tcPr>
            <w:tcW w:w="88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Low</w:t>
            </w:r>
          </w:p>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100%</w:t>
            </w:r>
          </w:p>
        </w:tc>
        <w:tc>
          <w:tcPr>
            <w:tcW w:w="98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High</w:t>
            </w:r>
          </w:p>
          <w:p>
            <w:pPr>
              <w:pStyle w:val="TableContents"/>
              <w:bidi w:val="0"/>
              <w:spacing w:lineRule="auto" w:line="288" w:before="0" w:after="0"/>
              <w:jc w:val="center"/>
              <w:rPr>
                <w:rFonts w:ascii="Futura Std Book;sans-serif" w:hAnsi="Futura Std Book;sans-serif"/>
                <w:b/>
                <w:color w:val="000000"/>
                <w:sz w:val="14"/>
              </w:rPr>
            </w:pPr>
            <w:r>
              <w:rPr>
                <w:rFonts w:ascii="Futura Std Book;sans-serif" w:hAnsi="Futura Std Book;sans-serif"/>
                <w:b/>
                <w:color w:val="000000"/>
                <w:sz w:val="14"/>
              </w:rPr>
              <w:t>100%</w:t>
            </w:r>
          </w:p>
        </w:tc>
        <w:tc>
          <w:tcPr>
            <w:tcW w:w="178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200%</w:t>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2024 Financial Score</w:t>
            </w:r>
          </w:p>
        </w:tc>
      </w:tr>
      <w:tr>
        <w:trPr/>
        <w:tc>
          <w:tcPr>
            <w:tcW w:w="2640"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Adjusted Cash Flow from Operations*</w:t>
            </w:r>
          </w:p>
        </w:tc>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35%</w:t>
            </w:r>
          </w:p>
        </w:tc>
        <w:tc>
          <w:tcPr>
            <w:tcW w:w="5435"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81375" cy="590550"/>
                  <wp:effectExtent l="0" t="0" r="0" b="0"/>
                  <wp:docPr id="283"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21" descr=""/>
                          <pic:cNvPicPr>
                            <a:picLocks noChangeAspect="1" noChangeArrowheads="1"/>
                          </pic:cNvPicPr>
                        </pic:nvPicPr>
                        <pic:blipFill>
                          <a:blip r:embed="rId222"/>
                          <a:stretch>
                            <a:fillRect/>
                          </a:stretch>
                        </pic:blipFill>
                        <pic:spPr bwMode="auto">
                          <a:xfrm>
                            <a:off x="0" y="0"/>
                            <a:ext cx="3381375" cy="590550"/>
                          </a:xfrm>
                          <a:prstGeom prst="rect">
                            <a:avLst/>
                          </a:prstGeom>
                        </pic:spPr>
                      </pic:pic>
                    </a:graphicData>
                  </a:graphic>
                </wp:inline>
              </w:drawing>
            </w:r>
          </w:p>
        </w:tc>
        <w:tc>
          <w:tcPr>
            <w:tcW w:w="12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63%</w:t>
            </w:r>
          </w:p>
        </w:tc>
      </w:tr>
      <w:tr>
        <w:trPr/>
        <w:tc>
          <w:tcPr>
            <w:tcW w:w="264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Segment Operating Income* Growth</w:t>
            </w:r>
          </w:p>
        </w:tc>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35%</w:t>
            </w:r>
          </w:p>
        </w:tc>
        <w:tc>
          <w:tcPr>
            <w:tcW w:w="5435"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81375" cy="581025"/>
                  <wp:effectExtent l="0" t="0" r="0" b="0"/>
                  <wp:docPr id="284"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22" descr=""/>
                          <pic:cNvPicPr>
                            <a:picLocks noChangeAspect="1" noChangeArrowheads="1"/>
                          </pic:cNvPicPr>
                        </pic:nvPicPr>
                        <pic:blipFill>
                          <a:blip r:embed="rId223"/>
                          <a:stretch>
                            <a:fillRect/>
                          </a:stretch>
                        </pic:blipFill>
                        <pic:spPr bwMode="auto">
                          <a:xfrm>
                            <a:off x="0" y="0"/>
                            <a:ext cx="3381375" cy="581025"/>
                          </a:xfrm>
                          <a:prstGeom prst="rect">
                            <a:avLst/>
                          </a:prstGeom>
                        </pic:spPr>
                      </pic:pic>
                    </a:graphicData>
                  </a:graphic>
                </wp:inline>
              </w:drawing>
            </w:r>
          </w:p>
        </w:tc>
        <w:tc>
          <w:tcPr>
            <w:tcW w:w="12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42%</w:t>
            </w:r>
          </w:p>
        </w:tc>
      </w:tr>
      <w:tr>
        <w:trPr/>
        <w:tc>
          <w:tcPr>
            <w:tcW w:w="264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Pension-Adjusted OM Rate*</w:t>
            </w:r>
          </w:p>
        </w:tc>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20%</w:t>
            </w:r>
          </w:p>
        </w:tc>
        <w:tc>
          <w:tcPr>
            <w:tcW w:w="5435" w:type="dxa"/>
            <w:gridSpan w:val="12"/>
            <w:tcBorders>
              <w:bottom w:val="single" w:sz="4" w:space="0" w:color="BCBEC0"/>
            </w:tcBorders>
            <w:tcMar>
              <w:top w:w="0" w:type="dxa"/>
              <w:left w:w="0" w:type="dxa"/>
              <w:right w:w="0" w:type="dxa"/>
            </w:tcMar>
            <w:vAlign w:val="center"/>
          </w:tcPr>
          <w:p>
            <w:pPr>
              <w:pStyle w:val="TableContents"/>
              <w:bidi w:val="0"/>
              <w:spacing w:before="0" w:after="0"/>
              <w:jc w:val="center"/>
              <w:rPr/>
            </w:pPr>
            <w:r>
              <w:rPr/>
              <w:drawing>
                <wp:inline distT="0" distB="0" distL="0" distR="0">
                  <wp:extent cx="3381375" cy="590550"/>
                  <wp:effectExtent l="0" t="0" r="0" b="0"/>
                  <wp:docPr id="285"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23" descr=""/>
                          <pic:cNvPicPr>
                            <a:picLocks noChangeAspect="1" noChangeArrowheads="1"/>
                          </pic:cNvPicPr>
                        </pic:nvPicPr>
                        <pic:blipFill>
                          <a:blip r:embed="rId224"/>
                          <a:stretch>
                            <a:fillRect/>
                          </a:stretch>
                        </pic:blipFill>
                        <pic:spPr bwMode="auto">
                          <a:xfrm>
                            <a:off x="0" y="0"/>
                            <a:ext cx="3381375" cy="590550"/>
                          </a:xfrm>
                          <a:prstGeom prst="rect">
                            <a:avLst/>
                          </a:prstGeom>
                        </pic:spPr>
                      </pic:pic>
                    </a:graphicData>
                  </a:graphic>
                </wp:inline>
              </w:drawing>
            </w:r>
          </w:p>
        </w:tc>
        <w:tc>
          <w:tcPr>
            <w:tcW w:w="12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30%</w:t>
            </w:r>
          </w:p>
        </w:tc>
      </w:tr>
      <w:tr>
        <w:trPr/>
        <w:tc>
          <w:tcPr>
            <w:tcW w:w="2640"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249C"/>
                <w:sz w:val="18"/>
              </w:rPr>
            </w:pPr>
            <w:r>
              <w:rPr>
                <w:rFonts w:ascii="Futura Std Book;sans-serif" w:hAnsi="Futura Std Book;sans-serif"/>
                <w:b/>
                <w:color w:val="00249C"/>
                <w:sz w:val="18"/>
              </w:rPr>
              <w:t>Financial Metric Results</w:t>
            </w:r>
          </w:p>
        </w:tc>
        <w:tc>
          <w:tcPr>
            <w:tcW w:w="856"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5435" w:type="dxa"/>
            <w:gridSpan w:val="12"/>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249C"/>
                <w:sz w:val="18"/>
              </w:rPr>
            </w:pPr>
            <w:r>
              <w:rPr>
                <w:rFonts w:ascii="Futura Std Book;sans-serif" w:hAnsi="Futura Std Book;sans-serif"/>
                <w:b/>
                <w:color w:val="00249C"/>
                <w:sz w:val="18"/>
              </w:rPr>
              <w:t>135%</w:t>
            </w:r>
          </w:p>
        </w:tc>
      </w:tr>
    </w:tbl>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734695"/>
                <wp:effectExtent l="0" t="0" r="0" b="0"/>
                <wp:wrapNone/>
                <wp:docPr id="286" name="Frame6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16"/>
        </w:rPr>
      </w:pPr>
      <w:bookmarkStart w:id="8" w:name="i35b40bbe162440709294fc29d2ec0321_11526"/>
      <w:bookmarkEnd w:id="8"/>
      <w:r>
        <w:rPr>
          <w:rFonts w:ascii="Futura Std Book;sans-serif" w:hAnsi="Futura Std Book;sans-serif"/>
          <w:b/>
          <w:color w:val="29378D"/>
          <w:sz w:val="16"/>
        </w:rPr>
        <w:t>NON-FINANCIAL METRICS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 demonstrated strong performance in 2024 overall against the non-financial goals and the Compensation and Human Capital Committee approved a non-financial score of 132%, for a weighted payout of 13%.</w:t>
      </w:r>
    </w:p>
    <w:tbl>
      <w:tblPr>
        <w:tblW w:w="10205" w:type="dxa"/>
        <w:jc w:val="left"/>
        <w:tblInd w:w="0" w:type="dxa"/>
        <w:tblLayout w:type="fixed"/>
        <w:tblCellMar>
          <w:top w:w="28" w:type="dxa"/>
          <w:left w:w="28" w:type="dxa"/>
          <w:bottom w:w="28" w:type="dxa"/>
          <w:right w:w="28" w:type="dxa"/>
        </w:tblCellMar>
      </w:tblPr>
      <w:tblGrid>
        <w:gridCol w:w="988"/>
        <w:gridCol w:w="479"/>
        <w:gridCol w:w="461"/>
        <w:gridCol w:w="285"/>
        <w:gridCol w:w="285"/>
        <w:gridCol w:w="286"/>
        <w:gridCol w:w="2632"/>
        <w:gridCol w:w="1903"/>
        <w:gridCol w:w="1911"/>
        <w:gridCol w:w="284"/>
        <w:gridCol w:w="284"/>
        <w:gridCol w:w="407"/>
      </w:tblGrid>
      <w:tr>
        <w:trPr/>
        <w:tc>
          <w:tcPr>
            <w:tcW w:w="98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Non-Financial Metric</w:t>
            </w:r>
          </w:p>
        </w:tc>
        <w:tc>
          <w:tcPr>
            <w:tcW w:w="8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644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 Performance</w:t>
            </w:r>
          </w:p>
        </w:tc>
        <w:tc>
          <w:tcPr>
            <w:tcW w:w="97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 Financial Score</w:t>
            </w:r>
          </w:p>
        </w:tc>
      </w:tr>
      <w:tr>
        <w:trPr/>
        <w:tc>
          <w:tcPr>
            <w:tcW w:w="1928" w:type="dxa"/>
            <w:gridSpan w:val="3"/>
            <w:tcBorders>
              <w:top w:val="single" w:sz="8" w:space="0" w:color="29378D"/>
            </w:tcBorders>
            <w:tcMar>
              <w:left w:w="0" w:type="dxa"/>
              <w:bottom w:w="0" w:type="dxa"/>
              <w:right w:w="0" w:type="dxa"/>
            </w:tcMar>
            <w:vAlign w:val="center"/>
          </w:tcPr>
          <w:p>
            <w:pPr>
              <w:pStyle w:val="TableContents"/>
              <w:bidi w:val="0"/>
              <w:spacing w:before="100" w:after="100"/>
              <w:jc w:val="left"/>
              <w:rPr/>
            </w:pPr>
            <w:r>
              <w:rPr/>
              <w:drawing>
                <wp:inline distT="0" distB="0" distL="0" distR="0">
                  <wp:extent cx="323850" cy="323850"/>
                  <wp:effectExtent l="0" t="0" r="0" b="0"/>
                  <wp:docPr id="28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24" descr=""/>
                          <pic:cNvPicPr>
                            <a:picLocks noChangeAspect="1" noChangeArrowheads="1"/>
                          </pic:cNvPicPr>
                        </pic:nvPicPr>
                        <pic:blipFill>
                          <a:blip r:embed="rId225"/>
                          <a:stretch>
                            <a:fillRect/>
                          </a:stretch>
                        </pic:blipFill>
                        <pic:spPr bwMode="auto">
                          <a:xfrm>
                            <a:off x="0" y="0"/>
                            <a:ext cx="323850" cy="323850"/>
                          </a:xfrm>
                          <a:prstGeom prst="rect">
                            <a:avLst/>
                          </a:prstGeom>
                        </pic:spPr>
                      </pic:pic>
                    </a:graphicData>
                  </a:graphic>
                </wp:inline>
              </w:drawing>
            </w:r>
          </w:p>
        </w:tc>
        <w:tc>
          <w:tcPr>
            <w:tcW w:w="856" w:type="dxa"/>
            <w:gridSpan w:val="3"/>
            <w:vMerge w:val="restart"/>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2.5%</w:t>
            </w:r>
          </w:p>
        </w:tc>
        <w:tc>
          <w:tcPr>
            <w:tcW w:w="6446" w:type="dxa"/>
            <w:gridSpan w:val="3"/>
            <w:vMerge w:val="restart"/>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Exceeded the 2024 target goals against the Qualtrics Survey Global Norm. We achieved highly favorable and above benchmark results.</w:t>
            </w:r>
          </w:p>
        </w:tc>
        <w:tc>
          <w:tcPr>
            <w:tcW w:w="975" w:type="dxa"/>
            <w:gridSpan w:val="3"/>
            <w:vMerge w:val="restart"/>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w:t>
            </w:r>
          </w:p>
        </w:tc>
      </w:tr>
      <w:tr>
        <w:trPr/>
        <w:tc>
          <w:tcPr>
            <w:tcW w:w="19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INCLUSION AND BELONGING</w:t>
            </w:r>
          </w:p>
        </w:tc>
        <w:tc>
          <w:tcPr>
            <w:tcW w:w="856" w:type="dxa"/>
            <w:gridSpan w:val="3"/>
            <w:vMerge w:val="continue"/>
            <w:tcBorders>
              <w:top w:val="single" w:sz="8" w:space="0" w:color="29378D"/>
            </w:tcBorders>
            <w:tcMar>
              <w:top w:w="30" w:type="dxa"/>
              <w:left w:w="0" w:type="dxa"/>
              <w:bottom w:w="0" w:type="dxa"/>
              <w:right w:w="0" w:type="dxa"/>
            </w:tcMar>
            <w:vAlign w:val="center"/>
          </w:tcPr>
          <w:p>
            <w:pPr>
              <w:pStyle w:val="Normal"/>
              <w:bidi w:val="0"/>
              <w:jc w:val="left"/>
              <w:rPr/>
            </w:pPr>
            <w:r>
              <w:rPr/>
            </w:r>
          </w:p>
        </w:tc>
        <w:tc>
          <w:tcPr>
            <w:tcW w:w="6446" w:type="dxa"/>
            <w:gridSpan w:val="3"/>
            <w:vMerge w:val="continue"/>
            <w:tcBorders>
              <w:top w:val="single" w:sz="8" w:space="0" w:color="29378D"/>
            </w:tcBorders>
            <w:tcMar>
              <w:top w:w="30" w:type="dxa"/>
              <w:left w:w="0" w:type="dxa"/>
              <w:bottom w:w="0" w:type="dxa"/>
              <w:right w:w="0" w:type="dxa"/>
            </w:tcMar>
            <w:vAlign w:val="center"/>
          </w:tcPr>
          <w:p>
            <w:pPr>
              <w:pStyle w:val="Normal"/>
              <w:bidi w:val="0"/>
              <w:jc w:val="left"/>
              <w:rPr/>
            </w:pPr>
            <w:r>
              <w:rPr/>
            </w:r>
          </w:p>
        </w:tc>
        <w:tc>
          <w:tcPr>
            <w:tcW w:w="975" w:type="dxa"/>
            <w:gridSpan w:val="3"/>
            <w:vMerge w:val="continue"/>
            <w:tcBorders>
              <w:top w:val="single" w:sz="8" w:space="0" w:color="29378D"/>
            </w:tcBorders>
            <w:tcMar>
              <w:top w:w="30" w:type="dxa"/>
              <w:left w:w="0" w:type="dxa"/>
              <w:bottom w:w="0" w:type="dxa"/>
              <w:right w:w="0" w:type="dxa"/>
            </w:tcMar>
            <w:vAlign w:val="center"/>
          </w:tcPr>
          <w:p>
            <w:pPr>
              <w:pStyle w:val="Normal"/>
              <w:bidi w:val="0"/>
              <w:jc w:val="left"/>
              <w:rPr/>
            </w:pPr>
            <w:r>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23850" cy="323850"/>
                  <wp:effectExtent l="0" t="0" r="0" b="0"/>
                  <wp:docPr id="28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25" descr=""/>
                          <pic:cNvPicPr>
                            <a:picLocks noChangeAspect="1" noChangeArrowheads="1"/>
                          </pic:cNvPicPr>
                        </pic:nvPicPr>
                        <pic:blipFill>
                          <a:blip r:embed="rId226"/>
                          <a:stretch>
                            <a:fillRect/>
                          </a:stretch>
                        </pic:blipFill>
                        <pic:spPr bwMode="auto">
                          <a:xfrm>
                            <a:off x="0" y="0"/>
                            <a:ext cx="323850" cy="323850"/>
                          </a:xfrm>
                          <a:prstGeom prst="rect">
                            <a:avLst/>
                          </a:prstGeom>
                        </pic:spPr>
                      </pic:pic>
                    </a:graphicData>
                  </a:graphic>
                </wp:inline>
              </w:drawing>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2.5%</w:t>
            </w:r>
          </w:p>
        </w:tc>
        <w:tc>
          <w:tcPr>
            <w:tcW w:w="644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Exceeded the annual targets, which were set to offset growth, resulting in year-over-year reductions in greenhouse gas emissions and disposed solid waste, outweighing a slight increase in water withdrawals. Executed consistent sustainability communications across the Company.</w:t>
            </w:r>
          </w:p>
        </w:tc>
        <w:tc>
          <w:tcPr>
            <w:tcW w:w="9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4%</w:t>
            </w:r>
          </w:p>
        </w:tc>
      </w:tr>
      <w:tr>
        <w:trPr/>
        <w:tc>
          <w:tcPr>
            <w:tcW w:w="19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ENVIRONMENTAL</w:t>
              <w:br/>
              <w:t>SUSTAINABILITY</w:t>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6446" w:type="dxa"/>
            <w:gridSpan w:val="3"/>
            <w:vMerge w:val="continue"/>
            <w:tcBorders/>
            <w:tcMar>
              <w:top w:w="0" w:type="dxa"/>
              <w:left w:w="0" w:type="dxa"/>
              <w:bottom w:w="0" w:type="dxa"/>
              <w:right w:w="0" w:type="dxa"/>
            </w:tcMar>
            <w:vAlign w:val="center"/>
          </w:tcPr>
          <w:p>
            <w:pPr>
              <w:pStyle w:val="Normal"/>
              <w:bidi w:val="0"/>
              <w:jc w:val="left"/>
              <w:rPr/>
            </w:pPr>
            <w:r>
              <w:rPr/>
            </w:r>
          </w:p>
        </w:tc>
        <w:tc>
          <w:tcPr>
            <w:tcW w:w="9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323850" cy="323850"/>
                  <wp:effectExtent l="0" t="0" r="0" b="0"/>
                  <wp:docPr id="28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26" descr=""/>
                          <pic:cNvPicPr>
                            <a:picLocks noChangeAspect="1" noChangeArrowheads="1"/>
                          </pic:cNvPicPr>
                        </pic:nvPicPr>
                        <pic:blipFill>
                          <a:blip r:embed="rId227"/>
                          <a:stretch>
                            <a:fillRect/>
                          </a:stretch>
                        </pic:blipFill>
                        <pic:spPr bwMode="auto">
                          <a:xfrm>
                            <a:off x="0" y="0"/>
                            <a:ext cx="323850" cy="323850"/>
                          </a:xfrm>
                          <a:prstGeom prst="rect">
                            <a:avLst/>
                          </a:prstGeom>
                        </pic:spPr>
                      </pic:pic>
                    </a:graphicData>
                  </a:graphic>
                </wp:inline>
              </w:drawing>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2.5%</w:t>
            </w:r>
          </w:p>
        </w:tc>
        <w:tc>
          <w:tcPr>
            <w:tcW w:w="6446" w:type="dxa"/>
            <w:gridSpan w:val="3"/>
            <w:vMerge w:val="restart"/>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Exceeded in aggregate, the quality targets set at the individual program level, including defect rates, process quality, supplier quality or other appropriate criteria for program type and phase.</w:t>
            </w:r>
          </w:p>
        </w:tc>
        <w:tc>
          <w:tcPr>
            <w:tcW w:w="9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w:t>
            </w:r>
          </w:p>
        </w:tc>
      </w:tr>
      <w:tr>
        <w:trPr/>
        <w:tc>
          <w:tcPr>
            <w:tcW w:w="19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QUALITY</w:t>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6446" w:type="dxa"/>
            <w:gridSpan w:val="3"/>
            <w:vMerge w:val="continue"/>
            <w:tcBorders/>
            <w:tcMar>
              <w:top w:w="0" w:type="dxa"/>
              <w:left w:w="0" w:type="dxa"/>
              <w:bottom w:w="0" w:type="dxa"/>
              <w:right w:w="0" w:type="dxa"/>
            </w:tcMar>
            <w:vAlign w:val="center"/>
          </w:tcPr>
          <w:p>
            <w:pPr>
              <w:pStyle w:val="Normal"/>
              <w:bidi w:val="0"/>
              <w:jc w:val="left"/>
              <w:rPr/>
            </w:pPr>
            <w:r>
              <w:rPr/>
            </w:r>
          </w:p>
        </w:tc>
        <w:tc>
          <w:tcPr>
            <w:tcW w:w="9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95275" cy="285750"/>
                  <wp:effectExtent l="0" t="0" r="0" b="0"/>
                  <wp:docPr id="29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27" descr=""/>
                          <pic:cNvPicPr>
                            <a:picLocks noChangeAspect="1" noChangeArrowheads="1"/>
                          </pic:cNvPicPr>
                        </pic:nvPicPr>
                        <pic:blipFill>
                          <a:blip r:embed="rId228"/>
                          <a:stretch>
                            <a:fillRect/>
                          </a:stretch>
                        </pic:blipFill>
                        <pic:spPr bwMode="auto">
                          <a:xfrm>
                            <a:off x="0" y="0"/>
                            <a:ext cx="295275" cy="285750"/>
                          </a:xfrm>
                          <a:prstGeom prst="rect">
                            <a:avLst/>
                          </a:prstGeom>
                        </pic:spPr>
                      </pic:pic>
                    </a:graphicData>
                  </a:graphic>
                </wp:inline>
              </w:drawing>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2.5%</w:t>
            </w:r>
          </w:p>
        </w:tc>
        <w:tc>
          <w:tcPr>
            <w:tcW w:w="644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Achieved the customer satisfaction targets based on customer feedback, including customer-generated performance scores, award fees, and verbal and written feedback.</w:t>
            </w:r>
          </w:p>
        </w:tc>
        <w:tc>
          <w:tcPr>
            <w:tcW w:w="9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w:t>
            </w:r>
          </w:p>
        </w:tc>
      </w:tr>
      <w:tr>
        <w:trPr/>
        <w:tc>
          <w:tcPr>
            <w:tcW w:w="192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CUSTOMER</w:t>
              <w:br/>
              <w:t>SATISFACTION</w:t>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6446" w:type="dxa"/>
            <w:gridSpan w:val="3"/>
            <w:vMerge w:val="continue"/>
            <w:tcBorders/>
            <w:tcMar>
              <w:top w:w="0" w:type="dxa"/>
              <w:left w:w="0" w:type="dxa"/>
              <w:bottom w:w="0" w:type="dxa"/>
              <w:right w:w="0" w:type="dxa"/>
            </w:tcMar>
            <w:vAlign w:val="center"/>
          </w:tcPr>
          <w:p>
            <w:pPr>
              <w:pStyle w:val="Normal"/>
              <w:bidi w:val="0"/>
              <w:jc w:val="left"/>
              <w:rPr/>
            </w:pPr>
            <w:r>
              <w:rPr/>
            </w:r>
          </w:p>
        </w:tc>
        <w:tc>
          <w:tcPr>
            <w:tcW w:w="9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4" w:type="dxa"/>
            <w:gridSpan w:val="6"/>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249C"/>
                <w:sz w:val="18"/>
              </w:rPr>
            </w:pPr>
            <w:r>
              <w:rPr>
                <w:rFonts w:ascii="Futura Std Book;sans-serif" w:hAnsi="Futura Std Book;sans-serif"/>
                <w:b/>
                <w:color w:val="00249C"/>
                <w:sz w:val="18"/>
              </w:rPr>
              <w:t>Non-Financial Metric Results</w:t>
            </w:r>
          </w:p>
        </w:tc>
        <w:tc>
          <w:tcPr>
            <w:tcW w:w="6446"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249C"/>
                <w:sz w:val="18"/>
              </w:rPr>
            </w:pPr>
            <w:r>
              <w:rPr>
                <w:rFonts w:ascii="Futura Std Book;sans-serif" w:hAnsi="Futura Std Book;sans-serif"/>
                <w:b/>
                <w:color w:val="00249C"/>
                <w:sz w:val="18"/>
              </w:rPr>
              <w:t>13%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554990"/>
                <wp:effectExtent l="0" t="0" r="0" b="0"/>
                <wp:wrapNone/>
                <wp:docPr id="291" name="Frame6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6D6E71"/>
          <w:sz w:val="16"/>
        </w:rPr>
      </w:pPr>
      <w:r>
        <w:rPr>
          <w:rFonts w:ascii="Futura Std Book;sans-serif" w:hAnsi="Futura Std Book;sans-serif"/>
          <w:b/>
          <w:color w:val="6D6E71"/>
          <w:sz w:val="16"/>
        </w:rPr>
        <w:t>Compensation and Human Capital Committee Discretion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approves bonus amounts for all NEOs except the CEO, whose annual bonus is recommended by the Compensation and Human Capital Committee to the independent directors of the Board for approval. The Compensation and Human Capital Committee has discretion to make adjustments to the annual bonus payouts for NEOs, other than the CEO, if it determines such adjustment is warranted due to unforeseen or unusual events. In 2024, the Compensation and Human Capital Committee made no additional adjustments to the recommended CPF or individual AIP participants’ awards.</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2024 NEO AIP PAYOUTS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consideration of both the financial and non-financial performance, the 2024 Company Performance Factor (CPF) was determined to be 148%.</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February 2025, the Compensation and Human Capital Committee recommended, and the independent directors of the Board approved, a 2024 annual incentive award of $5,194,800 for our CEO, Ms. Warden. Based on the CPF and individual performance, Ms. Warden recommended, and the Compensation and Human Capital Committee approved, the other NEOs’ annual incentive awards.</w:t>
      </w:r>
    </w:p>
    <w:tbl>
      <w:tblPr>
        <w:tblW w:w="8717" w:type="dxa"/>
        <w:jc w:val="left"/>
        <w:tblInd w:w="0" w:type="dxa"/>
        <w:tblLayout w:type="fixed"/>
        <w:tblCellMar>
          <w:top w:w="28" w:type="dxa"/>
          <w:left w:w="28" w:type="dxa"/>
          <w:bottom w:w="28" w:type="dxa"/>
          <w:right w:w="28" w:type="dxa"/>
        </w:tblCellMar>
      </w:tblPr>
      <w:tblGrid>
        <w:gridCol w:w="796"/>
        <w:gridCol w:w="700"/>
        <w:gridCol w:w="708"/>
        <w:gridCol w:w="392"/>
        <w:gridCol w:w="392"/>
        <w:gridCol w:w="985"/>
        <w:gridCol w:w="539"/>
        <w:gridCol w:w="539"/>
        <w:gridCol w:w="541"/>
        <w:gridCol w:w="360"/>
        <w:gridCol w:w="360"/>
        <w:gridCol w:w="899"/>
        <w:gridCol w:w="226"/>
        <w:gridCol w:w="1126"/>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76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AIP Target % of Salary</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AIP Payout Range %</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Performance Payout</w:t>
            </w:r>
          </w:p>
        </w:tc>
        <w:tc>
          <w:tcPr>
            <w:tcW w:w="1506"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Futura Std Book;sans-serif" w:hAnsi="Futura Std Book;sans-serif"/>
                <w:b/>
                <w:color w:val="000000"/>
                <w:sz w:val="14"/>
              </w:rPr>
              <w:t>Actual Payout</w:t>
            </w:r>
            <w:r>
              <w:rPr>
                <w:rFonts w:ascii="Futura Std Book;sans-serif" w:hAnsi="Futura Std Book;sans-serif"/>
                <w:b/>
                <w:color w:val="000000"/>
                <w:sz w:val="9"/>
              </w:rPr>
              <w:t>(1)</w:t>
            </w:r>
          </w:p>
        </w:tc>
      </w:tr>
      <w:tr>
        <w:trPr/>
        <w:tc>
          <w:tcPr>
            <w:tcW w:w="220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Kathy J. Warden</w:t>
            </w:r>
          </w:p>
        </w:tc>
        <w:tc>
          <w:tcPr>
            <w:tcW w:w="78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195 </w:t>
            </w:r>
          </w:p>
        </w:tc>
        <w:tc>
          <w:tcPr>
            <w:tcW w:w="985"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619"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148 </w:t>
            </w:r>
          </w:p>
        </w:tc>
        <w:tc>
          <w:tcPr>
            <w:tcW w:w="899"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5,194,800 </w:t>
            </w:r>
          </w:p>
        </w:tc>
        <w:tc>
          <w:tcPr>
            <w:tcW w:w="15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8"/>
              </w:rPr>
              <w:t xml:space="preserve">Kenneth B. Crews </w:t>
            </w:r>
            <w:r>
              <w:rPr>
                <w:rFonts w:ascii="Futura Std Book;sans-serif" w:hAnsi="Futura Std Book;sans-serif"/>
                <w:b/>
                <w:color w:val="29378D"/>
                <w:sz w:val="12"/>
              </w:rPr>
              <w:t>(2)</w:t>
            </w:r>
          </w:p>
        </w:tc>
        <w:tc>
          <w:tcPr>
            <w:tcW w:w="78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60 </w:t>
            </w:r>
          </w:p>
        </w:tc>
        <w:tc>
          <w:tcPr>
            <w:tcW w:w="985"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6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149 </w:t>
            </w:r>
          </w:p>
        </w:tc>
        <w:tc>
          <w:tcPr>
            <w:tcW w:w="899"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532,777 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4" w:space="0" w:color="BCBEC0"/>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Robert J. Fleming</w:t>
            </w:r>
          </w:p>
        </w:tc>
        <w:tc>
          <w:tcPr>
            <w:tcW w:w="78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985"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61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148 </w:t>
            </w:r>
          </w:p>
        </w:tc>
        <w:tc>
          <w:tcPr>
            <w:tcW w:w="899"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1,147,000 </w:t>
            </w:r>
          </w:p>
        </w:tc>
        <w:tc>
          <w:tcPr>
            <w:tcW w:w="15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78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985"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61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148 </w:t>
            </w:r>
          </w:p>
        </w:tc>
        <w:tc>
          <w:tcPr>
            <w:tcW w:w="899"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1,206,200 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Roshan S. Roeder</w:t>
            </w:r>
          </w:p>
        </w:tc>
        <w:tc>
          <w:tcPr>
            <w:tcW w:w="78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100 </w:t>
            </w:r>
          </w:p>
        </w:tc>
        <w:tc>
          <w:tcPr>
            <w:tcW w:w="985"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61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148 </w:t>
            </w:r>
          </w:p>
        </w:tc>
        <w:tc>
          <w:tcPr>
            <w:tcW w:w="899"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1,147,000 </w:t>
            </w:r>
          </w:p>
        </w:tc>
        <w:tc>
          <w:tcPr>
            <w:tcW w:w="15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F. Keffer</w:t>
            </w:r>
          </w:p>
        </w:tc>
        <w:tc>
          <w:tcPr>
            <w:tcW w:w="784"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105 </w:t>
            </w:r>
          </w:p>
        </w:tc>
        <w:tc>
          <w:tcPr>
            <w:tcW w:w="985"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619"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0% - 200%</w:t>
            </w:r>
          </w:p>
        </w:tc>
        <w:tc>
          <w:tcPr>
            <w:tcW w:w="720"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148 </w:t>
            </w:r>
          </w:p>
        </w:tc>
        <w:tc>
          <w:tcPr>
            <w:tcW w:w="899"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22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12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1,094,016 </w:t>
            </w:r>
          </w:p>
        </w:tc>
        <w:tc>
          <w:tcPr>
            <w:tcW w:w="154"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(1)Actual bonus payouts for 2024 performance are disclosed in this table and in the Summary Compensation Table.</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(2)Mr. Crews was elected Corporate Vice President and Chief Financial Officer effective October 1, 2024. His target and actual payout under the AIP are prorated to reflect time served as an elected and appointed officer at the Corporate Office and as an appointed officer at the Space Systems Sector. The AIP metrics are enterprise-wide and measured at both the Company and Sector level.</w:t>
      </w:r>
    </w:p>
    <w:p>
      <w:pPr>
        <w:pStyle w:val="TextBody"/>
        <w:bidi w:val="0"/>
        <w:spacing w:lineRule="auto" w:line="288" w:before="260" w:after="120"/>
        <w:jc w:val="left"/>
        <w:rPr>
          <w:rFonts w:ascii="Futura Std Book;sans-serif" w:hAnsi="Futura Std Book;sans-serif"/>
          <w:b w:val="false"/>
          <w:color w:val="000000"/>
          <w:sz w:val="26"/>
        </w:rPr>
      </w:pPr>
      <w:bookmarkStart w:id="9" w:name="i35b40bbe162440709294fc29d2ec0321_11528"/>
      <w:bookmarkEnd w:id="9"/>
      <w:r>
        <w:rPr>
          <w:rFonts w:ascii="Futura Std Book;sans-serif" w:hAnsi="Futura Std Book;sans-serif"/>
          <w:b w:val="false"/>
          <w:color w:val="000000"/>
          <w:sz w:val="26"/>
        </w:rPr>
        <w:t>Long-Term Incentive Compensation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2024, the Compensation and Human Capital Committee granted awards in the form of Restricted Performance Stock Rights (RPSRs) and Restricted Stock Rights (RSRs). The awards were comprised of 70% RPSRs and 30% RSRs. The Compensation and Human Capital Committee determined this long-term incentive mix would appropriately motivate and reward the NEOs to achieve our long-term objectives and further reinforce the link between their interests and the interests of our shareholders.</w:t>
      </w:r>
    </w:p>
    <w:tbl>
      <w:tblPr>
        <w:tblW w:w="10205" w:type="dxa"/>
        <w:jc w:val="left"/>
        <w:tblInd w:w="0" w:type="dxa"/>
        <w:tblLayout w:type="fixed"/>
        <w:tblCellMar>
          <w:top w:w="28" w:type="dxa"/>
          <w:left w:w="28" w:type="dxa"/>
          <w:bottom w:w="28" w:type="dxa"/>
          <w:right w:w="28" w:type="dxa"/>
        </w:tblCellMar>
      </w:tblPr>
      <w:tblGrid>
        <w:gridCol w:w="313"/>
        <w:gridCol w:w="276"/>
        <w:gridCol w:w="277"/>
        <w:gridCol w:w="2732"/>
        <w:gridCol w:w="2732"/>
        <w:gridCol w:w="3875"/>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85775" cy="514350"/>
                  <wp:effectExtent l="0" t="0" r="0" b="0"/>
                  <wp:docPr id="29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28" descr=""/>
                          <pic:cNvPicPr>
                            <a:picLocks noChangeAspect="1" noChangeArrowheads="1"/>
                          </pic:cNvPicPr>
                        </pic:nvPicPr>
                        <pic:blipFill>
                          <a:blip r:embed="rId229"/>
                          <a:stretch>
                            <a:fillRect/>
                          </a:stretch>
                        </pic:blipFill>
                        <pic:spPr bwMode="auto">
                          <a:xfrm>
                            <a:off x="0" y="0"/>
                            <a:ext cx="485775" cy="514350"/>
                          </a:xfrm>
                          <a:prstGeom prst="rect">
                            <a:avLst/>
                          </a:prstGeom>
                        </pic:spPr>
                      </pic:pic>
                    </a:graphicData>
                  </a:graphic>
                </wp:inline>
              </w:drawing>
            </w:r>
          </w:p>
        </w:tc>
        <w:tc>
          <w:tcPr>
            <w:tcW w:w="9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Restricted Performance Stock Rights (RPSRs)</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RPSRs ensure sustainability and achievement of business goals over time. The RPSRs will vest and be distributed following the completion of the three-year performance period (commencing January 1, 2024, and ending December 31, 2026) if goals are met.</w:t>
            </w:r>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85775" cy="476250"/>
                  <wp:effectExtent l="0" t="0" r="0" b="0"/>
                  <wp:docPr id="29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29" descr=""/>
                          <pic:cNvPicPr>
                            <a:picLocks noChangeAspect="1" noChangeArrowheads="1"/>
                          </pic:cNvPicPr>
                        </pic:nvPicPr>
                        <pic:blipFill>
                          <a:blip r:embed="rId230"/>
                          <a:stretch>
                            <a:fillRect/>
                          </a:stretch>
                        </pic:blipFill>
                        <pic:spPr bwMode="auto">
                          <a:xfrm>
                            <a:off x="0" y="0"/>
                            <a:ext cx="485775" cy="476250"/>
                          </a:xfrm>
                          <a:prstGeom prst="rect">
                            <a:avLst/>
                          </a:prstGeom>
                        </pic:spPr>
                      </pic:pic>
                    </a:graphicData>
                  </a:graphic>
                </wp:inline>
              </w:drawing>
            </w:r>
          </w:p>
        </w:tc>
        <w:tc>
          <w:tcPr>
            <w:tcW w:w="93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Restricted Stock Rights (RSRs)</w:t>
            </w:r>
          </w:p>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RSRs provide retentive value and generally vest 100% after three years.</w:t>
            </w:r>
          </w:p>
        </w:tc>
      </w:tr>
    </w:tbl>
    <w:p>
      <w:pPr>
        <w:pStyle w:val="TextBody"/>
        <w:bidi w:val="0"/>
        <w:spacing w:lineRule="auto" w:line="288" w:before="120" w:after="120"/>
        <w:jc w:val="left"/>
        <w:rPr/>
      </w:pPr>
      <w:r>
        <w:rPr>
          <w:rFonts w:ascii="Futura Std Book;sans-serif" w:hAnsi="Futura Std Book;sans-serif"/>
          <w:b w:val="false"/>
          <w:color w:val="000000"/>
          <w:sz w:val="18"/>
        </w:rPr>
        <w:t xml:space="preserve">Earned RPSRs and RSRs may be paid in shares, cash or a combination of shares and cash at the Compensation and Human Capital Committee’s discretion. An executive generally must remain employed through the vesting period to earn an award. Vesting for termination due to death, disability, retirement or change in control is discussed in the “Termination Payments and Benefits” section on page </w:t>
      </w:r>
      <w:hyperlink w:anchor="idc6f358a7ea345daa8bbc8a5ea69f8d5_160">
        <w:r>
          <w:rPr>
            <w:rStyle w:val="InternetLink"/>
            <w:rFonts w:ascii="Futura Std Book;sans-serif" w:hAnsi="Futura Std Book;sans-serif"/>
            <w:b w:val="false"/>
            <w:strike w:val="false"/>
            <w:dstrike w:val="false"/>
            <w:color w:val="000000"/>
            <w:sz w:val="18"/>
            <w:u w:val="none"/>
            <w:effect w:val="none"/>
          </w:rPr>
          <w:t>79</w:t>
        </w:r>
      </w:hyperlink>
      <w:r>
        <w:rPr>
          <w:rFonts w:ascii="Futura Std Book;sans-serif" w:hAnsi="Futura Std Book;sans-serif"/>
          <w:b w:val="false"/>
          <w:color w:val="000000"/>
          <w:sz w:val="18"/>
        </w:rPr>
        <w:t>. Dividend equivalents accrue on both RPSR and RSR awards earned and will be paid upon distribution of the RPSRs and RSRs. Following the distribution, 50% of all net after-tax shares received are subject to a three-year mandatory holding requirement.</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734695"/>
                <wp:effectExtent l="0" t="0" r="0" b="0"/>
                <wp:wrapNone/>
                <wp:docPr id="294" name="Frame6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RESTRICTED PERFORMANCE STOCK RIGHTS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evaluates RPSR performance requirements each year to ensure they are aligned with our business objectives. For the 2024 RPSR grant, the Compensation and Human Capital Committee determined that for the NEOs, performance metrics would be Adjusted Cumulative FCF*, Return on Invested Capital* (ROIC) and Relative Total Shareholder Return, each equally weighted at 1/3. The current metrics and weightings reflect the Company’s continued emphasis on operational performance directly impacted by management decisions and behaviors, while maintaining strong alignment with shareholder interests. Based on the performance against these metrics, shares earned for 2024 RPSR grants can vary from 0% to 200% of the rights awarded.</w:t>
      </w:r>
    </w:p>
    <w:p>
      <w:pPr>
        <w:pStyle w:val="TextBody"/>
        <w:bidi w:val="0"/>
        <w:spacing w:lineRule="auto" w:line="288" w:before="120" w:after="120"/>
        <w:jc w:val="left"/>
        <w:rPr>
          <w:rFonts w:ascii="Futura Std Book;sans-serif" w:hAnsi="Futura Std Book;sans-serif"/>
          <w:b/>
          <w:color w:val="29378D"/>
          <w:sz w:val="16"/>
        </w:rPr>
      </w:pPr>
      <w:r>
        <w:rPr>
          <w:rFonts w:ascii="Futura Std Book;sans-serif" w:hAnsi="Futura Std Book;sans-serif"/>
          <w:b/>
          <w:color w:val="29378D"/>
          <w:sz w:val="16"/>
        </w:rPr>
        <w:t>2024 RPSR Performance Measures</w:t>
      </w:r>
    </w:p>
    <w:tbl>
      <w:tblPr>
        <w:tblW w:w="10205" w:type="dxa"/>
        <w:jc w:val="left"/>
        <w:tblInd w:w="0" w:type="dxa"/>
        <w:tblLayout w:type="fixed"/>
        <w:tblCellMar>
          <w:top w:w="28" w:type="dxa"/>
          <w:left w:w="28" w:type="dxa"/>
          <w:bottom w:w="28" w:type="dxa"/>
          <w:right w:w="28" w:type="dxa"/>
        </w:tblCellMar>
      </w:tblPr>
      <w:tblGrid>
        <w:gridCol w:w="756"/>
        <w:gridCol w:w="503"/>
        <w:gridCol w:w="509"/>
        <w:gridCol w:w="285"/>
        <w:gridCol w:w="285"/>
        <w:gridCol w:w="286"/>
        <w:gridCol w:w="628"/>
        <w:gridCol w:w="628"/>
        <w:gridCol w:w="634"/>
        <w:gridCol w:w="1900"/>
        <w:gridCol w:w="1560"/>
        <w:gridCol w:w="2231"/>
      </w:tblGrid>
      <w:tr>
        <w:trPr/>
        <w:tc>
          <w:tcPr>
            <w:tcW w:w="7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RPSR Metrics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Rationale</w:t>
            </w:r>
          </w:p>
        </w:tc>
        <w:tc>
          <w:tcPr>
            <w:tcW w:w="5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Calculation</w:t>
            </w:r>
          </w:p>
        </w:tc>
      </w:tr>
      <w:tr>
        <w:trPr/>
        <w:tc>
          <w:tcPr>
            <w:tcW w:w="1768"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1"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249C"/>
                <w:sz w:val="18"/>
              </w:rPr>
            </w:pPr>
            <w:r>
              <w:rPr>
                <w:rFonts w:ascii="Futura Std Book;sans-serif" w:hAnsi="Futura Std Book;sans-serif"/>
                <w:b/>
                <w:color w:val="00249C"/>
                <w:sz w:val="18"/>
              </w:rPr>
              <w:t>ADJUSTED CUMULATIVE FCF*</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Focuses on cash generation to create shareholder value after investing in the business through capital expenditures.</w:t>
            </w:r>
          </w:p>
        </w:tc>
        <w:tc>
          <w:tcPr>
            <w:tcW w:w="5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Adjusted Cumulative FCF* focuses on cash generation after capital investments and is calculated as the aggregate Adjusted Free Cash Flow Before After-Tax Total Pension Funding*, adjusted to exclude total CAS pension recovery and other approved adjustments over a three year period. </w:t>
            </w:r>
          </w:p>
        </w:tc>
      </w:tr>
      <w:tr>
        <w:trPr/>
        <w:tc>
          <w:tcPr>
            <w:tcW w:w="1768"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249C"/>
                <w:sz w:val="18"/>
              </w:rPr>
            </w:pPr>
            <w:r>
              <w:rPr>
                <w:rFonts w:ascii="Futura Std Book;sans-serif" w:hAnsi="Futura Std Book;sans-serif"/>
                <w:b/>
                <w:color w:val="00249C"/>
                <w:sz w:val="18"/>
              </w:rPr>
              <w:t>RETURN ON INVESTED CAPITAL*</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Focuses on effective and profitable deployment of Invested Capital* resources</w:t>
            </w:r>
          </w:p>
        </w:tc>
        <w:tc>
          <w:tcPr>
            <w:tcW w:w="5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Return on Invested Capital* is calculated as the three-year average of Pension-Adjusted Net Operating Profit After-Tax* (Pension-Adjusted NOPAT*) divided by the three-year average of Invested Capital*.</w:t>
            </w:r>
          </w:p>
        </w:tc>
      </w:tr>
      <w:tr>
        <w:trPr/>
        <w:tc>
          <w:tcPr>
            <w:tcW w:w="1768"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249C"/>
                <w:sz w:val="18"/>
              </w:rPr>
            </w:pPr>
            <w:r>
              <w:rPr>
                <w:rFonts w:ascii="Futura Std Book;sans-serif" w:hAnsi="Futura Std Book;sans-serif"/>
                <w:b/>
                <w:color w:val="00249C"/>
                <w:sz w:val="18"/>
              </w:rPr>
              <w:t>RELATIVE TOTAL SHAREHOLDER RETURN</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Aligns the interests of executives with shareholders.</w:t>
            </w:r>
          </w:p>
        </w:tc>
        <w:tc>
          <w:tcPr>
            <w:tcW w:w="5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Relative TSR (rTSR) is measured by comparing cumulative stock price appreciation with reinvestment of dividends over the three-year period to the TSR Peer Group (50% of rTSR portion of award) and to the S&amp;P Industrials (50% of rTSR portion of award), which comprises companies within the S&amp;P 500 classified as Industrials, reflecting the range of similar investment alternatives available to our shareholders. To smooth volatility in the market, the TSR calculation is based on the average of the three-year returns for each of the 30 calendar days, starting from the grant date, to the last 30 days of the performance period. The maximum rTSR payout is capped at 100% of target shares if the absolute TSR is negative, even if the rTSR would have resulted in a higher score.</w:t>
            </w:r>
          </w:p>
        </w:tc>
      </w:tr>
    </w:tbl>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bidi w:val="0"/>
        <w:spacing w:before="8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554990"/>
                <wp:effectExtent l="0" t="0" r="0" b="0"/>
                <wp:wrapNone/>
                <wp:docPr id="295" name="Frame6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68" w:before="80" w:after="80"/>
        <w:jc w:val="left"/>
        <w:rPr>
          <w:rFonts w:ascii="Futura Std Book;sans-serif" w:hAnsi="Futura Std Book;sans-serif"/>
          <w:b/>
          <w:color w:val="6D6E71"/>
          <w:sz w:val="16"/>
        </w:rPr>
      </w:pPr>
      <w:r>
        <w:rPr>
          <w:rFonts w:ascii="Futura Std Book;sans-serif" w:hAnsi="Futura Std Book;sans-serif"/>
          <w:b/>
          <w:color w:val="6D6E71"/>
          <w:sz w:val="16"/>
        </w:rPr>
        <w:t>Recently Completed RPSR Performance Period (2022-2024)</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February 2022, when granting RPSRs to NEOs who were elected officers at the time of the grant, the Compensation and Human Capital Committee selected Adjusted Cumulative FCF*, Return on Invested Capital* and rTSR, equally weighted at 1/3, as the performance metrics for the awards and established the performance criteria for the awards as set forth in the table below. Based on the performance against these metrics, shares earned for 2022 RPSR grants can vary from 0% to 200% of the rights awarded.</w:t>
      </w:r>
    </w:p>
    <w:tbl>
      <w:tblPr>
        <w:tblW w:w="10205" w:type="dxa"/>
        <w:jc w:val="left"/>
        <w:tblInd w:w="0" w:type="dxa"/>
        <w:tblLayout w:type="fixed"/>
        <w:tblCellMar>
          <w:top w:w="28" w:type="dxa"/>
          <w:left w:w="28" w:type="dxa"/>
          <w:bottom w:w="28" w:type="dxa"/>
          <w:right w:w="28" w:type="dxa"/>
        </w:tblCellMar>
      </w:tblPr>
      <w:tblGrid>
        <w:gridCol w:w="1097"/>
        <w:gridCol w:w="962"/>
        <w:gridCol w:w="977"/>
        <w:gridCol w:w="285"/>
        <w:gridCol w:w="285"/>
        <w:gridCol w:w="286"/>
        <w:gridCol w:w="593"/>
        <w:gridCol w:w="593"/>
        <w:gridCol w:w="595"/>
        <w:gridCol w:w="405"/>
        <w:gridCol w:w="235"/>
        <w:gridCol w:w="235"/>
        <w:gridCol w:w="431"/>
        <w:gridCol w:w="306"/>
        <w:gridCol w:w="235"/>
        <w:gridCol w:w="593"/>
        <w:gridCol w:w="593"/>
        <w:gridCol w:w="597"/>
        <w:gridCol w:w="262"/>
        <w:gridCol w:w="262"/>
        <w:gridCol w:w="378"/>
      </w:tblGrid>
      <w:tr>
        <w:trPr/>
        <w:tc>
          <w:tcPr>
            <w:tcW w:w="109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Performance Required to Score</w:t>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Threshold</w:t>
            </w:r>
          </w:p>
        </w:tc>
        <w:tc>
          <w:tcPr>
            <w:tcW w:w="1847"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Target</w:t>
            </w:r>
          </w:p>
        </w:tc>
        <w:tc>
          <w:tcPr>
            <w:tcW w:w="178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Maximum</w:t>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RPSR Metrics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Weighting</w:t>
            </w:r>
          </w:p>
        </w:tc>
        <w:tc>
          <w:tcPr>
            <w:tcW w:w="1781" w:type="dxa"/>
            <w:gridSpan w:val="3"/>
            <w:tcBorders>
              <w:top w:val="single" w:sz="8" w:space="0" w:color="29378D"/>
            </w:tcBorders>
            <w:tcMar>
              <w:top w:w="30" w:type="dxa"/>
              <w:left w:w="0" w:type="dxa"/>
              <w:bottom w:w="0" w:type="dxa"/>
              <w:right w:w="0" w:type="dxa"/>
            </w:tcMar>
            <w:vAlign w:val="center"/>
          </w:tcPr>
          <w:p>
            <w:pPr>
              <w:pStyle w:val="TableContents"/>
              <w:bidi w:val="0"/>
              <w:spacing w:before="20" w:after="20"/>
              <w:jc w:val="center"/>
              <w:rPr/>
            </w:pPr>
            <w:r>
              <w:rPr/>
            </w:r>
          </w:p>
          <w:p>
            <w:pPr>
              <w:pStyle w:val="TableContents"/>
              <w:bidi w:val="0"/>
              <w:spacing w:lineRule="auto" w:line="276" w:before="20" w:after="20"/>
              <w:jc w:val="center"/>
              <w:rPr>
                <w:rFonts w:ascii="Futura Std Book;sans-serif" w:hAnsi="Futura Std Book;sans-serif"/>
                <w:b/>
                <w:color w:val="000000"/>
                <w:sz w:val="14"/>
              </w:rPr>
            </w:pPr>
            <w:r>
              <w:rPr>
                <w:rFonts w:ascii="Futura Std Book;sans-serif" w:hAnsi="Futura Std Book;sans-serif"/>
                <w:b/>
                <w:color w:val="000000"/>
                <w:sz w:val="14"/>
              </w:rPr>
              <w:t>0%</w:t>
            </w:r>
          </w:p>
        </w:tc>
        <w:tc>
          <w:tcPr>
            <w:tcW w:w="875" w:type="dxa"/>
            <w:gridSpan w:val="3"/>
            <w:tcBorders>
              <w:top w:val="single" w:sz="8" w:space="0" w:color="29378D"/>
              <w:bottom w:val="single" w:sz="8" w:space="0" w:color="29378D"/>
            </w:tcBorders>
            <w:tcMar>
              <w:top w:w="30" w:type="dxa"/>
              <w:left w:w="0" w:type="dxa"/>
              <w:bottom w:w="3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Low</w:t>
            </w:r>
          </w:p>
          <w:p>
            <w:pPr>
              <w:pStyle w:val="TableContents"/>
              <w:bidi w:val="0"/>
              <w:spacing w:lineRule="auto" w:line="276" w:before="20" w:after="20"/>
              <w:jc w:val="center"/>
              <w:rPr>
                <w:rFonts w:ascii="Futura Std Book;sans-serif" w:hAnsi="Futura Std Book;sans-serif"/>
                <w:b/>
                <w:color w:val="000000"/>
                <w:sz w:val="14"/>
              </w:rPr>
            </w:pPr>
            <w:r>
              <w:rPr>
                <w:rFonts w:ascii="Futura Std Book;sans-serif" w:hAnsi="Futura Std Book;sans-serif"/>
                <w:b/>
                <w:color w:val="000000"/>
                <w:sz w:val="14"/>
              </w:rPr>
              <w:t>100%</w:t>
            </w:r>
          </w:p>
        </w:tc>
        <w:tc>
          <w:tcPr>
            <w:tcW w:w="972" w:type="dxa"/>
            <w:gridSpan w:val="3"/>
            <w:tcBorders>
              <w:top w:val="single" w:sz="8" w:space="0" w:color="29378D"/>
              <w:bottom w:val="single" w:sz="8" w:space="0" w:color="29378D"/>
            </w:tcBorders>
            <w:tcMar>
              <w:top w:w="30" w:type="dxa"/>
              <w:left w:w="0" w:type="dxa"/>
              <w:bottom w:w="30" w:type="dxa"/>
              <w:right w:w="0" w:type="dxa"/>
            </w:tcMar>
            <w:vAlign w:val="center"/>
          </w:tcPr>
          <w:p>
            <w:pPr>
              <w:pStyle w:val="TableContents"/>
              <w:bidi w:val="0"/>
              <w:spacing w:lineRule="auto" w:line="288" w:before="0" w:after="283"/>
              <w:jc w:val="center"/>
              <w:rPr>
                <w:rFonts w:ascii="Futura Std Book;sans-serif" w:hAnsi="Futura Std Book;sans-serif"/>
                <w:b/>
                <w:color w:val="000000"/>
                <w:sz w:val="14"/>
              </w:rPr>
            </w:pPr>
            <w:r>
              <w:rPr>
                <w:rFonts w:ascii="Futura Std Book;sans-serif" w:hAnsi="Futura Std Book;sans-serif"/>
                <w:b/>
                <w:color w:val="000000"/>
                <w:sz w:val="14"/>
              </w:rPr>
              <w:t>High</w:t>
              <w:br/>
              <w:t>100%</w:t>
            </w:r>
          </w:p>
        </w:tc>
        <w:tc>
          <w:tcPr>
            <w:tcW w:w="1783" w:type="dxa"/>
            <w:gridSpan w:val="3"/>
            <w:tcBorders>
              <w:top w:val="single" w:sz="8" w:space="0" w:color="29378D"/>
              <w:bottom w:val="single" w:sz="8" w:space="0" w:color="29378D"/>
            </w:tcBorders>
            <w:tcMar>
              <w:top w:w="30" w:type="dxa"/>
              <w:left w:w="0" w:type="dxa"/>
              <w:bottom w:w="30" w:type="dxa"/>
              <w:right w:w="0" w:type="dxa"/>
            </w:tcMar>
            <w:vAlign w:val="center"/>
          </w:tcPr>
          <w:p>
            <w:pPr>
              <w:pStyle w:val="TableContents"/>
              <w:bidi w:val="0"/>
              <w:spacing w:before="20" w:after="20"/>
              <w:jc w:val="center"/>
              <w:rPr/>
            </w:pPr>
            <w:r>
              <w:rPr/>
            </w:r>
          </w:p>
          <w:p>
            <w:pPr>
              <w:pStyle w:val="TableContents"/>
              <w:bidi w:val="0"/>
              <w:spacing w:lineRule="auto" w:line="276" w:before="20" w:after="20"/>
              <w:jc w:val="center"/>
              <w:rPr>
                <w:rFonts w:ascii="Futura Std Book;sans-serif" w:hAnsi="Futura Std Book;sans-serif"/>
                <w:b/>
                <w:color w:val="000000"/>
                <w:sz w:val="14"/>
              </w:rPr>
            </w:pPr>
            <w:r>
              <w:rPr>
                <w:rFonts w:ascii="Futura Std Book;sans-serif" w:hAnsi="Futura Std Book;sans-serif"/>
                <w:b/>
                <w:color w:val="000000"/>
                <w:sz w:val="14"/>
              </w:rPr>
              <w:t>200%</w:t>
            </w:r>
          </w:p>
        </w:tc>
        <w:tc>
          <w:tcPr>
            <w:tcW w:w="90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 Score</w:t>
            </w:r>
          </w:p>
        </w:tc>
      </w:tr>
      <w:tr>
        <w:trPr/>
        <w:tc>
          <w:tcPr>
            <w:tcW w:w="303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gridSpan w:val="12"/>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Adjusted Cumulative FCF*</w:t>
            </w:r>
          </w:p>
        </w:tc>
        <w:tc>
          <w:tcPr>
            <w:tcW w:w="856" w:type="dxa"/>
            <w:gridSpan w:val="3"/>
            <w:tcBorders>
              <w:left w:val="single" w:sz="8" w:space="0" w:color="CCD4DB"/>
            </w:tcBorders>
            <w:tcMar>
              <w:top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5411" w:type="dxa"/>
            <w:gridSpan w:val="12"/>
            <w:tcBorders>
              <w:bottom w:val="single" w:sz="8" w:space="0" w:color="DBDBDB"/>
            </w:tcBorders>
            <w:tcMar>
              <w:top w:w="0" w:type="dxa"/>
              <w:left w:w="0" w:type="dxa"/>
              <w:right w:w="0" w:type="dxa"/>
            </w:tcMar>
            <w:vAlign w:val="center"/>
          </w:tcPr>
          <w:p>
            <w:pPr>
              <w:pStyle w:val="TableContents"/>
              <w:bidi w:val="0"/>
              <w:spacing w:before="0" w:after="0"/>
              <w:jc w:val="center"/>
              <w:rPr/>
            </w:pPr>
            <w:r>
              <w:rPr/>
              <w:drawing>
                <wp:inline distT="0" distB="0" distL="0" distR="0">
                  <wp:extent cx="3381375" cy="600075"/>
                  <wp:effectExtent l="0" t="0" r="0" b="0"/>
                  <wp:docPr id="296"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30" descr=""/>
                          <pic:cNvPicPr>
                            <a:picLocks noChangeAspect="1" noChangeArrowheads="1"/>
                          </pic:cNvPicPr>
                        </pic:nvPicPr>
                        <pic:blipFill>
                          <a:blip r:embed="rId231"/>
                          <a:stretch>
                            <a:fillRect/>
                          </a:stretch>
                        </pic:blipFill>
                        <pic:spPr bwMode="auto">
                          <a:xfrm>
                            <a:off x="0" y="0"/>
                            <a:ext cx="3381375" cy="600075"/>
                          </a:xfrm>
                          <a:prstGeom prst="rect">
                            <a:avLst/>
                          </a:prstGeom>
                        </pic:spPr>
                      </pic:pic>
                    </a:graphicData>
                  </a:graphic>
                </wp:inline>
              </w:drawing>
            </w:r>
          </w:p>
        </w:tc>
        <w:tc>
          <w:tcPr>
            <w:tcW w:w="90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38%</w:t>
            </w:r>
          </w:p>
        </w:tc>
      </w:tr>
      <w:tr>
        <w:trPr/>
        <w:tc>
          <w:tcPr>
            <w:tcW w:w="30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Return on Invested Capital*</w:t>
            </w:r>
          </w:p>
        </w:tc>
        <w:tc>
          <w:tcPr>
            <w:tcW w:w="856" w:type="dxa"/>
            <w:gridSpan w:val="3"/>
            <w:tcBorders>
              <w:top w:val="single" w:sz="8" w:space="0" w:color="DBDBDB"/>
              <w:left w:val="single" w:sz="8" w:space="0" w:color="CCD4DB"/>
            </w:tcBorders>
            <w:tcMar>
              <w:top w:w="3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5411" w:type="dxa"/>
            <w:gridSpan w:val="12"/>
            <w:tcBorders>
              <w:top w:val="single" w:sz="8" w:space="0" w:color="DBDBDB"/>
              <w:bottom w:val="single" w:sz="8" w:space="0" w:color="DBDBDB"/>
            </w:tcBorders>
            <w:tcMar>
              <w:left w:w="0" w:type="dxa"/>
              <w:right w:w="0" w:type="dxa"/>
            </w:tcMar>
            <w:vAlign w:val="center"/>
          </w:tcPr>
          <w:p>
            <w:pPr>
              <w:pStyle w:val="TableContents"/>
              <w:bidi w:val="0"/>
              <w:spacing w:before="0" w:after="0"/>
              <w:jc w:val="center"/>
              <w:rPr/>
            </w:pPr>
            <w:r>
              <w:rPr/>
              <w:drawing>
                <wp:inline distT="0" distB="0" distL="0" distR="0">
                  <wp:extent cx="3381375" cy="590550"/>
                  <wp:effectExtent l="0" t="0" r="0" b="0"/>
                  <wp:docPr id="297"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31" descr=""/>
                          <pic:cNvPicPr>
                            <a:picLocks noChangeAspect="1" noChangeArrowheads="1"/>
                          </pic:cNvPicPr>
                        </pic:nvPicPr>
                        <pic:blipFill>
                          <a:blip r:embed="rId232"/>
                          <a:stretch>
                            <a:fillRect/>
                          </a:stretch>
                        </pic:blipFill>
                        <pic:spPr bwMode="auto">
                          <a:xfrm>
                            <a:off x="0" y="0"/>
                            <a:ext cx="3381375" cy="590550"/>
                          </a:xfrm>
                          <a:prstGeom prst="rect">
                            <a:avLst/>
                          </a:prstGeom>
                        </pic:spPr>
                      </pic:pic>
                    </a:graphicData>
                  </a:graphic>
                </wp:inline>
              </w:drawing>
            </w:r>
          </w:p>
        </w:tc>
        <w:tc>
          <w:tcPr>
            <w:tcW w:w="90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50%</w:t>
            </w:r>
          </w:p>
        </w:tc>
      </w:tr>
      <w:tr>
        <w:trPr/>
        <w:tc>
          <w:tcPr>
            <w:tcW w:w="303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Relative TSR - 2022 TSR Peer Group</w:t>
            </w:r>
          </w:p>
        </w:tc>
        <w:tc>
          <w:tcPr>
            <w:tcW w:w="856" w:type="dxa"/>
            <w:gridSpan w:val="3"/>
            <w:vMerge w:val="restart"/>
            <w:tcBorders>
              <w:top w:val="single" w:sz="8" w:space="0" w:color="DBDBDB"/>
              <w:left w:val="single" w:sz="8" w:space="0" w:color="CCD4DB"/>
              <w:bottom w:val="single" w:sz="8" w:space="0" w:color="DBDBDB"/>
            </w:tcBorders>
            <w:tcMar>
              <w:top w:w="30" w:type="dxa"/>
              <w:bottom w:w="3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1/3</w:t>
            </w:r>
          </w:p>
        </w:tc>
        <w:tc>
          <w:tcPr>
            <w:tcW w:w="5411" w:type="dxa"/>
            <w:gridSpan w:val="12"/>
            <w:tcBorders>
              <w:top w:val="single" w:sz="8" w:space="0" w:color="DBDBDB"/>
            </w:tcBorders>
            <w:tcMar>
              <w:left w:w="0" w:type="dxa"/>
              <w:bottom w:w="0" w:type="dxa"/>
              <w:right w:w="0" w:type="dxa"/>
            </w:tcMar>
            <w:vAlign w:val="center"/>
          </w:tcPr>
          <w:p>
            <w:pPr>
              <w:pStyle w:val="TableContents"/>
              <w:bidi w:val="0"/>
              <w:spacing w:before="0" w:after="0"/>
              <w:jc w:val="center"/>
              <w:rPr/>
            </w:pPr>
            <w:r>
              <w:rPr/>
              <w:drawing>
                <wp:inline distT="0" distB="0" distL="0" distR="0">
                  <wp:extent cx="3381375" cy="600075"/>
                  <wp:effectExtent l="0" t="0" r="0" b="0"/>
                  <wp:docPr id="298"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32" descr=""/>
                          <pic:cNvPicPr>
                            <a:picLocks noChangeAspect="1" noChangeArrowheads="1"/>
                          </pic:cNvPicPr>
                        </pic:nvPicPr>
                        <pic:blipFill>
                          <a:blip r:embed="rId233"/>
                          <a:stretch>
                            <a:fillRect/>
                          </a:stretch>
                        </pic:blipFill>
                        <pic:spPr bwMode="auto">
                          <a:xfrm>
                            <a:off x="0" y="0"/>
                            <a:ext cx="3381375" cy="600075"/>
                          </a:xfrm>
                          <a:prstGeom prst="rect">
                            <a:avLst/>
                          </a:prstGeom>
                        </pic:spPr>
                      </pic:pic>
                    </a:graphicData>
                  </a:graphic>
                </wp:inline>
              </w:drawing>
            </w:r>
          </w:p>
        </w:tc>
        <w:tc>
          <w:tcPr>
            <w:tcW w:w="902"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3%</w:t>
            </w:r>
          </w:p>
        </w:tc>
      </w:tr>
      <w:tr>
        <w:trPr/>
        <w:tc>
          <w:tcPr>
            <w:tcW w:w="3036" w:type="dxa"/>
            <w:gridSpan w:val="3"/>
            <w:tcBorders>
              <w:right w:val="single" w:sz="8" w:space="0" w:color="CCD4D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DBDBDB"/>
              <w:left w:val="single" w:sz="8" w:space="0" w:color="CCD4DB"/>
              <w:bottom w:val="single" w:sz="8" w:space="0" w:color="DBDBDB"/>
            </w:tcBorders>
            <w:tcMar>
              <w:top w:w="30" w:type="dxa"/>
              <w:bottom w:w="30" w:type="dxa"/>
              <w:right w:w="0" w:type="dxa"/>
            </w:tcMar>
            <w:vAlign w:val="center"/>
          </w:tcPr>
          <w:p>
            <w:pPr>
              <w:pStyle w:val="Normal"/>
              <w:bidi w:val="0"/>
              <w:jc w:val="left"/>
              <w:rPr/>
            </w:pPr>
            <w:r>
              <w:rPr/>
            </w:r>
          </w:p>
        </w:tc>
        <w:tc>
          <w:tcPr>
            <w:tcW w:w="5411" w:type="dxa"/>
            <w:gridSpan w:val="12"/>
            <w:tcBorders>
              <w:bottom w:val="single" w:sz="4" w:space="0" w:color="BCBEC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right w:val="single" w:sz="8" w:space="0" w:color="CCD4DB"/>
            </w:tcBorders>
            <w:tcMar>
              <w:top w:w="0" w:type="dxa"/>
              <w:left w:w="0" w:type="dxa"/>
              <w:bottom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Relative TSR - S&amp;P Industrials</w:t>
            </w:r>
          </w:p>
        </w:tc>
        <w:tc>
          <w:tcPr>
            <w:tcW w:w="856" w:type="dxa"/>
            <w:gridSpan w:val="3"/>
            <w:vMerge w:val="continue"/>
            <w:tcBorders>
              <w:top w:val="single" w:sz="8" w:space="0" w:color="DBDBDB"/>
              <w:left w:val="single" w:sz="8" w:space="0" w:color="CCD4DB"/>
              <w:bottom w:val="single" w:sz="8" w:space="0" w:color="DBDBDB"/>
            </w:tcBorders>
            <w:tcMar>
              <w:top w:w="30" w:type="dxa"/>
              <w:bottom w:w="30" w:type="dxa"/>
              <w:right w:w="0" w:type="dxa"/>
            </w:tcMar>
            <w:vAlign w:val="center"/>
          </w:tcPr>
          <w:p>
            <w:pPr>
              <w:pStyle w:val="Normal"/>
              <w:bidi w:val="0"/>
              <w:jc w:val="left"/>
              <w:rPr/>
            </w:pPr>
            <w:r>
              <w:rPr/>
            </w:r>
          </w:p>
        </w:tc>
        <w:tc>
          <w:tcPr>
            <w:tcW w:w="5411" w:type="dxa"/>
            <w:gridSpan w:val="12"/>
            <w:tcBorders>
              <w:top w:val="single" w:sz="4" w:space="0" w:color="BCBEC0"/>
              <w:bottom w:val="single" w:sz="8" w:space="0" w:color="DBDBDB"/>
            </w:tcBorders>
            <w:tcMar>
              <w:left w:w="0" w:type="dxa"/>
              <w:right w:w="0" w:type="dxa"/>
            </w:tcMar>
            <w:vAlign w:val="center"/>
          </w:tcPr>
          <w:p>
            <w:pPr>
              <w:pStyle w:val="TableContents"/>
              <w:bidi w:val="0"/>
              <w:spacing w:before="0" w:after="0"/>
              <w:jc w:val="center"/>
              <w:rPr/>
            </w:pPr>
            <w:r>
              <w:rPr/>
              <w:drawing>
                <wp:inline distT="0" distB="0" distL="0" distR="0">
                  <wp:extent cx="3381375" cy="609600"/>
                  <wp:effectExtent l="0" t="0" r="0" b="0"/>
                  <wp:docPr id="299"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33" descr=""/>
                          <pic:cNvPicPr>
                            <a:picLocks noChangeAspect="1" noChangeArrowheads="1"/>
                          </pic:cNvPicPr>
                        </pic:nvPicPr>
                        <pic:blipFill>
                          <a:blip r:embed="rId234"/>
                          <a:stretch>
                            <a:fillRect/>
                          </a:stretch>
                        </pic:blipFill>
                        <pic:spPr bwMode="auto">
                          <a:xfrm>
                            <a:off x="0" y="0"/>
                            <a:ext cx="3381375" cy="609600"/>
                          </a:xfrm>
                          <a:prstGeom prst="rect">
                            <a:avLst/>
                          </a:prstGeom>
                        </pic:spPr>
                      </pic:pic>
                    </a:graphicData>
                  </a:graphic>
                </wp:inline>
              </w:drawing>
            </w:r>
          </w:p>
        </w:tc>
        <w:tc>
          <w:tcPr>
            <w:tcW w:w="902" w:type="dxa"/>
            <w:gridSpan w:val="3"/>
            <w:tcBorders>
              <w:top w:val="single" w:sz="8" w:space="0" w:color="CCD4DB"/>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8"/>
              </w:rPr>
            </w:pPr>
            <w:r>
              <w:rPr>
                <w:rFonts w:ascii="Futura Std Book;sans-serif" w:hAnsi="Futura Std Book;sans-serif"/>
                <w:b w:val="false"/>
                <w:color w:val="000000"/>
                <w:sz w:val="18"/>
              </w:rPr>
              <w:t>16%</w:t>
            </w:r>
          </w:p>
        </w:tc>
      </w:tr>
      <w:tr>
        <w:trPr/>
        <w:tc>
          <w:tcPr>
            <w:tcW w:w="3892" w:type="dxa"/>
            <w:gridSpan w:val="6"/>
            <w:tcBorders>
              <w:top w:val="single" w:sz="8" w:space="0" w:color="DBDBDB"/>
              <w:bottom w:val="single" w:sz="8" w:space="0" w:color="29378D"/>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249C"/>
                <w:sz w:val="18"/>
              </w:rPr>
            </w:pPr>
            <w:r>
              <w:rPr>
                <w:rFonts w:ascii="Futura Std Book;sans-serif" w:hAnsi="Futura Std Book;sans-serif"/>
                <w:b/>
                <w:color w:val="00249C"/>
                <w:sz w:val="18"/>
              </w:rPr>
              <w:t>RPSR Performance Factor**</w:t>
            </w:r>
          </w:p>
        </w:tc>
        <w:tc>
          <w:tcPr>
            <w:tcW w:w="5411" w:type="dxa"/>
            <w:gridSpan w:val="12"/>
            <w:tcBorders>
              <w:top w:val="single" w:sz="8" w:space="0" w:color="DBDBDB"/>
              <w:bottom w:val="single" w:sz="8" w:space="0" w:color="00249C"/>
            </w:tcBorders>
            <w:tcMar>
              <w:left w:w="0" w:type="dxa"/>
              <w:right w:w="0" w:type="dxa"/>
            </w:tcMar>
            <w:vAlign w:val="center"/>
          </w:tcPr>
          <w:p>
            <w:pPr>
              <w:pStyle w:val="TableContents"/>
              <w:bidi w:val="0"/>
              <w:spacing w:before="20" w:after="20"/>
              <w:jc w:val="center"/>
              <w:rPr/>
            </w:pPr>
            <w:r>
              <w:rPr/>
            </w:r>
          </w:p>
        </w:tc>
        <w:tc>
          <w:tcPr>
            <w:tcW w:w="902" w:type="dxa"/>
            <w:gridSpan w:val="3"/>
            <w:tcBorders>
              <w:top w:val="single" w:sz="8" w:space="0" w:color="DBDBDB"/>
              <w:bottom w:val="single" w:sz="8" w:space="0" w:color="00249C"/>
            </w:tcBorders>
            <w:tcMar>
              <w:top w:w="3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249C"/>
                <w:sz w:val="18"/>
              </w:rPr>
            </w:pPr>
            <w:r>
              <w:rPr>
                <w:rFonts w:ascii="Futura Std Book;sans-serif" w:hAnsi="Futura Std Book;sans-serif"/>
                <w:b/>
                <w:color w:val="00249C"/>
                <w:sz w:val="18"/>
              </w:rPr>
              <w:t>107%</w:t>
            </w:r>
          </w:p>
        </w:tc>
      </w:tr>
    </w:tbl>
    <w:p>
      <w:pPr>
        <w:pStyle w:val="TextBody"/>
        <w:bidi w:val="0"/>
        <w:spacing w:lineRule="auto" w:line="288" w:before="80" w:after="80"/>
        <w:ind w:left="0" w:right="0" w:hanging="216"/>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bidi w:val="0"/>
        <w:spacing w:lineRule="auto" w:line="288" w:before="80" w:after="80"/>
        <w:ind w:left="0" w:right="0" w:hanging="216"/>
        <w:jc w:val="left"/>
        <w:rPr>
          <w:rFonts w:ascii="Futura Std Book;sans-serif" w:hAnsi="Futura Std Book;sans-serif"/>
          <w:b w:val="false"/>
          <w:color w:val="000000"/>
          <w:sz w:val="16"/>
        </w:rPr>
      </w:pPr>
      <w:r>
        <w:rPr>
          <w:rFonts w:ascii="Futura Std Book;sans-serif" w:hAnsi="Futura Std Book;sans-serif"/>
          <w:b w:val="false"/>
          <w:color w:val="000000"/>
          <w:sz w:val="16"/>
        </w:rPr>
        <w:t>** As approved by the Compensation and Human Capital Committee, Adjusted Cumulative FCF* and Return on Invested Capital* metrics for the 2022 RPSRs were adjusted, as applicable, to neutralize the impact of business conditions and certain costs unforeseen at the time of grant setting. Adjustments include the removal of CAS pension recovery, the IT services divestiture, impacts related to international trade restrictions, assumptions regarding tax legislation related to research credits, plan-based differences in free cash flow related to unanticipated costs on the B-21 program, the impact of a charge associated with the low-rate initial production phase of the B-21 program, the gain on sale of a minority investment in an international business and the loss on divestiture of a small international subsidiary. All adjustments were made by the Committee using its discretion, as provided in our plan, to measure 2022-2024 performance while maintaining flexibility to provide equitable adjustments that address the impact of material non-operational and unforeseen events. Details are outlined in Appendix A - Use of Non-GAAP Financial Measures.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February 2025, the Compensation and Human Capital Committee reviewed performance for the January 1, 2022 to December 31, 2024 RPSR performance period. The combined weighted score for the metrics generated an overall performance score of 107%.</w:t>
      </w:r>
    </w:p>
    <w:p>
      <w:pPr>
        <w:pStyle w:val="TextBody"/>
        <w:bidi w:val="0"/>
        <w:spacing w:lineRule="auto" w:line="288" w:before="120" w:after="120"/>
        <w:jc w:val="left"/>
        <w:rPr/>
      </w:pPr>
      <w:r>
        <w:rPr>
          <w:rFonts w:ascii="Futura Std Book;sans-serif" w:hAnsi="Futura Std Book;sans-serif"/>
          <w:b w:val="false"/>
          <w:color w:val="000000"/>
          <w:sz w:val="18"/>
        </w:rPr>
        <w:t xml:space="preserve">In February 2025, the NEOs received payouts in stock with respect to the outstanding RPSR awards that were granted in February 2022 for the three-year performance period ending December 31, 2024 (as described further in footnote three of the Outstanding Equity Awards Table on page </w:t>
      </w:r>
      <w:hyperlink w:anchor="idc6f358a7ea345daa8bbc8a5ea69f8d5_148">
        <w:r>
          <w:rPr>
            <w:rStyle w:val="InternetLink"/>
            <w:rFonts w:ascii="Futura Std Book;sans-serif" w:hAnsi="Futura Std Book;sans-serif"/>
            <w:b w:val="false"/>
            <w:strike w:val="false"/>
            <w:dstrike w:val="false"/>
            <w:color w:val="000000"/>
            <w:sz w:val="18"/>
            <w:u w:val="none"/>
            <w:effect w:val="none"/>
          </w:rPr>
          <w:t>73</w:t>
        </w:r>
      </w:hyperlink>
      <w:r>
        <w:rPr>
          <w:rFonts w:ascii="Futura Std Book;sans-serif" w:hAnsi="Futura Std Book;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734695"/>
                <wp:effectExtent l="0" t="0" r="0" b="0"/>
                <wp:wrapNone/>
                <wp:docPr id="300" name="Frame6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Other NEO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This section describes other benefits the NEOs receive. These benefits are not performance related and are designed to provide a competitive package for purposes of attracting and retaining the executive talent needed to achieve our business objectives. These benefits include retirement benefits, certain perquisites and severance arrangements.</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Retirement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maintain tax-qualified retirement plans (both defined benefit pension plans and defined contribution savings plans) that cover most of our workforce, including the NEOs. We also maintain nonqualified retirement plans that are available to our NEOs, which are designed to restore benefits that were limited under the tax-qualified plans or to provide supplemental benefits. Compensation, age and years of service factor into the amount of benefits provided under the plans. Thus, the plans are structured to reward and retain employees of long service and recognize higher performance levels as evidenced by increases in annual pay. The nonqualified supplemental defined benefit plans in which our NEOs participate were frozen as to pay and service as of December 31, 2014.</w:t>
      </w:r>
    </w:p>
    <w:p>
      <w:pPr>
        <w:pStyle w:val="TextBody"/>
        <w:bidi w:val="0"/>
        <w:spacing w:lineRule="auto" w:line="288" w:before="120" w:after="120"/>
        <w:jc w:val="left"/>
        <w:rPr/>
      </w:pPr>
      <w:r>
        <w:rPr>
          <w:rFonts w:ascii="Futura Std Book;sans-serif" w:hAnsi="Futura Std Book;sans-serif"/>
          <w:b w:val="false"/>
          <w:color w:val="000000"/>
          <w:sz w:val="18"/>
        </w:rPr>
        <w:t xml:space="preserve">The Compensation and Human Capital Committee assesses aggregate benefits available to the NEOs and has previously imposed an overall cap, generally limited to no more than 60% of final average pay on pension benefits for the NEOs. Additional information about these retirement plans and the NEO benefits under these plans can be found in the Pension Benefits Table and Nonqualified Deferred Compensation Table, on pages </w:t>
      </w:r>
      <w:hyperlink w:anchor="idc6f358a7ea345daa8bbc8a5ea69f8d5_154">
        <w:r>
          <w:rPr>
            <w:rStyle w:val="InternetLink"/>
            <w:rFonts w:ascii="Futura Std Book;sans-serif" w:hAnsi="Futura Std Book;sans-serif"/>
            <w:b w:val="false"/>
            <w:strike w:val="false"/>
            <w:dstrike w:val="false"/>
            <w:color w:val="000000"/>
            <w:sz w:val="18"/>
            <w:u w:val="none"/>
            <w:effect w:val="none"/>
          </w:rPr>
          <w:t>75</w:t>
        </w:r>
      </w:hyperlink>
      <w:r>
        <w:rPr>
          <w:rFonts w:ascii="Futura Std Book;sans-serif" w:hAnsi="Futura Std Book;sans-serif"/>
          <w:b w:val="false"/>
          <w:color w:val="000000"/>
          <w:sz w:val="18"/>
        </w:rPr>
        <w:t xml:space="preserve"> and </w:t>
      </w:r>
      <w:hyperlink w:anchor="idc6f358a7ea345daa8bbc8a5ea69f8d5_157">
        <w:r>
          <w:rPr>
            <w:rStyle w:val="InternetLink"/>
            <w:rFonts w:ascii="Futura Std Book;sans-serif" w:hAnsi="Futura Std Book;sans-serif"/>
            <w:b w:val="false"/>
            <w:strike w:val="false"/>
            <w:dstrike w:val="false"/>
            <w:color w:val="000000"/>
            <w:sz w:val="18"/>
            <w:u w:val="none"/>
            <w:effect w:val="none"/>
          </w:rPr>
          <w:t>78</w:t>
        </w:r>
      </w:hyperlink>
      <w:r>
        <w:rPr>
          <w:rFonts w:ascii="Futura Std Book;sans-serif" w:hAnsi="Futura Std Book;sans-serif"/>
          <w:b w:val="false"/>
          <w:color w:val="000000"/>
          <w:sz w:val="18"/>
        </w:rPr>
        <w:t>, respectively.</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Perquisites</w:t>
      </w:r>
    </w:p>
    <w:p>
      <w:pPr>
        <w:pStyle w:val="TextBody"/>
        <w:bidi w:val="0"/>
        <w:spacing w:lineRule="auto" w:line="288" w:before="120" w:after="120"/>
        <w:jc w:val="left"/>
        <w:rPr/>
      </w:pPr>
      <w:r>
        <w:rPr>
          <w:rFonts w:ascii="Futura Std Book;sans-serif" w:hAnsi="Futura Std Book;sans-serif"/>
          <w:b w:val="false"/>
          <w:color w:val="000000"/>
          <w:sz w:val="18"/>
        </w:rPr>
        <w:t xml:space="preserve">Our NEOs are eligible for certain limited executive perquisites that include financial planning and income tax preparation, physical exams and personal liability insurance. The Compensation and Human Capital Committee believes these perquisites are common within the competitive market for total compensation packages for executives and are useful in attracting, retaining and motivating talented executives. Perquisites provided to the NEOs in 2024 are detailed in the Summary Compensation Table on page </w:t>
      </w:r>
      <w:hyperlink w:anchor="idc6f358a7ea345daa8bbc8a5ea69f8d5_142">
        <w:r>
          <w:rPr>
            <w:rStyle w:val="InternetLink"/>
            <w:rFonts w:ascii="Futura Std Book;sans-serif" w:hAnsi="Futura Std Book;sans-serif"/>
            <w:b w:val="false"/>
            <w:strike w:val="false"/>
            <w:dstrike w:val="false"/>
            <w:color w:val="000000"/>
            <w:sz w:val="18"/>
            <w:u w:val="none"/>
            <w:effect w:val="none"/>
          </w:rPr>
          <w:t>70</w:t>
        </w:r>
      </w:hyperlink>
      <w:r>
        <w:rPr>
          <w:rFonts w:ascii="Futura Std Book;sans-serif" w:hAnsi="Futura Std Book;sans-serif"/>
          <w:b w:val="false"/>
          <w:color w:val="000000"/>
          <w:sz w:val="18"/>
        </w:rPr>
        <w:t>.</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Security Arrangements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Given the nature of our business, we maintain a study-based security program. Executive protection, including residential and/or travel, is based on a risk assessment and may change based on the individual’s profile. These security requirements are continuously assessed for each member and provided to the Board for informational purposes generally every three years. In selecting the level and form of protection, we and the Board consider security risks faced by those in our industry in general and security risks specific to our Company and its individuals. Based on security threat information obtained and an ongoing dialogue with law enforcement and security specialists, the Board has required that Ms. Warden and other NEOs receive varying levels of residential and travel protection.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Since we require this protection under a study-based security program and it is not designed to provide a personal benefit (other than the intended security), we do not view these security arrangements as compensation to the individuals. We report these security arrangements as perquisites as required under applicable SEC rules. In addition, we report them as taxable compensation to the individuals if they are not excludable from income as working condition fringe benefits under Section 132 of the Internal Revenue Code.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Board has determined that the CEO should avoid traveling by commercial aircraft for purposes of security, rapid availability and communications connectivity during travel, and should use Company-provided aircraft for all air travel. If, as a result, the CEO uses Company-provided aircraft for personal travel, the costs of such travel are imputed as income and are subject to the appropriate tax reporting according to Internal Revenue Code regulations.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regularly review the nature of the security threat and associated vulnerabilities with law enforcement and security specialists and will continue to adapt our security program as appropriate.</w:t>
      </w:r>
    </w:p>
    <w:p>
      <w:pPr>
        <w:pStyle w:val="TextBody"/>
        <w:bidi w:val="0"/>
        <w:spacing w:lineRule="auto" w:line="288" w:before="260" w:after="120"/>
        <w:jc w:val="left"/>
        <w:rPr>
          <w:rFonts w:ascii="Futura Std Book;sans-serif" w:hAnsi="Futura Std Book;sans-serif"/>
          <w:b w:val="false"/>
          <w:color w:val="000000"/>
          <w:sz w:val="26"/>
        </w:rPr>
      </w:pPr>
      <w:bookmarkStart w:id="10" w:name="i9e96cabb8ba74942b8e955ac89b43661_6285"/>
      <w:bookmarkEnd w:id="10"/>
      <w:r>
        <w:rPr>
          <w:rFonts w:ascii="Futura Std Book;sans-serif" w:hAnsi="Futura Std Book;sans-serif"/>
          <w:b w:val="false"/>
          <w:color w:val="000000"/>
          <w:sz w:val="26"/>
        </w:rPr>
        <w:t>Severance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maintain the Severance Plan for Elected and Appointed Officers of Northrop Grumman Corporation (Severance Plan), which is available to Ms. Warden and other NEOs who qualify and are approved to receive such benefits. The purpose of the Severance Plan is to help bridge the gap in an executive’s income and health coverage during a period of unemployment following a qualified termination, and to ensure certain benefits for the Company.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do not maintain any change in control (CIC) severance plans. In addition, we do not provide excise tax gross-ups for any payments received upon termination after a change in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554990"/>
                <wp:effectExtent l="0" t="0" r="0" b="0"/>
                <wp:wrapNone/>
                <wp:docPr id="301" name="Frame6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Upon a “qualifying termination” (defined below) the Company may provide severance benefits to eligible NEOs under the Severance Plan. Provided the NEO signs a release and agrees to certain restrictions, he or she may receive: (i) a lump sum severance benefit equal to 1.5x annual base salary and target bonus, (ii) a prorated performance bonus for the year of termination, (iii) continued medical and dental coverage for the 18-month severance period, (iv) income tax preparation/financial planning fees for the year of termination and the following year and (v) outplacement expenses up to 15% of salary, all subject to management approval. The cost of providing continued medical and dental coverage is based upon current premium costs. The cost of providing income tax preparation and financial planning is capped for the year of termination and for the year following termination. The annual cap for the CEO is $30,000 and for the rest of the NEOs is $18,500.</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 “qualifying termination” includes one of the following:</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involuntary termination, other than for cause or mandatory retirement; or</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election to terminate in lieu of accepting a downgrade to a non-officer position (i.e., good reason).</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Change in Control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do not maintain separate CIC programs or agreements. The only CIC benefits available to the NEOs are those described in the terms and conditions of the grants under the 2011 Long-Term Incentive Stock Plan (2011 Plan) and the 2024 Long-Term Incentive Stock Plan (2024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734695"/>
                <wp:effectExtent l="0" t="0" r="0" b="0"/>
                <wp:wrapNone/>
                <wp:docPr id="302" name="Frame6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Policies and Procedures</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Stock Ownership Guidelines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maintain stock ownership guidelines for our NEOs to further promote alignment of management and shareholder interests. These guidelines require that NEOs own Company stock with a value denominated as a multiple of their annual salaries, which can be accumulated over a five-year period from the date of hire or promotion into an elected officer position.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guidelines are as follows:</w:t>
      </w:r>
    </w:p>
    <w:tbl>
      <w:tblPr>
        <w:tblW w:w="10205" w:type="dxa"/>
        <w:jc w:val="left"/>
        <w:tblInd w:w="0" w:type="dxa"/>
        <w:tblLayout w:type="fixed"/>
        <w:tblCellMar>
          <w:top w:w="28" w:type="dxa"/>
          <w:left w:w="28" w:type="dxa"/>
          <w:bottom w:w="28" w:type="dxa"/>
          <w:right w:w="28" w:type="dxa"/>
        </w:tblCellMar>
      </w:tblPr>
      <w:tblGrid>
        <w:gridCol w:w="833"/>
        <w:gridCol w:w="730"/>
        <w:gridCol w:w="739"/>
        <w:gridCol w:w="2314"/>
        <w:gridCol w:w="2314"/>
        <w:gridCol w:w="3275"/>
      </w:tblGrid>
      <w:tr>
        <w:trPr/>
        <w:tc>
          <w:tcPr>
            <w:tcW w:w="83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Position</w:t>
            </w:r>
          </w:p>
        </w:tc>
        <w:tc>
          <w:tcPr>
            <w:tcW w:w="790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Stock Value as a Multiple of Base Salary</w:t>
            </w:r>
          </w:p>
        </w:tc>
      </w:tr>
      <w:tr>
        <w:trPr/>
        <w:tc>
          <w:tcPr>
            <w:tcW w:w="2302"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Chair and Chief Executive Officer</w:t>
            </w:r>
          </w:p>
        </w:tc>
        <w:tc>
          <w:tcPr>
            <w:tcW w:w="7903" w:type="dxa"/>
            <w:gridSpan w:val="3"/>
            <w:tcBorders/>
            <w:tcMar>
              <w:top w:w="0" w:type="dxa"/>
              <w:left w:w="0" w:type="dxa"/>
              <w:bottom w:w="0" w:type="dxa"/>
              <w:right w:w="0" w:type="dxa"/>
            </w:tcMar>
            <w:vAlign w:val="center"/>
          </w:tcPr>
          <w:p>
            <w:pPr>
              <w:pStyle w:val="TableContents"/>
              <w:bidi w:val="0"/>
              <w:spacing w:before="20" w:after="20"/>
              <w:jc w:val="left"/>
              <w:rPr/>
            </w:pPr>
            <w:r>
              <w:rPr/>
              <w:drawing>
                <wp:inline distT="0" distB="0" distL="0" distR="0">
                  <wp:extent cx="4933950" cy="266700"/>
                  <wp:effectExtent l="0" t="0" r="0" b="0"/>
                  <wp:docPr id="303"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34" descr=""/>
                          <pic:cNvPicPr>
                            <a:picLocks noChangeAspect="1" noChangeArrowheads="1"/>
                          </pic:cNvPicPr>
                        </pic:nvPicPr>
                        <pic:blipFill>
                          <a:blip r:embed="rId235"/>
                          <a:stretch>
                            <a:fillRect/>
                          </a:stretch>
                        </pic:blipFill>
                        <pic:spPr bwMode="auto">
                          <a:xfrm>
                            <a:off x="0" y="0"/>
                            <a:ext cx="4933950" cy="266700"/>
                          </a:xfrm>
                          <a:prstGeom prst="rect">
                            <a:avLst/>
                          </a:prstGeom>
                        </pic:spPr>
                      </pic:pic>
                    </a:graphicData>
                  </a:graphic>
                </wp:inline>
              </w:drawing>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3"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2" w:type="dxa"/>
            <w:gridSpan w:val="3"/>
            <w:tcBorders>
              <w:bottom w:val="single" w:sz="4" w:space="0" w:color="BCBEC0"/>
            </w:tcBorders>
            <w:tcMar>
              <w:top w:w="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Other NEOs</w:t>
            </w:r>
          </w:p>
        </w:tc>
        <w:tc>
          <w:tcPr>
            <w:tcW w:w="7903" w:type="dxa"/>
            <w:gridSpan w:val="3"/>
            <w:tcBorders>
              <w:bottom w:val="single" w:sz="4" w:space="0" w:color="BCBEC0"/>
            </w:tcBorders>
            <w:tcMar>
              <w:top w:w="0" w:type="dxa"/>
              <w:left w:w="0" w:type="dxa"/>
              <w:right w:w="0" w:type="dxa"/>
            </w:tcMar>
            <w:vAlign w:val="center"/>
          </w:tcPr>
          <w:p>
            <w:pPr>
              <w:pStyle w:val="TableContents"/>
              <w:bidi w:val="0"/>
              <w:spacing w:before="20" w:after="20"/>
              <w:jc w:val="left"/>
              <w:rPr/>
            </w:pPr>
            <w:r>
              <w:rPr/>
              <w:drawing>
                <wp:inline distT="0" distB="0" distL="0" distR="0">
                  <wp:extent cx="2085975" cy="276225"/>
                  <wp:effectExtent l="0" t="0" r="0" b="0"/>
                  <wp:docPr id="304"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35" descr=""/>
                          <pic:cNvPicPr>
                            <a:picLocks noChangeAspect="1" noChangeArrowheads="1"/>
                          </pic:cNvPicPr>
                        </pic:nvPicPr>
                        <pic:blipFill>
                          <a:blip r:embed="rId236"/>
                          <a:stretch>
                            <a:fillRect/>
                          </a:stretch>
                        </pic:blipFill>
                        <pic:spPr bwMode="auto">
                          <a:xfrm>
                            <a:off x="0" y="0"/>
                            <a:ext cx="2085975" cy="276225"/>
                          </a:xfrm>
                          <a:prstGeom prst="rect">
                            <a:avLst/>
                          </a:prstGeom>
                        </pic:spPr>
                      </pic:pic>
                    </a:graphicData>
                  </a:graphic>
                </wp:inline>
              </w:drawing>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Shares that satisfy the stock ownership guidelines include: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Company stock owned outright;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unvested RSRs;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value of shares held in the Northrop Grumman Savings Plan or Northrop Grumman Financial Security and Savings Program.</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Unvested RPSRs are not included in calculating ownership until they are converted to actual shares owned. Unexercised stock options are excluded.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reviews compliance with our stock ownership guidelines on an annual basis. As of December 31, 2024, all NEOs were in compliance with the ownership guidelines or on track to meet the requirement by the end of the five-year period referenced above. The Compensation and Human Capital Committee continues to monitor compliance and will conduct a full review again in 2025.</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Stock Holding Requirements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have holding period requirements for payouts from long-term incentive grants, further emphasizing the importance of sustainable performance and appropriate risk-management behaviors. Under this policy, NEOs who received grants as an elected officer are required to hold, for a period of three years, 50% of their net after-tax shares received from RPSR and RSR distributions. These restrictions generally continue following termination and retirement; however, shares acquired from RPSR distributions more than one year after separation from the Company are not subject to the holding requirement.</w:t>
      </w:r>
    </w:p>
    <w:tbl>
      <w:tblPr>
        <w:tblW w:w="8996" w:type="dxa"/>
        <w:jc w:val="left"/>
        <w:tblInd w:w="0" w:type="dxa"/>
        <w:tblLayout w:type="fixed"/>
        <w:tblCellMar>
          <w:top w:w="28" w:type="dxa"/>
          <w:left w:w="28" w:type="dxa"/>
          <w:bottom w:w="28" w:type="dxa"/>
          <w:right w:w="28" w:type="dxa"/>
        </w:tblCellMar>
      </w:tblPr>
      <w:tblGrid>
        <w:gridCol w:w="124"/>
        <w:gridCol w:w="109"/>
        <w:gridCol w:w="109"/>
        <w:gridCol w:w="639"/>
        <w:gridCol w:w="639"/>
        <w:gridCol w:w="641"/>
        <w:gridCol w:w="109"/>
        <w:gridCol w:w="109"/>
        <w:gridCol w:w="109"/>
        <w:gridCol w:w="110"/>
        <w:gridCol w:w="110"/>
        <w:gridCol w:w="111"/>
        <w:gridCol w:w="109"/>
        <w:gridCol w:w="109"/>
        <w:gridCol w:w="109"/>
        <w:gridCol w:w="544"/>
        <w:gridCol w:w="544"/>
        <w:gridCol w:w="546"/>
        <w:gridCol w:w="109"/>
        <w:gridCol w:w="109"/>
        <w:gridCol w:w="109"/>
        <w:gridCol w:w="110"/>
        <w:gridCol w:w="110"/>
        <w:gridCol w:w="111"/>
        <w:gridCol w:w="109"/>
        <w:gridCol w:w="109"/>
        <w:gridCol w:w="109"/>
        <w:gridCol w:w="919"/>
        <w:gridCol w:w="919"/>
        <w:gridCol w:w="9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SHAREHOLDER ALIGNMENT</w:t>
            </w:r>
          </w:p>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AND FOCUS ON LONG-TERM,</w:t>
            </w:r>
          </w:p>
          <w:p>
            <w:pPr>
              <w:pStyle w:val="TableContents"/>
              <w:bidi w:val="0"/>
              <w:spacing w:lineRule="auto" w:line="276" w:before="0" w:after="0"/>
              <w:jc w:val="center"/>
              <w:rPr>
                <w:rFonts w:ascii="Futura Std Book;sans-serif" w:hAnsi="Futura Std Book;sans-serif"/>
                <w:b/>
                <w:color w:val="29378D"/>
                <w:sz w:val="16"/>
              </w:rPr>
            </w:pPr>
            <w:r>
              <w:rPr>
                <w:rFonts w:ascii="Futura Std Book;sans-serif" w:hAnsi="Futura Std Book;sans-serif"/>
                <w:b/>
                <w:color w:val="29378D"/>
                <w:sz w:val="16"/>
              </w:rPr>
              <w:t>SUSTAINABLE GROWTH</w:t>
            </w:r>
          </w:p>
        </w:tc>
        <w:tc>
          <w:tcPr>
            <w:tcW w:w="3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STOCK OWNERSHIP</w:t>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27"/>
              </w:rPr>
            </w:pPr>
            <w:r>
              <w:rPr>
                <w:rFonts w:ascii="Futura Std Book;sans-serif" w:hAnsi="Futura Std Book;sans-serif"/>
                <w:b/>
                <w:color w:val="000000"/>
                <w:sz w:val="27"/>
              </w:rPr>
              <w:t>+</w:t>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6"/>
              </w:rPr>
            </w:pPr>
            <w:r>
              <w:rPr>
                <w:rFonts w:ascii="Futura Std Book;sans-serif" w:hAnsi="Futura Std Book;sans-serif"/>
                <w:b/>
                <w:color w:val="000000"/>
                <w:sz w:val="16"/>
              </w:rPr>
              <w:t>STOCK HOLDING</w:t>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27"/>
              </w:rPr>
            </w:pPr>
            <w:r>
              <w:rPr>
                <w:rFonts w:ascii="Futura Std Book;sans-serif" w:hAnsi="Futura Std Book;sans-serif"/>
                <w:b/>
                <w:color w:val="000000"/>
                <w:sz w:val="27"/>
              </w:rPr>
              <w:t>=</w:t>
            </w:r>
          </w:p>
        </w:tc>
        <w:tc>
          <w:tcPr>
            <w:tcW w:w="3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CBEC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29378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Insider Trading and Anti-Hedging and Anti-Pledging Policy</w:t>
      </w:r>
    </w:p>
    <w:p>
      <w:pPr>
        <w:pStyle w:val="TextBody"/>
        <w:bidi w:val="0"/>
        <w:spacing w:lineRule="auto" w:line="288" w:before="120" w:after="120"/>
        <w:jc w:val="left"/>
        <w:rPr/>
      </w:pPr>
      <w:r>
        <w:rPr>
          <w:rFonts w:ascii="Futura Std Book;sans-serif" w:hAnsi="Futura Std Book;sans-serif"/>
          <w:b w:val="false"/>
          <w:color w:val="000000"/>
          <w:sz w:val="18"/>
        </w:rPr>
        <w:t xml:space="preserve">The Company's insider trading policy governs the purchase and sale of the Company's securities by directors, officers and other employees subject to the policy and is reasonably designed to promote compliance with insider trading laws, rules and regulations and the listing standards of the NYSE. Company policy prohibits our NEOs and other elected officers from hedging or entering into margin transactions involving Company stock, and pledging Company securities as collateral for loans or other transactions. Additional information about our policy can be found in “Compensation of Directors - Stock Ownership Requirements and Anti-Hedging and Pledging Policy” on page </w:t>
      </w:r>
      <w:hyperlink w:anchor="if31098cc34844e9fb170bd4b9534a7d8_3957">
        <w:r>
          <w:rPr>
            <w:rStyle w:val="InternetLink"/>
            <w:rFonts w:ascii="Futura Std Book;sans-serif" w:hAnsi="Futura Std Book;sans-serif"/>
            <w:b w:val="false"/>
            <w:strike w:val="false"/>
            <w:dstrike w:val="false"/>
            <w:color w:val="000000"/>
            <w:sz w:val="18"/>
            <w:u w:val="none"/>
            <w:effect w:val="none"/>
          </w:rPr>
          <w:t>44</w:t>
        </w:r>
      </w:hyperlink>
      <w:r>
        <w:rPr>
          <w:rFonts w:ascii="Futura Std Book;sans-serif" w:hAnsi="Futura Std Book;sans-serif"/>
          <w:b w:val="false"/>
          <w:color w:val="000000"/>
          <w:sz w:val="18"/>
        </w:rPr>
        <w:t>. Additionally, the Company's insider trading policy is filed as Exhibit 19 to our 2024 Form 10-K.</w:t>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554990"/>
                <wp:effectExtent l="0" t="0" r="0" b="0"/>
                <wp:wrapNone/>
                <wp:docPr id="305" name="Frame7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before="120" w:after="120"/>
        <w:jc w:val="left"/>
        <w:rPr/>
      </w:pPr>
      <w:r>
        <w:rPr/>
      </w:r>
    </w:p>
    <w:p>
      <w:pPr>
        <w:pStyle w:val="TextBody"/>
        <w:bidi w:val="0"/>
        <w:spacing w:lineRule="auto" w:line="288" w:before="260" w:after="120"/>
        <w:jc w:val="left"/>
        <w:rPr>
          <w:rFonts w:ascii="Futura Std Book;sans-serif" w:hAnsi="Futura Std Book;sans-serif"/>
          <w:b w:val="false"/>
          <w:color w:val="000000"/>
          <w:sz w:val="26"/>
        </w:rPr>
      </w:pPr>
      <w:bookmarkStart w:id="11" w:name="id2b1b79fd24d49aaaee4a6d9e8f0078f_5222"/>
      <w:bookmarkEnd w:id="11"/>
      <w:r>
        <w:rPr>
          <w:rFonts w:ascii="Futura Std Book;sans-serif" w:hAnsi="Futura Std Book;sans-serif"/>
          <w:b w:val="false"/>
          <w:color w:val="000000"/>
          <w:sz w:val="26"/>
        </w:rPr>
        <w:t>Recoupment Policy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Company’s recoupment policy generally provides that: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if the Company is required to restate its financial results, the Company will attempt to recover reasonably promptly from each executive officer the amount of any erroneously awarded compensation that was received by such officer;</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Board has discretion to recoup performance-based annual, or performance-based and time-based long-term cash or equity, incentive payments (collectively, "incentive compensation") paid to an elected officer in the event of a restatement or if an elected officer engages in illegal conduct that causes significant financial or reputational harm to the Company;</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the Board has discretion to recoup incentive compensation paid to the elected officer in the event the elected officer fails to report misconduct of another, or is grossly negligent in fulfilling his or her supervisory responsibilities to prevent such misconduct; and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CEO has discretion to recoup under similar circumstances incentive compensation provided to non-elected officers or other employees.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Company’s recoupment policy includes a three-year look back for recovery of the erroneously awarded compensation or other incentive compensation. It also provides for certain disclosure in the event of recoupment, consistent with SEC and other legal requirements. The Company's Recoupment Policy is filed as Exhibit 97 to our 2024 Form 10-K.</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Risk Management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annually reviews our compensation programs and together with the Independent Compensation Consultant assesses potential compensation-related risks to the Company. Based on this assessment for 2024, the Compensation and Human Capital Committee determined that the risk profile is appropriate and substantial risk management features are incorporated into our compensation programs. This determination reflects the following conclusions from the detailed risk assessment: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there is appropriate balance to mitigate compensation-related risk in the executive compensation programs’ designs between fixed and variable pay, cash and stock components, annual and long-term measures, financial and non-financial measures and formulaic and discretionary decisions;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there are appropriate policies in place to mitigate compensation-related risk, including the Compensation and Human Capital Committee’s and its advisor’s independence, transparent disclosure, officer stock ownership guidelines and holding period requirements, and hedging and recoupment policies;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there are no incentive or commission arrangements below the executive level that potentially encourage excessive risk-taking behavior.</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Tax Deductibility of Pay</w:t>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Section 162(m) of the Internal Revenue Code generally limits the annual tax deduction to $1 million per person for compensation paid to the Company’s ”covered employees,” defined to include the CEO, CFO, and the next three highest-paid NEOs excluding the CEO and CFO. The limitation also applies to individuals who were covered employees in any year after 2016.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734695"/>
                <wp:effectExtent l="0" t="0" r="0" b="0"/>
                <wp:wrapNone/>
                <wp:docPr id="306" name="Frame7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68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Executive Compensation</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Compensation and Human Capital Committee Report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Compensation and Human Capital Committee reviewed and discussed the CD&amp;A with management. Based on such review and discussion, the Compensation and Human Capital Committee recommended to the Board that the CD&amp;A be included in this Proxy Statement. The Board has approved the recommendation.</w:t>
      </w:r>
    </w:p>
    <w:p>
      <w:pPr>
        <w:pStyle w:val="TextBody"/>
        <w:bidi w:val="0"/>
        <w:spacing w:lineRule="auto" w:line="288" w:before="0" w:after="0"/>
        <w:jc w:val="left"/>
        <w:rPr>
          <w:rFonts w:ascii="Futura Std Book;sans-serif" w:hAnsi="Futura Std Book;sans-serif"/>
          <w:b/>
          <w:color w:val="000000"/>
          <w:sz w:val="18"/>
        </w:rPr>
      </w:pPr>
      <w:r>
        <w:rPr>
          <w:rFonts w:ascii="Futura Std Book;sans-serif" w:hAnsi="Futura Std Book;sans-serif"/>
          <w:b/>
          <w:color w:val="000000"/>
          <w:sz w:val="18"/>
        </w:rPr>
        <w:t>Compensation and Human Capital Committee</w:t>
      </w:r>
    </w:p>
    <w:p>
      <w:pPr>
        <w:pStyle w:val="TextBody"/>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David P. Abney, Chair</w:t>
        <w:br/>
        <w:t>Madeleine A. Kleiner</w:t>
      </w:r>
    </w:p>
    <w:p>
      <w:pPr>
        <w:pStyle w:val="TextBody"/>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Arvind Krishna</w:t>
      </w:r>
    </w:p>
    <w:p>
      <w:pPr>
        <w:pStyle w:val="TextBody"/>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Graham N. Robinson</w:t>
        <w:br/>
        <w:t>Gary Roughead</w:t>
      </w:r>
    </w:p>
    <w:p>
      <w:pPr>
        <w:pStyle w:val="TextBody"/>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Mary A. Winston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554990"/>
                <wp:effectExtent l="0" t="0" r="0" b="0"/>
                <wp:wrapNone/>
                <wp:docPr id="307" name="Frame7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Summary Compensation Table</w:t>
      </w:r>
    </w:p>
    <w:tbl>
      <w:tblPr>
        <w:tblW w:w="10205" w:type="dxa"/>
        <w:jc w:val="left"/>
        <w:tblInd w:w="0" w:type="dxa"/>
        <w:tblLayout w:type="fixed"/>
        <w:tblCellMar>
          <w:top w:w="28" w:type="dxa"/>
          <w:left w:w="28" w:type="dxa"/>
          <w:bottom w:w="28" w:type="dxa"/>
          <w:right w:w="28" w:type="dxa"/>
        </w:tblCellMar>
      </w:tblPr>
      <w:tblGrid>
        <w:gridCol w:w="395"/>
        <w:gridCol w:w="308"/>
        <w:gridCol w:w="310"/>
        <w:gridCol w:w="174"/>
        <w:gridCol w:w="174"/>
        <w:gridCol w:w="178"/>
        <w:gridCol w:w="488"/>
        <w:gridCol w:w="488"/>
        <w:gridCol w:w="206"/>
        <w:gridCol w:w="203"/>
        <w:gridCol w:w="203"/>
        <w:gridCol w:w="186"/>
        <w:gridCol w:w="540"/>
        <w:gridCol w:w="541"/>
        <w:gridCol w:w="231"/>
        <w:gridCol w:w="580"/>
        <w:gridCol w:w="406"/>
        <w:gridCol w:w="407"/>
        <w:gridCol w:w="603"/>
        <w:gridCol w:w="399"/>
        <w:gridCol w:w="400"/>
        <w:gridCol w:w="576"/>
        <w:gridCol w:w="402"/>
        <w:gridCol w:w="403"/>
        <w:gridCol w:w="540"/>
        <w:gridCol w:w="541"/>
        <w:gridCol w:w="161"/>
        <w:gridCol w:w="162"/>
      </w:tblGrid>
      <w:tr>
        <w:trPr/>
        <w:tc>
          <w:tcPr>
            <w:tcW w:w="3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tcBorders/>
            <w:tcMar>
              <w:top w:w="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color w:val="000000"/>
                <w:sz w:val="13"/>
              </w:rPr>
            </w:pPr>
            <w:r>
              <w:rPr>
                <w:rFonts w:ascii="Futura Std Book;sans-serif" w:hAnsi="Futura Std Book;sans-serif"/>
                <w:b/>
                <w:color w:val="000000"/>
                <w:sz w:val="13"/>
              </w:rPr>
              <w:t>Name &amp; Principal Position</w:t>
            </w:r>
          </w:p>
        </w:tc>
        <w:tc>
          <w:tcPr>
            <w:tcW w:w="52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3"/>
              </w:rPr>
            </w:pPr>
            <w:r>
              <w:rPr>
                <w:rFonts w:ascii="Futura Std Book;sans-serif" w:hAnsi="Futura Std Book;sans-serif"/>
                <w:b/>
                <w:color w:val="000000"/>
                <w:sz w:val="13"/>
              </w:rPr>
              <w:t xml:space="preserve">Year </w:t>
            </w:r>
          </w:p>
        </w:tc>
        <w:tc>
          <w:tcPr>
            <w:tcW w:w="1182"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Futura Std Book;sans-serif" w:hAnsi="Futura Std Book;sans-serif"/>
                <w:b/>
                <w:color w:val="000000"/>
                <w:sz w:val="13"/>
              </w:rPr>
              <w:t>Salary</w:t>
            </w:r>
            <w:r>
              <w:rPr>
                <w:rFonts w:ascii="Futura Std Book;sans-serif" w:hAnsi="Futura Std Book;sans-serif"/>
                <w:b/>
                <w:color w:val="000000"/>
                <w:sz w:val="8"/>
              </w:rPr>
              <w:t>(1)</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59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Bonus</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31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 xml:space="preserve">Stock </w:t>
            </w:r>
          </w:p>
          <w:p>
            <w:pPr>
              <w:pStyle w:val="TableContents"/>
              <w:bidi w:val="0"/>
              <w:spacing w:lineRule="auto" w:line="276" w:before="0" w:after="0"/>
              <w:jc w:val="right"/>
              <w:rPr/>
            </w:pPr>
            <w:r>
              <w:rPr>
                <w:rFonts w:ascii="Futura Std Book;sans-serif" w:hAnsi="Futura Std Book;sans-serif"/>
                <w:b/>
                <w:color w:val="000000"/>
                <w:sz w:val="13"/>
              </w:rPr>
              <w:t>Awards</w:t>
            </w:r>
            <w:r>
              <w:rPr>
                <w:rFonts w:ascii="Futura Std Book;sans-serif" w:hAnsi="Futura Std Book;sans-serif"/>
                <w:b/>
                <w:color w:val="000000"/>
                <w:sz w:val="8"/>
              </w:rPr>
              <w:t>(2)</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393"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Futura Std Book;sans-serif" w:hAnsi="Futura Std Book;sans-serif"/>
                <w:b/>
                <w:color w:val="000000"/>
                <w:sz w:val="13"/>
              </w:rPr>
              <w:t>Non-Equity Incentive Plan Compensation</w:t>
            </w:r>
            <w:r>
              <w:rPr>
                <w:rFonts w:ascii="Futura Std Book;sans-serif" w:hAnsi="Futura Std Book;sans-serif"/>
                <w:b/>
                <w:color w:val="000000"/>
                <w:sz w:val="8"/>
              </w:rPr>
              <w:t>(3)</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02"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Futura Std Book;sans-serif" w:hAnsi="Futura Std Book;sans-serif"/>
                <w:b/>
                <w:color w:val="000000"/>
                <w:sz w:val="13"/>
              </w:rPr>
              <w:t>Change in Pension Value and Non-Qualified Deferred Compensation Earnings</w:t>
            </w:r>
            <w:r>
              <w:rPr>
                <w:rFonts w:ascii="Futura Std Book;sans-serif" w:hAnsi="Futura Std Book;sans-serif"/>
                <w:b/>
                <w:color w:val="000000"/>
                <w:sz w:val="8"/>
              </w:rPr>
              <w:t>(4)</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381"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Futura Std Book;sans-serif" w:hAnsi="Futura Std Book;sans-serif"/>
                <w:b/>
                <w:color w:val="000000"/>
                <w:sz w:val="13"/>
              </w:rPr>
              <w:t>All Other Compensation</w:t>
            </w:r>
            <w:r>
              <w:rPr>
                <w:rFonts w:ascii="Futura Std Book;sans-serif" w:hAnsi="Futura Std Book;sans-serif"/>
                <w:b/>
                <w:color w:val="000000"/>
                <w:sz w:val="8"/>
              </w:rPr>
              <w:t>(5)</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24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 xml:space="preserve">Total </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restart"/>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20" w:after="20"/>
              <w:jc w:val="left"/>
              <w:rPr>
                <w:rFonts w:ascii="Futura Std Book;sans-serif" w:hAnsi="Futura Std Book;sans-serif"/>
                <w:b/>
                <w:color w:val="00249C"/>
                <w:sz w:val="16"/>
              </w:rPr>
            </w:pPr>
            <w:r>
              <w:rPr>
                <w:rFonts w:ascii="Futura Std Book;sans-serif" w:hAnsi="Futura Std Book;sans-serif"/>
                <w:b/>
                <w:color w:val="00249C"/>
                <w:sz w:val="16"/>
              </w:rPr>
              <w:t xml:space="preserve">Kathy J. Warden </w:t>
            </w:r>
          </w:p>
          <w:p>
            <w:pPr>
              <w:pStyle w:val="TableContents"/>
              <w:bidi w:val="0"/>
              <w:spacing w:lineRule="auto" w:line="276" w:before="20" w:after="20"/>
              <w:jc w:val="left"/>
              <w:rPr>
                <w:rFonts w:ascii="Futura Std Book;sans-serif" w:hAnsi="Futura Std Book;sans-serif"/>
                <w:b w:val="false"/>
                <w:color w:val="000000"/>
                <w:sz w:val="16"/>
              </w:rPr>
            </w:pPr>
            <w:r>
              <w:rPr>
                <w:rFonts w:ascii="Futura Std Book;sans-serif" w:hAnsi="Futura Std Book;sans-serif"/>
                <w:b w:val="false"/>
                <w:color w:val="000000"/>
                <w:sz w:val="16"/>
              </w:rPr>
              <w:t>Chair, Chief Executive Officer and President</w:t>
            </w:r>
          </w:p>
        </w:tc>
        <w:tc>
          <w:tcPr>
            <w:tcW w:w="526"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2024</w:t>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1,790,385 </w:t>
            </w:r>
          </w:p>
        </w:tc>
        <w:tc>
          <w:tcPr>
            <w:tcW w:w="20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494949"/>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16,099,810 </w:t>
            </w:r>
          </w:p>
        </w:tc>
        <w:tc>
          <w:tcPr>
            <w:tcW w:w="231" w:type="dxa"/>
            <w:tcBorders>
              <w:top w:val="single" w:sz="8" w:space="0" w:color="494949"/>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5,194,800 </w:t>
            </w:r>
          </w:p>
        </w:tc>
        <w:tc>
          <w:tcPr>
            <w:tcW w:w="407"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266,692 </w:t>
            </w:r>
          </w:p>
        </w:tc>
        <w:tc>
          <w:tcPr>
            <w:tcW w:w="400"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1,007,512 </w:t>
            </w:r>
          </w:p>
        </w:tc>
        <w:tc>
          <w:tcPr>
            <w:tcW w:w="403"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24,359,199 </w:t>
            </w:r>
          </w:p>
        </w:tc>
        <w:tc>
          <w:tcPr>
            <w:tcW w:w="16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BCBEC0"/>
            </w:tcBorders>
            <w:shd w:fill="E1E0EF"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1,730,769 </w:t>
            </w:r>
          </w:p>
        </w:tc>
        <w:tc>
          <w:tcPr>
            <w:tcW w:w="2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16,000,440 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5,082,875 </w:t>
            </w:r>
          </w:p>
        </w:tc>
        <w:tc>
          <w:tcPr>
            <w:tcW w:w="407"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1,205,310 </w:t>
            </w:r>
          </w:p>
        </w:tc>
        <w:tc>
          <w:tcPr>
            <w:tcW w:w="40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718,099 </w:t>
            </w:r>
          </w:p>
        </w:tc>
        <w:tc>
          <w:tcPr>
            <w:tcW w:w="40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24,737,493 </w:t>
            </w:r>
          </w:p>
        </w:tc>
        <w:tc>
          <w:tcPr>
            <w:tcW w:w="16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BCBEC0"/>
            </w:tcBorders>
            <w:shd w:fill="E1E0EF"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2022</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1,640,388 </w:t>
            </w:r>
          </w:p>
        </w:tc>
        <w:tc>
          <w:tcPr>
            <w:tcW w:w="2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14,250,021 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3,979,800 </w:t>
            </w:r>
          </w:p>
        </w:tc>
        <w:tc>
          <w:tcPr>
            <w:tcW w:w="407"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0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801,863 </w:t>
            </w:r>
          </w:p>
        </w:tc>
        <w:tc>
          <w:tcPr>
            <w:tcW w:w="40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20,672,072 </w:t>
            </w:r>
          </w:p>
        </w:tc>
        <w:tc>
          <w:tcPr>
            <w:tcW w:w="16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Kenneth B. Crews (6)</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Chief Financial Officer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2024</w:t>
            </w:r>
          </w:p>
        </w:tc>
        <w:tc>
          <w:tcPr>
            <w:tcW w:w="97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496,367 </w:t>
            </w:r>
          </w:p>
        </w:tc>
        <w:tc>
          <w:tcPr>
            <w:tcW w:w="20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2,423,158 </w:t>
            </w:r>
          </w:p>
        </w:tc>
        <w:tc>
          <w:tcPr>
            <w:tcW w:w="23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532,777 </w:t>
            </w:r>
          </w:p>
        </w:tc>
        <w:tc>
          <w:tcPr>
            <w:tcW w:w="407"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00"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81,251 </w:t>
            </w:r>
          </w:p>
        </w:tc>
        <w:tc>
          <w:tcPr>
            <w:tcW w:w="403"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3,533,553 </w:t>
            </w:r>
          </w:p>
        </w:tc>
        <w:tc>
          <w:tcPr>
            <w:tcW w:w="16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9030" w:type="dxa"/>
            <w:gridSpan w:val="24"/>
            <w:vMerge w:val="restart"/>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9030" w:type="dxa"/>
            <w:gridSpan w:val="24"/>
            <w:vMerge w:val="continue"/>
            <w:tcBorders>
              <w:top w:val="single" w:sz="4" w:space="0" w:color="BCBEC0"/>
            </w:tcBorders>
            <w:tcMar>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13" w:type="dxa"/>
            <w:gridSpan w:val="3"/>
            <w:vMerge w:val="restart"/>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6"/>
              </w:rPr>
              <w:t>Robert J. Fleming (7)</w:t>
            </w:r>
            <w:r>
              <w:rPr>
                <w:rFonts w:ascii="Futura Std Book;sans-serif" w:hAnsi="Futura Std Book;sans-serif"/>
                <w:b w:val="false"/>
                <w:color w:val="000000"/>
                <w:sz w:val="16"/>
              </w:rPr>
              <w:br/>
              <w:t>Corporate Vice President and President, Space Systems</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2024</w:t>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770,193 </w:t>
            </w:r>
          </w:p>
        </w:tc>
        <w:tc>
          <w:tcPr>
            <w:tcW w:w="20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3,399,814 </w:t>
            </w:r>
          </w:p>
        </w:tc>
        <w:tc>
          <w:tcPr>
            <w:tcW w:w="23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1,147,000 </w:t>
            </w:r>
          </w:p>
        </w:tc>
        <w:tc>
          <w:tcPr>
            <w:tcW w:w="40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43,990 </w:t>
            </w:r>
          </w:p>
        </w:tc>
        <w:tc>
          <w:tcPr>
            <w:tcW w:w="400"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311,758 </w:t>
            </w:r>
          </w:p>
        </w:tc>
        <w:tc>
          <w:tcPr>
            <w:tcW w:w="40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5,672,755 </w:t>
            </w:r>
          </w:p>
        </w:tc>
        <w:tc>
          <w:tcPr>
            <w:tcW w:w="16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DBDBDB"/>
            </w:tcBorders>
            <w:shd w:fill="DFDEEE" w:val="clear"/>
            <w:tcMar>
              <w:top w:w="30" w:type="dxa"/>
              <w:left w:w="0" w:type="dxa"/>
              <w:bottom w:w="0" w:type="dxa"/>
              <w:right w:w="0" w:type="dxa"/>
            </w:tcMar>
            <w:vAlign w:val="center"/>
          </w:tcPr>
          <w:p>
            <w:pPr>
              <w:pStyle w:val="Normal"/>
              <w:bidi w:val="0"/>
              <w:jc w:val="left"/>
              <w:rPr/>
            </w:pPr>
            <w:r>
              <w:rPr/>
            </w:r>
          </w:p>
        </w:tc>
        <w:tc>
          <w:tcPr>
            <w:tcW w:w="9030" w:type="dxa"/>
            <w:gridSpan w:val="24"/>
            <w:vMerge w:val="restart"/>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DBDBDB"/>
            </w:tcBorders>
            <w:shd w:fill="DFDEEE" w:val="clear"/>
            <w:tcMar>
              <w:top w:w="30" w:type="dxa"/>
              <w:left w:w="0" w:type="dxa"/>
              <w:bottom w:w="0" w:type="dxa"/>
              <w:right w:w="0" w:type="dxa"/>
            </w:tcMar>
            <w:vAlign w:val="center"/>
          </w:tcPr>
          <w:p>
            <w:pPr>
              <w:pStyle w:val="Normal"/>
              <w:bidi w:val="0"/>
              <w:jc w:val="left"/>
              <w:rPr/>
            </w:pPr>
            <w:r>
              <w:rPr/>
            </w:r>
          </w:p>
        </w:tc>
        <w:tc>
          <w:tcPr>
            <w:tcW w:w="9030" w:type="dxa"/>
            <w:gridSpan w:val="24"/>
            <w:vMerge w:val="continue"/>
            <w:tcBorders>
              <w:top w:val="single" w:sz="4" w:space="0" w:color="BCBEC0"/>
            </w:tcBorders>
            <w:shd w:fill="DFDEEE" w:val="clear"/>
            <w:tcMar>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13"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 xml:space="preserve">Thomas H. Jones </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Corporate Vice President and President, Aeronautics Systems</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2024</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810,192 </w:t>
            </w:r>
          </w:p>
        </w:tc>
        <w:tc>
          <w:tcPr>
            <w:tcW w:w="2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3,399,814 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1,206,200 </w:t>
            </w:r>
          </w:p>
        </w:tc>
        <w:tc>
          <w:tcPr>
            <w:tcW w:w="40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0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273,695 </w:t>
            </w:r>
          </w:p>
        </w:tc>
        <w:tc>
          <w:tcPr>
            <w:tcW w:w="40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5,689,901 </w:t>
            </w:r>
          </w:p>
        </w:tc>
        <w:tc>
          <w:tcPr>
            <w:tcW w:w="1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785,192 </w:t>
            </w:r>
          </w:p>
        </w:tc>
        <w:tc>
          <w:tcPr>
            <w:tcW w:w="2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3,200,380 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1,240,300 </w:t>
            </w:r>
          </w:p>
        </w:tc>
        <w:tc>
          <w:tcPr>
            <w:tcW w:w="40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0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270,042 </w:t>
            </w:r>
          </w:p>
        </w:tc>
        <w:tc>
          <w:tcPr>
            <w:tcW w:w="40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5,495,914 </w:t>
            </w:r>
          </w:p>
        </w:tc>
        <w:tc>
          <w:tcPr>
            <w:tcW w:w="1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2022</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762,117 </w:t>
            </w:r>
          </w:p>
        </w:tc>
        <w:tc>
          <w:tcPr>
            <w:tcW w:w="2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2,999,816 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1,025,100 </w:t>
            </w:r>
          </w:p>
        </w:tc>
        <w:tc>
          <w:tcPr>
            <w:tcW w:w="40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0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282,197 </w:t>
            </w:r>
          </w:p>
        </w:tc>
        <w:tc>
          <w:tcPr>
            <w:tcW w:w="40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5,069,230 </w:t>
            </w:r>
          </w:p>
        </w:tc>
        <w:tc>
          <w:tcPr>
            <w:tcW w:w="1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restart"/>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6"/>
              </w:rPr>
              <w:t xml:space="preserve">Roshan S. Roeder </w:t>
            </w:r>
            <w:r>
              <w:rPr>
                <w:rFonts w:ascii="Futura Std Book;sans-serif" w:hAnsi="Futura Std Book;sans-serif"/>
                <w:b w:val="false"/>
                <w:color w:val="000000"/>
                <w:sz w:val="16"/>
              </w:rPr>
              <w:br/>
              <w:t>Corporate Vice President and President, Mission Systems</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2024</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770,193 </w:t>
            </w:r>
          </w:p>
        </w:tc>
        <w:tc>
          <w:tcPr>
            <w:tcW w:w="2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3,399,814 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1,147,000 </w:t>
            </w:r>
          </w:p>
        </w:tc>
        <w:tc>
          <w:tcPr>
            <w:tcW w:w="407"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70,844 </w:t>
            </w:r>
          </w:p>
        </w:tc>
        <w:tc>
          <w:tcPr>
            <w:tcW w:w="40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166,407 </w:t>
            </w:r>
          </w:p>
        </w:tc>
        <w:tc>
          <w:tcPr>
            <w:tcW w:w="40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5,554,258 </w:t>
            </w:r>
          </w:p>
        </w:tc>
        <w:tc>
          <w:tcPr>
            <w:tcW w:w="16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DBDBDB"/>
            </w:tcBorders>
            <w:shd w:fill="DFDEEE" w:val="clear"/>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w:t>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750,000 </w:t>
            </w:r>
          </w:p>
        </w:tc>
        <w:tc>
          <w:tcPr>
            <w:tcW w:w="20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3,149,450 </w:t>
            </w:r>
          </w:p>
        </w:tc>
        <w:tc>
          <w:tcPr>
            <w:tcW w:w="23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1,177,500 </w:t>
            </w:r>
          </w:p>
        </w:tc>
        <w:tc>
          <w:tcPr>
            <w:tcW w:w="40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238,461 </w:t>
            </w:r>
          </w:p>
        </w:tc>
        <w:tc>
          <w:tcPr>
            <w:tcW w:w="400"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116,021 </w:t>
            </w:r>
          </w:p>
        </w:tc>
        <w:tc>
          <w:tcPr>
            <w:tcW w:w="40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5,431,432 </w:t>
            </w:r>
          </w:p>
        </w:tc>
        <w:tc>
          <w:tcPr>
            <w:tcW w:w="16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DBDBDB"/>
            </w:tcBorders>
            <w:shd w:fill="DFDEEE" w:val="clear"/>
            <w:tcMar>
              <w:top w:w="30" w:type="dxa"/>
              <w:left w:w="0" w:type="dxa"/>
              <w:bottom w:w="0" w:type="dxa"/>
              <w:right w:w="0" w:type="dxa"/>
            </w:tcMar>
            <w:vAlign w:val="center"/>
          </w:tcPr>
          <w:p>
            <w:pPr>
              <w:pStyle w:val="Normal"/>
              <w:bidi w:val="0"/>
              <w:jc w:val="left"/>
              <w:rPr/>
            </w:pPr>
            <w:r>
              <w:rPr/>
            </w:r>
          </w:p>
        </w:tc>
        <w:tc>
          <w:tcPr>
            <w:tcW w:w="9030" w:type="dxa"/>
            <w:gridSpan w:val="24"/>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restart"/>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David F. Keffer (8)</w:t>
            </w:r>
          </w:p>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Former Corporate Vice President and Chief Financial Officer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2024</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875,192 </w:t>
            </w:r>
          </w:p>
        </w:tc>
        <w:tc>
          <w:tcPr>
            <w:tcW w:w="2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3,749,803 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1,094,016 </w:t>
            </w:r>
          </w:p>
        </w:tc>
        <w:tc>
          <w:tcPr>
            <w:tcW w:w="40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0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258,282 </w:t>
            </w:r>
          </w:p>
        </w:tc>
        <w:tc>
          <w:tcPr>
            <w:tcW w:w="40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5,977,293 </w:t>
            </w:r>
          </w:p>
        </w:tc>
        <w:tc>
          <w:tcPr>
            <w:tcW w:w="1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DBDBDB"/>
              <w:bottom w:val="single" w:sz="8" w:space="0" w:color="DBDBDB"/>
            </w:tcBorders>
            <w:tcMar>
              <w:top w:w="30" w:type="dxa"/>
              <w:left w:w="0" w:type="dxa"/>
              <w:bottom w:w="30" w:type="dxa"/>
              <w:right w:w="0" w:type="dxa"/>
            </w:tcMar>
            <w:vAlign w:val="center"/>
          </w:tcPr>
          <w:p>
            <w:pPr>
              <w:pStyle w:val="Normal"/>
              <w:bidi w:val="0"/>
              <w:jc w:val="left"/>
              <w:rPr/>
            </w:pPr>
            <w:r>
              <w:rPr/>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2023</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849,039 </w:t>
            </w:r>
          </w:p>
        </w:tc>
        <w:tc>
          <w:tcPr>
            <w:tcW w:w="2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3,399,870 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1,409,468 </w:t>
            </w:r>
          </w:p>
        </w:tc>
        <w:tc>
          <w:tcPr>
            <w:tcW w:w="40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0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228,011 </w:t>
            </w:r>
          </w:p>
        </w:tc>
        <w:tc>
          <w:tcPr>
            <w:tcW w:w="40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5,886,388 </w:t>
            </w:r>
          </w:p>
        </w:tc>
        <w:tc>
          <w:tcPr>
            <w:tcW w:w="1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13" w:type="dxa"/>
            <w:gridSpan w:val="3"/>
            <w:vMerge w:val="continue"/>
            <w:tcBorders>
              <w:top w:val="single" w:sz="8" w:space="0" w:color="DBDBDB"/>
              <w:bottom w:val="single" w:sz="8" w:space="0" w:color="DBDBDB"/>
            </w:tcBorders>
            <w:tcMar>
              <w:top w:w="30" w:type="dxa"/>
              <w:left w:w="0" w:type="dxa"/>
              <w:bottom w:w="30" w:type="dxa"/>
              <w:right w:w="0" w:type="dxa"/>
            </w:tcMar>
            <w:vAlign w:val="center"/>
          </w:tcPr>
          <w:p>
            <w:pPr>
              <w:pStyle w:val="Normal"/>
              <w:bidi w:val="0"/>
              <w:jc w:val="left"/>
              <w:rPr/>
            </w:pPr>
            <w:r>
              <w:rPr/>
            </w:r>
          </w:p>
        </w:tc>
        <w:tc>
          <w:tcPr>
            <w:tcW w:w="526"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2022</w:t>
            </w:r>
          </w:p>
        </w:tc>
        <w:tc>
          <w:tcPr>
            <w:tcW w:w="97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819,387 </w:t>
            </w:r>
          </w:p>
        </w:tc>
        <w:tc>
          <w:tcPr>
            <w:tcW w:w="20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8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3,200,346 </w:t>
            </w:r>
          </w:p>
        </w:tc>
        <w:tc>
          <w:tcPr>
            <w:tcW w:w="23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1,104,160 </w:t>
            </w:r>
          </w:p>
        </w:tc>
        <w:tc>
          <w:tcPr>
            <w:tcW w:w="407"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00"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211,043 </w:t>
            </w:r>
          </w:p>
        </w:tc>
        <w:tc>
          <w:tcPr>
            <w:tcW w:w="403"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5,334,936 </w:t>
            </w:r>
          </w:p>
        </w:tc>
        <w:tc>
          <w:tcPr>
            <w:tcW w:w="16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(1)Includes amounts deferred under qualified savings and nonqualified deferred compensation plans.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(2)Represents the grant date aggregate fair value of RPSRs and RSRs granted during the periods presented. The fair value of awards was computed in accordance with Financial Accounting Standards Board (FASB) Accounting Standards Codification (ASC) Topic 718, excluding any assumed forfeitures. Assumptions used in the calculation of these amounts are disclosed in Note 13 of the Company’s 2024 Form 10-K. The maximum grant date fair values of the 2024 RPSRs are as follows (grants assume a 200% maximum payout):</w:t>
      </w:r>
    </w:p>
    <w:tbl>
      <w:tblPr>
        <w:tblW w:w="3974" w:type="dxa"/>
        <w:jc w:val="left"/>
        <w:tblInd w:w="0" w:type="dxa"/>
        <w:tblLayout w:type="fixed"/>
        <w:tblCellMar>
          <w:top w:w="28" w:type="dxa"/>
          <w:left w:w="28" w:type="dxa"/>
          <w:bottom w:w="28" w:type="dxa"/>
          <w:right w:w="28" w:type="dxa"/>
        </w:tblCellMar>
      </w:tblPr>
      <w:tblGrid>
        <w:gridCol w:w="438"/>
        <w:gridCol w:w="385"/>
        <w:gridCol w:w="391"/>
        <w:gridCol w:w="808"/>
        <w:gridCol w:w="808"/>
        <w:gridCol w:w="1144"/>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760"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Maximum Grant Date Fair Value ($)</w:t>
            </w:r>
          </w:p>
        </w:tc>
      </w:tr>
      <w:tr>
        <w:trPr/>
        <w:tc>
          <w:tcPr>
            <w:tcW w:w="1214" w:type="dxa"/>
            <w:gridSpan w:val="3"/>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161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22,539,836 </w:t>
            </w:r>
          </w:p>
        </w:tc>
        <w:tc>
          <w:tcPr>
            <w:tcW w:w="114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Crews</w:t>
            </w:r>
          </w:p>
        </w:tc>
        <w:tc>
          <w:tcPr>
            <w:tcW w:w="161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3,405,892 </w:t>
            </w:r>
          </w:p>
        </w:tc>
        <w:tc>
          <w:tcPr>
            <w:tcW w:w="114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Dr. Fleming</w:t>
            </w:r>
          </w:p>
        </w:tc>
        <w:tc>
          <w:tcPr>
            <w:tcW w:w="161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4,759,426 </w:t>
            </w:r>
          </w:p>
        </w:tc>
        <w:tc>
          <w:tcPr>
            <w:tcW w:w="114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161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4,759,426 </w:t>
            </w:r>
          </w:p>
        </w:tc>
        <w:tc>
          <w:tcPr>
            <w:tcW w:w="114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Roeder</w:t>
            </w:r>
          </w:p>
        </w:tc>
        <w:tc>
          <w:tcPr>
            <w:tcW w:w="161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4,759,426 </w:t>
            </w:r>
          </w:p>
        </w:tc>
        <w:tc>
          <w:tcPr>
            <w:tcW w:w="114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Keffer</w:t>
            </w:r>
          </w:p>
        </w:tc>
        <w:tc>
          <w:tcPr>
            <w:tcW w:w="161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5,249,842 </w:t>
            </w:r>
          </w:p>
        </w:tc>
        <w:tc>
          <w:tcPr>
            <w:tcW w:w="1144"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(3)These amounts were paid pursuant to the Company’s AIP and includes amounts deferred under the qualified savings and nonqualified deferred compensation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734695"/>
                <wp:effectExtent l="0" t="0" r="0" b="0"/>
                <wp:wrapNone/>
                <wp:docPr id="308" name="Frame7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(4)These amounts relate solely to the increased present value of the NEO’s pension plan benefits using mandatory SEC assumptions (see the descriptions of these plans under the Pension Benefits Table on page </w:t>
      </w:r>
      <w:hyperlink w:anchor="idc6f358a7ea345daa8bbc8a5ea69f8d5_154">
        <w:r>
          <w:rPr>
            <w:rStyle w:val="InternetLink"/>
            <w:rFonts w:ascii="Futura Std Book;sans-serif" w:hAnsi="Futura Std Book;sans-serif"/>
            <w:b w:val="false"/>
            <w:strike w:val="false"/>
            <w:dstrike w:val="false"/>
            <w:color w:val="000000"/>
            <w:sz w:val="16"/>
            <w:u w:val="none"/>
            <w:effect w:val="none"/>
          </w:rPr>
          <w:t>75</w:t>
        </w:r>
      </w:hyperlink>
      <w:r>
        <w:rPr>
          <w:rFonts w:ascii="Futura Std Book;sans-serif" w:hAnsi="Futura Std Book;sans-serif"/>
          <w:b w:val="false"/>
          <w:color w:val="000000"/>
          <w:sz w:val="16"/>
        </w:rPr>
        <w:t>). The amount accrued in each year differs from the amount accrued in prior years due to an increase in age, service and pay (salary and bonus). The change in pension value is also highly sensitive to changes in the interest rate used to determine the present value of the payments to be made over the life of the executive.</w:t>
      </w:r>
    </w:p>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In 2024, the aggregate change in actuarial present value of pension benefits is a negative amount for Mr. Crews (-$3,821), due primarily to increased interest rates. In accordance with SEC rules, the negative amount is reported as $0 in the above table.</w:t>
      </w:r>
    </w:p>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Mr. Jones and Mr. Keffer were hired after the Company’s defined benefit pension plans were closed to new entrants, and as a result, they do not participate in any defined benefit pension plans.</w:t>
      </w:r>
    </w:p>
    <w:p>
      <w:pPr>
        <w:pStyle w:val="TextBody"/>
        <w:bidi w:val="0"/>
        <w:spacing w:lineRule="auto" w:line="288" w:before="80" w:after="80"/>
        <w:jc w:val="left"/>
        <w:rPr/>
      </w:pPr>
      <w:r>
        <w:rPr>
          <w:rFonts w:ascii="Futura Std Book;sans-serif" w:hAnsi="Futura Std Book;sans-serif"/>
          <w:b w:val="false"/>
          <w:color w:val="000000"/>
          <w:sz w:val="16"/>
        </w:rPr>
        <w:t xml:space="preserve">There were no above-market earnings in the nonqualified deferred compensation plans (see the descriptions of these plans under the Nonqualified Deferred Compensation Table on page </w:t>
      </w:r>
      <w:hyperlink w:anchor="idc6f358a7ea345daa8bbc8a5ea69f8d5_157">
        <w:r>
          <w:rPr>
            <w:rStyle w:val="InternetLink"/>
            <w:rFonts w:ascii="Futura Std Book;sans-serif" w:hAnsi="Futura Std Book;sans-serif"/>
            <w:b w:val="false"/>
            <w:strike w:val="false"/>
            <w:dstrike w:val="false"/>
            <w:color w:val="000000"/>
            <w:sz w:val="16"/>
            <w:u w:val="none"/>
            <w:effect w:val="none"/>
          </w:rPr>
          <w:t>78</w:t>
        </w:r>
      </w:hyperlink>
      <w:r>
        <w:rPr>
          <w:rFonts w:ascii="Futura Std Book;sans-serif" w:hAnsi="Futura Std Book;sans-serif"/>
          <w:b w:val="false"/>
          <w:color w:val="000000"/>
          <w:sz w:val="16"/>
        </w:rPr>
        <w:t xml:space="preserve">). </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(5)    Amounts include, as applicable, (a) the value of perquisites and personal benefits, (b) basic life insurance premiums, (c) matching contributions through the Northrop Grumman Foundation made to eligible educational institutions and to non-profit organizations under a Company program, (d) Company contributions to defined contribution and deferred compensation plans, and (e) with respect to Dr. Fleming, a one-time tax gross-up of $71,889 to cover costs incurred in connection with a Company-required relocation in accordance with our relocation policy. Where the value of the items reported in a particular category for an NEO exceeded $10,000 in 2024 (other than perquisites and personal benefits, which are subject to different thresholds as described below), those items are identified and quantified below.</w:t>
      </w:r>
    </w:p>
    <w:p>
      <w:pPr>
        <w:pStyle w:val="TextBody"/>
        <w:bidi w:val="0"/>
        <w:spacing w:lineRule="auto" w:line="288" w:before="80" w:after="80"/>
        <w:jc w:val="left"/>
        <w:rPr/>
      </w:pPr>
      <w:r>
        <w:rPr>
          <w:rFonts w:ascii="Futura Std Book;sans-serif" w:hAnsi="Futura Std Book;sans-serif"/>
          <w:b w:val="false"/>
          <w:color w:val="29378D"/>
          <w:sz w:val="16"/>
        </w:rPr>
        <w:t>Perquisites and Personal Benefits</w:t>
      </w:r>
      <w:r>
        <w:rPr>
          <w:color w:val="000000"/>
        </w:rPr>
        <w:t xml:space="preserve"> – </w:t>
      </w:r>
      <w:r>
        <w:rPr>
          <w:rFonts w:ascii="Futura Std Book;sans-serif" w:hAnsi="Futura Std Book;sans-serif"/>
          <w:b w:val="false"/>
          <w:color w:val="000000"/>
          <w:sz w:val="16"/>
        </w:rPr>
        <w:t>Perquisites and other personal benefits provided to certain NEOs are as follows: security, travel-related perquisites (including use of Company aircraft and ground transportation services for personal travel and incidental expenses for family members if accompanying the NEO while on business travel), financial planning/income tax preparation services, insurance premiums paid by the Company on the NEO’s behalf, executive physicals and other nominal perquisites or personal benefits. We determine the incremental cost for perquisites and personal benefits based on costs or charges incurred by the Company for the benefits.</w:t>
      </w:r>
    </w:p>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As discussed in “Key Components of Our Executive Compensation Programs - Security Arrangements,” the Company provides NEOs with certain residential and travel security protection due to the nature of our business and security threat information. The amounts reflected in the “All Other Compensation” column include expenses for certain residential and travel security that we treat as perquisites under relevant SEC guidance, even though the need for such expenses arises from the risks associated with their positions with the Company. The Company calculates the cost of travel security coverage based on the hourly rates and overhead fees charged directly to the Company by the firms providing security personnel. If Company security personnel are used, their hourly rates are used to calculate the cost of coverage. The Company calculates the value of personal use of Company aircraft based on the incremental cost of each element. Fixed costs that would be incurred in any event to operate Company aircraft (e.g., aircraft purchase costs, maintenance not related to personal trips and flight crew salaries) are not included.</w:t>
      </w:r>
    </w:p>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The cost of any category of the listed perquisites and personal benefits did not exceed the greater of $25,000 or 10% of total perquisites and personal benefits for any NEO in 2024, except for the following:</w:t>
      </w:r>
    </w:p>
    <w:p>
      <w:pPr>
        <w:pStyle w:val="TextBody"/>
        <w:bidi w:val="0"/>
        <w:spacing w:lineRule="auto" w:line="288" w:before="80" w:after="283"/>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i.Ms. Warden: costs attributable to security protection ($415,952), which includes personal travel on Company aircraft consistent with the Company’s security program ($252,182); and</w:t>
      </w:r>
    </w:p>
    <w:p>
      <w:pPr>
        <w:pStyle w:val="TextBody"/>
        <w:bidi w:val="0"/>
        <w:spacing w:lineRule="auto" w:line="288" w:before="80" w:after="283"/>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ii.Dr. Fleming: costs attributable to relocation ($115,541).</w:t>
      </w:r>
    </w:p>
    <w:p>
      <w:pPr>
        <w:pStyle w:val="TextBody"/>
        <w:bidi w:val="0"/>
        <w:spacing w:lineRule="auto" w:line="288" w:before="80" w:after="80"/>
        <w:jc w:val="left"/>
        <w:rPr/>
      </w:pPr>
      <w:r>
        <w:rPr>
          <w:rFonts w:ascii="Futura Std Book;sans-serif" w:hAnsi="Futura Std Book;sans-serif"/>
          <w:b w:val="false"/>
          <w:color w:val="29378D"/>
          <w:sz w:val="16"/>
        </w:rPr>
        <w:t>Contributions to Plans</w:t>
      </w:r>
      <w:r>
        <w:rPr>
          <w:color w:val="29378D"/>
        </w:rPr>
        <w:t xml:space="preserve"> </w:t>
      </w:r>
      <w:r>
        <w:rPr>
          <w:color w:val="000000"/>
        </w:rPr>
        <w:t xml:space="preserve">– </w:t>
      </w:r>
      <w:r>
        <w:rPr>
          <w:rFonts w:ascii="Futura Std Book;sans-serif" w:hAnsi="Futura Std Book;sans-serif"/>
          <w:b w:val="false"/>
          <w:color w:val="000000"/>
          <w:sz w:val="16"/>
        </w:rPr>
        <w:t>In 2024, we made the following Company contributions to the defined contribution and deferred compensation plans:</w:t>
      </w:r>
    </w:p>
    <w:tbl>
      <w:tblPr>
        <w:tblW w:w="3343" w:type="dxa"/>
        <w:jc w:val="left"/>
        <w:tblInd w:w="0" w:type="dxa"/>
        <w:tblLayout w:type="fixed"/>
        <w:tblCellMar>
          <w:top w:w="28" w:type="dxa"/>
          <w:left w:w="28" w:type="dxa"/>
          <w:bottom w:w="28" w:type="dxa"/>
          <w:right w:w="28" w:type="dxa"/>
        </w:tblCellMar>
      </w:tblPr>
      <w:tblGrid>
        <w:gridCol w:w="438"/>
        <w:gridCol w:w="385"/>
        <w:gridCol w:w="391"/>
        <w:gridCol w:w="623"/>
        <w:gridCol w:w="623"/>
        <w:gridCol w:w="883"/>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12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Company Contributions ($)</w:t>
            </w:r>
          </w:p>
        </w:tc>
      </w:tr>
      <w:tr>
        <w:trPr/>
        <w:tc>
          <w:tcPr>
            <w:tcW w:w="121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124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549,861 </w:t>
            </w:r>
          </w:p>
        </w:tc>
        <w:tc>
          <w:tcPr>
            <w:tcW w:w="883"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Crews</w:t>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57,265 </w:t>
            </w:r>
          </w:p>
        </w:tc>
        <w:tc>
          <w:tcPr>
            <w:tcW w:w="88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Dr. Fleming</w:t>
            </w:r>
          </w:p>
        </w:tc>
        <w:tc>
          <w:tcPr>
            <w:tcW w:w="124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101,505 </w:t>
            </w:r>
          </w:p>
        </w:tc>
        <w:tc>
          <w:tcPr>
            <w:tcW w:w="88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248,569 </w:t>
            </w:r>
          </w:p>
        </w:tc>
        <w:tc>
          <w:tcPr>
            <w:tcW w:w="88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Roeder</w:t>
            </w:r>
          </w:p>
        </w:tc>
        <w:tc>
          <w:tcPr>
            <w:tcW w:w="124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136,339 </w:t>
            </w:r>
          </w:p>
        </w:tc>
        <w:tc>
          <w:tcPr>
            <w:tcW w:w="88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Keffer</w:t>
            </w:r>
          </w:p>
        </w:tc>
        <w:tc>
          <w:tcPr>
            <w:tcW w:w="124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228,466 </w:t>
            </w:r>
          </w:p>
        </w:tc>
        <w:tc>
          <w:tcPr>
            <w:tcW w:w="883"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Futura Std Book;sans-serif" w:hAnsi="Futura Std Book;sans-serif"/>
          <w:b w:val="false"/>
          <w:color w:val="000000"/>
          <w:sz w:val="16"/>
        </w:rPr>
        <w:t>(6)</w:t>
      </w:r>
      <w:r>
        <w:rPr>
          <w:color w:val="000000"/>
        </w:rPr>
        <w:t xml:space="preserve"> </w:t>
      </w:r>
      <w:r>
        <w:rPr>
          <w:rFonts w:ascii="Futura Std Book;sans-serif" w:hAnsi="Futura Std Book;sans-serif"/>
          <w:b w:val="false"/>
          <w:color w:val="000000"/>
          <w:sz w:val="16"/>
        </w:rPr>
        <w:t>Mr. Crews was elected Corporate Vice President and Chief Financial Officer effective October 1, 2024.</w:t>
      </w:r>
    </w:p>
    <w:p>
      <w:pPr>
        <w:pStyle w:val="TextBody"/>
        <w:bidi w:val="0"/>
        <w:spacing w:lineRule="auto" w:line="288" w:before="80" w:after="80"/>
        <w:ind w:left="0" w:right="0" w:hanging="216"/>
        <w:jc w:val="left"/>
        <w:rPr>
          <w:rFonts w:ascii="Futura Std Book;sans-serif" w:hAnsi="Futura Std Book;sans-serif"/>
          <w:b w:val="false"/>
          <w:color w:val="000000"/>
          <w:sz w:val="16"/>
        </w:rPr>
      </w:pPr>
      <w:r>
        <w:rPr>
          <w:rFonts w:ascii="Futura Std Book;sans-serif" w:hAnsi="Futura Std Book;sans-serif"/>
          <w:b w:val="false"/>
          <w:color w:val="000000"/>
          <w:sz w:val="16"/>
        </w:rPr>
        <w:t>(7) Dr. Fleming was elected Corporate Vice President and President Space Systems effective October 9, 2023.</w:t>
      </w:r>
    </w:p>
    <w:p>
      <w:pPr>
        <w:pStyle w:val="TextBody"/>
        <w:bidi w:val="0"/>
        <w:spacing w:lineRule="auto" w:line="288" w:before="80" w:after="80"/>
        <w:ind w:left="0" w:right="0" w:hanging="216"/>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(8) Mr. Keffer was a Corporate Vice President and Chief Financial Officer in 2024. He stepped down from this position effective October 1, 2024 and left the Company February 21, 2025. </w:t>
      </w:r>
    </w:p>
    <w:p>
      <w:pPr>
        <w:pStyle w:val="TextBody"/>
        <w:bidi w:val="0"/>
        <w:spacing w:before="80" w:after="80"/>
        <w:ind w:left="0" w:right="0" w:hanging="21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554990"/>
                <wp:effectExtent l="0" t="0" r="0" b="0"/>
                <wp:wrapNone/>
                <wp:docPr id="309" name="Frame7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bookmarkStart w:id="12" w:name="id623c2d0b0424b1db44992ed64de6a9e_939"/>
      <w:bookmarkEnd w:id="12"/>
      <w:r>
        <w:rPr>
          <w:rFonts w:ascii="Futura Std Book;sans-serif" w:hAnsi="Futura Std Book;sans-serif"/>
          <w:b/>
          <w:color w:val="000000"/>
          <w:sz w:val="36"/>
        </w:rPr>
        <w:t>2024 Grants of Plan-Based Awards</w:t>
      </w:r>
    </w:p>
    <w:tbl>
      <w:tblPr>
        <w:tblW w:w="11214" w:type="dxa"/>
        <w:jc w:val="left"/>
        <w:tblInd w:w="0" w:type="dxa"/>
        <w:tblLayout w:type="fixed"/>
        <w:tblCellMar>
          <w:top w:w="28" w:type="dxa"/>
          <w:left w:w="28" w:type="dxa"/>
          <w:bottom w:w="28" w:type="dxa"/>
          <w:right w:w="28" w:type="dxa"/>
        </w:tblCellMar>
      </w:tblPr>
      <w:tblGrid>
        <w:gridCol w:w="373"/>
        <w:gridCol w:w="262"/>
        <w:gridCol w:w="266"/>
        <w:gridCol w:w="424"/>
        <w:gridCol w:w="424"/>
        <w:gridCol w:w="428"/>
        <w:gridCol w:w="185"/>
        <w:gridCol w:w="170"/>
        <w:gridCol w:w="171"/>
        <w:gridCol w:w="276"/>
        <w:gridCol w:w="276"/>
        <w:gridCol w:w="274"/>
        <w:gridCol w:w="564"/>
        <w:gridCol w:w="412"/>
        <w:gridCol w:w="109"/>
        <w:gridCol w:w="488"/>
        <w:gridCol w:w="488"/>
        <w:gridCol w:w="274"/>
        <w:gridCol w:w="109"/>
        <w:gridCol w:w="109"/>
        <w:gridCol w:w="109"/>
        <w:gridCol w:w="275"/>
        <w:gridCol w:w="275"/>
        <w:gridCol w:w="276"/>
        <w:gridCol w:w="360"/>
        <w:gridCol w:w="361"/>
        <w:gridCol w:w="140"/>
        <w:gridCol w:w="360"/>
        <w:gridCol w:w="361"/>
        <w:gridCol w:w="276"/>
        <w:gridCol w:w="360"/>
        <w:gridCol w:w="361"/>
        <w:gridCol w:w="231"/>
        <w:gridCol w:w="540"/>
        <w:gridCol w:w="541"/>
        <w:gridCol w:w="306"/>
      </w:tblGrid>
      <w:tr>
        <w:trPr/>
        <w:tc>
          <w:tcPr>
            <w:tcW w:w="37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Estimated Future Payouts Under</w:t>
            </w:r>
          </w:p>
          <w:p>
            <w:pPr>
              <w:pStyle w:val="TableContents"/>
              <w:bidi w:val="0"/>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Non-Equity Incentive</w:t>
            </w:r>
          </w:p>
          <w:p>
            <w:pPr>
              <w:pStyle w:val="TableContents"/>
              <w:bidi w:val="0"/>
              <w:spacing w:lineRule="auto" w:line="288" w:before="20" w:after="20"/>
              <w:jc w:val="center"/>
              <w:rPr/>
            </w:pPr>
            <w:r>
              <w:rPr>
                <w:rFonts w:ascii="Futura Std Book;sans-serif" w:hAnsi="Futura Std Book;sans-serif"/>
                <w:b/>
                <w:color w:val="000000"/>
                <w:sz w:val="13"/>
              </w:rPr>
              <w:t>Plan Awards</w:t>
            </w:r>
            <w:r>
              <w:rPr>
                <w:rFonts w:ascii="Futura Std Book;sans-serif" w:hAnsi="Futura Std Book;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Estimated Future Payouts</w:t>
            </w:r>
          </w:p>
          <w:p>
            <w:pPr>
              <w:pStyle w:val="TableContents"/>
              <w:bidi w:val="0"/>
              <w:spacing w:lineRule="auto" w:line="288" w:before="20" w:after="20"/>
              <w:jc w:val="center"/>
              <w:rPr>
                <w:rFonts w:ascii="Futura Std Book;sans-serif" w:hAnsi="Futura Std Book;sans-serif"/>
                <w:b/>
                <w:color w:val="000000"/>
                <w:sz w:val="13"/>
              </w:rPr>
            </w:pPr>
            <w:r>
              <w:rPr>
                <w:rFonts w:ascii="Futura Std Book;sans-serif" w:hAnsi="Futura Std Book;sans-serif"/>
                <w:b/>
                <w:color w:val="000000"/>
                <w:sz w:val="13"/>
              </w:rPr>
              <w:t>Under Equity Incentive</w:t>
            </w:r>
          </w:p>
          <w:p>
            <w:pPr>
              <w:pStyle w:val="TableContents"/>
              <w:bidi w:val="0"/>
              <w:spacing w:lineRule="auto" w:line="288" w:before="20" w:after="20"/>
              <w:jc w:val="center"/>
              <w:rPr/>
            </w:pPr>
            <w:r>
              <w:rPr>
                <w:rFonts w:ascii="Futura Std Book;sans-serif" w:hAnsi="Futura Std Book;sans-serif"/>
                <w:b/>
                <w:color w:val="000000"/>
                <w:sz w:val="13"/>
              </w:rPr>
              <w:t>Plan Awards</w:t>
            </w:r>
            <w:r>
              <w:rPr>
                <w:rFonts w:ascii="Futura Std Book;sans-serif" w:hAnsi="Futura Std Book;sans-serif"/>
                <w:b/>
                <w:color w:val="000000"/>
                <w:sz w:val="8"/>
              </w:rPr>
              <w:t>(2)(3)</w:t>
            </w:r>
          </w:p>
        </w:tc>
        <w:tc>
          <w:tcPr>
            <w:tcW w:w="952" w:type="dxa"/>
            <w:gridSpan w:val="3"/>
            <w:vMerge w:val="restart"/>
            <w:tcBorders/>
            <w:tcMar>
              <w:top w:w="0" w:type="dxa"/>
              <w:left w:w="0" w:type="dxa"/>
              <w:bottom w:w="0" w:type="dxa"/>
              <w:right w:w="0" w:type="dxa"/>
            </w:tcMar>
            <w:vAlign w:val="center"/>
          </w:tcPr>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All Other</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Stock</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Awards:</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Number of</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Shares of</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Stock or</w:t>
            </w:r>
          </w:p>
          <w:p>
            <w:pPr>
              <w:pStyle w:val="TableContents"/>
              <w:bidi w:val="0"/>
              <w:spacing w:lineRule="auto" w:line="288" w:before="20" w:after="20"/>
              <w:jc w:val="right"/>
              <w:rPr/>
            </w:pPr>
            <w:r>
              <w:rPr>
                <w:rFonts w:ascii="Futura Std Book;sans-serif" w:hAnsi="Futura Std Book;sans-serif"/>
                <w:b/>
                <w:color w:val="000000"/>
                <w:sz w:val="13"/>
              </w:rPr>
              <w:t>Units</w:t>
            </w:r>
            <w:r>
              <w:rPr>
                <w:rFonts w:ascii="Futura Std Book;sans-serif" w:hAnsi="Futura Std Book;sans-serif"/>
                <w:b/>
                <w:color w:val="000000"/>
                <w:sz w:val="8"/>
              </w:rPr>
              <w:t>(4)</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387" w:type="dxa"/>
            <w:gridSpan w:val="3"/>
            <w:vMerge w:val="restart"/>
            <w:tcBorders/>
            <w:tcMar>
              <w:top w:w="0" w:type="dxa"/>
              <w:left w:w="0" w:type="dxa"/>
              <w:bottom w:w="0" w:type="dxa"/>
              <w:right w:w="0" w:type="dxa"/>
            </w:tcMar>
            <w:vAlign w:val="center"/>
          </w:tcPr>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Grant</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Date Fair</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Value of</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Stock</w:t>
            </w:r>
          </w:p>
          <w:p>
            <w:pPr>
              <w:pStyle w:val="TableContents"/>
              <w:bidi w:val="0"/>
              <w:spacing w:lineRule="auto" w:line="288" w:before="20" w:after="20"/>
              <w:jc w:val="right"/>
              <w:rPr/>
            </w:pPr>
            <w:r>
              <w:rPr>
                <w:rFonts w:ascii="Futura Std Book;sans-serif" w:hAnsi="Futura Std Book;sans-serif"/>
                <w:b/>
                <w:color w:val="000000"/>
                <w:sz w:val="13"/>
              </w:rPr>
              <w:t>Awards</w:t>
            </w:r>
            <w:r>
              <w:rPr>
                <w:rFonts w:ascii="Futura Std Book;sans-serif" w:hAnsi="Futura Std Book;sans-serif"/>
                <w:b/>
                <w:color w:val="000000"/>
                <w:sz w:val="8"/>
              </w:rPr>
              <w:t>(5)</w:t>
            </w:r>
          </w:p>
          <w:p>
            <w:pPr>
              <w:pStyle w:val="TableContents"/>
              <w:bidi w:val="0"/>
              <w:spacing w:lineRule="auto" w:line="288"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Name</w:t>
            </w:r>
          </w:p>
        </w:tc>
        <w:tc>
          <w:tcPr>
            <w:tcW w:w="127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Grant Type</w:t>
            </w:r>
          </w:p>
        </w:tc>
        <w:tc>
          <w:tcPr>
            <w:tcW w:w="52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3"/>
              </w:rPr>
            </w:pPr>
            <w:r>
              <w:rPr>
                <w:rFonts w:ascii="Futura Std Book;sans-serif" w:hAnsi="Futura Std Book;sans-serif"/>
                <w:b/>
                <w:color w:val="000000"/>
                <w:sz w:val="13"/>
              </w:rPr>
              <w:t>Grant Date</w:t>
            </w:r>
          </w:p>
        </w:tc>
        <w:tc>
          <w:tcPr>
            <w:tcW w:w="82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Threshold</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08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Target</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25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Maximum</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Threshold</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86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Target</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99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Maximum</w:t>
            </w:r>
          </w:p>
          <w:p>
            <w:pPr>
              <w:pStyle w:val="TableContents"/>
              <w:bidi w:val="0"/>
              <w:spacing w:lineRule="auto" w:line="276" w:before="20" w:after="2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952" w:type="dxa"/>
            <w:gridSpan w:val="3"/>
            <w:vMerge w:val="continue"/>
            <w:tcBorders/>
            <w:tcMar>
              <w:top w:w="0" w:type="dxa"/>
              <w:left w:w="0" w:type="dxa"/>
              <w:bottom w:w="0" w:type="dxa"/>
              <w:right w:w="0" w:type="dxa"/>
            </w:tcMar>
            <w:vAlign w:val="center"/>
          </w:tcPr>
          <w:p>
            <w:pPr>
              <w:pStyle w:val="Normal"/>
              <w:bidi w:val="0"/>
              <w:jc w:val="left"/>
              <w:rPr/>
            </w:pPr>
            <w:r>
              <w:rPr/>
            </w:r>
          </w:p>
        </w:tc>
        <w:tc>
          <w:tcPr>
            <w:tcW w:w="13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01" w:type="dxa"/>
            <w:gridSpan w:val="3"/>
            <w:vMerge w:val="restart"/>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1276"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3,510,000 </w:t>
            </w:r>
          </w:p>
        </w:tc>
        <w:tc>
          <w:tcPr>
            <w:tcW w:w="10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7,020,000 </w:t>
            </w:r>
          </w:p>
        </w:tc>
        <w:tc>
          <w:tcPr>
            <w:tcW w:w="27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29378D"/>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24,309 </w:t>
            </w:r>
          </w:p>
        </w:tc>
        <w:tc>
          <w:tcPr>
            <w:tcW w:w="14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48,618 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11,269,918 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11,155 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4,829,892 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127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358,353 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716,706 </w:t>
            </w:r>
          </w:p>
        </w:tc>
        <w:tc>
          <w:tcPr>
            <w:tcW w:w="27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627 </w:t>
            </w:r>
          </w:p>
        </w:tc>
        <w:tc>
          <w:tcPr>
            <w:tcW w:w="14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1,254 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302,935 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269 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120,073 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 (6)</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7/31/2024</w:t>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2,799 </w:t>
            </w:r>
          </w:p>
        </w:tc>
        <w:tc>
          <w:tcPr>
            <w:tcW w:w="14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5,598 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1,400,011 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 (6)</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7/31/2024</w:t>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1,277 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600,139 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1276" w:type="dxa"/>
            <w:gridSpan w:val="3"/>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4"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775,000 </w:t>
            </w:r>
          </w:p>
        </w:tc>
        <w:tc>
          <w:tcPr>
            <w:tcW w:w="109"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1,550,000 </w:t>
            </w:r>
          </w:p>
        </w:tc>
        <w:tc>
          <w:tcPr>
            <w:tcW w:w="274"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tcBorders>
            <w:shd w:fill="DFDEEE" w:val="clear"/>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5,133 </w:t>
            </w:r>
          </w:p>
        </w:tc>
        <w:tc>
          <w:tcPr>
            <w:tcW w:w="14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10,266 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2,379,713 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tcBorders>
            <w:shd w:fill="DFDEEE" w:val="clear"/>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2,356 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1,020,101 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127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815,000 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1,630,000 </w:t>
            </w:r>
          </w:p>
        </w:tc>
        <w:tc>
          <w:tcPr>
            <w:tcW w:w="27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5,133 </w:t>
            </w:r>
          </w:p>
        </w:tc>
        <w:tc>
          <w:tcPr>
            <w:tcW w:w="14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10,266 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2,379,713 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tcBorders>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2,356 </w:t>
            </w:r>
          </w:p>
        </w:tc>
        <w:tc>
          <w:tcPr>
            <w:tcW w:w="2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1,020,101 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Roshan S. Roeder</w:t>
            </w:r>
          </w:p>
        </w:tc>
        <w:tc>
          <w:tcPr>
            <w:tcW w:w="1276" w:type="dxa"/>
            <w:gridSpan w:val="3"/>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4"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775,000 </w:t>
            </w:r>
          </w:p>
        </w:tc>
        <w:tc>
          <w:tcPr>
            <w:tcW w:w="109"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1,550,000 </w:t>
            </w:r>
          </w:p>
        </w:tc>
        <w:tc>
          <w:tcPr>
            <w:tcW w:w="274"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DBDBDB"/>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tcBorders>
            <w:shd w:fill="DFDEEE" w:val="clear"/>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5,133 </w:t>
            </w:r>
          </w:p>
        </w:tc>
        <w:tc>
          <w:tcPr>
            <w:tcW w:w="14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10,266 </w:t>
            </w:r>
          </w:p>
        </w:tc>
        <w:tc>
          <w:tcPr>
            <w:tcW w:w="27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2,379,713 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tcBorders>
            <w:shd w:fill="DFDEEE" w:val="clear"/>
            <w:tcMar>
              <w:top w:w="30" w:type="dxa"/>
              <w:left w:w="0" w:type="dxa"/>
              <w:bottom w:w="0" w:type="dxa"/>
              <w:right w:w="0" w:type="dxa"/>
            </w:tcMar>
            <w:vAlign w:val="center"/>
          </w:tcPr>
          <w:p>
            <w:pPr>
              <w:pStyle w:val="Normal"/>
              <w:bidi w:val="0"/>
              <w:jc w:val="left"/>
              <w:rPr/>
            </w:pPr>
            <w:r>
              <w:rPr/>
            </w:r>
          </w:p>
        </w:tc>
        <w:tc>
          <w:tcPr>
            <w:tcW w:w="127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2,356 </w:t>
            </w:r>
          </w:p>
        </w:tc>
        <w:tc>
          <w:tcPr>
            <w:tcW w:w="2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1,020,101 </w:t>
            </w:r>
          </w:p>
        </w:tc>
        <w:tc>
          <w:tcPr>
            <w:tcW w:w="3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op w:val="single" w:sz="8" w:space="0" w:color="DBDBDB"/>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David F. Keffer</w:t>
            </w:r>
          </w:p>
        </w:tc>
        <w:tc>
          <w:tcPr>
            <w:tcW w:w="127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Incentive Plan</w:t>
            </w:r>
          </w:p>
        </w:tc>
        <w:tc>
          <w:tcPr>
            <w:tcW w:w="5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924,000 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1,848,000 </w:t>
            </w:r>
          </w:p>
        </w:tc>
        <w:tc>
          <w:tcPr>
            <w:tcW w:w="27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bottom w:val="single" w:sz="8" w:space="0" w:color="DBDBDB"/>
            </w:tcBorders>
            <w:tcMar>
              <w:top w:w="30" w:type="dxa"/>
              <w:left w:w="0" w:type="dxa"/>
              <w:bottom w:w="30" w:type="dxa"/>
              <w:right w:w="0" w:type="dxa"/>
            </w:tcMar>
            <w:vAlign w:val="center"/>
          </w:tcPr>
          <w:p>
            <w:pPr>
              <w:pStyle w:val="Normal"/>
              <w:bidi w:val="0"/>
              <w:jc w:val="left"/>
              <w:rPr/>
            </w:pPr>
            <w:r>
              <w:rPr/>
            </w:r>
          </w:p>
        </w:tc>
        <w:tc>
          <w:tcPr>
            <w:tcW w:w="12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RPSR</w:t>
            </w:r>
          </w:p>
        </w:tc>
        <w:tc>
          <w:tcPr>
            <w:tcW w:w="52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5,662 </w:t>
            </w:r>
          </w:p>
        </w:tc>
        <w:tc>
          <w:tcPr>
            <w:tcW w:w="14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11,324 </w:t>
            </w:r>
          </w:p>
        </w:tc>
        <w:tc>
          <w:tcPr>
            <w:tcW w:w="27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2,624,921 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DBDBDB"/>
              <w:bottom w:val="single" w:sz="8" w:space="0" w:color="DBDBDB"/>
            </w:tcBorders>
            <w:tcMar>
              <w:top w:w="30" w:type="dxa"/>
              <w:left w:w="0" w:type="dxa"/>
              <w:bottom w:w="30" w:type="dxa"/>
              <w:right w:w="0" w:type="dxa"/>
            </w:tcMar>
            <w:vAlign w:val="center"/>
          </w:tcPr>
          <w:p>
            <w:pPr>
              <w:pStyle w:val="Normal"/>
              <w:bidi w:val="0"/>
              <w:jc w:val="left"/>
              <w:rPr/>
            </w:pPr>
            <w:r>
              <w:rPr/>
            </w:r>
          </w:p>
        </w:tc>
        <w:tc>
          <w:tcPr>
            <w:tcW w:w="1276" w:type="dxa"/>
            <w:gridSpan w:val="3"/>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RSR</w:t>
            </w:r>
          </w:p>
        </w:tc>
        <w:tc>
          <w:tcPr>
            <w:tcW w:w="526" w:type="dxa"/>
            <w:gridSpan w:val="3"/>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826" w:type="dxa"/>
            <w:gridSpan w:val="3"/>
            <w:tcBorders>
              <w:top w:val="single" w:sz="4" w:space="0" w:color="BCBEC0"/>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BCBEC0"/>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4" w:space="0" w:color="BCBEC0"/>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CBEC0"/>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CBEC0"/>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CBEC0"/>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2,598 </w:t>
            </w:r>
          </w:p>
        </w:tc>
        <w:tc>
          <w:tcPr>
            <w:tcW w:w="231" w:type="dxa"/>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1,124,882 </w:t>
            </w:r>
          </w:p>
        </w:tc>
        <w:tc>
          <w:tcPr>
            <w:tcW w:w="306" w:type="dxa"/>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(1)Represents the potential range of payouts under the Company’s AIP. Actual payouts are shown in the Summary Compensation Table column entitled “Non-Equity Incentive Plan Compensation” on page </w:t>
      </w:r>
      <w:hyperlink w:anchor="idc6f358a7ea345daa8bbc8a5ea69f8d5_142">
        <w:r>
          <w:rPr>
            <w:rStyle w:val="InternetLink"/>
            <w:rFonts w:ascii="Futura Std Book;sans-serif" w:hAnsi="Futura Std Book;sans-serif"/>
            <w:b w:val="false"/>
            <w:strike w:val="false"/>
            <w:dstrike w:val="false"/>
            <w:color w:val="000000"/>
            <w:sz w:val="16"/>
            <w:u w:val="none"/>
            <w:effect w:val="none"/>
          </w:rPr>
          <w:t>70</w:t>
        </w:r>
      </w:hyperlink>
      <w:r>
        <w:rPr>
          <w:rFonts w:ascii="Futura Std Book;sans-serif" w:hAnsi="Futura Std Book;sans-serif"/>
          <w:b w:val="false"/>
          <w:color w:val="000000"/>
          <w:sz w:val="16"/>
        </w:rPr>
        <w: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(2)The Company did not grant stock options in 2024.</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(3)These amounts relate to RPSRs granted in 2024 under the 2011 Plan. For additional details on our RPSRs, refer to “Key Components of Our Executive Compensation Programs - Long-Term Incentive Compensation” on page </w:t>
      </w:r>
      <w:hyperlink w:anchor="i35b40bbe162440709294fc29d2ec0321_11528">
        <w:r>
          <w:rPr>
            <w:rStyle w:val="InternetLink"/>
            <w:rFonts w:ascii="Futura Std Book;sans-serif" w:hAnsi="Futura Std Book;sans-serif"/>
            <w:b w:val="false"/>
            <w:strike w:val="false"/>
            <w:dstrike w:val="false"/>
            <w:color w:val="000000"/>
            <w:sz w:val="16"/>
            <w:u w:val="none"/>
            <w:effect w:val="none"/>
          </w:rPr>
          <w:t>62</w:t>
        </w:r>
      </w:hyperlink>
      <w:r>
        <w:rPr>
          <w:rFonts w:ascii="Futura Std Book;sans-serif" w:hAnsi="Futura Std Book;sans-serif"/>
          <w:b w:val="false"/>
          <w:color w:val="000000"/>
          <w:sz w:val="16"/>
        </w:rPr>
        <w:t>.</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(4)These amounts relate to RSRs granted in 2024 under the 2011 Plan. For additional details on our RSRs, refer to “Key Components of Our Executive Compensation Programs - Long-Term Incentive Compensation” on page </w:t>
      </w:r>
      <w:hyperlink w:anchor="i35b40bbe162440709294fc29d2ec0321_11528">
        <w:r>
          <w:rPr>
            <w:rStyle w:val="InternetLink"/>
            <w:rFonts w:ascii="Futura Std Book;sans-serif" w:hAnsi="Futura Std Book;sans-serif"/>
            <w:b w:val="false"/>
            <w:strike w:val="false"/>
            <w:dstrike w:val="false"/>
            <w:color w:val="000000"/>
            <w:sz w:val="16"/>
            <w:u w:val="none"/>
            <w:effect w:val="none"/>
          </w:rPr>
          <w:t>62</w:t>
        </w:r>
      </w:hyperlink>
      <w:r>
        <w:rPr>
          <w:rFonts w:ascii="Futura Std Book;sans-serif" w:hAnsi="Futura Std Book;sans-serif"/>
          <w:b w:val="false"/>
          <w:color w:val="000000"/>
          <w:sz w:val="16"/>
        </w:rPr>
        <w: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(5)The grant date fair value of awards was computed in accordance with FASB ASC Topic 718.</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(6)Mr. Crews</w:t>
      </w:r>
      <w:r>
        <w:rPr>
          <w:color w:val="000000"/>
        </w:rPr>
        <w:t xml:space="preserve"> </w:t>
      </w:r>
      <w:r>
        <w:rPr>
          <w:rFonts w:ascii="Futura Std Book;sans-serif" w:hAnsi="Futura Std Book;sans-serif"/>
          <w:b w:val="false"/>
          <w:color w:val="000000"/>
          <w:sz w:val="16"/>
        </w:rPr>
        <w:t>was granted a one-time RPSR and RSR award on July 31, 2024 under the 2024 plan, in connection with his transition as Vice President, Corporate Finance. The RPSR grant vests based on performance for the three-year performance period ending on December 31, 2026. The RSR grant vests three years from the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734695"/>
                <wp:effectExtent l="0" t="0" r="0" b="0"/>
                <wp:wrapNone/>
                <wp:docPr id="310" name="Frame7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Outstanding Equity Awards at 2024 Fiscal Year End</w:t>
      </w:r>
    </w:p>
    <w:tbl>
      <w:tblPr>
        <w:tblW w:w="9242" w:type="dxa"/>
        <w:jc w:val="left"/>
        <w:tblInd w:w="0" w:type="dxa"/>
        <w:tblLayout w:type="fixed"/>
        <w:tblCellMar>
          <w:top w:w="28" w:type="dxa"/>
          <w:left w:w="28" w:type="dxa"/>
          <w:bottom w:w="28" w:type="dxa"/>
          <w:right w:w="28" w:type="dxa"/>
        </w:tblCellMar>
      </w:tblPr>
      <w:tblGrid>
        <w:gridCol w:w="633"/>
        <w:gridCol w:w="556"/>
        <w:gridCol w:w="565"/>
        <w:gridCol w:w="319"/>
        <w:gridCol w:w="319"/>
        <w:gridCol w:w="321"/>
        <w:gridCol w:w="469"/>
        <w:gridCol w:w="469"/>
        <w:gridCol w:w="471"/>
        <w:gridCol w:w="488"/>
        <w:gridCol w:w="488"/>
        <w:gridCol w:w="471"/>
        <w:gridCol w:w="604"/>
        <w:gridCol w:w="604"/>
        <w:gridCol w:w="606"/>
        <w:gridCol w:w="543"/>
        <w:gridCol w:w="543"/>
        <w:gridCol w:w="773"/>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Name</w:t>
            </w:r>
          </w:p>
        </w:tc>
        <w:tc>
          <w:tcPr>
            <w:tcW w:w="959"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3"/>
              </w:rPr>
            </w:pPr>
            <w:r>
              <w:rPr>
                <w:rFonts w:ascii="Futura Std Book;sans-serif" w:hAnsi="Futura Std Book;sans-serif"/>
                <w:b/>
                <w:color w:val="000000"/>
                <w:sz w:val="13"/>
              </w:rPr>
              <w:t>Grant Date</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Number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Shares or Units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Stock that Have</w:t>
            </w:r>
          </w:p>
          <w:p>
            <w:pPr>
              <w:pStyle w:val="TableContents"/>
              <w:bidi w:val="0"/>
              <w:spacing w:lineRule="auto" w:line="288" w:before="0" w:after="0"/>
              <w:jc w:val="right"/>
              <w:rPr/>
            </w:pPr>
            <w:r>
              <w:rPr>
                <w:rFonts w:ascii="Futura Std Book;sans-serif" w:hAnsi="Futura Std Book;sans-serif"/>
                <w:b/>
                <w:color w:val="000000"/>
                <w:sz w:val="13"/>
              </w:rPr>
              <w:t>Not Vested</w:t>
            </w:r>
            <w:r>
              <w:rPr>
                <w:rFonts w:ascii="Futura Std Book;sans-serif" w:hAnsi="Futura Std Book;sans-serif"/>
                <w:b/>
                <w:color w:val="000000"/>
                <w:sz w:val="8"/>
              </w:rPr>
              <w:t>(1)</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4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Market Value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Shares or Units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Stock that Have</w:t>
            </w:r>
          </w:p>
          <w:p>
            <w:pPr>
              <w:pStyle w:val="TableContents"/>
              <w:bidi w:val="0"/>
              <w:spacing w:lineRule="auto" w:line="288" w:before="0" w:after="0"/>
              <w:jc w:val="right"/>
              <w:rPr/>
            </w:pPr>
            <w:r>
              <w:rPr>
                <w:rFonts w:ascii="Futura Std Book;sans-serif" w:hAnsi="Futura Std Book;sans-serif"/>
                <w:b/>
                <w:color w:val="000000"/>
                <w:sz w:val="13"/>
              </w:rPr>
              <w:t>Not Vested</w:t>
            </w:r>
            <w:r>
              <w:rPr>
                <w:rFonts w:ascii="Futura Std Book;sans-serif" w:hAnsi="Futura Std Book;sans-serif"/>
                <w:b/>
                <w:color w:val="000000"/>
                <w:sz w:val="8"/>
              </w:rPr>
              <w:t>(2)</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Equity Incentive Plan</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Awards: Number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Unearned Shares, Units</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Other Rights that</w:t>
            </w:r>
          </w:p>
          <w:p>
            <w:pPr>
              <w:pStyle w:val="TableContents"/>
              <w:bidi w:val="0"/>
              <w:spacing w:lineRule="auto" w:line="288" w:before="0" w:after="0"/>
              <w:jc w:val="right"/>
              <w:rPr/>
            </w:pPr>
            <w:r>
              <w:rPr>
                <w:rFonts w:ascii="Futura Std Book;sans-serif" w:hAnsi="Futura Std Book;sans-serif"/>
                <w:b/>
                <w:color w:val="000000"/>
                <w:sz w:val="13"/>
              </w:rPr>
              <w:t>Have Not Vested</w:t>
            </w:r>
            <w:r>
              <w:rPr>
                <w:rFonts w:ascii="Futura Std Book;sans-serif" w:hAnsi="Futura Std Book;sans-serif"/>
                <w:b/>
                <w:color w:val="000000"/>
                <w:sz w:val="8"/>
              </w:rPr>
              <w:t>(3)</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Equity Incentive Plan</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Awards: Market</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Payout Value of</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Unearned Shares, Units</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Other Rights that</w:t>
            </w:r>
          </w:p>
          <w:p>
            <w:pPr>
              <w:pStyle w:val="TableContents"/>
              <w:bidi w:val="0"/>
              <w:spacing w:lineRule="auto" w:line="288" w:before="0" w:after="0"/>
              <w:jc w:val="right"/>
              <w:rPr/>
            </w:pPr>
            <w:r>
              <w:rPr>
                <w:rFonts w:ascii="Futura Std Book;sans-serif" w:hAnsi="Futura Std Book;sans-serif"/>
                <w:b/>
                <w:color w:val="000000"/>
                <w:sz w:val="13"/>
              </w:rPr>
              <w:t>Have Not Vested</w:t>
            </w:r>
            <w:r>
              <w:rPr>
                <w:rFonts w:ascii="Futura Std Book;sans-serif" w:hAnsi="Futura Std Book;sans-serif"/>
                <w:b/>
                <w:color w:val="000000"/>
                <w:sz w:val="8"/>
              </w:rPr>
              <w:t>(2)</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1754" w:type="dxa"/>
            <w:gridSpan w:val="3"/>
            <w:vMerge w:val="restart"/>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959"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93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11,155 </w:t>
            </w:r>
          </w:p>
        </w:tc>
        <w:tc>
          <w:tcPr>
            <w:tcW w:w="47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5,234,930 </w:t>
            </w:r>
          </w:p>
        </w:tc>
        <w:tc>
          <w:tcPr>
            <w:tcW w:w="47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24,309 </w:t>
            </w:r>
          </w:p>
        </w:tc>
        <w:tc>
          <w:tcPr>
            <w:tcW w:w="60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11,407,971 </w:t>
            </w:r>
          </w:p>
        </w:tc>
        <w:tc>
          <w:tcPr>
            <w:tcW w:w="773"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2/16/2023</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10,760 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5,049,560 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23,342 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10,954,167 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11,672 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5,477,553 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25,561 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11,995,522 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7/31/2024</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1,277 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599,283 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2,799 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1,313,543 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269 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126,239 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627 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294,245 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2/16/2023</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232 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108,875 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542 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254,355 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253 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118,730 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555 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260,456 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2,356 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1,105,647 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5,133 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2,408,866 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2/16/2023</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264 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123,893 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617 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289,552 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265 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124,362 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580 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272,188 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2,356 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1,105,647 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5,133 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2,408,866 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2/16/2023</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1,009,912 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4,669 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2,191,115 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2,457 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1,153,046 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5,381 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2,525,249 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Roshan S. Roeder</w:t>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2,356 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1,105,647 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5,133 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2,408,866 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12/5/2023</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328 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153,927 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2/16/2023</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2,017 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946,558 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4,376 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2,053,613 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959"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93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292 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137,033 </w:t>
            </w:r>
          </w:p>
        </w:tc>
        <w:tc>
          <w:tcPr>
            <w:tcW w:w="47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640 </w:t>
            </w:r>
          </w:p>
        </w:tc>
        <w:tc>
          <w:tcPr>
            <w:tcW w:w="6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300,346 </w:t>
            </w:r>
          </w:p>
        </w:tc>
        <w:tc>
          <w:tcPr>
            <w:tcW w:w="77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David F. Keffer</w:t>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2/14/2024</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2,598 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1,219,215 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5,662 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2,657,120 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tcMar>
              <w:top w:w="30" w:type="dxa"/>
              <w:left w:w="0" w:type="dxa"/>
              <w:bottom w:w="30" w:type="dxa"/>
              <w:right w:w="0" w:type="dxa"/>
            </w:tcMar>
            <w:vAlign w:val="center"/>
          </w:tcPr>
          <w:p>
            <w:pPr>
              <w:pStyle w:val="Normal"/>
              <w:bidi w:val="0"/>
              <w:jc w:val="left"/>
              <w:rPr/>
            </w:pPr>
            <w:r>
              <w:rPr/>
            </w:r>
          </w:p>
        </w:tc>
        <w:tc>
          <w:tcPr>
            <w:tcW w:w="95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2/16/2023</w:t>
            </w:r>
          </w:p>
        </w:tc>
        <w:tc>
          <w:tcPr>
            <w:tcW w:w="93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2,286 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1,072,797 </w:t>
            </w:r>
          </w:p>
        </w:tc>
        <w:tc>
          <w:tcPr>
            <w:tcW w:w="4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4,960 </w:t>
            </w:r>
          </w:p>
        </w:tc>
        <w:tc>
          <w:tcPr>
            <w:tcW w:w="6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2,327,678 </w:t>
            </w:r>
          </w:p>
        </w:tc>
        <w:tc>
          <w:tcPr>
            <w:tcW w:w="77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tcMar>
              <w:top w:w="30" w:type="dxa"/>
              <w:left w:w="0" w:type="dxa"/>
              <w:bottom w:w="30" w:type="dxa"/>
              <w:right w:w="0" w:type="dxa"/>
            </w:tcMar>
            <w:vAlign w:val="center"/>
          </w:tcPr>
          <w:p>
            <w:pPr>
              <w:pStyle w:val="Normal"/>
              <w:bidi w:val="0"/>
              <w:jc w:val="left"/>
              <w:rPr/>
            </w:pPr>
            <w:r>
              <w:rPr/>
            </w:r>
          </w:p>
        </w:tc>
        <w:tc>
          <w:tcPr>
            <w:tcW w:w="959"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2/15/2022</w:t>
            </w:r>
          </w:p>
        </w:tc>
        <w:tc>
          <w:tcPr>
            <w:tcW w:w="93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2,621 </w:t>
            </w:r>
          </w:p>
        </w:tc>
        <w:tc>
          <w:tcPr>
            <w:tcW w:w="47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1,230,009 </w:t>
            </w:r>
          </w:p>
        </w:tc>
        <w:tc>
          <w:tcPr>
            <w:tcW w:w="47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5,741 </w:t>
            </w:r>
          </w:p>
        </w:tc>
        <w:tc>
          <w:tcPr>
            <w:tcW w:w="60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2,694,194 </w:t>
            </w:r>
          </w:p>
        </w:tc>
        <w:tc>
          <w:tcPr>
            <w:tcW w:w="773"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(1)Outstanding RSRs generally vest three years from date of grant. Ms. Roeder's one-time RSR award granted on December 5, 2023 will vest two years from the date of grant as disclosed in the prior year's proxy statement.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(2)The value listed is based on the closing price of the Company’s stock of $469.29 on December 31, 2024, the last trading day of the year.</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(3)Outstanding RPSRs granted in 2024, 2023 and 2022 vest based on performance for the three-year performance period ending on December 31, 2026, 2025 and 2024, respectively. All RPSR grants are subject to the Compensation and Human Capital Committee’s approval of the performance-based earn-out percentage applicable to the grant following the end of the performance period. Amounts presented assume target level performance. The 2022 RPSRs were distributed in February 2025 upon the Compensation and Human Capital Committee’s approval. The actual number of shares earned by the NEOs in February 2025 as a result of the vesting was as follows:</w:t>
      </w:r>
    </w:p>
    <w:tbl>
      <w:tblPr>
        <w:tblW w:w="3208" w:type="dxa"/>
        <w:jc w:val="right"/>
        <w:tblInd w:w="0" w:type="dxa"/>
        <w:tblLayout w:type="fixed"/>
        <w:tblCellMar>
          <w:top w:w="28" w:type="dxa"/>
          <w:left w:w="28" w:type="dxa"/>
          <w:bottom w:w="28" w:type="dxa"/>
          <w:right w:w="28" w:type="dxa"/>
        </w:tblCellMar>
      </w:tblPr>
      <w:tblGrid>
        <w:gridCol w:w="438"/>
        <w:gridCol w:w="385"/>
        <w:gridCol w:w="391"/>
        <w:gridCol w:w="582"/>
        <w:gridCol w:w="582"/>
        <w:gridCol w:w="830"/>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1994" w:type="dxa"/>
            <w:gridSpan w:val="3"/>
            <w:tcBorders/>
            <w:tcMar>
              <w:top w:w="0" w:type="dxa"/>
              <w:left w:w="0" w:type="dxa"/>
              <w:bottom w:w="0" w:type="dxa"/>
              <w:right w:w="0" w:type="dxa"/>
            </w:tcMar>
            <w:vAlign w:val="center"/>
          </w:tcPr>
          <w:p>
            <w:pPr>
              <w:pStyle w:val="TableContents"/>
              <w:bidi w:val="0"/>
              <w:spacing w:lineRule="auto" w:line="288" w:before="120" w:after="120"/>
              <w:jc w:val="right"/>
              <w:rPr>
                <w:rFonts w:ascii="Futura Std Book;sans-serif" w:hAnsi="Futura Std Book;sans-serif"/>
                <w:b/>
                <w:color w:val="000000"/>
                <w:sz w:val="14"/>
              </w:rPr>
            </w:pPr>
            <w:r>
              <w:rPr>
                <w:rFonts w:ascii="Futura Std Book;sans-serif" w:hAnsi="Futura Std Book;sans-serif"/>
                <w:b/>
                <w:color w:val="000000"/>
                <w:sz w:val="14"/>
              </w:rPr>
              <w:t>Actual Shares Earned (#)</w:t>
            </w:r>
          </w:p>
        </w:tc>
      </w:tr>
      <w:tr>
        <w:trPr/>
        <w:tc>
          <w:tcPr>
            <w:tcW w:w="121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116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27,350 </w:t>
            </w:r>
          </w:p>
        </w:tc>
        <w:tc>
          <w:tcPr>
            <w:tcW w:w="830"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Crews</w:t>
            </w:r>
          </w:p>
        </w:tc>
        <w:tc>
          <w:tcPr>
            <w:tcW w:w="116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594 </w:t>
            </w:r>
          </w:p>
        </w:tc>
        <w:tc>
          <w:tcPr>
            <w:tcW w:w="83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Dr. Fleming</w:t>
            </w:r>
          </w:p>
        </w:tc>
        <w:tc>
          <w:tcPr>
            <w:tcW w:w="116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621 </w:t>
            </w:r>
          </w:p>
        </w:tc>
        <w:tc>
          <w:tcPr>
            <w:tcW w:w="83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116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5,758 </w:t>
            </w:r>
          </w:p>
        </w:tc>
        <w:tc>
          <w:tcPr>
            <w:tcW w:w="83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Roeder</w:t>
            </w:r>
          </w:p>
        </w:tc>
        <w:tc>
          <w:tcPr>
            <w:tcW w:w="116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685 </w:t>
            </w:r>
          </w:p>
        </w:tc>
        <w:tc>
          <w:tcPr>
            <w:tcW w:w="83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Keffer</w:t>
            </w:r>
          </w:p>
        </w:tc>
        <w:tc>
          <w:tcPr>
            <w:tcW w:w="1164"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6,143 </w:t>
            </w:r>
          </w:p>
        </w:tc>
        <w:tc>
          <w:tcPr>
            <w:tcW w:w="830"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554990"/>
                <wp:effectExtent l="0" t="0" r="0" b="0"/>
                <wp:wrapNone/>
                <wp:docPr id="311" name="Frame7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2024 Stock Vested</w:t>
      </w:r>
    </w:p>
    <w:tbl>
      <w:tblPr>
        <w:tblW w:w="6764" w:type="dxa"/>
        <w:jc w:val="left"/>
        <w:tblInd w:w="0" w:type="dxa"/>
        <w:tblLayout w:type="fixed"/>
        <w:tblCellMar>
          <w:top w:w="28" w:type="dxa"/>
          <w:left w:w="28" w:type="dxa"/>
          <w:bottom w:w="28" w:type="dxa"/>
          <w:right w:w="28" w:type="dxa"/>
        </w:tblCellMar>
      </w:tblPr>
      <w:tblGrid>
        <w:gridCol w:w="633"/>
        <w:gridCol w:w="556"/>
        <w:gridCol w:w="565"/>
        <w:gridCol w:w="979"/>
        <w:gridCol w:w="979"/>
        <w:gridCol w:w="982"/>
        <w:gridCol w:w="599"/>
        <w:gridCol w:w="599"/>
        <w:gridCol w:w="872"/>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6"/>
            <w:tcBorders/>
            <w:tcMar>
              <w:top w:w="0" w:type="dxa"/>
              <w:left w:w="0" w:type="dxa"/>
              <w:bottom w:w="0" w:type="dxa"/>
              <w:right w:w="0" w:type="dxa"/>
            </w:tcMar>
            <w:vAlign w:val="center"/>
          </w:tcPr>
          <w:p>
            <w:pPr>
              <w:pStyle w:val="TableContents"/>
              <w:bidi w:val="0"/>
              <w:spacing w:lineRule="auto" w:line="288" w:before="120" w:after="120"/>
              <w:jc w:val="center"/>
              <w:rPr/>
            </w:pPr>
            <w:r>
              <w:rPr>
                <w:rFonts w:ascii="Futura Std Book;sans-serif" w:hAnsi="Futura Std Book;sans-serif"/>
                <w:b/>
                <w:color w:val="000000"/>
                <w:sz w:val="14"/>
              </w:rPr>
              <w:t>Stock Awards</w:t>
            </w:r>
            <w:r>
              <w:rPr>
                <w:rFonts w:ascii="Futura Std Book;sans-serif" w:hAnsi="Futura Std Book;sans-serif"/>
                <w:b/>
                <w:color w:val="000000"/>
                <w:sz w:val="9"/>
              </w:rPr>
              <w:t>(1)(2)(3)</w:t>
            </w:r>
          </w:p>
        </w:tc>
      </w:tr>
      <w:tr>
        <w:trPr/>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94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Number of Shares Acquired on Vesting</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207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Value Realized on Vesting</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r>
      <w:tr>
        <w:trPr/>
        <w:tc>
          <w:tcPr>
            <w:tcW w:w="175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195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60,608 </w:t>
            </w:r>
          </w:p>
        </w:tc>
        <w:tc>
          <w:tcPr>
            <w:tcW w:w="982"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27,121,437 </w:t>
            </w:r>
          </w:p>
        </w:tc>
        <w:tc>
          <w:tcPr>
            <w:tcW w:w="872"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19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1,269 </w:t>
            </w:r>
          </w:p>
        </w:tc>
        <w:tc>
          <w:tcPr>
            <w:tcW w:w="98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567,956 </w:t>
            </w:r>
          </w:p>
        </w:tc>
        <w:tc>
          <w:tcPr>
            <w:tcW w:w="87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195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1,206 </w:t>
            </w:r>
          </w:p>
        </w:tc>
        <w:tc>
          <w:tcPr>
            <w:tcW w:w="98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539,792 </w:t>
            </w:r>
          </w:p>
        </w:tc>
        <w:tc>
          <w:tcPr>
            <w:tcW w:w="87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195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13,468 </w:t>
            </w:r>
          </w:p>
        </w:tc>
        <w:tc>
          <w:tcPr>
            <w:tcW w:w="98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6,026,977 </w:t>
            </w:r>
          </w:p>
        </w:tc>
        <w:tc>
          <w:tcPr>
            <w:tcW w:w="87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Roshan S. Roeder</w:t>
            </w:r>
          </w:p>
        </w:tc>
        <w:tc>
          <w:tcPr>
            <w:tcW w:w="195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1,376 </w:t>
            </w:r>
          </w:p>
        </w:tc>
        <w:tc>
          <w:tcPr>
            <w:tcW w:w="98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615,555 </w:t>
            </w:r>
          </w:p>
        </w:tc>
        <w:tc>
          <w:tcPr>
            <w:tcW w:w="87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David F. Keffer</w:t>
            </w:r>
          </w:p>
        </w:tc>
        <w:tc>
          <w:tcPr>
            <w:tcW w:w="195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13,468 </w:t>
            </w:r>
          </w:p>
        </w:tc>
        <w:tc>
          <w:tcPr>
            <w:tcW w:w="982"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6,026,977 </w:t>
            </w:r>
          </w:p>
        </w:tc>
        <w:tc>
          <w:tcPr>
            <w:tcW w:w="872"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(1)The number of shares and the amounts reflected in the table are reported on an aggregate basis and do not reflect shares sold or withheld to pay withholding taxes.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(2)Consists of RPSRs and RSRs granted in 2021. The 2021 RPSRs vested based on the three-year performance period which ended on December 31, 2023 and were distributed in February 2024. The 2021 RSRs vested three years from the date of grant and were distributed in February 2024. </w:t>
      </w:r>
    </w:p>
    <w:p>
      <w:pPr>
        <w:pStyle w:val="TextBody"/>
        <w:bidi w:val="0"/>
        <w:spacing w:lineRule="auto" w:line="288" w:before="120" w:after="12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(3)NEOs who were elected officers at the time of the grant are subject to a three-year mandatory holding requirement on 50% of all net-after tax shares distributed.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734695"/>
                <wp:effectExtent l="0" t="0" r="0" b="0"/>
                <wp:wrapNone/>
                <wp:docPr id="312" name="Frame7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2024 Pension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provides information about the pension plans in which the NEOs participate (described in more detail on the following pages), including the present value of each NEO’s accumulated benefits as of December 31, 2024, calculated pursuant to SEC specifications for this table. Our policy generally limits an executive’s total benefit under these plans to be no more than 60% of final average pay.</w:t>
      </w:r>
    </w:p>
    <w:tbl>
      <w:tblPr>
        <w:tblW w:w="7631" w:type="dxa"/>
        <w:jc w:val="left"/>
        <w:tblInd w:w="0" w:type="dxa"/>
        <w:tblLayout w:type="fixed"/>
        <w:tblCellMar>
          <w:top w:w="28" w:type="dxa"/>
          <w:left w:w="28" w:type="dxa"/>
          <w:bottom w:w="28" w:type="dxa"/>
          <w:right w:w="28" w:type="dxa"/>
        </w:tblCellMar>
      </w:tblPr>
      <w:tblGrid>
        <w:gridCol w:w="633"/>
        <w:gridCol w:w="556"/>
        <w:gridCol w:w="565"/>
        <w:gridCol w:w="663"/>
        <w:gridCol w:w="663"/>
        <w:gridCol w:w="669"/>
        <w:gridCol w:w="489"/>
        <w:gridCol w:w="489"/>
        <w:gridCol w:w="491"/>
        <w:gridCol w:w="488"/>
        <w:gridCol w:w="488"/>
        <w:gridCol w:w="446"/>
        <w:gridCol w:w="290"/>
        <w:gridCol w:w="290"/>
        <w:gridCol w:w="411"/>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000000"/>
                <w:sz w:val="14"/>
              </w:rPr>
              <w:t>Name</w:t>
            </w:r>
            <w:r>
              <w:rPr>
                <w:rFonts w:ascii="Futura Std Book;sans-serif" w:hAnsi="Futura Std Book;sans-serif"/>
                <w:b/>
                <w:color w:val="000000"/>
                <w:sz w:val="9"/>
              </w:rPr>
              <w:t>(1)</w:t>
            </w:r>
          </w:p>
        </w:tc>
        <w:tc>
          <w:tcPr>
            <w:tcW w:w="19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Plan Name</w:t>
            </w:r>
          </w:p>
        </w:tc>
        <w:tc>
          <w:tcPr>
            <w:tcW w:w="1469"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Number of Years</w:t>
            </w:r>
          </w:p>
          <w:p>
            <w:pPr>
              <w:pStyle w:val="TableContents"/>
              <w:bidi w:val="0"/>
              <w:spacing w:lineRule="auto" w:line="276" w:before="0" w:after="0"/>
              <w:jc w:val="right"/>
              <w:rPr/>
            </w:pPr>
            <w:r>
              <w:rPr>
                <w:rFonts w:ascii="Futura Std Book;sans-serif" w:hAnsi="Futura Std Book;sans-serif"/>
                <w:b/>
                <w:color w:val="000000"/>
                <w:sz w:val="14"/>
              </w:rPr>
              <w:t>Credited Service</w:t>
            </w:r>
            <w:r>
              <w:rPr>
                <w:rFonts w:ascii="Futura Std Book;sans-serif" w:hAnsi="Futura Std Book;sans-serif"/>
                <w:b/>
                <w:color w:val="000000"/>
                <w:sz w:val="9"/>
              </w:rPr>
              <w:t>(2)</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142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Present Value of</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Accumulated</w:t>
            </w:r>
          </w:p>
          <w:p>
            <w:pPr>
              <w:pStyle w:val="TableContents"/>
              <w:bidi w:val="0"/>
              <w:spacing w:lineRule="auto" w:line="276" w:before="0" w:after="0"/>
              <w:jc w:val="right"/>
              <w:rPr/>
            </w:pPr>
            <w:r>
              <w:rPr>
                <w:rFonts w:ascii="Futura Std Book;sans-serif" w:hAnsi="Futura Std Book;sans-serif"/>
                <w:b/>
                <w:color w:val="000000"/>
                <w:sz w:val="14"/>
              </w:rPr>
              <w:t>Benefit</w:t>
            </w:r>
            <w:r>
              <w:rPr>
                <w:rFonts w:ascii="Futura Std Book;sans-serif" w:hAnsi="Futura Std Book;sans-serif"/>
                <w:b/>
                <w:color w:val="000000"/>
                <w:sz w:val="9"/>
              </w:rPr>
              <w:t>(3)</w:t>
            </w:r>
          </w:p>
          <w:p>
            <w:pPr>
              <w:pStyle w:val="TableContents"/>
              <w:bidi w:val="0"/>
              <w:spacing w:lineRule="auto" w:line="276"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991"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Payments</w:t>
              <w:br/>
              <w:t>During Last</w:t>
              <w:br/>
              <w:t>Fiscal Year</w:t>
              <w:br/>
              <w:t>($)</w:t>
            </w:r>
          </w:p>
        </w:tc>
      </w:tr>
      <w:tr>
        <w:trPr/>
        <w:tc>
          <w:tcPr>
            <w:tcW w:w="175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1995"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OSERP II</w:t>
            </w:r>
          </w:p>
        </w:tc>
        <w:tc>
          <w:tcPr>
            <w:tcW w:w="97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16.3 </w:t>
            </w:r>
          </w:p>
        </w:tc>
        <w:tc>
          <w:tcPr>
            <w:tcW w:w="49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4,023,097 </w:t>
            </w:r>
          </w:p>
        </w:tc>
        <w:tc>
          <w:tcPr>
            <w:tcW w:w="44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Pension Plan</w:t>
            </w:r>
          </w:p>
        </w:tc>
        <w:tc>
          <w:tcPr>
            <w:tcW w:w="97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20.3 </w:t>
            </w:r>
          </w:p>
        </w:tc>
        <w:tc>
          <w:tcPr>
            <w:tcW w:w="49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240,848 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cMar>
              <w:top w:w="0" w:type="dxa"/>
              <w:left w:w="0" w:type="dxa"/>
              <w:bottom w:w="0" w:type="dxa"/>
              <w:right w:w="0" w:type="dxa"/>
            </w:tcMar>
            <w:vAlign w:val="center"/>
          </w:tcPr>
          <w:p>
            <w:pPr>
              <w:pStyle w:val="Normal"/>
              <w:bidi w:val="0"/>
              <w:jc w:val="left"/>
              <w:rPr/>
            </w:pPr>
            <w:r>
              <w:rPr/>
            </w:r>
          </w:p>
        </w:tc>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ERISA 2</w:t>
            </w:r>
          </w:p>
        </w:tc>
        <w:tc>
          <w:tcPr>
            <w:tcW w:w="97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20.3 </w:t>
            </w:r>
          </w:p>
        </w:tc>
        <w:tc>
          <w:tcPr>
            <w:tcW w:w="49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83,603 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19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Retirement Plan B</w:t>
            </w:r>
          </w:p>
        </w:tc>
        <w:tc>
          <w:tcPr>
            <w:tcW w:w="97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19.1 </w:t>
            </w:r>
          </w:p>
        </w:tc>
        <w:tc>
          <w:tcPr>
            <w:tcW w:w="49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458,952 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19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Litton Restoration Plan</w:t>
            </w:r>
          </w:p>
        </w:tc>
        <w:tc>
          <w:tcPr>
            <w:tcW w:w="97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19.1 </w:t>
            </w:r>
          </w:p>
        </w:tc>
        <w:tc>
          <w:tcPr>
            <w:tcW w:w="49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235,150 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bottom w:val="single" w:sz="4" w:space="0" w:color="BCBEC0"/>
            </w:tcBorders>
            <w:tcMar>
              <w:top w:w="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Roshan S. Roeder</w:t>
            </w:r>
          </w:p>
        </w:tc>
        <w:tc>
          <w:tcPr>
            <w:tcW w:w="19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Pension Plan</w:t>
            </w:r>
          </w:p>
        </w:tc>
        <w:tc>
          <w:tcPr>
            <w:tcW w:w="97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23.0 </w:t>
            </w:r>
          </w:p>
        </w:tc>
        <w:tc>
          <w:tcPr>
            <w:tcW w:w="49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338,108 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bottom w:val="single" w:sz="4" w:space="0" w:color="BCBEC0"/>
            </w:tcBorders>
            <w:tcMar>
              <w:top w:w="0" w:type="dxa"/>
              <w:left w:w="0" w:type="dxa"/>
              <w:bottom w:w="30" w:type="dxa"/>
              <w:right w:w="0" w:type="dxa"/>
            </w:tcMar>
            <w:vAlign w:val="center"/>
          </w:tcPr>
          <w:p>
            <w:pPr>
              <w:pStyle w:val="Normal"/>
              <w:bidi w:val="0"/>
              <w:jc w:val="left"/>
              <w:rPr/>
            </w:pPr>
            <w:r>
              <w:rPr/>
            </w:r>
          </w:p>
        </w:tc>
        <w:tc>
          <w:tcPr>
            <w:tcW w:w="1995"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ERISA 2</w:t>
            </w:r>
          </w:p>
        </w:tc>
        <w:tc>
          <w:tcPr>
            <w:tcW w:w="97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23.0 </w:t>
            </w:r>
          </w:p>
        </w:tc>
        <w:tc>
          <w:tcPr>
            <w:tcW w:w="49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258,656 </w:t>
            </w:r>
          </w:p>
        </w:tc>
        <w:tc>
          <w:tcPr>
            <w:tcW w:w="44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11"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(1)Mr. Jones and Mr. Keffer were hired after the Company’s defined benefit pension plans were closed to new entrants and as a result, they do not participate in any defined benefit pension plans.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(2)Each NEO’s actual service is as follows: Ms. Warden: 16.3 years, Mr. Crews: 20.3 years, Dr. Fleming: 19.1 years and Ms. Roeder: 22.8 years.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(3)Amounts are calculated using the following assumptions: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6"/>
        </w:rPr>
        <w:t>the NEO retires on the earliest date he/she could receive an unreduced benefit under each plan;</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6"/>
        </w:rPr>
        <w:t>the form of payment is a single life annuity;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6"/>
        </w:rPr>
        <w:t>the discount rate is 5.72% for the Pension Plan, 5.75% for Retirement Plan B and 5.73% for all other plans. The mortality table is the Pri-2012 White Collar mortality table projected generationally with an adjusted version of Scale MP-2021 for all plans.</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Pension Plans and Descriptions</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Most of the pension plans were closed to new hires in 2008. Prior to that time, the Company consolidated the pension plan provisions from diverse Heritage Formulas to a Cash Balance Formula. Over time, the Company also transitioned officers, including NEOs, from supplemental executive retirement plans to a deferred compensation plan, called the Officers Retirement Account Contribution Plan (ORAC). In addition, all final average pay formulas were frozen as of December 31, 2014.</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pension plans in which NEOs participate are listed below.</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ERISA 2 is the ERISA Supplemental Program 2. This plan makes participants whole for benefits they lose under the Pension Plan due to certain Internal Revenue Code limits.</w:t>
      </w:r>
    </w:p>
    <w:p>
      <w:pPr>
        <w:pStyle w:val="TextBody"/>
        <w:bidi w:val="0"/>
        <w:spacing w:lineRule="auto" w:line="288" w:before="80" w:after="80"/>
        <w:ind w:left="0" w:right="0" w:hanging="216"/>
        <w:jc w:val="left"/>
        <w:rPr/>
      </w:pPr>
      <w:r>
        <w:rPr>
          <w:color w:val="000000"/>
        </w:rPr>
        <w:t>•</w:t>
      </w:r>
      <w:r>
        <w:rPr>
          <w:rFonts w:ascii="Futura Std Book;sans-serif" w:hAnsi="Futura Std Book;sans-serif"/>
          <w:b w:val="false"/>
          <w:color w:val="000000"/>
          <w:sz w:val="18"/>
        </w:rPr>
        <w:t>Litton Restoration Plan is the Litton Industries, Inc. Restoration Plan 2. This plan makes participants whole for benefits they lose under the Retirement Plan B due to certain Internal Revenue Code limits.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OSERP II is the Officers Supplemental Executive Retirement Program II. This plan provides a pension benefit for certain Company officers.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Pension Plan is the Northrop Grumman Pension Plan. This is a tax qualified pension plan covering a broad base of Company employees.</w:t>
      </w:r>
    </w:p>
    <w:p>
      <w:pPr>
        <w:pStyle w:val="TextBody"/>
        <w:bidi w:val="0"/>
        <w:spacing w:lineRule="auto" w:line="288" w:before="80" w:after="80"/>
        <w:ind w:left="0" w:right="0" w:hanging="216"/>
        <w:jc w:val="left"/>
        <w:rPr/>
      </w:pPr>
      <w:r>
        <w:rPr>
          <w:color w:val="000000"/>
        </w:rPr>
        <w:t>•</w:t>
      </w:r>
      <w:r>
        <w:rPr>
          <w:rFonts w:ascii="Futura Std Book;sans-serif" w:hAnsi="Futura Std Book;sans-serif"/>
          <w:b w:val="false"/>
          <w:color w:val="000000"/>
          <w:sz w:val="18"/>
        </w:rPr>
        <w:t xml:space="preserve">Retirement Plan B is the Northrop Grumman Retirement Plan “B”. This is a tax qualified pension plan covering a broad base of Company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554990"/>
                <wp:effectExtent l="0" t="0" r="0" b="0"/>
                <wp:wrapNone/>
                <wp:docPr id="313" name="Frame7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76" w:before="0" w:after="0"/>
        <w:jc w:val="left"/>
        <w:rPr>
          <w:rFonts w:ascii="Futura Std Book;sans-serif" w:hAnsi="Futura Std Book;sans-serif"/>
          <w:b/>
          <w:color w:val="29378D"/>
          <w:sz w:val="30"/>
        </w:rPr>
      </w:pPr>
      <w:r>
        <w:rPr>
          <w:rFonts w:ascii="Futura Std Book;sans-serif" w:hAnsi="Futura Std Book;sans-serif"/>
          <w:b/>
          <w:color w:val="29378D"/>
          <w:sz w:val="30"/>
        </w:rPr>
        <w:t>Pension Plan and Retirement Plan B (Tax Qualified Plans)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Pension Plan has a heritage (non-cash balance) pension formula that applies to Ms. Roeder (Heritage Formula). This is described in detail in the Heritage Formula table that follows. Prior to 2004, the Company transitioned all the heritage formulas in this plan to a Cash Balance Formula. The Cash Balance Formula is a percentage of pay credited to a hypothetical account, which grows with interest. At retirement, the Cash Balance Account is converted to a monthly pension benefit (further information is included in the Cash Balance Formulas section below). The final benefit from this plan is the sum of the two formulas: the Heritage Formula benefit plus the Cash Balance Formula benefit.</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Mr. Crews and Dr. Fleming have pension benefits under a Cash Balance Formula in the Pension Plan and Retirement Plan B, respectively.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Ms. Roeder has pension benefits under two subplans of the Pension Plan due to her transfer between business units. She receives a benefit under the Heritage Formula and a Cash Balance Formula in the Northrop Grumman Electronic Systems Pension Plan, a subplan of the Pension Plan (ES Subplan) based on her employment in this subplan. She also receives a benefit under the Northrop Grumman Retirement Value Plan (RVP Subplan) Cash Balance Formula.</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Heritage Formula</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summarizes the key features of the Heritage Formula applicable to the eligible NEO.</w:t>
      </w:r>
    </w:p>
    <w:tbl>
      <w:tblPr>
        <w:tblW w:w="10205" w:type="dxa"/>
        <w:jc w:val="left"/>
        <w:tblInd w:w="0" w:type="dxa"/>
        <w:tblLayout w:type="fixed"/>
        <w:tblCellMar>
          <w:top w:w="28" w:type="dxa"/>
          <w:left w:w="28" w:type="dxa"/>
          <w:bottom w:w="28" w:type="dxa"/>
          <w:right w:w="28" w:type="dxa"/>
        </w:tblCellMar>
      </w:tblPr>
      <w:tblGrid>
        <w:gridCol w:w="2367"/>
        <w:gridCol w:w="1868"/>
        <w:gridCol w:w="1881"/>
        <w:gridCol w:w="1316"/>
        <w:gridCol w:w="1192"/>
        <w:gridCol w:w="1581"/>
      </w:tblGrid>
      <w:tr>
        <w:trPr/>
        <w:tc>
          <w:tcPr>
            <w:tcW w:w="2367"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611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Feature</w:t>
            </w:r>
          </w:p>
        </w:tc>
        <w:tc>
          <w:tcPr>
            <w:tcW w:w="40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ES Subplan</w:t>
            </w:r>
          </w:p>
        </w:tc>
      </w:tr>
      <w:tr>
        <w:trPr/>
        <w:tc>
          <w:tcPr>
            <w:tcW w:w="611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Benefit Formula</w:t>
            </w:r>
          </w:p>
        </w:tc>
        <w:tc>
          <w:tcPr>
            <w:tcW w:w="408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Eligible Pay x 2%</w:t>
            </w:r>
          </w:p>
        </w:tc>
      </w:tr>
      <w:tr>
        <w:trPr/>
        <w:tc>
          <w:tcPr>
            <w:tcW w:w="611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Eligible Pay (limited by Internal Revenue Code section 401(a)(17))</w:t>
            </w:r>
          </w:p>
        </w:tc>
        <w:tc>
          <w:tcPr>
            <w:tcW w:w="40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Salary plus bonus paid while participating in this subplan</w:t>
            </w:r>
          </w:p>
        </w:tc>
      </w:tr>
      <w:tr>
        <w:trPr/>
        <w:tc>
          <w:tcPr>
            <w:tcW w:w="611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Normal Retirement</w:t>
            </w:r>
          </w:p>
        </w:tc>
        <w:tc>
          <w:tcPr>
            <w:tcW w:w="40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Age 65</w:t>
            </w:r>
          </w:p>
        </w:tc>
      </w:tr>
      <w:tr>
        <w:trPr/>
        <w:tc>
          <w:tcPr>
            <w:tcW w:w="611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Early Retirement</w:t>
            </w:r>
          </w:p>
        </w:tc>
        <w:tc>
          <w:tcPr>
            <w:tcW w:w="40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Age 58 with 30 years of service or age 60 with 10 years of service</w:t>
            </w:r>
          </w:p>
        </w:tc>
      </w:tr>
      <w:tr>
        <w:trPr/>
        <w:tc>
          <w:tcPr>
            <w:tcW w:w="6116"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Early Retirement Reduction (for retirements occurring between Early Retirement and Normal Retirement)</w:t>
            </w:r>
          </w:p>
        </w:tc>
        <w:tc>
          <w:tcPr>
            <w:tcW w:w="4089"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Benefits are reduced for commencement prior to age 65</w:t>
            </w:r>
          </w:p>
        </w:tc>
      </w:tr>
    </w:tbl>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Cash Balance Formulas</w:t>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RVP Subplan Cash Balance Formula in the Pension Plan is a hypothetical account balance consisting of pay credits plus interest. It has the following features: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pay credits are a percentage of pay that vary based on an employee’s points (age plus service) and are credited monthly. The percentage applicable to Ms. Roeder as of her transfer from the RVP Subplan was 4.5%.</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interest is credited at the 30-year U.S. Treasury bond rate. The December 31, 2024 interest credit rate was 4.15%.</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eligible pay is salary plus bonus, as limited by Internal Revenue Code section 401(a)(17).</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after termination of employment, a participant's vested RVP Subplan Cash Balance benefit may be distributed immediately, regardless of age, in a variety of actuarially equivalent monthly annuities or as a lump sum.</w:t>
      </w:r>
    </w:p>
    <w:p>
      <w:pPr>
        <w:pStyle w:val="TextBody"/>
        <w:bidi w:val="0"/>
        <w:spacing w:before="0" w:after="0"/>
        <w:jc w:val="left"/>
        <w:rPr/>
      </w:pPr>
      <w:r>
        <w:rPr/>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Cash Balance formula in the Pension Plan and the Retirement Plan B is a hypothetical account balance consisting of pay credits plus interest. It has the following features: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pay credits are a percentage of pay that vary based on an employee’s points (age plus service) and are credited monthly. The range of percentages applicable to the NEOs on December 31, 2024 was 5.5% - 6.5%.</w:t>
      </w:r>
    </w:p>
    <w:p>
      <w:pPr>
        <w:pStyle w:val="TextBody"/>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interest is credited at the 30-year U.S. Treasury bond rate subject to a minimum annual interest rate of 2.25%. The December 31, 2024 interest credit rate was 4.15%.</w:t>
      </w:r>
    </w:p>
    <w:p>
      <w:pPr>
        <w:pStyle w:val="TextBody"/>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eligible pay is salary plus bonus, as limited by Internal Revenue Code section 401(a)(17).</w:t>
      </w:r>
    </w:p>
    <w:p>
      <w:pPr>
        <w:pStyle w:val="TextBody"/>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eligibility for early retirement occurs at age 55 with 10 years of service. Benefits may be reduced if commenced prior to Normal Retirement Age (65).</w:t>
      </w:r>
    </w:p>
    <w:p>
      <w:pPr>
        <w:pStyle w:val="TextBody"/>
        <w:bidi w:val="0"/>
        <w:spacing w:before="30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734695"/>
                <wp:effectExtent l="0" t="0" r="0" b="0"/>
                <wp:wrapNone/>
                <wp:docPr id="314" name="Frame7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ERISA 2 and Litton Restoration Plan (Nonqualified Restoration Plans)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ERISA 2 and Litton Restoration Plan are nonqualified plans that restore benefits provided for under the Pension Plan and Retirement Plan B, respectively, but for the limits on eligible pay imposed by Internal Revenue Code section 401(a)(17) and the overall benefit limitation of Internal Revenue Code section 415. Benefits and features in these restoration plans otherwise are generally the same as described above for the underlying tax qualified plan.</w:t>
      </w:r>
    </w:p>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OSERP II (Nonqualified Supplemental Executive Retirement Plan)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This plan provides pension benefits to certain new hires on or before 2009. It has a Final Average Pay formula and a Cash Balance formula. The Final Average Pay formula is described in detail in the table below. The Cash Balance benefit is described in the Cash Balance Formulas section above. The final benefit from this plan is the sum of the Final Average Pay benefit through December 31, 2014 and the Cash Balance benefit from January 1, 2015 without regard to the limits imposed by Internal Revenue Code sections 401(a)(17) and 415. </w:t>
      </w:r>
    </w:p>
    <w:tbl>
      <w:tblPr>
        <w:tblW w:w="10205" w:type="dxa"/>
        <w:jc w:val="left"/>
        <w:tblInd w:w="0" w:type="dxa"/>
        <w:tblLayout w:type="fixed"/>
        <w:tblCellMar>
          <w:top w:w="28" w:type="dxa"/>
          <w:left w:w="28" w:type="dxa"/>
          <w:bottom w:w="28" w:type="dxa"/>
          <w:right w:w="28" w:type="dxa"/>
        </w:tblCellMar>
      </w:tblPr>
      <w:tblGrid>
        <w:gridCol w:w="687"/>
        <w:gridCol w:w="475"/>
        <w:gridCol w:w="478"/>
        <w:gridCol w:w="2654"/>
        <w:gridCol w:w="2428"/>
        <w:gridCol w:w="3483"/>
      </w:tblGrid>
      <w:tr>
        <w:trPr/>
        <w:tc>
          <w:tcPr>
            <w:tcW w:w="68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3483"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Feature</w:t>
            </w:r>
          </w:p>
        </w:tc>
        <w:tc>
          <w:tcPr>
            <w:tcW w:w="8565"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Futura Std Book;sans-serif" w:hAnsi="Futura Std Book;sans-serif"/>
                <w:b/>
                <w:color w:val="000000"/>
                <w:sz w:val="14"/>
              </w:rPr>
            </w:pPr>
            <w:r>
              <w:rPr>
                <w:rFonts w:ascii="Futura Std Book;sans-serif" w:hAnsi="Futura Std Book;sans-serif"/>
                <w:b/>
                <w:color w:val="000000"/>
                <w:sz w:val="14"/>
              </w:rPr>
              <w:t>OSERP II</w:t>
            </w:r>
          </w:p>
        </w:tc>
      </w:tr>
      <w:tr>
        <w:trPr/>
        <w:tc>
          <w:tcPr>
            <w:tcW w:w="164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Benefit Formula</w:t>
            </w:r>
          </w:p>
        </w:tc>
        <w:tc>
          <w:tcPr>
            <w:tcW w:w="856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Final Average Pay times 2% for each year of service up to 10 years, 1.5% for each subsequent year up to 20 years, and 1% for each additional year over 20 and less than 45 (service is frozen as of December 31, 2014)</w:t>
            </w:r>
          </w:p>
        </w:tc>
      </w:tr>
      <w:tr>
        <w:trPr/>
        <w:tc>
          <w:tcPr>
            <w:tcW w:w="164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Final Average Pay</w:t>
            </w:r>
          </w:p>
        </w:tc>
        <w:tc>
          <w:tcPr>
            <w:tcW w:w="856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Average of highest three years of Eligible Pay (frozen as of December 31, 2014)</w:t>
            </w:r>
          </w:p>
        </w:tc>
      </w:tr>
      <w:tr>
        <w:trPr/>
        <w:tc>
          <w:tcPr>
            <w:tcW w:w="164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Eligible Pay</w:t>
            </w:r>
          </w:p>
        </w:tc>
        <w:tc>
          <w:tcPr>
            <w:tcW w:w="856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Salary and bonus (including amounts above the Internal Revenue Code section 401(a)(17) limit)</w:t>
            </w:r>
          </w:p>
        </w:tc>
      </w:tr>
      <w:tr>
        <w:trPr/>
        <w:tc>
          <w:tcPr>
            <w:tcW w:w="164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Normal Retirement</w:t>
            </w:r>
          </w:p>
        </w:tc>
        <w:tc>
          <w:tcPr>
            <w:tcW w:w="856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Age 65</w:t>
            </w:r>
          </w:p>
        </w:tc>
      </w:tr>
      <w:tr>
        <w:trPr/>
        <w:tc>
          <w:tcPr>
            <w:tcW w:w="1640"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Early Retirement</w:t>
            </w:r>
          </w:p>
        </w:tc>
        <w:tc>
          <w:tcPr>
            <w:tcW w:w="856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Age 55 with 10 years of service</w:t>
            </w:r>
          </w:p>
        </w:tc>
      </w:tr>
      <w:tr>
        <w:trPr/>
        <w:tc>
          <w:tcPr>
            <w:tcW w:w="1640"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Early Retirement Reduction</w:t>
            </w:r>
          </w:p>
        </w:tc>
        <w:tc>
          <w:tcPr>
            <w:tcW w:w="8565"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Benefits are reduced for commencement prior to the earlier of age 65 or 85 points (age + service)</w:t>
            </w:r>
          </w:p>
        </w:tc>
      </w:tr>
    </w:tbl>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Information on Executives Eligible for Early Retirement</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No NEO is eligible for early retirement as of December 31, 2024 under the pension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554990"/>
                <wp:effectExtent l="0" t="0" r="0" b="0"/>
                <wp:wrapNone/>
                <wp:docPr id="315" name="Frame8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2024 Nonqualified Deferred Compensation</w:t>
      </w:r>
    </w:p>
    <w:tbl>
      <w:tblPr>
        <w:tblW w:w="9734" w:type="dxa"/>
        <w:jc w:val="left"/>
        <w:tblInd w:w="0" w:type="dxa"/>
        <w:tblLayout w:type="fixed"/>
        <w:tblCellMar>
          <w:top w:w="28" w:type="dxa"/>
          <w:left w:w="28" w:type="dxa"/>
          <w:bottom w:w="28" w:type="dxa"/>
          <w:right w:w="28" w:type="dxa"/>
        </w:tblCellMar>
      </w:tblPr>
      <w:tblGrid>
        <w:gridCol w:w="633"/>
        <w:gridCol w:w="556"/>
        <w:gridCol w:w="565"/>
        <w:gridCol w:w="464"/>
        <w:gridCol w:w="464"/>
        <w:gridCol w:w="467"/>
        <w:gridCol w:w="444"/>
        <w:gridCol w:w="444"/>
        <w:gridCol w:w="446"/>
        <w:gridCol w:w="424"/>
        <w:gridCol w:w="424"/>
        <w:gridCol w:w="426"/>
        <w:gridCol w:w="488"/>
        <w:gridCol w:w="488"/>
        <w:gridCol w:w="426"/>
        <w:gridCol w:w="354"/>
        <w:gridCol w:w="354"/>
        <w:gridCol w:w="356"/>
        <w:gridCol w:w="488"/>
        <w:gridCol w:w="488"/>
        <w:gridCol w:w="535"/>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Name</w:t>
            </w:r>
          </w:p>
        </w:tc>
        <w:tc>
          <w:tcPr>
            <w:tcW w:w="13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3"/>
              </w:rPr>
            </w:pPr>
            <w:r>
              <w:rPr>
                <w:rFonts w:ascii="Futura Std Book;sans-serif" w:hAnsi="Futura Std Book;sans-serif"/>
                <w:b/>
                <w:color w:val="000000"/>
                <w:sz w:val="13"/>
              </w:rPr>
              <w:t>Plan Name</w:t>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Executive</w:t>
            </w:r>
          </w:p>
          <w:p>
            <w:pPr>
              <w:pStyle w:val="TableContents"/>
              <w:bidi w:val="0"/>
              <w:spacing w:lineRule="auto" w:line="276" w:before="0" w:after="0"/>
              <w:jc w:val="right"/>
              <w:rPr>
                <w:color w:val="000000"/>
              </w:rPr>
            </w:pPr>
            <w:r>
              <w:rPr>
                <w:color w:val="000000"/>
              </w:rPr>
              <w:t> </w:t>
            </w:r>
            <w:r>
              <w:rPr>
                <w:rFonts w:ascii="Futura Std Book;sans-serif" w:hAnsi="Futura Std Book;sans-serif"/>
                <w:b/>
                <w:color w:val="000000"/>
                <w:sz w:val="13"/>
              </w:rPr>
              <w:t>Contributions in</w:t>
            </w:r>
          </w:p>
          <w:p>
            <w:pPr>
              <w:pStyle w:val="TableContents"/>
              <w:bidi w:val="0"/>
              <w:spacing w:lineRule="auto" w:line="276" w:before="0" w:after="0"/>
              <w:jc w:val="right"/>
              <w:rPr/>
            </w:pPr>
            <w:r>
              <w:rPr>
                <w:rFonts w:ascii="Futura Std Book;sans-serif" w:hAnsi="Futura Std Book;sans-serif"/>
                <w:b/>
                <w:color w:val="000000"/>
                <w:sz w:val="13"/>
              </w:rPr>
              <w:t>Last FY</w:t>
            </w:r>
            <w:r>
              <w:rPr>
                <w:rFonts w:ascii="Futura Std Book;sans-serif" w:hAnsi="Futura Std Book;sans-serif"/>
                <w:b/>
                <w:color w:val="000000"/>
                <w:sz w:val="8"/>
              </w:rPr>
              <w:t>(1)</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27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Registrant</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Contributions in</w:t>
            </w:r>
          </w:p>
          <w:p>
            <w:pPr>
              <w:pStyle w:val="TableContents"/>
              <w:bidi w:val="0"/>
              <w:spacing w:lineRule="auto" w:line="276" w:before="0" w:after="0"/>
              <w:jc w:val="right"/>
              <w:rPr/>
            </w:pPr>
            <w:r>
              <w:rPr>
                <w:rFonts w:ascii="Futura Std Book;sans-serif" w:hAnsi="Futura Std Book;sans-serif"/>
                <w:b/>
                <w:color w:val="000000"/>
                <w:sz w:val="13"/>
              </w:rPr>
              <w:t>Last FY</w:t>
            </w:r>
            <w:r>
              <w:rPr>
                <w:rFonts w:ascii="Futura Std Book;sans-serif" w:hAnsi="Futura Std Book;sans-serif"/>
                <w:b/>
                <w:color w:val="000000"/>
                <w:sz w:val="8"/>
              </w:rPr>
              <w:t>(2)</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02"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Aggregate</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Earnings in Last</w:t>
            </w:r>
          </w:p>
          <w:p>
            <w:pPr>
              <w:pStyle w:val="TableContents"/>
              <w:bidi w:val="0"/>
              <w:spacing w:lineRule="auto" w:line="276" w:before="0" w:after="0"/>
              <w:jc w:val="right"/>
              <w:rPr/>
            </w:pPr>
            <w:r>
              <w:rPr>
                <w:rFonts w:ascii="Futura Std Book;sans-serif" w:hAnsi="Futura Std Book;sans-serif"/>
                <w:b/>
                <w:color w:val="000000"/>
                <w:sz w:val="13"/>
              </w:rPr>
              <w:t>FY</w:t>
            </w:r>
            <w:r>
              <w:rPr>
                <w:rFonts w:ascii="Futura Std Book;sans-serif" w:hAnsi="Futura Std Book;sans-serif"/>
                <w:b/>
                <w:color w:val="000000"/>
                <w:sz w:val="8"/>
              </w:rPr>
              <w:t>(3)</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Aggregate</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Withdrawals/</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Distributions</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Aggregate</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Balance at Last</w:t>
            </w:r>
          </w:p>
          <w:p>
            <w:pPr>
              <w:pStyle w:val="TableContents"/>
              <w:bidi w:val="0"/>
              <w:spacing w:lineRule="auto" w:line="276" w:before="0" w:after="0"/>
              <w:jc w:val="right"/>
              <w:rPr/>
            </w:pPr>
            <w:r>
              <w:rPr>
                <w:rFonts w:ascii="Futura Std Book;sans-serif" w:hAnsi="Futura Std Book;sans-serif"/>
                <w:b/>
                <w:color w:val="000000"/>
                <w:sz w:val="13"/>
              </w:rPr>
              <w:t>FYE</w:t>
            </w:r>
            <w:r>
              <w:rPr>
                <w:rFonts w:ascii="Futura Std Book;sans-serif" w:hAnsi="Futura Std Book;sans-serif"/>
                <w:b/>
                <w:color w:val="000000"/>
                <w:sz w:val="8"/>
              </w:rPr>
              <w:t>(4)</w:t>
            </w:r>
          </w:p>
          <w:p>
            <w:pPr>
              <w:pStyle w:val="TableContents"/>
              <w:bidi w:val="0"/>
              <w:spacing w:lineRule="auto" w:line="276"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1754" w:type="dxa"/>
            <w:gridSpan w:val="3"/>
            <w:vMerge w:val="restart"/>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1395"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522,261 </w:t>
            </w:r>
          </w:p>
        </w:tc>
        <w:tc>
          <w:tcPr>
            <w:tcW w:w="44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261,700 </w:t>
            </w:r>
          </w:p>
        </w:tc>
        <w:tc>
          <w:tcPr>
            <w:tcW w:w="42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1,191,875 </w:t>
            </w:r>
          </w:p>
        </w:tc>
        <w:tc>
          <w:tcPr>
            <w:tcW w:w="42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(6,205)</w:t>
            </w:r>
          </w:p>
        </w:tc>
        <w:tc>
          <w:tcPr>
            <w:tcW w:w="35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8,056,305 </w:t>
            </w:r>
          </w:p>
        </w:tc>
        <w:tc>
          <w:tcPr>
            <w:tcW w:w="535"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274,930 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290,702 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(5,368)</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2,261,974 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37,081 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14,833 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23,641 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(313)</w:t>
            </w:r>
          </w:p>
        </w:tc>
        <w:tc>
          <w:tcPr>
            <w:tcW w:w="3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220,362 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28,633 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15,770 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(527)</w:t>
            </w:r>
          </w:p>
        </w:tc>
        <w:tc>
          <w:tcPr>
            <w:tcW w:w="3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183,011 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277,144 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36,953 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175,068 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(867)</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1,717,798 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50,753 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28,534 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(633)</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311,831 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66,966 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138,349 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88,530 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(2,933)</w:t>
            </w:r>
          </w:p>
        </w:tc>
        <w:tc>
          <w:tcPr>
            <w:tcW w:w="3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1,252,317 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82,020 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52,034 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(1,702)</w:t>
            </w:r>
          </w:p>
        </w:tc>
        <w:tc>
          <w:tcPr>
            <w:tcW w:w="3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673,909 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249C"/>
                <w:sz w:val="16"/>
              </w:rPr>
            </w:pPr>
            <w:r>
              <w:rPr>
                <w:rFonts w:ascii="Futura Std Book;sans-serif" w:hAnsi="Futura Std Book;sans-serif"/>
                <w:b/>
                <w:color w:val="00249C"/>
                <w:sz w:val="16"/>
              </w:rPr>
              <w:t>Roshan S. Roeder</w:t>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320,539 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48,081 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58,552 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(1,129)</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808,391 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4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77,908 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21,280 </w:t>
            </w:r>
          </w:p>
        </w:tc>
        <w:tc>
          <w:tcPr>
            <w:tcW w:w="4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(1,116)</w:t>
            </w:r>
          </w:p>
        </w:tc>
        <w:tc>
          <w:tcPr>
            <w:tcW w:w="35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301,203 </w:t>
            </w:r>
          </w:p>
        </w:tc>
        <w:tc>
          <w:tcPr>
            <w:tcW w:w="53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David F. Keffer</w:t>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Savings Excess</w:t>
            </w:r>
          </w:p>
        </w:tc>
        <w:tc>
          <w:tcPr>
            <w:tcW w:w="88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155,173 </w:t>
            </w:r>
          </w:p>
        </w:tc>
        <w:tc>
          <w:tcPr>
            <w:tcW w:w="44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116,380 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93,896 </w:t>
            </w:r>
          </w:p>
        </w:tc>
        <w:tc>
          <w:tcPr>
            <w:tcW w:w="4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(2,732)</w:t>
            </w:r>
          </w:p>
        </w:tc>
        <w:tc>
          <w:tcPr>
            <w:tcW w:w="3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1,059,079 </w:t>
            </w:r>
          </w:p>
        </w:tc>
        <w:tc>
          <w:tcPr>
            <w:tcW w:w="53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tcMar>
              <w:top w:w="30" w:type="dxa"/>
              <w:left w:w="0" w:type="dxa"/>
              <w:bottom w:w="30" w:type="dxa"/>
              <w:right w:w="0" w:type="dxa"/>
            </w:tcMar>
            <w:vAlign w:val="center"/>
          </w:tcPr>
          <w:p>
            <w:pPr>
              <w:pStyle w:val="Normal"/>
              <w:bidi w:val="0"/>
              <w:jc w:val="left"/>
              <w:rPr/>
            </w:pPr>
            <w:r>
              <w:rPr/>
            </w:r>
          </w:p>
        </w:tc>
        <w:tc>
          <w:tcPr>
            <w:tcW w:w="1395"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ORAC</w:t>
            </w:r>
          </w:p>
        </w:tc>
        <w:tc>
          <w:tcPr>
            <w:tcW w:w="88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4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91,386 </w:t>
            </w:r>
          </w:p>
        </w:tc>
        <w:tc>
          <w:tcPr>
            <w:tcW w:w="42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26,601 </w:t>
            </w:r>
          </w:p>
        </w:tc>
        <w:tc>
          <w:tcPr>
            <w:tcW w:w="42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(1,836)</w:t>
            </w:r>
          </w:p>
        </w:tc>
        <w:tc>
          <w:tcPr>
            <w:tcW w:w="35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377,033 </w:t>
            </w:r>
          </w:p>
        </w:tc>
        <w:tc>
          <w:tcPr>
            <w:tcW w:w="535"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(1)NEO contributions in this column are also included in the 2024 Summary Compensation Table on page </w:t>
      </w:r>
      <w:hyperlink w:anchor="idc6f358a7ea345daa8bbc8a5ea69f8d5_142">
        <w:r>
          <w:rPr>
            <w:rStyle w:val="InternetLink"/>
            <w:rFonts w:ascii="Futura Std Book;sans-serif" w:hAnsi="Futura Std Book;sans-serif"/>
            <w:b w:val="false"/>
            <w:strike w:val="false"/>
            <w:dstrike w:val="false"/>
            <w:color w:val="000000"/>
            <w:sz w:val="16"/>
            <w:u w:val="none"/>
            <w:effect w:val="none"/>
          </w:rPr>
          <w:t>70</w:t>
        </w:r>
      </w:hyperlink>
      <w:r>
        <w:rPr>
          <w:rFonts w:ascii="Futura Std Book;sans-serif" w:hAnsi="Futura Std Book;sans-serif"/>
          <w:b w:val="false"/>
          <w:color w:val="000000"/>
          <w:sz w:val="16"/>
        </w:rPr>
        <w:t>, under the columns entitled “Salary” and “Non-Equity Incentive Plan Compensation.”</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(2)Company contributions in this column are included in the 2024 Summary Compensation Table, under the column entitled “All Other Compensation.”</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(3)Aggregate earnings in the last fiscal year are not included in the 2024 Summary Compensation Table because they are not above market or preferential.</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(4)NEO and Company contributions in this column may include balances for merged plans.</w:t>
      </w:r>
    </w:p>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Employee contributions by Ms. Warden, Mr. Jones and Mr. Keffer for the years ended December 31, 2024, 2023 and 2022, collectively, previously reported as compensation in the Summary Compensation tables are shown below. Because Mr. Crews and Dr. Fleming were not NEOs for the years ended December 31, 2023 and 2022, employee contribution data for these years is not presented. In addition, Ms. Roeder was not an NEO on December 31, 2022, therefore employee contribution data for that year is not presented. </w:t>
      </w:r>
    </w:p>
    <w:tbl>
      <w:tblPr>
        <w:tblW w:w="3373" w:type="dxa"/>
        <w:jc w:val="left"/>
        <w:tblInd w:w="0" w:type="dxa"/>
        <w:tblLayout w:type="fixed"/>
        <w:tblCellMar>
          <w:top w:w="28" w:type="dxa"/>
          <w:left w:w="28" w:type="dxa"/>
          <w:bottom w:w="28" w:type="dxa"/>
          <w:right w:w="28" w:type="dxa"/>
        </w:tblCellMar>
      </w:tblPr>
      <w:tblGrid>
        <w:gridCol w:w="438"/>
        <w:gridCol w:w="385"/>
        <w:gridCol w:w="391"/>
        <w:gridCol w:w="632"/>
        <w:gridCol w:w="632"/>
        <w:gridCol w:w="895"/>
      </w:tblGrid>
      <w:tr>
        <w:trPr/>
        <w:tc>
          <w:tcPr>
            <w:tcW w:w="43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Name</w:t>
            </w:r>
          </w:p>
        </w:tc>
        <w:tc>
          <w:tcPr>
            <w:tcW w:w="2159" w:type="dxa"/>
            <w:gridSpan w:val="3"/>
            <w:tcBorders/>
            <w:tcMar>
              <w:top w:w="0" w:type="dxa"/>
              <w:left w:w="0" w:type="dxa"/>
              <w:bottom w:w="0" w:type="dxa"/>
              <w:right w:w="0" w:type="dxa"/>
            </w:tcMar>
            <w:vAlign w:val="center"/>
          </w:tcPr>
          <w:p>
            <w:pPr>
              <w:pStyle w:val="TableContents"/>
              <w:bidi w:val="0"/>
              <w:spacing w:lineRule="auto" w:line="288" w:before="20" w:after="20"/>
              <w:jc w:val="right"/>
              <w:rPr>
                <w:rFonts w:ascii="Futura Std Book;sans-serif" w:hAnsi="Futura Std Book;sans-serif"/>
                <w:b/>
                <w:color w:val="000000"/>
                <w:sz w:val="14"/>
              </w:rPr>
            </w:pPr>
            <w:r>
              <w:rPr>
                <w:rFonts w:ascii="Futura Std Book;sans-serif" w:hAnsi="Futura Std Book;sans-serif"/>
                <w:b/>
                <w:color w:val="000000"/>
                <w:sz w:val="14"/>
              </w:rPr>
              <w:t>Employee Contributions ($)</w:t>
            </w:r>
          </w:p>
        </w:tc>
      </w:tr>
      <w:tr>
        <w:trPr/>
        <w:tc>
          <w:tcPr>
            <w:tcW w:w="121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Warden</w:t>
            </w:r>
          </w:p>
        </w:tc>
        <w:tc>
          <w:tcPr>
            <w:tcW w:w="126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1,463,661 </w:t>
            </w:r>
          </w:p>
        </w:tc>
        <w:tc>
          <w:tcPr>
            <w:tcW w:w="895"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Crews</w:t>
            </w:r>
          </w:p>
        </w:tc>
        <w:tc>
          <w:tcPr>
            <w:tcW w:w="1264" w:type="dxa"/>
            <w:gridSpan w:val="2"/>
            <w:tcBorders>
              <w:top w:val="single" w:sz="4" w:space="0" w:color="D1D3D4"/>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37,081 </w:t>
            </w:r>
          </w:p>
        </w:tc>
        <w:tc>
          <w:tcPr>
            <w:tcW w:w="895" w:type="dxa"/>
            <w:tcBorders>
              <w:top w:val="single" w:sz="4" w:space="0" w:color="D1D3D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shd w:fill="DFDEEE" w:val="clear"/>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Dr. Fleming</w:t>
            </w:r>
          </w:p>
        </w:tc>
        <w:tc>
          <w:tcPr>
            <w:tcW w:w="126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277,144 </w:t>
            </w:r>
          </w:p>
        </w:tc>
        <w:tc>
          <w:tcPr>
            <w:tcW w:w="89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Jones</w:t>
            </w:r>
          </w:p>
        </w:tc>
        <w:tc>
          <w:tcPr>
            <w:tcW w:w="126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299,959 </w:t>
            </w:r>
          </w:p>
        </w:tc>
        <w:tc>
          <w:tcPr>
            <w:tcW w:w="89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Ms. Roeder</w:t>
            </w:r>
          </w:p>
        </w:tc>
        <w:tc>
          <w:tcPr>
            <w:tcW w:w="126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449,071 </w:t>
            </w:r>
          </w:p>
        </w:tc>
        <w:tc>
          <w:tcPr>
            <w:tcW w:w="89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Mr. Keffer</w:t>
            </w:r>
          </w:p>
        </w:tc>
        <w:tc>
          <w:tcPr>
            <w:tcW w:w="1264" w:type="dxa"/>
            <w:gridSpan w:val="2"/>
            <w:tcBorders>
              <w:top w:val="single" w:sz="4" w:space="0" w:color="D1D3D4"/>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409,381 </w:t>
            </w:r>
          </w:p>
        </w:tc>
        <w:tc>
          <w:tcPr>
            <w:tcW w:w="895" w:type="dxa"/>
            <w:tcBorders>
              <w:top w:val="single" w:sz="4" w:space="0" w:color="D1D3D4"/>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rFonts w:ascii="Futura Std Book;sans-serif" w:hAnsi="Futura Std Book;sans-serif"/>
          <w:b/>
          <w:color w:val="29378D"/>
          <w:sz w:val="30"/>
        </w:rPr>
      </w:pPr>
      <w:r>
        <w:rPr>
          <w:rFonts w:ascii="Futura Std Book;sans-serif" w:hAnsi="Futura Std Book;sans-serif"/>
          <w:b/>
          <w:color w:val="29378D"/>
          <w:sz w:val="30"/>
        </w:rPr>
        <w:t>Deferred Compensation Plans and Descriptions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deferred compensation plans in which the NEOs participate are listed below:</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ORAC is the Northrop Grumman Officers Retirement Account Contribution Plan. This plan allows eligible executives, including NEOs, to receive a Company contribution of 4% of base salary and bonus.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Savings Excess Plan is the Northrop Grumman Savings Excess Plan. This plan allows eligible employees, including the NEOs, to (i) defer up to 50% of their salary and bonus beyond the compensation limits of the tax qualified plans and receive a Company matching contribution of up to 7% of pay and (ii) receive Retirement Account Contributions and Non-elective Contributions beyond the compensation limits in the qualified plan, if eligible.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734695"/>
                <wp:effectExtent l="0" t="0" r="0" b="0"/>
                <wp:wrapNone/>
                <wp:docPr id="316" name="Frame8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78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Termination Payments and Benefits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summarizes certain payments and benefits the NEOs may receive upon termination, subject to the referenced plans and terms and conditions of the awards.</w:t>
      </w:r>
    </w:p>
    <w:tbl>
      <w:tblPr>
        <w:tblW w:w="10205" w:type="dxa"/>
        <w:jc w:val="left"/>
        <w:tblInd w:w="0" w:type="dxa"/>
        <w:tblLayout w:type="fixed"/>
        <w:tblCellMar>
          <w:top w:w="28" w:type="dxa"/>
          <w:left w:w="28" w:type="dxa"/>
          <w:bottom w:w="28" w:type="dxa"/>
          <w:right w:w="28" w:type="dxa"/>
        </w:tblCellMar>
      </w:tblPr>
      <w:tblGrid>
        <w:gridCol w:w="668"/>
        <w:gridCol w:w="351"/>
        <w:gridCol w:w="360"/>
        <w:gridCol w:w="655"/>
        <w:gridCol w:w="655"/>
        <w:gridCol w:w="657"/>
        <w:gridCol w:w="1080"/>
        <w:gridCol w:w="641"/>
        <w:gridCol w:w="643"/>
        <w:gridCol w:w="1146"/>
        <w:gridCol w:w="947"/>
        <w:gridCol w:w="950"/>
        <w:gridCol w:w="555"/>
        <w:gridCol w:w="407"/>
        <w:gridCol w:w="490"/>
      </w:tblGrid>
      <w:tr>
        <w:trPr/>
        <w:tc>
          <w:tcPr>
            <w:tcW w:w="6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Futura Std Book;sans-serif" w:hAnsi="Futura Std Book;sans-serif"/>
                <w:b/>
                <w:color w:val="000000"/>
                <w:sz w:val="13"/>
              </w:rPr>
              <w:t>Voluntary Termination</w:t>
            </w:r>
            <w:r>
              <w:rPr>
                <w:rFonts w:ascii="Futura Std Book;sans-serif" w:hAnsi="Futura Std Book;sans-serif"/>
                <w:b/>
                <w:color w:val="000000"/>
                <w:sz w:val="8"/>
              </w:rPr>
              <w:t>(3)</w:t>
            </w:r>
          </w:p>
        </w:tc>
        <w:tc>
          <w:tcPr>
            <w:tcW w:w="236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Futura Std Book;sans-serif" w:hAnsi="Futura Std Book;sans-serif"/>
                <w:b/>
                <w:color w:val="000000"/>
                <w:sz w:val="13"/>
              </w:rPr>
              <w:t>Involuntary Termination Not For Cause</w:t>
            </w:r>
            <w:r>
              <w:rPr>
                <w:rFonts w:ascii="Futura Std Book;sans-serif" w:hAnsi="Futura Std Book;sans-serif"/>
                <w:b/>
                <w:color w:val="000000"/>
                <w:sz w:val="8"/>
              </w:rPr>
              <w:t>(3)</w:t>
            </w:r>
          </w:p>
        </w:tc>
        <w:tc>
          <w:tcPr>
            <w:tcW w:w="30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Futura Std Book;sans-serif" w:hAnsi="Futura Std Book;sans-serif"/>
                <w:b/>
                <w:color w:val="000000"/>
                <w:sz w:val="13"/>
              </w:rPr>
            </w:pPr>
            <w:r>
              <w:rPr>
                <w:rFonts w:ascii="Futura Std Book;sans-serif" w:hAnsi="Futura Std Book;sans-serif"/>
                <w:b/>
                <w:color w:val="000000"/>
                <w:sz w:val="13"/>
              </w:rPr>
              <w:t>Post-CIC Involuntary or Good Reason Termination</w:t>
            </w:r>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Futura Std Book;sans-serif" w:hAnsi="Futura Std Book;sans-serif"/>
                <w:b/>
                <w:color w:val="000000"/>
                <w:sz w:val="13"/>
              </w:rPr>
              <w:t>Death or Disability</w:t>
            </w:r>
            <w:r>
              <w:rPr>
                <w:rFonts w:ascii="Futura Std Book;sans-serif" w:hAnsi="Futura Std Book;sans-serif"/>
                <w:b/>
                <w:color w:val="000000"/>
                <w:sz w:val="8"/>
              </w:rPr>
              <w:t>(3)</w:t>
            </w:r>
          </w:p>
        </w:tc>
      </w:tr>
      <w:tr>
        <w:trPr/>
        <w:tc>
          <w:tcPr>
            <w:tcW w:w="137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RSRs</w:t>
            </w:r>
            <w:r>
              <w:rPr>
                <w:rFonts w:ascii="Futura Std Book;sans-serif" w:hAnsi="Futura Std Book;sans-serif"/>
                <w:b w:val="false"/>
                <w:color w:val="000000"/>
                <w:sz w:val="10"/>
              </w:rPr>
              <w:t>(1)</w:t>
            </w:r>
          </w:p>
        </w:tc>
        <w:tc>
          <w:tcPr>
            <w:tcW w:w="196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Unvested RSRs are forfeited, except in the case of early retirement where the RSRs are prorated and mandatory retirement (age 65) where they will fully vest. Retention awards do not include retirement provisions.</w:t>
            </w:r>
          </w:p>
        </w:tc>
        <w:tc>
          <w:tcPr>
            <w:tcW w:w="236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Unvested RSRs are forfeited, except in the case of early retirement where the RSRs are prorated and mandatory retirement (age 65) where they will fully vest. Retention awards do not include retirement provisions.</w:t>
            </w:r>
          </w:p>
        </w:tc>
        <w:tc>
          <w:tcPr>
            <w:tcW w:w="304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For certain change in control events as set forth in both the 2011 Plan and 2024 Plan (CIC), unvested RSRs will vest and payment is accelerated, only in the event of a double trigger (CIC and termination other than for cause within the specified period), or if the acquiring company fails to assume the awards; subject to certain limitations to the extent such accelerated payments would otherwise trigger an excise tax.</w:t>
            </w:r>
          </w:p>
        </w:tc>
        <w:tc>
          <w:tcPr>
            <w:tcW w:w="145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Unvested RSRs will fully vest and payment is accelerated.</w:t>
            </w:r>
          </w:p>
        </w:tc>
      </w:tr>
      <w:tr>
        <w:trPr/>
        <w:tc>
          <w:tcPr>
            <w:tcW w:w="137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RPSRs</w:t>
            </w:r>
            <w:r>
              <w:rPr>
                <w:rFonts w:ascii="Futura Std Book;sans-serif" w:hAnsi="Futura Std Book;sans-serif"/>
                <w:b w:val="false"/>
                <w:color w:val="000000"/>
                <w:sz w:val="10"/>
              </w:rPr>
              <w:t>(1)(2)</w:t>
            </w:r>
          </w:p>
        </w:tc>
        <w:tc>
          <w:tcPr>
            <w:tcW w:w="196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Unvested RPSRs are forfeited except in the case of early retirement where the RPSRs are prorated and mandatory retirement (age 65) where they fully vest.</w:t>
            </w:r>
          </w:p>
        </w:tc>
        <w:tc>
          <w:tcPr>
            <w:tcW w:w="23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Unvested RPSRs are forfeited except in the case of early retirement where the RPSRs are prorated and mandatory retirement (age 65) where they fully vest.</w:t>
            </w:r>
          </w:p>
        </w:tc>
        <w:tc>
          <w:tcPr>
            <w:tcW w:w="30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For a CIC, unvested RPSRs will fully vest and payment is accelerated based on a truncated performance period, only in the event of a double trigger (CIC and termination other than for cause within the specified period), or if the acquiring company fails to assume the awards; subject to certain limitations to the extent such accelerated payments would otherwise trigger an excise tax.</w:t>
            </w:r>
          </w:p>
        </w:tc>
        <w:tc>
          <w:tcPr>
            <w:tcW w:w="145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Unvested RPSRs are prorated and payment, at target, is accelerated.</w:t>
            </w:r>
          </w:p>
        </w:tc>
      </w:tr>
      <w:tr>
        <w:trPr/>
        <w:tc>
          <w:tcPr>
            <w:tcW w:w="137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Cash Severance</w:t>
            </w:r>
          </w:p>
        </w:tc>
        <w:tc>
          <w:tcPr>
            <w:tcW w:w="196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Lump sum equal to 1.5x base salary and bonus target and a prorated performance bonus for the year of termination.</w:t>
            </w:r>
          </w:p>
        </w:tc>
        <w:tc>
          <w:tcPr>
            <w:tcW w:w="30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r>
        <w:trPr/>
        <w:tc>
          <w:tcPr>
            <w:tcW w:w="137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Medical/Dental Continuation</w:t>
            </w:r>
          </w:p>
        </w:tc>
        <w:tc>
          <w:tcPr>
            <w:tcW w:w="196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Continued medical and dental coverage for the 18-month severance period.</w:t>
            </w:r>
          </w:p>
        </w:tc>
        <w:tc>
          <w:tcPr>
            <w:tcW w:w="30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r>
        <w:trPr/>
        <w:tc>
          <w:tcPr>
            <w:tcW w:w="137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Financial Planning/Income Tax</w:t>
            </w:r>
          </w:p>
        </w:tc>
        <w:tc>
          <w:tcPr>
            <w:tcW w:w="196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Reimbursement of fees for the year of termination and the following year.</w:t>
            </w:r>
          </w:p>
        </w:tc>
        <w:tc>
          <w:tcPr>
            <w:tcW w:w="30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r>
        <w:trPr/>
        <w:tc>
          <w:tcPr>
            <w:tcW w:w="1379"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Outplacement Services</w:t>
            </w:r>
          </w:p>
        </w:tc>
        <w:tc>
          <w:tcPr>
            <w:tcW w:w="1967"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236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Expenses up to 15% of base salary.</w:t>
            </w:r>
          </w:p>
        </w:tc>
        <w:tc>
          <w:tcPr>
            <w:tcW w:w="3043"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c>
          <w:tcPr>
            <w:tcW w:w="1452"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 payment.</w:t>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(1)Terms of equity awards granted to the NEOs under the 2011 Plan and the 2024 Plan.</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(2)Subject to the Compensation and Human Capital Committee’s approval of the earn-out percentage based on the RPSR performance metrics.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(3)Any retirement treatment requires employment for at least six months following the grant date with respect to RSRs and at least six months of the performance period with respect to RPSRs.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554990"/>
                <wp:effectExtent l="0" t="0" r="0" b="0"/>
                <wp:wrapNone/>
                <wp:docPr id="317" name="Frame8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Potential Termination Payments Table provides estimated payments and benefits that the Company would have provided to each NEO if his or her employment had terminated on December 31, 2024 for the reasons set forth in the table below. The Company stock price is assumed to be $469.29, the closing market price on December 31, 2024, the last trading day of the year. These payments and benefits are payable based on:</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Severance Plan;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the 2011 Plan and the 2024 Plan and the terms and conditions of equity awards made pursuant to the plan.</w:t>
      </w:r>
    </w:p>
    <w:p>
      <w:pPr>
        <w:pStyle w:val="TextBody"/>
        <w:bidi w:val="0"/>
        <w:spacing w:lineRule="auto" w:line="288" w:before="120" w:after="120"/>
        <w:jc w:val="left"/>
        <w:rPr/>
      </w:pPr>
      <w:r>
        <w:rPr>
          <w:rFonts w:ascii="Futura Std Book;sans-serif" w:hAnsi="Futura Std Book;sans-serif"/>
          <w:b w:val="false"/>
          <w:color w:val="000000"/>
          <w:sz w:val="18"/>
        </w:rPr>
        <w:t xml:space="preserve">Due to the many factors that affect the nature and amount of any benefits provided upon termination events, actual amounts paid or distributed to NEOs may be different from the values shown in the table. Factors that may affect these amounts include timing during the year of the occurrence of the event, our stock price, the NEO’s age and the terms and circumstances of the event. The amounts described below are in addition to an NEO’s benefits described in the Pension Benefits and Nonqualified Deferred Compensation Tables on pages </w:t>
      </w:r>
      <w:hyperlink w:anchor="idc6f358a7ea345daa8bbc8a5ea69f8d5_154">
        <w:r>
          <w:rPr>
            <w:rStyle w:val="InternetLink"/>
            <w:rFonts w:ascii="Futura Std Book;sans-serif" w:hAnsi="Futura Std Book;sans-serif"/>
            <w:b w:val="false"/>
            <w:strike w:val="false"/>
            <w:dstrike w:val="false"/>
            <w:color w:val="000000"/>
            <w:sz w:val="18"/>
            <w:u w:val="none"/>
            <w:effect w:val="none"/>
          </w:rPr>
          <w:t>75</w:t>
        </w:r>
      </w:hyperlink>
      <w:r>
        <w:rPr>
          <w:rFonts w:ascii="Futura Std Book;sans-serif" w:hAnsi="Futura Std Book;sans-serif"/>
          <w:b w:val="false"/>
          <w:color w:val="000000"/>
          <w:sz w:val="18"/>
        </w:rPr>
        <w:t xml:space="preserve"> and </w:t>
      </w:r>
      <w:hyperlink w:anchor="idc6f358a7ea345daa8bbc8a5ea69f8d5_157">
        <w:r>
          <w:rPr>
            <w:rStyle w:val="InternetLink"/>
            <w:rFonts w:ascii="Futura Std Book;sans-serif" w:hAnsi="Futura Std Book;sans-serif"/>
            <w:b w:val="false"/>
            <w:strike w:val="false"/>
            <w:dstrike w:val="false"/>
            <w:color w:val="000000"/>
            <w:sz w:val="18"/>
            <w:u w:val="none"/>
            <w:effect w:val="none"/>
          </w:rPr>
          <w:t>78</w:t>
        </w:r>
      </w:hyperlink>
      <w:r>
        <w:rPr>
          <w:rFonts w:ascii="Futura Std Book;sans-serif" w:hAnsi="Futura Std Book;sans-serif"/>
          <w:b w:val="false"/>
          <w:color w:val="000000"/>
          <w:sz w:val="18"/>
        </w:rPr>
        <w:t>, respectively, as well as benefits generally available to our employees such as distributions under our savings plan, disability or life insurance benefits and accrued vacation.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734695"/>
                <wp:effectExtent l="0" t="0" r="0" b="0"/>
                <wp:wrapNone/>
                <wp:docPr id="318" name="Frame8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0" w:after="120"/>
        <w:jc w:val="left"/>
        <w:rPr>
          <w:rFonts w:ascii="Futura Std Book;sans-serif" w:hAnsi="Futura Std Book;sans-serif"/>
          <w:b/>
          <w:color w:val="29378D"/>
          <w:sz w:val="30"/>
        </w:rPr>
      </w:pPr>
      <w:r>
        <w:rPr>
          <w:rFonts w:ascii="Futura Std Book;sans-serif" w:hAnsi="Futura Std Book;sans-serif"/>
          <w:b/>
          <w:color w:val="29378D"/>
          <w:sz w:val="30"/>
        </w:rPr>
        <w:t>Termination Payment Table</w:t>
      </w:r>
    </w:p>
    <w:p>
      <w:pPr>
        <w:pStyle w:val="TextBody"/>
        <w:bidi w:val="0"/>
        <w:spacing w:lineRule="auto" w:line="288" w:before="120" w:after="120"/>
        <w:jc w:val="left"/>
        <w:rPr>
          <w:rFonts w:ascii="Futura Std Book;sans-serif" w:hAnsi="Futura Std Book;sans-serif"/>
          <w:b w:val="false"/>
          <w:color w:val="000000"/>
          <w:sz w:val="26"/>
        </w:rPr>
      </w:pPr>
      <w:r>
        <w:rPr>
          <w:rFonts w:ascii="Futura Std Book;sans-serif" w:hAnsi="Futura Std Book;sans-serif"/>
          <w:b w:val="false"/>
          <w:color w:val="000000"/>
          <w:sz w:val="26"/>
        </w:rPr>
        <w:t>Potential Termination Payments</w:t>
      </w:r>
    </w:p>
    <w:tbl>
      <w:tblPr>
        <w:tblW w:w="10195" w:type="dxa"/>
        <w:jc w:val="left"/>
        <w:tblInd w:w="0" w:type="dxa"/>
        <w:tblLayout w:type="fixed"/>
        <w:tblCellMar>
          <w:top w:w="28" w:type="dxa"/>
          <w:left w:w="28" w:type="dxa"/>
          <w:bottom w:w="28" w:type="dxa"/>
          <w:right w:w="28" w:type="dxa"/>
        </w:tblCellMar>
      </w:tblPr>
      <w:tblGrid>
        <w:gridCol w:w="633"/>
        <w:gridCol w:w="556"/>
        <w:gridCol w:w="565"/>
        <w:gridCol w:w="894"/>
        <w:gridCol w:w="894"/>
        <w:gridCol w:w="897"/>
        <w:gridCol w:w="488"/>
        <w:gridCol w:w="488"/>
        <w:gridCol w:w="331"/>
        <w:gridCol w:w="540"/>
        <w:gridCol w:w="541"/>
        <w:gridCol w:w="436"/>
        <w:gridCol w:w="540"/>
        <w:gridCol w:w="541"/>
        <w:gridCol w:w="421"/>
        <w:gridCol w:w="540"/>
        <w:gridCol w:w="541"/>
        <w:gridCol w:w="349"/>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color w:val="000000"/>
                <w:sz w:val="13"/>
              </w:rPr>
              <w:t xml:space="preserve">Name </w:t>
            </w:r>
            <w:r>
              <w:rPr>
                <w:rFonts w:ascii="Futura Std Book;sans-serif" w:hAnsi="Futura Std Book;sans-serif"/>
                <w:b/>
                <w:color w:val="000000"/>
                <w:sz w:val="8"/>
              </w:rPr>
              <w:t>(1)</w:t>
            </w:r>
          </w:p>
        </w:tc>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3"/>
              </w:rPr>
            </w:pPr>
            <w:r>
              <w:rPr>
                <w:rFonts w:ascii="Futura Std Book;sans-serif" w:hAnsi="Futura Std Book;sans-serif"/>
                <w:b/>
                <w:color w:val="000000"/>
                <w:sz w:val="13"/>
              </w:rPr>
              <w:t>Executive Benefits</w:t>
            </w:r>
          </w:p>
        </w:tc>
        <w:tc>
          <w:tcPr>
            <w:tcW w:w="130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Voluntary</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Termination</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51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Involuntary</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Termination</w:t>
            </w:r>
          </w:p>
          <w:p>
            <w:pPr>
              <w:pStyle w:val="TableContents"/>
              <w:bidi w:val="0"/>
              <w:spacing w:lineRule="auto" w:line="288" w:before="0" w:after="0"/>
              <w:jc w:val="right"/>
              <w:rPr/>
            </w:pPr>
            <w:r>
              <w:rPr>
                <w:rFonts w:ascii="Futura Std Book;sans-serif" w:hAnsi="Futura Std Book;sans-serif"/>
                <w:b/>
                <w:color w:val="000000"/>
                <w:sz w:val="13"/>
              </w:rPr>
              <w:t>Not For Cause</w:t>
            </w:r>
            <w:r>
              <w:rPr>
                <w:rFonts w:ascii="Futura Std Book;sans-serif" w:hAnsi="Futura Std Book;sans-serif"/>
                <w:b/>
                <w:color w:val="000000"/>
                <w:sz w:val="8"/>
              </w:rPr>
              <w:t>(2)</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50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Post-CIC</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Involuntary</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or Good Reason</w:t>
            </w:r>
          </w:p>
          <w:p>
            <w:pPr>
              <w:pStyle w:val="TableContents"/>
              <w:bidi w:val="0"/>
              <w:spacing w:lineRule="auto" w:line="288" w:before="0" w:after="0"/>
              <w:jc w:val="right"/>
              <w:rPr/>
            </w:pPr>
            <w:r>
              <w:rPr>
                <w:rFonts w:ascii="Futura Std Book;sans-serif" w:hAnsi="Futura Std Book;sans-serif"/>
                <w:b/>
                <w:color w:val="000000"/>
                <w:sz w:val="13"/>
              </w:rPr>
              <w:t>Termination</w:t>
            </w:r>
            <w:r>
              <w:rPr>
                <w:rFonts w:ascii="Futura Std Book;sans-serif" w:hAnsi="Futura Std Book;sans-serif"/>
                <w:b/>
                <w:color w:val="000000"/>
                <w:sz w:val="8"/>
              </w:rPr>
              <w:t>(3)</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c>
          <w:tcPr>
            <w:tcW w:w="143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Death or</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Disability</w:t>
            </w:r>
          </w:p>
          <w:p>
            <w:pPr>
              <w:pStyle w:val="TableContents"/>
              <w:bidi w:val="0"/>
              <w:spacing w:lineRule="auto" w:line="288" w:before="0" w:after="0"/>
              <w:jc w:val="right"/>
              <w:rPr>
                <w:rFonts w:ascii="Futura Std Book;sans-serif" w:hAnsi="Futura Std Book;sans-serif"/>
                <w:b/>
                <w:color w:val="000000"/>
                <w:sz w:val="13"/>
              </w:rPr>
            </w:pPr>
            <w:r>
              <w:rPr>
                <w:rFonts w:ascii="Futura Std Book;sans-serif" w:hAnsi="Futura Std Book;sans-serif"/>
                <w:b/>
                <w:color w:val="000000"/>
                <w:sz w:val="13"/>
              </w:rPr>
              <w:t>($)</w:t>
            </w:r>
          </w:p>
        </w:tc>
      </w:tr>
      <w:tr>
        <w:trPr/>
        <w:tc>
          <w:tcPr>
            <w:tcW w:w="1754" w:type="dxa"/>
            <w:gridSpan w:val="3"/>
            <w:vMerge w:val="restart"/>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Kathy J. Warden</w:t>
            </w:r>
          </w:p>
        </w:tc>
        <w:tc>
          <w:tcPr>
            <w:tcW w:w="2685"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RSRs</w:t>
            </w:r>
            <w:r>
              <w:rPr>
                <w:color w:val="000000"/>
              </w:rPr>
              <w:t xml:space="preserve"> </w:t>
            </w:r>
            <w:r>
              <w:rPr>
                <w:rFonts w:ascii="Futura Std Book;sans-serif" w:hAnsi="Futura Std Book;sans-serif"/>
                <w:b w:val="false"/>
                <w:color w:val="000000"/>
                <w:sz w:val="10"/>
              </w:rPr>
              <w:t>(4)</w:t>
            </w:r>
          </w:p>
        </w:tc>
        <w:tc>
          <w:tcPr>
            <w:tcW w:w="97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9,936,746 </w:t>
            </w:r>
          </w:p>
        </w:tc>
        <w:tc>
          <w:tcPr>
            <w:tcW w:w="43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15,762,043 </w:t>
            </w:r>
          </w:p>
        </w:tc>
        <w:tc>
          <w:tcPr>
            <w:tcW w:w="421"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15,762,043 </w:t>
            </w:r>
          </w:p>
        </w:tc>
        <w:tc>
          <w:tcPr>
            <w:tcW w:w="34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RPSRs </w:t>
            </w:r>
            <w:r>
              <w:rPr>
                <w:rFonts w:ascii="Futura Std Book;sans-serif" w:hAnsi="Futura Std Book;sans-serif"/>
                <w:b w:val="false"/>
                <w:color w:val="000000"/>
                <w:sz w:val="10"/>
              </w:rPr>
              <w:t>(4)</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11,115,134 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22,362,138 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11,115,134 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Severance Benefits</w:t>
            </w:r>
            <w:r>
              <w:rPr>
                <w:color w:val="000000"/>
              </w:rPr>
              <w:t xml:space="preserve"> </w:t>
            </w:r>
            <w:r>
              <w:rPr>
                <w:rFonts w:ascii="Futura Std Book;sans-serif" w:hAnsi="Futura Std Book;sans-serif"/>
                <w:b w:val="false"/>
                <w:color w:val="000000"/>
                <w:sz w:val="10"/>
              </w:rPr>
              <w:t>(5)</w:t>
            </w:r>
          </w:p>
        </w:tc>
        <w:tc>
          <w:tcPr>
            <w:tcW w:w="130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7,965,000 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19,658 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30,000 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8" w:space="0" w:color="29378D"/>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270,000 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Kenneth B. Crews</w:t>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RSRs </w:t>
            </w:r>
            <w:r>
              <w:rPr>
                <w:rFonts w:ascii="Futura Std Book;sans-serif" w:hAnsi="Futura Std Book;sans-serif"/>
                <w:b w:val="false"/>
                <w:color w:val="000000"/>
                <w:sz w:val="10"/>
              </w:rPr>
              <w:t>(4)</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953,128 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953,128 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RPSRs </w:t>
            </w:r>
            <w:r>
              <w:rPr>
                <w:rFonts w:ascii="Futura Std Book;sans-serif" w:hAnsi="Futura Std Book;sans-serif"/>
                <w:b w:val="false"/>
                <w:color w:val="000000"/>
                <w:sz w:val="10"/>
              </w:rPr>
              <w:t>(4)</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1,862,143 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705,812 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Severance Benefits </w:t>
            </w:r>
            <w:r>
              <w:rPr>
                <w:rFonts w:ascii="Futura Std Book;sans-serif" w:hAnsi="Futura Std Book;sans-serif"/>
                <w:b w:val="false"/>
                <w:color w:val="000000"/>
                <w:sz w:val="10"/>
              </w:rPr>
              <w:t>(5)</w:t>
            </w:r>
          </w:p>
        </w:tc>
        <w:tc>
          <w:tcPr>
            <w:tcW w:w="130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2,550,000 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3,008 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127,500 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Robert J. Fleming</w:t>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RSRs </w:t>
            </w:r>
            <w:r>
              <w:rPr>
                <w:rFonts w:ascii="Futura Std Book;sans-serif" w:hAnsi="Futura Std Book;sans-serif"/>
                <w:b w:val="false"/>
                <w:color w:val="000000"/>
                <w:sz w:val="10"/>
              </w:rPr>
              <w:t>(4)</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1,353,902 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1,353,902 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RPSRs </w:t>
            </w:r>
            <w:r>
              <w:rPr>
                <w:rFonts w:ascii="Futura Std Book;sans-serif" w:hAnsi="Futura Std Book;sans-serif"/>
                <w:b w:val="false"/>
                <w:color w:val="000000"/>
                <w:sz w:val="10"/>
              </w:rPr>
              <w:t>(4)</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2,698,418 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997,241 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Severance Benefits </w:t>
            </w:r>
            <w:r>
              <w:rPr>
                <w:rFonts w:ascii="Futura Std Book;sans-serif" w:hAnsi="Futura Std Book;sans-serif"/>
                <w:b w:val="false"/>
                <w:color w:val="000000"/>
                <w:sz w:val="10"/>
              </w:rPr>
              <w:t>(5)</w:t>
            </w:r>
          </w:p>
        </w:tc>
        <w:tc>
          <w:tcPr>
            <w:tcW w:w="130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2,325,000 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944 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shd w:fill="DFDEEE" w:val="clear"/>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116,250 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Thomas H. Jones</w:t>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RSRs </w:t>
            </w:r>
            <w:r>
              <w:rPr>
                <w:rFonts w:ascii="Futura Std Book;sans-serif" w:hAnsi="Futura Std Book;sans-serif"/>
                <w:b w:val="false"/>
                <w:color w:val="000000"/>
                <w:sz w:val="10"/>
              </w:rPr>
              <w:t>(4)</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2,058,775 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2,058,775 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3,268,605 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3,268,605 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RPSRs </w:t>
            </w:r>
            <w:r>
              <w:rPr>
                <w:rFonts w:ascii="Futura Std Book;sans-serif" w:hAnsi="Futura Std Book;sans-serif"/>
                <w:b w:val="false"/>
                <w:color w:val="000000"/>
                <w:sz w:val="10"/>
              </w:rPr>
              <w:t>(4)</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2,265,732 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2,265,732 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4,599,981 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2,265,732 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Severance Benefits </w:t>
            </w:r>
            <w:r>
              <w:rPr>
                <w:rFonts w:ascii="Futura Std Book;sans-serif" w:hAnsi="Futura Std Book;sans-serif"/>
                <w:b w:val="false"/>
                <w:color w:val="000000"/>
                <w:sz w:val="10"/>
              </w:rPr>
              <w:t>(5)</w:t>
            </w:r>
          </w:p>
        </w:tc>
        <w:tc>
          <w:tcPr>
            <w:tcW w:w="130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2,445,000 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7,569 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268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122,250 </w:t>
            </w:r>
          </w:p>
        </w:tc>
        <w:tc>
          <w:tcPr>
            <w:tcW w:w="43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restart"/>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Roshan S. Roeder</w:t>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RSRs </w:t>
            </w:r>
            <w:r>
              <w:rPr>
                <w:rFonts w:ascii="Futura Std Book;sans-serif" w:hAnsi="Futura Std Book;sans-serif"/>
                <w:b w:val="false"/>
                <w:color w:val="000000"/>
                <w:sz w:val="10"/>
              </w:rPr>
              <w:t>(4)</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2,343,165 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2,343,165 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RPSRs </w:t>
            </w:r>
            <w:r>
              <w:rPr>
                <w:rFonts w:ascii="Futura Std Book;sans-serif" w:hAnsi="Futura Std Book;sans-serif"/>
                <w:b w:val="false"/>
                <w:color w:val="000000"/>
                <w:sz w:val="10"/>
              </w:rPr>
              <w:t>(4)</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4,462,479 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2,173,751 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88" w:before="120" w:after="120"/>
              <w:jc w:val="left"/>
              <w:rPr/>
            </w:pPr>
            <w:r>
              <w:rPr>
                <w:rFonts w:ascii="Futura Std Book;sans-serif" w:hAnsi="Futura Std Book;sans-serif"/>
                <w:b w:val="false"/>
                <w:color w:val="000000"/>
                <w:sz w:val="16"/>
              </w:rPr>
              <w:t xml:space="preserve">Severance Benefits </w:t>
            </w:r>
            <w:r>
              <w:rPr>
                <w:rFonts w:ascii="Futura Std Book;sans-serif" w:hAnsi="Futura Std Book;sans-serif"/>
                <w:b w:val="false"/>
                <w:color w:val="000000"/>
                <w:sz w:val="10"/>
              </w:rPr>
              <w:t>(5)</w:t>
            </w:r>
          </w:p>
        </w:tc>
        <w:tc>
          <w:tcPr>
            <w:tcW w:w="130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4" w:space="0" w:color="BCBEC0"/>
            </w:tcBorders>
            <w:shd w:fill="DFDE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Cash Severance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2,325,000 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Medical/Dental Continuation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19,658 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Financial Planning/Income Tax </w:t>
            </w:r>
          </w:p>
        </w:tc>
        <w:tc>
          <w:tcPr>
            <w:tcW w:w="97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18,500 </w:t>
            </w:r>
          </w:p>
        </w:tc>
        <w:tc>
          <w:tcPr>
            <w:tcW w:w="43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vMerge w:val="continue"/>
            <w:tcBorders>
              <w:top w:val="single" w:sz="4" w:space="0" w:color="BCBEC0"/>
              <w:bottom w:val="single" w:sz="4" w:space="0" w:color="BCBEC0"/>
            </w:tcBorders>
            <w:shd w:fill="DFDEEE" w:val="clear"/>
            <w:tcMar>
              <w:top w:w="30" w:type="dxa"/>
              <w:left w:w="0" w:type="dxa"/>
              <w:bottom w:w="30" w:type="dxa"/>
              <w:right w:w="0" w:type="dxa"/>
            </w:tcMar>
            <w:vAlign w:val="center"/>
          </w:tcPr>
          <w:p>
            <w:pPr>
              <w:pStyle w:val="Normal"/>
              <w:bidi w:val="0"/>
              <w:jc w:val="left"/>
              <w:rPr/>
            </w:pPr>
            <w:r>
              <w:rPr/>
            </w:r>
          </w:p>
        </w:tc>
        <w:tc>
          <w:tcPr>
            <w:tcW w:w="268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Outplacement Services </w:t>
            </w:r>
          </w:p>
        </w:tc>
        <w:tc>
          <w:tcPr>
            <w:tcW w:w="97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33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116,250 </w:t>
            </w:r>
          </w:p>
        </w:tc>
        <w:tc>
          <w:tcPr>
            <w:tcW w:w="43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2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34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554990"/>
                <wp:effectExtent l="0" t="0" r="0" b="0"/>
                <wp:wrapNone/>
                <wp:docPr id="319" name="Frame8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Compensation Tables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(1)Mr. Keffer is not included because his last day of employment was February 21, 2025. All of Mr. Keffer's outstanding RSRs and RPSRs were forfeited upon his voluntary termination.</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(2)Similar treatment provided for certain “good reason” terminations, as described in “Key Components of Our Executive Compensation Programs - Severance Benefits” found on page </w:t>
      </w:r>
      <w:hyperlink w:anchor="i9e96cabb8ba74942b8e955ac89b43661_6285">
        <w:r>
          <w:rPr>
            <w:rStyle w:val="InternetLink"/>
            <w:rFonts w:ascii="Futura Std Book;sans-serif" w:hAnsi="Futura Std Book;sans-serif"/>
            <w:b w:val="false"/>
            <w:strike w:val="false"/>
            <w:dstrike w:val="false"/>
            <w:color w:val="000000"/>
            <w:sz w:val="16"/>
            <w:u w:val="none"/>
            <w:effect w:val="none"/>
          </w:rPr>
          <w:t>65</w:t>
        </w:r>
      </w:hyperlink>
      <w:r>
        <w:rPr>
          <w:rFonts w:ascii="Futura Std Book;sans-serif" w:hAnsi="Futura Std Book;sans-serif"/>
          <w:b w:val="false"/>
          <w:color w:val="000000"/>
          <w:sz w:val="16"/>
        </w:rPr>
        <w:t>; however, there would be no termination payment in the event of an involuntary termination for cause.</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(3)The amounts assume full acceleration, which, as discussed above, may not occur to the extent that it would result in an excise tax that decreases the after-tax value of the awards to an NEO.</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(4)Long-term incentive awards result in a benefit under Voluntary Termination and Involuntary Termination Not for Cause only if eligible for retirement treatment under the terms and conditions of the grants.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(5)Represents the following benefits under the Severance Plan, assuming a termination date of December 31, 2024: (i) cash severance equivalent to 1.5x the sum of the annual base salary and target annual bonus, (ii) continued medical/dental coverage for the severance period, (iii) financial planning/income tax preparation fees for the year following termination and (iv) outplacement services up to 15% of salary.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734695"/>
                <wp:effectExtent l="0" t="0" r="0" b="0"/>
                <wp:wrapNone/>
                <wp:docPr id="320" name="Frame8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2024 CEO Pay Ratio</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are providing the following information about the relationship of the annual total compensation of our median employee and the annual total compensation of our CEO, Ms. Warden, as of our fiscal year ended December 31, 2024. The pay ratio included in this information is a reasonable estimate calculated in a manner consistent with Item 402(u) of Regulation S-K under the Securities Exchange Act of 1934, as amended (the "Exchange Act").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accordance with SEC rules, we used the same median employee in 2024 who we identified in the prior year's proxy statement. There were no changes to our global employee population or our compensation plans that would result in a significant change to our pay ratio.</w:t>
      </w:r>
    </w:p>
    <w:p>
      <w:pPr>
        <w:pStyle w:val="TextBody"/>
        <w:bidi w:val="0"/>
        <w:spacing w:lineRule="auto" w:line="288" w:before="120" w:after="120"/>
        <w:jc w:val="left"/>
        <w:rPr/>
      </w:pPr>
      <w:r>
        <w:rPr>
          <w:rFonts w:ascii="Futura Std Book;sans-serif" w:hAnsi="Futura Std Book;sans-serif"/>
          <w:b w:val="false"/>
          <w:color w:val="000000"/>
          <w:sz w:val="18"/>
        </w:rPr>
        <w:t xml:space="preserve">We calculated the median employee’s annual total compensation in the same manner as the CEO’s annual total compensation as calculated in the Summary Compensation Table on page </w:t>
      </w:r>
      <w:hyperlink w:anchor="idc6f358a7ea345daa8bbc8a5ea69f8d5_142">
        <w:r>
          <w:rPr>
            <w:rStyle w:val="InternetLink"/>
            <w:rFonts w:ascii="Futura Std Book;sans-serif" w:hAnsi="Futura Std Book;sans-serif"/>
            <w:b w:val="false"/>
            <w:strike w:val="false"/>
            <w:dstrike w:val="false"/>
            <w:color w:val="000000"/>
            <w:sz w:val="18"/>
            <w:u w:val="none"/>
            <w:effect w:val="none"/>
          </w:rPr>
          <w:t>70</w:t>
        </w:r>
      </w:hyperlink>
      <w:r>
        <w:rPr>
          <w:rFonts w:ascii="Futura Std Book;sans-serif" w:hAnsi="Futura Std Book;sans-serif"/>
          <w:b w:val="false"/>
          <w:color w:val="000000"/>
          <w:sz w:val="18"/>
        </w:rPr>
        <w:t>. The median employee’s annual total compensation was $109,782, which includes other forms of compensation such as financial and wellness benefits. The CEO’s annual total compensation was $24,359,199. Based on this information, for 2024 the ratio of the annual total compensation of the CEO to the annual total compensation of the median employee was 222:1.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554990"/>
                <wp:effectExtent l="0" t="0" r="0" b="0"/>
                <wp:wrapNone/>
                <wp:docPr id="321" name="Frame8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Pay Versus Performance</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Pay Versus Performance Table</w:t>
      </w:r>
    </w:p>
    <w:p>
      <w:pPr>
        <w:pStyle w:val="TextBody"/>
        <w:bidi w:val="0"/>
        <w:spacing w:lineRule="auto" w:line="268" w:before="120" w:after="120"/>
        <w:jc w:val="left"/>
        <w:rPr/>
      </w:pPr>
      <w:r>
        <w:rPr>
          <w:rFonts w:ascii="Futura Std Book;sans-serif" w:hAnsi="Futura Std Book;sans-serif"/>
          <w:b w:val="false"/>
          <w:color w:val="000000"/>
          <w:sz w:val="18"/>
        </w:rPr>
        <w:t xml:space="preserve">The following table provides five years of the Company’s compensation and performance history prepared in accordance the Exchange Act and does not necessarily reflect value actually realized by the executives or how our Compensation and Human Capital Committee evaluates compensation decisions in light of Company or individual performance. For information on how our Compensation and Human Capital Committee aligns pay with performance when making compensation decisions, please review the CD&amp;A beginning on page </w:t>
      </w:r>
      <w:hyperlink w:anchor="idc6f358a7ea345daa8bbc8a5ea69f8d5_106">
        <w:r>
          <w:rPr>
            <w:rStyle w:val="InternetLink"/>
            <w:rFonts w:ascii="Futura Std Book;sans-serif" w:hAnsi="Futura Std Book;sans-serif"/>
            <w:b w:val="false"/>
            <w:strike w:val="false"/>
            <w:dstrike w:val="false"/>
            <w:color w:val="000000"/>
            <w:sz w:val="18"/>
            <w:u w:val="none"/>
            <w:effect w:val="none"/>
          </w:rPr>
          <w:t>48</w:t>
        </w:r>
      </w:hyperlink>
      <w:r>
        <w:rPr>
          <w:rFonts w:ascii="Futura Std Book;sans-serif" w:hAnsi="Futura Std Book;sans-serif"/>
          <w:b w:val="false"/>
          <w:color w:val="000000"/>
          <w:sz w:val="18"/>
        </w:rPr>
        <w:t xml:space="preserve">. </w:t>
      </w:r>
    </w:p>
    <w:p>
      <w:pPr>
        <w:pStyle w:val="TextBody"/>
        <w:bidi w:val="0"/>
        <w:spacing w:lineRule="auto" w:line="268" w:before="120" w:after="120"/>
        <w:jc w:val="left"/>
        <w:rPr/>
      </w:pPr>
      <w:r>
        <w:rPr>
          <w:rFonts w:ascii="Futura Std Book;sans-serif" w:hAnsi="Futura Std Book;sans-serif"/>
          <w:b w:val="false"/>
          <w:color w:val="000000"/>
          <w:sz w:val="18"/>
        </w:rPr>
        <w:t>Based on the data shown in the table there is general alignment between the ”compensation actually paid” (CAP), as defined by the SEC, and the included metrics. While the CAP calculation includes important compensation elements, it does not reflect the executives</w:t>
      </w:r>
      <w:r>
        <w:rPr>
          <w:color w:val="000000"/>
        </w:rPr>
        <w:t>’ ”</w:t>
      </w:r>
      <w:r>
        <w:rPr>
          <w:rFonts w:ascii="Futura Std Book;sans-serif" w:hAnsi="Futura Std Book;sans-serif"/>
          <w:b w:val="false"/>
          <w:color w:val="000000"/>
          <w:sz w:val="18"/>
        </w:rPr>
        <w:t xml:space="preserve">earned” compensation. </w:t>
      </w:r>
    </w:p>
    <w:tbl>
      <w:tblPr>
        <w:tblW w:w="10975" w:type="dxa"/>
        <w:jc w:val="left"/>
        <w:tblInd w:w="0" w:type="dxa"/>
        <w:tblLayout w:type="fixed"/>
        <w:tblCellMar>
          <w:top w:w="28" w:type="dxa"/>
          <w:left w:w="28" w:type="dxa"/>
          <w:bottom w:w="28" w:type="dxa"/>
          <w:right w:w="28" w:type="dxa"/>
        </w:tblCellMar>
      </w:tblPr>
      <w:tblGrid>
        <w:gridCol w:w="239"/>
        <w:gridCol w:w="209"/>
        <w:gridCol w:w="198"/>
        <w:gridCol w:w="696"/>
        <w:gridCol w:w="385"/>
        <w:gridCol w:w="386"/>
        <w:gridCol w:w="540"/>
        <w:gridCol w:w="541"/>
        <w:gridCol w:w="156"/>
        <w:gridCol w:w="726"/>
        <w:gridCol w:w="250"/>
        <w:gridCol w:w="251"/>
        <w:gridCol w:w="794"/>
        <w:gridCol w:w="287"/>
        <w:gridCol w:w="251"/>
        <w:gridCol w:w="566"/>
        <w:gridCol w:w="155"/>
        <w:gridCol w:w="155"/>
        <w:gridCol w:w="566"/>
        <w:gridCol w:w="155"/>
        <w:gridCol w:w="156"/>
        <w:gridCol w:w="668"/>
        <w:gridCol w:w="668"/>
        <w:gridCol w:w="211"/>
        <w:gridCol w:w="1022"/>
        <w:gridCol w:w="314"/>
        <w:gridCol w:w="430"/>
      </w:tblGrid>
      <w:tr>
        <w:trPr/>
        <w:tc>
          <w:tcPr>
            <w:tcW w:w="2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646" w:type="dxa"/>
            <w:gridSpan w:val="3"/>
            <w:vMerge w:val="restart"/>
            <w:tcBorders/>
            <w:tcMar>
              <w:top w:w="0" w:type="dxa"/>
              <w:left w:w="0" w:type="dxa"/>
              <w:bottom w:w="0" w:type="dxa"/>
              <w:right w:w="0" w:type="dxa"/>
            </w:tcMar>
            <w:vAlign w:val="center"/>
          </w:tcPr>
          <w:p>
            <w:pPr>
              <w:pStyle w:val="TableContents"/>
              <w:bidi w:val="0"/>
              <w:spacing w:lineRule="auto" w:line="268" w:before="0" w:after="0"/>
              <w:jc w:val="left"/>
              <w:rPr/>
            </w:pPr>
            <w:r>
              <w:rPr>
                <w:rFonts w:ascii="Futura Std Book;sans-serif" w:hAnsi="Futura Std Book;sans-serif"/>
                <w:b/>
                <w:color w:val="000000"/>
                <w:sz w:val="14"/>
              </w:rPr>
              <w:t>Year</w:t>
            </w:r>
            <w:r>
              <w:rPr>
                <w:rFonts w:ascii="Futura Std Book;sans-serif" w:hAnsi="Futura Std Book;sans-serif"/>
                <w:b/>
                <w:color w:val="000000"/>
                <w:sz w:val="9"/>
              </w:rPr>
              <w:t>(1)</w:t>
            </w:r>
          </w:p>
        </w:tc>
        <w:tc>
          <w:tcPr>
            <w:tcW w:w="1467"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Summary Compensation Table (SCT) Total for Principal Executive Officer (PEO) ($)</w:t>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pPr>
            <w:r>
              <w:rPr>
                <w:rFonts w:ascii="Futura Std Book;sans-serif" w:hAnsi="Futura Std Book;sans-serif"/>
                <w:b/>
                <w:color w:val="000000"/>
                <w:sz w:val="14"/>
              </w:rPr>
              <w:t>CAP to PEO</w:t>
            </w:r>
            <w:r>
              <w:rPr>
                <w:rFonts w:ascii="Futura Std Book;sans-serif" w:hAnsi="Futura Std Book;sans-serif"/>
                <w:b/>
                <w:color w:val="000000"/>
                <w:sz w:val="9"/>
              </w:rPr>
              <w:t>(2)(3)</w:t>
            </w:r>
          </w:p>
          <w:p>
            <w:pPr>
              <w:pStyle w:val="TableContents"/>
              <w:bidi w:val="0"/>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1227"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 xml:space="preserve">Avg SCT Total for non-PEO NEOs </w:t>
              <w:br/>
              <w:t>($)</w:t>
            </w:r>
          </w:p>
        </w:tc>
        <w:tc>
          <w:tcPr>
            <w:tcW w:w="1332"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pPr>
            <w:r>
              <w:rPr>
                <w:rFonts w:ascii="Futura Std Book;sans-serif" w:hAnsi="Futura Std Book;sans-serif"/>
                <w:b/>
                <w:color w:val="000000"/>
                <w:sz w:val="14"/>
              </w:rPr>
              <w:t>Avg CAP to non-PEO NEOs</w:t>
            </w:r>
            <w:r>
              <w:rPr>
                <w:rFonts w:ascii="Futura Std Book;sans-serif" w:hAnsi="Futura Std Book;sans-serif"/>
                <w:b/>
                <w:color w:val="000000"/>
                <w:sz w:val="9"/>
              </w:rPr>
              <w:t>(2)(3)</w:t>
            </w:r>
          </w:p>
          <w:p>
            <w:pPr>
              <w:pStyle w:val="TableContents"/>
              <w:bidi w:val="0"/>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175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Value of Initial Fixed $100 Investment Based on:</w:t>
            </w:r>
          </w:p>
        </w:tc>
        <w:tc>
          <w:tcPr>
            <w:tcW w:w="1547" w:type="dxa"/>
            <w:gridSpan w:val="3"/>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Net Income</w:t>
              <w:br/>
              <w:t>($)</w:t>
            </w:r>
          </w:p>
        </w:tc>
        <w:tc>
          <w:tcPr>
            <w:tcW w:w="1766" w:type="dxa"/>
            <w:gridSpan w:val="3"/>
            <w:vMerge w:val="restart"/>
            <w:tcBorders/>
            <w:tcMar>
              <w:top w:w="0" w:type="dxa"/>
              <w:left w:w="0" w:type="dxa"/>
              <w:bottom w:w="0" w:type="dxa"/>
              <w:right w:w="0" w:type="dxa"/>
            </w:tcMar>
            <w:vAlign w:val="center"/>
          </w:tcPr>
          <w:p>
            <w:pPr>
              <w:pStyle w:val="TableContents"/>
              <w:bidi w:val="0"/>
              <w:spacing w:lineRule="auto" w:line="268" w:before="0" w:after="0"/>
              <w:jc w:val="center"/>
              <w:rPr/>
            </w:pPr>
            <w:r>
              <w:rPr>
                <w:rFonts w:ascii="Futura Std Book;sans-serif" w:hAnsi="Futura Std Book;sans-serif"/>
                <w:b/>
                <w:color w:val="000000"/>
                <w:sz w:val="14"/>
              </w:rPr>
              <w:t>CSM: Adjusted Cash Flow from Operations*</w:t>
            </w:r>
            <w:r>
              <w:rPr>
                <w:rFonts w:ascii="Futura Std Book;sans-serif" w:hAnsi="Futura Std Book;sans-serif"/>
                <w:b/>
                <w:color w:val="000000"/>
                <w:sz w:val="9"/>
              </w:rPr>
              <w:t>(6)</w:t>
            </w:r>
          </w:p>
          <w:p>
            <w:pPr>
              <w:pStyle w:val="TableContents"/>
              <w:bidi w:val="0"/>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r>
      <w:tr>
        <w:trPr/>
        <w:tc>
          <w:tcPr>
            <w:tcW w:w="646" w:type="dxa"/>
            <w:gridSpan w:val="3"/>
            <w:vMerge w:val="continue"/>
            <w:tcBorders/>
            <w:tcMar>
              <w:top w:w="0" w:type="dxa"/>
              <w:left w:w="0" w:type="dxa"/>
              <w:bottom w:w="0" w:type="dxa"/>
              <w:right w:w="0" w:type="dxa"/>
            </w:tcMar>
            <w:vAlign w:val="center"/>
          </w:tcPr>
          <w:p>
            <w:pPr>
              <w:pStyle w:val="Normal"/>
              <w:bidi w:val="0"/>
              <w:jc w:val="left"/>
              <w:rPr/>
            </w:pPr>
            <w:r>
              <w:rPr/>
            </w:r>
          </w:p>
        </w:tc>
        <w:tc>
          <w:tcPr>
            <w:tcW w:w="1467" w:type="dxa"/>
            <w:gridSpan w:val="3"/>
            <w:vMerge w:val="continue"/>
            <w:tcBorders/>
            <w:tcMar>
              <w:top w:w="0" w:type="dxa"/>
              <w:left w:w="0" w:type="dxa"/>
              <w:bottom w:w="0" w:type="dxa"/>
              <w:right w:w="0" w:type="dxa"/>
            </w:tcMar>
            <w:vAlign w:val="center"/>
          </w:tcPr>
          <w:p>
            <w:pPr>
              <w:pStyle w:val="Normal"/>
              <w:bidi w:val="0"/>
              <w:jc w:val="left"/>
              <w:rPr/>
            </w:pPr>
            <w:r>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1227" w:type="dxa"/>
            <w:gridSpan w:val="3"/>
            <w:vMerge w:val="continue"/>
            <w:tcBorders/>
            <w:tcMar>
              <w:top w:w="0" w:type="dxa"/>
              <w:left w:w="0" w:type="dxa"/>
              <w:bottom w:w="0" w:type="dxa"/>
              <w:right w:w="0" w:type="dxa"/>
            </w:tcMar>
            <w:vAlign w:val="center"/>
          </w:tcPr>
          <w:p>
            <w:pPr>
              <w:pStyle w:val="Normal"/>
              <w:bidi w:val="0"/>
              <w:jc w:val="left"/>
              <w:rPr/>
            </w:pPr>
            <w:r>
              <w:rPr/>
            </w:r>
          </w:p>
        </w:tc>
        <w:tc>
          <w:tcPr>
            <w:tcW w:w="1332" w:type="dxa"/>
            <w:gridSpan w:val="3"/>
            <w:vMerge w:val="continue"/>
            <w:tcBorders/>
            <w:tcMar>
              <w:top w:w="0" w:type="dxa"/>
              <w:left w:w="0" w:type="dxa"/>
              <w:bottom w:w="0" w:type="dxa"/>
              <w:right w:w="0" w:type="dxa"/>
            </w:tcMar>
            <w:vAlign w:val="center"/>
          </w:tcPr>
          <w:p>
            <w:pPr>
              <w:pStyle w:val="Normal"/>
              <w:bidi w:val="0"/>
              <w:jc w:val="left"/>
              <w:rPr/>
            </w:pPr>
            <w:r>
              <w:rPr/>
            </w:r>
          </w:p>
        </w:tc>
        <w:tc>
          <w:tcPr>
            <w:tcW w:w="87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68" w:before="0" w:after="0"/>
              <w:jc w:val="center"/>
              <w:rPr/>
            </w:pPr>
            <w:r>
              <w:rPr>
                <w:rFonts w:ascii="Futura Std Book;sans-serif" w:hAnsi="Futura Std Book;sans-serif"/>
                <w:b/>
                <w:color w:val="000000"/>
                <w:sz w:val="14"/>
              </w:rPr>
              <w:t>TSR</w:t>
            </w:r>
            <w:r>
              <w:rPr>
                <w:rFonts w:ascii="Futura Std Book;sans-serif" w:hAnsi="Futura Std Book;sans-serif"/>
                <w:b/>
                <w:color w:val="000000"/>
                <w:sz w:val="9"/>
              </w:rPr>
              <w:t>(4)</w:t>
            </w:r>
          </w:p>
          <w:p>
            <w:pPr>
              <w:pStyle w:val="TableContents"/>
              <w:bidi w:val="0"/>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87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68" w:before="0" w:after="0"/>
              <w:jc w:val="center"/>
              <w:rPr/>
            </w:pPr>
            <w:r>
              <w:rPr>
                <w:rFonts w:ascii="Futura Std Book;sans-serif" w:hAnsi="Futura Std Book;sans-serif"/>
                <w:b/>
                <w:color w:val="000000"/>
                <w:sz w:val="14"/>
              </w:rPr>
              <w:t>Peer Group TSR</w:t>
            </w:r>
            <w:r>
              <w:rPr>
                <w:rFonts w:ascii="Futura Std Book;sans-serif" w:hAnsi="Futura Std Book;sans-serif"/>
                <w:b/>
                <w:color w:val="000000"/>
                <w:sz w:val="9"/>
              </w:rPr>
              <w:t>(4)(5)</w:t>
            </w:r>
          </w:p>
          <w:p>
            <w:pPr>
              <w:pStyle w:val="TableContents"/>
              <w:bidi w:val="0"/>
              <w:spacing w:lineRule="auto" w:line="268" w:before="0" w:after="0"/>
              <w:jc w:val="center"/>
              <w:rPr>
                <w:rFonts w:ascii="Futura Std Book;sans-serif" w:hAnsi="Futura Std Book;sans-serif"/>
                <w:b/>
                <w:color w:val="000000"/>
                <w:sz w:val="14"/>
              </w:rPr>
            </w:pPr>
            <w:r>
              <w:rPr>
                <w:rFonts w:ascii="Futura Std Book;sans-serif" w:hAnsi="Futura Std Book;sans-serif"/>
                <w:b/>
                <w:color w:val="000000"/>
                <w:sz w:val="14"/>
              </w:rPr>
              <w:t>($)</w:t>
            </w:r>
          </w:p>
        </w:tc>
        <w:tc>
          <w:tcPr>
            <w:tcW w:w="1547" w:type="dxa"/>
            <w:gridSpan w:val="3"/>
            <w:vMerge w:val="continue"/>
            <w:tcBorders/>
            <w:tcMar>
              <w:top w:w="0" w:type="dxa"/>
              <w:left w:w="0" w:type="dxa"/>
              <w:bottom w:w="0" w:type="dxa"/>
              <w:right w:w="0" w:type="dxa"/>
            </w:tcMar>
            <w:vAlign w:val="center"/>
          </w:tcPr>
          <w:p>
            <w:pPr>
              <w:pStyle w:val="Normal"/>
              <w:bidi w:val="0"/>
              <w:jc w:val="left"/>
              <w:rPr/>
            </w:pPr>
            <w:r>
              <w:rPr/>
            </w:r>
          </w:p>
        </w:tc>
        <w:tc>
          <w:tcPr>
            <w:tcW w:w="17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46" w:type="dxa"/>
            <w:gridSpan w:val="3"/>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left"/>
              <w:rPr>
                <w:rFonts w:ascii="Futura Std Book;sans-serif" w:hAnsi="Futura Std Book;sans-serif"/>
                <w:b/>
                <w:color w:val="0A2299"/>
                <w:sz w:val="16"/>
              </w:rPr>
            </w:pPr>
            <w:r>
              <w:rPr>
                <w:rFonts w:ascii="Futura Std Book;sans-serif" w:hAnsi="Futura Std Book;sans-serif"/>
                <w:b/>
                <w:color w:val="0A2299"/>
                <w:sz w:val="16"/>
              </w:rPr>
              <w:t>2024</w:t>
            </w:r>
          </w:p>
        </w:tc>
        <w:tc>
          <w:tcPr>
            <w:tcW w:w="108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24,359,199 </w:t>
            </w:r>
          </w:p>
        </w:tc>
        <w:tc>
          <w:tcPr>
            <w:tcW w:w="386"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26,351,663 </w:t>
            </w:r>
          </w:p>
        </w:tc>
        <w:tc>
          <w:tcPr>
            <w:tcW w:w="156"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5,285,552 </w:t>
            </w:r>
          </w:p>
        </w:tc>
        <w:tc>
          <w:tcPr>
            <w:tcW w:w="25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5,642,332 </w:t>
            </w:r>
          </w:p>
        </w:tc>
        <w:tc>
          <w:tcPr>
            <w:tcW w:w="25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148.07 </w:t>
            </w:r>
          </w:p>
        </w:tc>
        <w:tc>
          <w:tcPr>
            <w:tcW w:w="155"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125.30 </w:t>
            </w:r>
          </w:p>
        </w:tc>
        <w:tc>
          <w:tcPr>
            <w:tcW w:w="156"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4,174,000,000 </w:t>
            </w:r>
          </w:p>
        </w:tc>
        <w:tc>
          <w:tcPr>
            <w:tcW w:w="21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4,109,000,000 </w:t>
            </w:r>
          </w:p>
        </w:tc>
        <w:tc>
          <w:tcPr>
            <w:tcW w:w="430"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Futura Std Book;sans-serif" w:hAnsi="Futura Std Book;sans-serif"/>
                <w:b/>
                <w:color w:val="0A2299"/>
                <w:sz w:val="16"/>
              </w:rPr>
            </w:pPr>
            <w:r>
              <w:rPr>
                <w:rFonts w:ascii="Futura Std Book;sans-serif" w:hAnsi="Futura Std Book;sans-serif"/>
                <w:b/>
                <w:color w:val="0A2299"/>
                <w:sz w:val="16"/>
              </w:rPr>
              <w:t>2023</w:t>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24,737,493 </w:t>
            </w:r>
          </w:p>
        </w:tc>
        <w:tc>
          <w:tcPr>
            <w:tcW w:w="38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13,440,872 </w:t>
            </w:r>
          </w:p>
        </w:tc>
        <w:tc>
          <w:tcPr>
            <w:tcW w:w="15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5,751,083 </w:t>
            </w:r>
          </w:p>
        </w:tc>
        <w:tc>
          <w:tcPr>
            <w:tcW w:w="25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3,930,874 </w:t>
            </w:r>
          </w:p>
        </w:tc>
        <w:tc>
          <w:tcPr>
            <w:tcW w:w="25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145.27 </w:t>
            </w:r>
          </w:p>
        </w:tc>
        <w:tc>
          <w:tcPr>
            <w:tcW w:w="155"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111.48 </w:t>
            </w:r>
          </w:p>
        </w:tc>
        <w:tc>
          <w:tcPr>
            <w:tcW w:w="15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2,056,000,000 </w:t>
            </w:r>
          </w:p>
        </w:tc>
        <w:tc>
          <w:tcPr>
            <w:tcW w:w="21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3,637,000,000 </w:t>
            </w:r>
          </w:p>
        </w:tc>
        <w:tc>
          <w:tcPr>
            <w:tcW w:w="430" w:type="dxa"/>
            <w:tcBorders>
              <w:top w:val="single" w:sz="8" w:space="0" w:color="DBDBDB"/>
              <w:right w:val="single" w:sz="8" w:space="0" w:color="FFFFFF"/>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A2299"/>
                <w:sz w:val="16"/>
              </w:rPr>
            </w:pPr>
            <w:r>
              <w:rPr>
                <w:rFonts w:ascii="Futura Std Book;sans-serif" w:hAnsi="Futura Std Book;sans-serif"/>
                <w:b/>
                <w:color w:val="0A2299"/>
                <w:sz w:val="16"/>
              </w:rPr>
              <w:t>2022</w:t>
            </w:r>
          </w:p>
        </w:tc>
        <w:tc>
          <w:tcPr>
            <w:tcW w:w="1081"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20,672,072 </w:t>
            </w:r>
          </w:p>
        </w:tc>
        <w:tc>
          <w:tcPr>
            <w:tcW w:w="386"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54,746,734 </w:t>
            </w:r>
          </w:p>
        </w:tc>
        <w:tc>
          <w:tcPr>
            <w:tcW w:w="156"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5,388,919 </w:t>
            </w:r>
          </w:p>
        </w:tc>
        <w:tc>
          <w:tcPr>
            <w:tcW w:w="251"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11,074,607 </w:t>
            </w:r>
          </w:p>
        </w:tc>
        <w:tc>
          <w:tcPr>
            <w:tcW w:w="251"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166.57 </w:t>
            </w:r>
          </w:p>
        </w:tc>
        <w:tc>
          <w:tcPr>
            <w:tcW w:w="155"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106.08 </w:t>
            </w:r>
          </w:p>
        </w:tc>
        <w:tc>
          <w:tcPr>
            <w:tcW w:w="156"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4,896,000,000 </w:t>
            </w:r>
          </w:p>
        </w:tc>
        <w:tc>
          <w:tcPr>
            <w:tcW w:w="211"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tcBorders>
            <w:shd w:fill="DFDEEE" w:val="clear"/>
            <w:tcMar>
              <w:top w:w="30" w:type="dxa"/>
              <w:left w:w="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3,913,000,000 </w:t>
            </w:r>
          </w:p>
        </w:tc>
        <w:tc>
          <w:tcPr>
            <w:tcW w:w="430" w:type="dxa"/>
            <w:tcBorders>
              <w:top w:val="single" w:sz="8" w:space="0" w:color="DBDBDB"/>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left"/>
              <w:rPr>
                <w:rFonts w:ascii="Futura Std Book;sans-serif" w:hAnsi="Futura Std Book;sans-serif"/>
                <w:b/>
                <w:color w:val="0A2299"/>
                <w:sz w:val="16"/>
              </w:rPr>
            </w:pPr>
            <w:r>
              <w:rPr>
                <w:rFonts w:ascii="Futura Std Book;sans-serif" w:hAnsi="Futura Std Book;sans-serif"/>
                <w:b/>
                <w:color w:val="0A2299"/>
                <w:sz w:val="16"/>
              </w:rPr>
              <w:t>2021</w:t>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19,876,767 </w:t>
            </w:r>
          </w:p>
        </w:tc>
        <w:tc>
          <w:tcPr>
            <w:tcW w:w="38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38,893,119 </w:t>
            </w:r>
          </w:p>
        </w:tc>
        <w:tc>
          <w:tcPr>
            <w:tcW w:w="15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5,274,973 </w:t>
            </w:r>
          </w:p>
        </w:tc>
        <w:tc>
          <w:tcPr>
            <w:tcW w:w="25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9,100,357 </w:t>
            </w:r>
          </w:p>
        </w:tc>
        <w:tc>
          <w:tcPr>
            <w:tcW w:w="25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116.47 </w:t>
            </w:r>
          </w:p>
        </w:tc>
        <w:tc>
          <w:tcPr>
            <w:tcW w:w="155"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91.84 </w:t>
            </w:r>
          </w:p>
        </w:tc>
        <w:tc>
          <w:tcPr>
            <w:tcW w:w="15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7,005,000,000 </w:t>
            </w:r>
          </w:p>
        </w:tc>
        <w:tc>
          <w:tcPr>
            <w:tcW w:w="21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left w:val="single" w:sz="8" w:space="0" w:color="FFFFFF"/>
            </w:tcBorders>
            <w:tcMar>
              <w:top w:w="30" w:type="dxa"/>
              <w:bottom w:w="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4,475,000,000 </w:t>
            </w:r>
          </w:p>
        </w:tc>
        <w:tc>
          <w:tcPr>
            <w:tcW w:w="430" w:type="dxa"/>
            <w:tcBorders>
              <w:top w:val="single" w:sz="8" w:space="0" w:color="DBDBDB"/>
              <w:right w:val="single" w:sz="8" w:space="0" w:color="FFFFFF"/>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76" w:before="0" w:after="0"/>
              <w:jc w:val="left"/>
              <w:rPr/>
            </w:pPr>
            <w:r>
              <w:rPr>
                <w:rFonts w:ascii="Futura Std Book;sans-serif" w:hAnsi="Futura Std Book;sans-serif"/>
                <w:b/>
                <w:color w:val="0A2299"/>
                <w:sz w:val="16"/>
              </w:rPr>
              <w:t>2020</w:t>
            </w:r>
            <w:r>
              <w:rPr>
                <w:rFonts w:ascii="Futura Std Book;sans-serif" w:hAnsi="Futura Std Book;sans-serif"/>
                <w:b/>
                <w:color w:val="0A2299"/>
                <w:sz w:val="10"/>
              </w:rPr>
              <w:t>(7)</w:t>
            </w:r>
          </w:p>
        </w:tc>
        <w:tc>
          <w:tcPr>
            <w:tcW w:w="1081"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20,807,144 </w:t>
            </w:r>
          </w:p>
        </w:tc>
        <w:tc>
          <w:tcPr>
            <w:tcW w:w="386"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14,601,902 </w:t>
            </w:r>
          </w:p>
        </w:tc>
        <w:tc>
          <w:tcPr>
            <w:tcW w:w="156"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5,526,430 </w:t>
            </w:r>
          </w:p>
        </w:tc>
        <w:tc>
          <w:tcPr>
            <w:tcW w:w="251"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2,671,853 </w:t>
            </w:r>
          </w:p>
        </w:tc>
        <w:tc>
          <w:tcPr>
            <w:tcW w:w="251"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90.08 </w:t>
            </w:r>
          </w:p>
        </w:tc>
        <w:tc>
          <w:tcPr>
            <w:tcW w:w="155"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82.41 </w:t>
            </w:r>
          </w:p>
        </w:tc>
        <w:tc>
          <w:tcPr>
            <w:tcW w:w="156"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3,189,000,000 </w:t>
            </w:r>
          </w:p>
        </w:tc>
        <w:tc>
          <w:tcPr>
            <w:tcW w:w="211"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lineRule="auto" w:line="268"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5,135,000,000 </w:t>
            </w:r>
          </w:p>
        </w:tc>
        <w:tc>
          <w:tcPr>
            <w:tcW w:w="430" w:type="dxa"/>
            <w:tcBorders>
              <w:top w:val="single" w:sz="8" w:space="0" w:color="DBDBDB"/>
              <w:bottom w:val="single" w:sz="8" w:space="0" w:color="DBDBDB"/>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 Ms. Warden is included as the Principal Executive Officer (PEO), CEO, for years 2024, 2023, 2022, 2021 and 2020. Messrs. Crews, Jones and Keffer, Dr. Fleming and Ms. Roeder are included in the non-PEO NEO averages for 2024. Messrs. Keffer, Caylor and Jones and Ms. Roeder are included in the non-PEO NEO averages for 2023. Messrs. Keffer, Bromberg, Caylor and Jones are included in the non-PEO NEO averages for 2022. Messrs. Keffer, Caylor, Larson and Ms. Petryszyn are included in the non-PEO NEO averages for 2021. Messrs. Keffer, Caylor, Larson, Pamiljans and Bedingfield are included in the non-PEO NEO averages for 2020.</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(2) The CAP calculations for the PEO and non-PEO NEOs are included in the table below, as defined by the SEC. The non-PEO NEOs reflect an average for each year. </w:t>
      </w:r>
    </w:p>
    <w:p>
      <w:pPr>
        <w:pStyle w:val="TextBody"/>
        <w:bidi w:val="0"/>
        <w:spacing w:lineRule="auto" w:line="288" w:before="80" w:after="80"/>
        <w:ind w:left="0" w:right="0" w:hanging="288"/>
        <w:jc w:val="left"/>
        <w:rPr>
          <w:rFonts w:ascii="Futura Std Book;sans-serif" w:hAnsi="Futura Std Book;sans-serif"/>
          <w:b w:val="false"/>
          <w:color w:val="00249C"/>
          <w:sz w:val="16"/>
          <w:u w:val="single"/>
        </w:rPr>
      </w:pPr>
      <w:r>
        <w:rPr>
          <w:rFonts w:ascii="Futura Std Book;sans-serif" w:hAnsi="Futura Std Book;sans-serif"/>
          <w:b w:val="false"/>
          <w:color w:val="00249C"/>
          <w:sz w:val="16"/>
          <w:u w:val="single"/>
        </w:rPr>
        <w:t xml:space="preserve">CAP Calculation = </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Summary Compensation Table</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Annual stock award</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 Change in pension value </w:t>
      </w:r>
      <w:r>
        <w:rPr>
          <w:rFonts w:ascii="Futura Std Book;sans-serif" w:hAnsi="Futura Std Book;sans-serif"/>
          <w:b w:val="false"/>
          <w:color w:val="000000"/>
          <w:sz w:val="10"/>
        </w:rPr>
        <w:t>(a)</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Pension service cost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Prior pension service cost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Fair value of current year equity awards, annual change in fair value as of year-end for unvested awards, fair value as of vesting of awards granted and vested in year, annual change in value as of vesting of prior year's awards, annual change in value of prior year's awards forfeited and value of dividends or other earnings paid on stock</w:t>
      </w:r>
    </w:p>
    <w:tbl>
      <w:tblPr>
        <w:tblW w:w="10205" w:type="dxa"/>
        <w:jc w:val="left"/>
        <w:tblInd w:w="0" w:type="dxa"/>
        <w:tblLayout w:type="fixed"/>
        <w:tblCellMar>
          <w:top w:w="28" w:type="dxa"/>
          <w:left w:w="28" w:type="dxa"/>
          <w:bottom w:w="28" w:type="dxa"/>
          <w:right w:w="28" w:type="dxa"/>
        </w:tblCellMar>
      </w:tblPr>
      <w:tblGrid>
        <w:gridCol w:w="307"/>
        <w:gridCol w:w="260"/>
        <w:gridCol w:w="264"/>
        <w:gridCol w:w="269"/>
        <w:gridCol w:w="266"/>
        <w:gridCol w:w="261"/>
        <w:gridCol w:w="506"/>
        <w:gridCol w:w="496"/>
        <w:gridCol w:w="499"/>
        <w:gridCol w:w="608"/>
        <w:gridCol w:w="608"/>
        <w:gridCol w:w="611"/>
        <w:gridCol w:w="526"/>
        <w:gridCol w:w="521"/>
        <w:gridCol w:w="523"/>
        <w:gridCol w:w="645"/>
        <w:gridCol w:w="645"/>
        <w:gridCol w:w="647"/>
        <w:gridCol w:w="342"/>
        <w:gridCol w:w="330"/>
        <w:gridCol w:w="332"/>
        <w:gridCol w:w="255"/>
        <w:gridCol w:w="256"/>
        <w:gridCol w:w="228"/>
      </w:tblGrid>
      <w:tr>
        <w:trPr/>
        <w:tc>
          <w:tcPr>
            <w:tcW w:w="30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831"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 ($M)</w:t>
            </w:r>
          </w:p>
        </w:tc>
        <w:tc>
          <w:tcPr>
            <w:tcW w:w="9374" w:type="dxa"/>
            <w:gridSpan w:val="21"/>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CAP Calculation (per SEC)</w:t>
            </w:r>
          </w:p>
        </w:tc>
      </w:tr>
      <w:tr>
        <w:trPr/>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9374" w:type="dxa"/>
            <w:gridSpan w:val="21"/>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PEO</w:t>
            </w:r>
          </w:p>
        </w:tc>
      </w:tr>
      <w:tr>
        <w:trPr/>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796"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SCT Total</w:t>
            </w:r>
          </w:p>
        </w:tc>
        <w:tc>
          <w:tcPr>
            <w:tcW w:w="1501"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Stock Award</w:t>
            </w:r>
          </w:p>
        </w:tc>
        <w:tc>
          <w:tcPr>
            <w:tcW w:w="1827"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Change in Pension Value</w:t>
            </w:r>
          </w:p>
        </w:tc>
        <w:tc>
          <w:tcPr>
            <w:tcW w:w="1570"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Pension Service Cost</w:t>
            </w:r>
          </w:p>
        </w:tc>
        <w:tc>
          <w:tcPr>
            <w:tcW w:w="1937"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Prior Pension Service Cost</w:t>
            </w:r>
          </w:p>
        </w:tc>
        <w:tc>
          <w:tcPr>
            <w:tcW w:w="1004"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Equity Value</w:t>
            </w:r>
          </w:p>
        </w:tc>
        <w:tc>
          <w:tcPr>
            <w:tcW w:w="739"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r>
      <w:tr>
        <w:trPr/>
        <w:tc>
          <w:tcPr>
            <w:tcW w:w="831" w:type="dxa"/>
            <w:gridSpan w:val="3"/>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2024</w:t>
            </w:r>
          </w:p>
        </w:tc>
        <w:tc>
          <w:tcPr>
            <w:tcW w:w="535"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24.4 </w:t>
            </w:r>
          </w:p>
        </w:tc>
        <w:tc>
          <w:tcPr>
            <w:tcW w:w="26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(16.1)</w:t>
            </w:r>
          </w:p>
        </w:tc>
        <w:tc>
          <w:tcPr>
            <w:tcW w:w="499"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(0.3)</w:t>
            </w:r>
          </w:p>
        </w:tc>
        <w:tc>
          <w:tcPr>
            <w:tcW w:w="61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0.41 </w:t>
            </w:r>
          </w:p>
        </w:tc>
        <w:tc>
          <w:tcPr>
            <w:tcW w:w="523"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47"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18.0 </w:t>
            </w:r>
          </w:p>
        </w:tc>
        <w:tc>
          <w:tcPr>
            <w:tcW w:w="332"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26.4 </w:t>
            </w:r>
          </w:p>
        </w:tc>
        <w:tc>
          <w:tcPr>
            <w:tcW w:w="228"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2023</w:t>
            </w:r>
          </w:p>
        </w:tc>
        <w:tc>
          <w:tcPr>
            <w:tcW w:w="535"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24.7 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(16.0)</w:t>
            </w:r>
          </w:p>
        </w:tc>
        <w:tc>
          <w:tcPr>
            <w:tcW w:w="49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w:t>
            </w:r>
          </w:p>
        </w:tc>
        <w:tc>
          <w:tcPr>
            <w:tcW w:w="61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0.35 </w:t>
            </w:r>
          </w:p>
        </w:tc>
        <w:tc>
          <w:tcPr>
            <w:tcW w:w="52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4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5.5 </w:t>
            </w:r>
          </w:p>
        </w:tc>
        <w:tc>
          <w:tcPr>
            <w:tcW w:w="33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13.4 </w:t>
            </w:r>
          </w:p>
        </w:tc>
        <w:tc>
          <w:tcPr>
            <w:tcW w:w="22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w:t>
            </w:r>
          </w:p>
        </w:tc>
        <w:tc>
          <w:tcPr>
            <w:tcW w:w="535"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20.7 </w:t>
            </w:r>
          </w:p>
        </w:tc>
        <w:tc>
          <w:tcPr>
            <w:tcW w:w="26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(14.3)</w:t>
            </w:r>
          </w:p>
        </w:tc>
        <w:tc>
          <w:tcPr>
            <w:tcW w:w="49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0.52 </w:t>
            </w:r>
          </w:p>
        </w:tc>
        <w:tc>
          <w:tcPr>
            <w:tcW w:w="52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47"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47.8 </w:t>
            </w:r>
          </w:p>
        </w:tc>
        <w:tc>
          <w:tcPr>
            <w:tcW w:w="33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54.7 </w:t>
            </w:r>
          </w:p>
        </w:tc>
        <w:tc>
          <w:tcPr>
            <w:tcW w:w="228"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w:t>
            </w:r>
          </w:p>
        </w:tc>
        <w:tc>
          <w:tcPr>
            <w:tcW w:w="535"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19.9 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(13.5)</w:t>
            </w:r>
          </w:p>
        </w:tc>
        <w:tc>
          <w:tcPr>
            <w:tcW w:w="49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w:t>
            </w:r>
          </w:p>
        </w:tc>
        <w:tc>
          <w:tcPr>
            <w:tcW w:w="61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0.51 </w:t>
            </w:r>
          </w:p>
        </w:tc>
        <w:tc>
          <w:tcPr>
            <w:tcW w:w="52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4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32.4 </w:t>
            </w:r>
          </w:p>
        </w:tc>
        <w:tc>
          <w:tcPr>
            <w:tcW w:w="33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38.9 </w:t>
            </w:r>
          </w:p>
        </w:tc>
        <w:tc>
          <w:tcPr>
            <w:tcW w:w="22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2020</w:t>
            </w:r>
          </w:p>
        </w:tc>
        <w:tc>
          <w:tcPr>
            <w:tcW w:w="535"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20.8 </w:t>
            </w:r>
          </w:p>
        </w:tc>
        <w:tc>
          <w:tcPr>
            <w:tcW w:w="26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(13.5)</w:t>
            </w:r>
          </w:p>
        </w:tc>
        <w:tc>
          <w:tcPr>
            <w:tcW w:w="49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w:t>
            </w:r>
          </w:p>
        </w:tc>
        <w:tc>
          <w:tcPr>
            <w:tcW w:w="61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0.42 </w:t>
            </w:r>
          </w:p>
        </w:tc>
        <w:tc>
          <w:tcPr>
            <w:tcW w:w="52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64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8.0 </w:t>
            </w:r>
          </w:p>
        </w:tc>
        <w:tc>
          <w:tcPr>
            <w:tcW w:w="33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14.6 </w:t>
            </w:r>
          </w:p>
        </w:tc>
        <w:tc>
          <w:tcPr>
            <w:tcW w:w="228"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734695"/>
                <wp:effectExtent l="0" t="0" r="0" b="0"/>
                <wp:wrapNone/>
                <wp:docPr id="322" name="Frame8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Pay Versus Performance</w:t>
      </w:r>
    </w:p>
    <w:tbl>
      <w:tblPr>
        <w:tblW w:w="10205" w:type="dxa"/>
        <w:jc w:val="left"/>
        <w:tblInd w:w="0" w:type="dxa"/>
        <w:tblLayout w:type="fixed"/>
        <w:tblCellMar>
          <w:top w:w="28" w:type="dxa"/>
          <w:left w:w="28" w:type="dxa"/>
          <w:bottom w:w="28" w:type="dxa"/>
          <w:right w:w="28" w:type="dxa"/>
        </w:tblCellMar>
      </w:tblPr>
      <w:tblGrid>
        <w:gridCol w:w="307"/>
        <w:gridCol w:w="261"/>
        <w:gridCol w:w="264"/>
        <w:gridCol w:w="267"/>
        <w:gridCol w:w="260"/>
        <w:gridCol w:w="262"/>
        <w:gridCol w:w="499"/>
        <w:gridCol w:w="498"/>
        <w:gridCol w:w="501"/>
        <w:gridCol w:w="610"/>
        <w:gridCol w:w="610"/>
        <w:gridCol w:w="613"/>
        <w:gridCol w:w="527"/>
        <w:gridCol w:w="523"/>
        <w:gridCol w:w="525"/>
        <w:gridCol w:w="647"/>
        <w:gridCol w:w="647"/>
        <w:gridCol w:w="650"/>
        <w:gridCol w:w="333"/>
        <w:gridCol w:w="331"/>
        <w:gridCol w:w="333"/>
        <w:gridCol w:w="255"/>
        <w:gridCol w:w="256"/>
        <w:gridCol w:w="226"/>
      </w:tblGrid>
      <w:tr>
        <w:trPr/>
        <w:tc>
          <w:tcPr>
            <w:tcW w:w="30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832"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 ($M)</w:t>
            </w:r>
          </w:p>
        </w:tc>
        <w:tc>
          <w:tcPr>
            <w:tcW w:w="9373" w:type="dxa"/>
            <w:gridSpan w:val="21"/>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CAP Calculation (per SEC)</w:t>
            </w:r>
          </w:p>
        </w:tc>
      </w:tr>
      <w:tr>
        <w:trPr/>
        <w:tc>
          <w:tcPr>
            <w:tcW w:w="832" w:type="dxa"/>
            <w:gridSpan w:val="3"/>
            <w:vMerge w:val="continue"/>
            <w:tcBorders/>
            <w:tcMar>
              <w:top w:w="0" w:type="dxa"/>
              <w:left w:w="0" w:type="dxa"/>
              <w:bottom w:w="0" w:type="dxa"/>
              <w:right w:w="0" w:type="dxa"/>
            </w:tcMar>
            <w:vAlign w:val="center"/>
          </w:tcPr>
          <w:p>
            <w:pPr>
              <w:pStyle w:val="Normal"/>
              <w:bidi w:val="0"/>
              <w:jc w:val="left"/>
              <w:rPr/>
            </w:pPr>
            <w:r>
              <w:rPr/>
            </w:r>
          </w:p>
        </w:tc>
        <w:tc>
          <w:tcPr>
            <w:tcW w:w="9373" w:type="dxa"/>
            <w:gridSpan w:val="21"/>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Non-PEO NEOs (Avg)</w:t>
            </w:r>
          </w:p>
        </w:tc>
      </w:tr>
      <w:tr>
        <w:trPr/>
        <w:tc>
          <w:tcPr>
            <w:tcW w:w="832" w:type="dxa"/>
            <w:gridSpan w:val="3"/>
            <w:vMerge w:val="continue"/>
            <w:tcBorders/>
            <w:tcMar>
              <w:top w:w="0" w:type="dxa"/>
              <w:left w:w="0" w:type="dxa"/>
              <w:bottom w:w="0" w:type="dxa"/>
              <w:right w:w="0" w:type="dxa"/>
            </w:tcMar>
            <w:vAlign w:val="center"/>
          </w:tcPr>
          <w:p>
            <w:pPr>
              <w:pStyle w:val="Normal"/>
              <w:bidi w:val="0"/>
              <w:jc w:val="left"/>
              <w:rPr/>
            </w:pPr>
            <w:r>
              <w:rPr/>
            </w:r>
          </w:p>
        </w:tc>
        <w:tc>
          <w:tcPr>
            <w:tcW w:w="789"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SCT Total</w:t>
            </w:r>
          </w:p>
        </w:tc>
        <w:tc>
          <w:tcPr>
            <w:tcW w:w="1498"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Stock Award</w:t>
            </w:r>
          </w:p>
        </w:tc>
        <w:tc>
          <w:tcPr>
            <w:tcW w:w="1833"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Change in Pension Value</w:t>
            </w:r>
          </w:p>
        </w:tc>
        <w:tc>
          <w:tcPr>
            <w:tcW w:w="1575"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Pension Service Cost</w:t>
            </w:r>
          </w:p>
        </w:tc>
        <w:tc>
          <w:tcPr>
            <w:tcW w:w="1944"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Prior Pension Service Cost</w:t>
            </w:r>
          </w:p>
        </w:tc>
        <w:tc>
          <w:tcPr>
            <w:tcW w:w="997"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Equity Value</w:t>
            </w:r>
          </w:p>
        </w:tc>
        <w:tc>
          <w:tcPr>
            <w:tcW w:w="737" w:type="dxa"/>
            <w:gridSpan w:val="3"/>
            <w:tcBorders>
              <w:top w:val="single" w:sz="8" w:space="0" w:color="00249C"/>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r>
      <w:tr>
        <w:trPr/>
        <w:tc>
          <w:tcPr>
            <w:tcW w:w="832" w:type="dxa"/>
            <w:gridSpan w:val="3"/>
            <w:tcBorders>
              <w:top w:val="single" w:sz="8" w:space="0" w:color="29378D"/>
            </w:tcBorders>
            <w:shd w:fill="E1E0EF"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2024</w:t>
            </w:r>
          </w:p>
        </w:tc>
        <w:tc>
          <w:tcPr>
            <w:tcW w:w="527"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5.3 </w:t>
            </w:r>
          </w:p>
        </w:tc>
        <w:tc>
          <w:tcPr>
            <w:tcW w:w="262"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w:t>
            </w:r>
          </w:p>
        </w:tc>
        <w:tc>
          <w:tcPr>
            <w:tcW w:w="501"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3"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0.02 </w:t>
            </w:r>
          </w:p>
        </w:tc>
        <w:tc>
          <w:tcPr>
            <w:tcW w:w="525"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50"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3.6 </w:t>
            </w:r>
          </w:p>
        </w:tc>
        <w:tc>
          <w:tcPr>
            <w:tcW w:w="333"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5.6 </w:t>
            </w:r>
          </w:p>
        </w:tc>
        <w:tc>
          <w:tcPr>
            <w:tcW w:w="226" w:type="dxa"/>
            <w:tcBorders>
              <w:top w:val="single" w:sz="8" w:space="0" w:color="00249C"/>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2023</w:t>
            </w:r>
          </w:p>
        </w:tc>
        <w:tc>
          <w:tcPr>
            <w:tcW w:w="52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5.8 </w:t>
            </w:r>
          </w:p>
        </w:tc>
        <w:tc>
          <w:tcPr>
            <w:tcW w:w="26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w:t>
            </w:r>
          </w:p>
        </w:tc>
        <w:tc>
          <w:tcPr>
            <w:tcW w:w="5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(0.2)</w:t>
            </w:r>
          </w:p>
        </w:tc>
        <w:tc>
          <w:tcPr>
            <w:tcW w:w="6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0.04 </w:t>
            </w:r>
          </w:p>
        </w:tc>
        <w:tc>
          <w:tcPr>
            <w:tcW w:w="5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5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1.5 </w:t>
            </w:r>
          </w:p>
        </w:tc>
        <w:tc>
          <w:tcPr>
            <w:tcW w:w="33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3.9 </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w:t>
            </w:r>
          </w:p>
        </w:tc>
        <w:tc>
          <w:tcPr>
            <w:tcW w:w="52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5.4 </w:t>
            </w:r>
          </w:p>
        </w:tc>
        <w:tc>
          <w:tcPr>
            <w:tcW w:w="26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(3.4)</w:t>
            </w:r>
          </w:p>
        </w:tc>
        <w:tc>
          <w:tcPr>
            <w:tcW w:w="501"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0.05 </w:t>
            </w:r>
          </w:p>
        </w:tc>
        <w:tc>
          <w:tcPr>
            <w:tcW w:w="52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50"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9.1 </w:t>
            </w:r>
          </w:p>
        </w:tc>
        <w:tc>
          <w:tcPr>
            <w:tcW w:w="333"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11.1 </w:t>
            </w:r>
          </w:p>
        </w:tc>
        <w:tc>
          <w:tcPr>
            <w:tcW w:w="22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w:t>
            </w:r>
          </w:p>
        </w:tc>
        <w:tc>
          <w:tcPr>
            <w:tcW w:w="52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5.3 </w:t>
            </w:r>
          </w:p>
        </w:tc>
        <w:tc>
          <w:tcPr>
            <w:tcW w:w="26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w:t>
            </w:r>
          </w:p>
        </w:tc>
        <w:tc>
          <w:tcPr>
            <w:tcW w:w="5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w:t>
            </w:r>
          </w:p>
        </w:tc>
        <w:tc>
          <w:tcPr>
            <w:tcW w:w="6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0.06 </w:t>
            </w:r>
          </w:p>
        </w:tc>
        <w:tc>
          <w:tcPr>
            <w:tcW w:w="5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50"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7.0 </w:t>
            </w:r>
          </w:p>
        </w:tc>
        <w:tc>
          <w:tcPr>
            <w:tcW w:w="33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9.1 </w:t>
            </w:r>
          </w:p>
        </w:tc>
        <w:tc>
          <w:tcPr>
            <w:tcW w:w="22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2020</w:t>
            </w:r>
          </w:p>
        </w:tc>
        <w:tc>
          <w:tcPr>
            <w:tcW w:w="527"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5.5 </w:t>
            </w:r>
          </w:p>
        </w:tc>
        <w:tc>
          <w:tcPr>
            <w:tcW w:w="26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(2.8)</w:t>
            </w:r>
          </w:p>
        </w:tc>
        <w:tc>
          <w:tcPr>
            <w:tcW w:w="501"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w:t>
            </w:r>
          </w:p>
        </w:tc>
        <w:tc>
          <w:tcPr>
            <w:tcW w:w="61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0.09 </w:t>
            </w:r>
          </w:p>
        </w:tc>
        <w:tc>
          <w:tcPr>
            <w:tcW w:w="52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650"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0.3 </w:t>
            </w:r>
          </w:p>
        </w:tc>
        <w:tc>
          <w:tcPr>
            <w:tcW w:w="333"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2.7 </w:t>
            </w:r>
          </w:p>
        </w:tc>
        <w:tc>
          <w:tcPr>
            <w:tcW w:w="22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360"/>
        <w:jc w:val="left"/>
        <w:rPr/>
      </w:pPr>
      <w:r>
        <w:rPr>
          <w:rFonts w:ascii="Futura Std Book;sans-serif" w:hAnsi="Futura Std Book;sans-serif"/>
          <w:b w:val="false"/>
          <w:color w:val="000000"/>
          <w:sz w:val="16"/>
        </w:rPr>
        <w:t xml:space="preserve">a.The change in pension value amounts relate solely to the increased present value of the NEO’s pension plan benefits using mandatory SEC assumptions, see additional information in the Summary Compensation Table on page </w:t>
      </w:r>
      <w:hyperlink w:anchor="idc6f358a7ea345daa8bbc8a5ea69f8d5_142">
        <w:r>
          <w:rPr>
            <w:rStyle w:val="InternetLink"/>
            <w:rFonts w:ascii="Futura Std Book;sans-serif" w:hAnsi="Futura Std Book;sans-serif"/>
            <w:b w:val="false"/>
            <w:strike w:val="false"/>
            <w:dstrike w:val="false"/>
            <w:color w:val="000000"/>
            <w:sz w:val="16"/>
            <w:u w:val="none"/>
            <w:effect w:val="none"/>
          </w:rPr>
          <w:t>70</w:t>
        </w:r>
      </w:hyperlink>
      <w:r>
        <w:rPr>
          <w:rFonts w:ascii="Futura Std Book;sans-serif" w:hAnsi="Futura Std Book;sans-serif"/>
          <w:b w:val="false"/>
          <w:color w:val="000000"/>
          <w:sz w:val="16"/>
        </w:rPr>
        <w: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 Key components that factor into the amount reported as CAP (in accordance with the SEC definition) are the Company’s year-end stock value and equity awards. Executives receive the value of their equity grants only upon vesting. The value reflected for unvested grants, as calculated in CAP, does not reflect value actually received or realized by the executives during the covered year. The equity component of CAP for fiscal years 2024, 2023, 2022, 2021 and 2020 are further detailed in the table below. The equity values were calculated in accordance with the SEC methodology for determining CAP for each year shown.</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The amounts deducted or added in calculating the equity award adjustments are as follows:</w:t>
      </w:r>
    </w:p>
    <w:tbl>
      <w:tblPr>
        <w:tblW w:w="10205" w:type="dxa"/>
        <w:jc w:val="left"/>
        <w:tblInd w:w="0" w:type="dxa"/>
        <w:tblLayout w:type="fixed"/>
        <w:tblCellMar>
          <w:top w:w="28" w:type="dxa"/>
          <w:left w:w="28" w:type="dxa"/>
          <w:bottom w:w="28" w:type="dxa"/>
          <w:right w:w="28" w:type="dxa"/>
        </w:tblCellMar>
      </w:tblPr>
      <w:tblGrid>
        <w:gridCol w:w="303"/>
        <w:gridCol w:w="169"/>
        <w:gridCol w:w="171"/>
        <w:gridCol w:w="463"/>
        <w:gridCol w:w="463"/>
        <w:gridCol w:w="464"/>
        <w:gridCol w:w="504"/>
        <w:gridCol w:w="504"/>
        <w:gridCol w:w="506"/>
        <w:gridCol w:w="464"/>
        <w:gridCol w:w="464"/>
        <w:gridCol w:w="466"/>
        <w:gridCol w:w="447"/>
        <w:gridCol w:w="447"/>
        <w:gridCol w:w="449"/>
        <w:gridCol w:w="464"/>
        <w:gridCol w:w="464"/>
        <w:gridCol w:w="465"/>
        <w:gridCol w:w="452"/>
        <w:gridCol w:w="452"/>
        <w:gridCol w:w="454"/>
        <w:gridCol w:w="375"/>
        <w:gridCol w:w="323"/>
        <w:gridCol w:w="472"/>
      </w:tblGrid>
      <w:tr>
        <w:trPr/>
        <w:tc>
          <w:tcPr>
            <w:tcW w:w="3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643"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 ($M)</w:t>
            </w:r>
          </w:p>
        </w:tc>
        <w:tc>
          <w:tcPr>
            <w:tcW w:w="9562" w:type="dxa"/>
            <w:gridSpan w:val="21"/>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Equity Valuation</w:t>
            </w:r>
          </w:p>
        </w:tc>
      </w:tr>
      <w:tr>
        <w:trPr/>
        <w:tc>
          <w:tcPr>
            <w:tcW w:w="643" w:type="dxa"/>
            <w:gridSpan w:val="3"/>
            <w:vMerge w:val="continue"/>
            <w:tcBorders/>
            <w:tcMar>
              <w:top w:w="0" w:type="dxa"/>
              <w:left w:w="0" w:type="dxa"/>
              <w:bottom w:w="0" w:type="dxa"/>
              <w:right w:w="0" w:type="dxa"/>
            </w:tcMar>
            <w:vAlign w:val="center"/>
          </w:tcPr>
          <w:p>
            <w:pPr>
              <w:pStyle w:val="Normal"/>
              <w:bidi w:val="0"/>
              <w:jc w:val="left"/>
              <w:rPr/>
            </w:pPr>
            <w:r>
              <w:rPr/>
            </w:r>
          </w:p>
        </w:tc>
        <w:tc>
          <w:tcPr>
            <w:tcW w:w="9562" w:type="dxa"/>
            <w:gridSpan w:val="21"/>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PEO</w:t>
            </w:r>
          </w:p>
        </w:tc>
      </w:tr>
      <w:tr>
        <w:trPr/>
        <w:tc>
          <w:tcPr>
            <w:tcW w:w="643" w:type="dxa"/>
            <w:gridSpan w:val="3"/>
            <w:vMerge w:val="continue"/>
            <w:tcBorders/>
            <w:tcMar>
              <w:top w:w="0" w:type="dxa"/>
              <w:left w:w="0" w:type="dxa"/>
              <w:bottom w:w="0" w:type="dxa"/>
              <w:right w:w="0" w:type="dxa"/>
            </w:tcMar>
            <w:vAlign w:val="center"/>
          </w:tcPr>
          <w:p>
            <w:pPr>
              <w:pStyle w:val="Normal"/>
              <w:bidi w:val="0"/>
              <w:jc w:val="left"/>
              <w:rPr/>
            </w:pPr>
            <w:r>
              <w:rPr/>
            </w:r>
          </w:p>
        </w:tc>
        <w:tc>
          <w:tcPr>
            <w:tcW w:w="139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of Current Year Equity Awards as of Year-End</w:t>
            </w:r>
          </w:p>
        </w:tc>
        <w:tc>
          <w:tcPr>
            <w:tcW w:w="151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Fair Value as of Year-End for Unvested Awards</w:t>
            </w:r>
          </w:p>
        </w:tc>
        <w:tc>
          <w:tcPr>
            <w:tcW w:w="139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as of Vesting of Awards Granted and Vested in Year</w:t>
            </w:r>
          </w:p>
        </w:tc>
        <w:tc>
          <w:tcPr>
            <w:tcW w:w="134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as of Vesting of Prior Year's Awards</w:t>
            </w:r>
          </w:p>
        </w:tc>
        <w:tc>
          <w:tcPr>
            <w:tcW w:w="139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of Prior Year's Awards Forfeited</w:t>
            </w:r>
          </w:p>
        </w:tc>
        <w:tc>
          <w:tcPr>
            <w:tcW w:w="1358"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Value of Dividends or Other Earnings Paid on Stock</w:t>
            </w:r>
          </w:p>
        </w:tc>
        <w:tc>
          <w:tcPr>
            <w:tcW w:w="117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 Equity Value Included in CAP</w:t>
            </w:r>
          </w:p>
        </w:tc>
      </w:tr>
      <w:tr>
        <w:trPr/>
        <w:tc>
          <w:tcPr>
            <w:tcW w:w="643"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2024</w:t>
            </w:r>
          </w:p>
        </w:tc>
        <w:tc>
          <w:tcPr>
            <w:tcW w:w="926"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18.4 </w:t>
            </w:r>
          </w:p>
        </w:tc>
        <w:tc>
          <w:tcPr>
            <w:tcW w:w="46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(0.8)</w:t>
            </w:r>
          </w:p>
        </w:tc>
        <w:tc>
          <w:tcPr>
            <w:tcW w:w="50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w:t>
            </w:r>
          </w:p>
        </w:tc>
        <w:tc>
          <w:tcPr>
            <w:tcW w:w="44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5"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0.9 </w:t>
            </w:r>
          </w:p>
        </w:tc>
        <w:tc>
          <w:tcPr>
            <w:tcW w:w="45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18.0 </w:t>
            </w:r>
          </w:p>
        </w:tc>
        <w:tc>
          <w:tcPr>
            <w:tcW w:w="472"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2023</w:t>
            </w:r>
          </w:p>
        </w:tc>
        <w:tc>
          <w:tcPr>
            <w:tcW w:w="9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17.1 </w:t>
            </w:r>
          </w:p>
        </w:tc>
        <w:tc>
          <w:tcPr>
            <w:tcW w:w="46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(8.1)</w:t>
            </w:r>
          </w:p>
        </w:tc>
        <w:tc>
          <w:tcPr>
            <w:tcW w:w="5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(4.6)</w:t>
            </w:r>
          </w:p>
        </w:tc>
        <w:tc>
          <w:tcPr>
            <w:tcW w:w="4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1.1 </w:t>
            </w:r>
          </w:p>
        </w:tc>
        <w:tc>
          <w:tcPr>
            <w:tcW w:w="4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5.5 </w:t>
            </w:r>
          </w:p>
        </w:tc>
        <w:tc>
          <w:tcPr>
            <w:tcW w:w="47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w:t>
            </w:r>
          </w:p>
        </w:tc>
        <w:tc>
          <w:tcPr>
            <w:tcW w:w="926"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25.5 </w:t>
            </w:r>
          </w:p>
        </w:tc>
        <w:tc>
          <w:tcPr>
            <w:tcW w:w="46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13.2 </w:t>
            </w:r>
          </w:p>
        </w:tc>
        <w:tc>
          <w:tcPr>
            <w:tcW w:w="50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8.2 </w:t>
            </w:r>
          </w:p>
        </w:tc>
        <w:tc>
          <w:tcPr>
            <w:tcW w:w="44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5"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0.9 </w:t>
            </w:r>
          </w:p>
        </w:tc>
        <w:tc>
          <w:tcPr>
            <w:tcW w:w="45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47.8 </w:t>
            </w:r>
          </w:p>
        </w:tc>
        <w:tc>
          <w:tcPr>
            <w:tcW w:w="47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w:t>
            </w:r>
          </w:p>
        </w:tc>
        <w:tc>
          <w:tcPr>
            <w:tcW w:w="9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22.5 </w:t>
            </w:r>
          </w:p>
        </w:tc>
        <w:tc>
          <w:tcPr>
            <w:tcW w:w="46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4.7 </w:t>
            </w:r>
          </w:p>
        </w:tc>
        <w:tc>
          <w:tcPr>
            <w:tcW w:w="5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4.4 </w:t>
            </w:r>
          </w:p>
        </w:tc>
        <w:tc>
          <w:tcPr>
            <w:tcW w:w="44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0.8 </w:t>
            </w:r>
          </w:p>
        </w:tc>
        <w:tc>
          <w:tcPr>
            <w:tcW w:w="4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32.4 </w:t>
            </w:r>
          </w:p>
        </w:tc>
        <w:tc>
          <w:tcPr>
            <w:tcW w:w="47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2020</w:t>
            </w:r>
          </w:p>
        </w:tc>
        <w:tc>
          <w:tcPr>
            <w:tcW w:w="926"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11.6 </w:t>
            </w:r>
          </w:p>
        </w:tc>
        <w:tc>
          <w:tcPr>
            <w:tcW w:w="46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w:t>
            </w:r>
          </w:p>
        </w:tc>
        <w:tc>
          <w:tcPr>
            <w:tcW w:w="50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6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(0.9)</w:t>
            </w:r>
          </w:p>
        </w:tc>
        <w:tc>
          <w:tcPr>
            <w:tcW w:w="44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65"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0.4 </w:t>
            </w:r>
          </w:p>
        </w:tc>
        <w:tc>
          <w:tcPr>
            <w:tcW w:w="45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8.0 </w:t>
            </w:r>
          </w:p>
        </w:tc>
        <w:tc>
          <w:tcPr>
            <w:tcW w:w="47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3"/>
        <w:gridCol w:w="169"/>
        <w:gridCol w:w="172"/>
        <w:gridCol w:w="465"/>
        <w:gridCol w:w="465"/>
        <w:gridCol w:w="467"/>
        <w:gridCol w:w="507"/>
        <w:gridCol w:w="507"/>
        <w:gridCol w:w="509"/>
        <w:gridCol w:w="467"/>
        <w:gridCol w:w="467"/>
        <w:gridCol w:w="469"/>
        <w:gridCol w:w="450"/>
        <w:gridCol w:w="450"/>
        <w:gridCol w:w="452"/>
        <w:gridCol w:w="466"/>
        <w:gridCol w:w="466"/>
        <w:gridCol w:w="468"/>
        <w:gridCol w:w="454"/>
        <w:gridCol w:w="454"/>
        <w:gridCol w:w="456"/>
        <w:gridCol w:w="324"/>
        <w:gridCol w:w="324"/>
        <w:gridCol w:w="474"/>
      </w:tblGrid>
      <w:tr>
        <w:trPr/>
        <w:tc>
          <w:tcPr>
            <w:tcW w:w="3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64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Year ($M)</w:t>
            </w:r>
          </w:p>
        </w:tc>
        <w:tc>
          <w:tcPr>
            <w:tcW w:w="9561" w:type="dxa"/>
            <w:gridSpan w:val="21"/>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Equity Valuation</w:t>
            </w:r>
          </w:p>
        </w:tc>
      </w:tr>
      <w:tr>
        <w:trPr/>
        <w:tc>
          <w:tcPr>
            <w:tcW w:w="644" w:type="dxa"/>
            <w:gridSpan w:val="3"/>
            <w:vMerge w:val="continue"/>
            <w:tcBorders/>
            <w:tcMar>
              <w:top w:w="0" w:type="dxa"/>
              <w:left w:w="0" w:type="dxa"/>
              <w:bottom w:w="0" w:type="dxa"/>
              <w:right w:w="0" w:type="dxa"/>
            </w:tcMar>
            <w:vAlign w:val="center"/>
          </w:tcPr>
          <w:p>
            <w:pPr>
              <w:pStyle w:val="Normal"/>
              <w:bidi w:val="0"/>
              <w:jc w:val="left"/>
              <w:rPr/>
            </w:pPr>
            <w:r>
              <w:rPr/>
            </w:r>
          </w:p>
        </w:tc>
        <w:tc>
          <w:tcPr>
            <w:tcW w:w="9561" w:type="dxa"/>
            <w:gridSpan w:val="21"/>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Non-PEO NEOs (Avg)</w:t>
            </w:r>
          </w:p>
        </w:tc>
      </w:tr>
      <w:tr>
        <w:trPr/>
        <w:tc>
          <w:tcPr>
            <w:tcW w:w="644" w:type="dxa"/>
            <w:gridSpan w:val="3"/>
            <w:vMerge w:val="continue"/>
            <w:tcBorders/>
            <w:tcMar>
              <w:top w:w="0" w:type="dxa"/>
              <w:left w:w="0" w:type="dxa"/>
              <w:bottom w:w="0" w:type="dxa"/>
              <w:right w:w="0" w:type="dxa"/>
            </w:tcMar>
            <w:vAlign w:val="center"/>
          </w:tcPr>
          <w:p>
            <w:pPr>
              <w:pStyle w:val="Normal"/>
              <w:bidi w:val="0"/>
              <w:jc w:val="left"/>
              <w:rPr/>
            </w:pPr>
            <w:r>
              <w:rPr/>
            </w:r>
          </w:p>
        </w:tc>
        <w:tc>
          <w:tcPr>
            <w:tcW w:w="139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of Current Year Equity Awards as of Year-End</w:t>
            </w:r>
          </w:p>
        </w:tc>
        <w:tc>
          <w:tcPr>
            <w:tcW w:w="152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Fair Value as of Year-End for Unvested Awards</w:t>
            </w:r>
          </w:p>
        </w:tc>
        <w:tc>
          <w:tcPr>
            <w:tcW w:w="1403"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Fair Value as of Vesting of Awards Granted and Vested in Year</w:t>
            </w:r>
          </w:p>
        </w:tc>
        <w:tc>
          <w:tcPr>
            <w:tcW w:w="135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as of Vesting of Prior Year's Awards</w:t>
            </w:r>
          </w:p>
        </w:tc>
        <w:tc>
          <w:tcPr>
            <w:tcW w:w="140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Annual Change in Value of Prior Year's Awards Forfeited</w:t>
            </w:r>
          </w:p>
        </w:tc>
        <w:tc>
          <w:tcPr>
            <w:tcW w:w="136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Value of Dividends or Other Earnings Paid on Stock</w:t>
            </w:r>
          </w:p>
        </w:tc>
        <w:tc>
          <w:tcPr>
            <w:tcW w:w="112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4"/>
              </w:rPr>
            </w:pPr>
            <w:r>
              <w:rPr>
                <w:rFonts w:ascii="Futura Std Book;sans-serif" w:hAnsi="Futura Std Book;sans-serif"/>
                <w:b/>
                <w:color w:val="000000"/>
                <w:sz w:val="14"/>
              </w:rPr>
              <w:t>Total Equity Value Included in CAP</w:t>
            </w:r>
          </w:p>
        </w:tc>
      </w:tr>
      <w:tr>
        <w:trPr/>
        <w:tc>
          <w:tcPr>
            <w:tcW w:w="644" w:type="dxa"/>
            <w:gridSpan w:val="3"/>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2024</w:t>
            </w:r>
          </w:p>
        </w:tc>
        <w:tc>
          <w:tcPr>
            <w:tcW w:w="930"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3.7 </w:t>
            </w:r>
          </w:p>
        </w:tc>
        <w:tc>
          <w:tcPr>
            <w:tcW w:w="467"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w:t>
            </w:r>
          </w:p>
        </w:tc>
        <w:tc>
          <w:tcPr>
            <w:tcW w:w="50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9"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w:t>
            </w:r>
          </w:p>
        </w:tc>
        <w:tc>
          <w:tcPr>
            <w:tcW w:w="452"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8"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0.1 </w:t>
            </w:r>
          </w:p>
        </w:tc>
        <w:tc>
          <w:tcPr>
            <w:tcW w:w="456"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29378D"/>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3.6 </w:t>
            </w:r>
          </w:p>
        </w:tc>
        <w:tc>
          <w:tcPr>
            <w:tcW w:w="474" w:type="dxa"/>
            <w:tcBorders>
              <w:top w:val="single" w:sz="8" w:space="0" w:color="29378D"/>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2023</w:t>
            </w:r>
          </w:p>
        </w:tc>
        <w:tc>
          <w:tcPr>
            <w:tcW w:w="93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3.5 </w:t>
            </w:r>
          </w:p>
        </w:tc>
        <w:tc>
          <w:tcPr>
            <w:tcW w:w="46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w:t>
            </w:r>
          </w:p>
        </w:tc>
        <w:tc>
          <w:tcPr>
            <w:tcW w:w="5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(0.8)</w:t>
            </w:r>
          </w:p>
        </w:tc>
        <w:tc>
          <w:tcPr>
            <w:tcW w:w="45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0.2 </w:t>
            </w:r>
          </w:p>
        </w:tc>
        <w:tc>
          <w:tcPr>
            <w:tcW w:w="4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1.5 </w:t>
            </w:r>
          </w:p>
        </w:tc>
        <w:tc>
          <w:tcPr>
            <w:tcW w:w="47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2022</w:t>
            </w:r>
          </w:p>
        </w:tc>
        <w:tc>
          <w:tcPr>
            <w:tcW w:w="93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5.6 </w:t>
            </w:r>
          </w:p>
        </w:tc>
        <w:tc>
          <w:tcPr>
            <w:tcW w:w="467"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2.2 </w:t>
            </w:r>
          </w:p>
        </w:tc>
        <w:tc>
          <w:tcPr>
            <w:tcW w:w="50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9"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1.2 </w:t>
            </w:r>
          </w:p>
        </w:tc>
        <w:tc>
          <w:tcPr>
            <w:tcW w:w="452"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8"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0.1 </w:t>
            </w:r>
          </w:p>
        </w:tc>
        <w:tc>
          <w:tcPr>
            <w:tcW w:w="456"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9.1 </w:t>
            </w:r>
          </w:p>
        </w:tc>
        <w:tc>
          <w:tcPr>
            <w:tcW w:w="474" w:type="dxa"/>
            <w:tcBorders>
              <w:top w:val="single" w:sz="4" w:space="0" w:color="BCBEC0"/>
            </w:tcBorders>
            <w:shd w:fill="DFDE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2021</w:t>
            </w:r>
          </w:p>
        </w:tc>
        <w:tc>
          <w:tcPr>
            <w:tcW w:w="93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5.0 </w:t>
            </w:r>
          </w:p>
        </w:tc>
        <w:tc>
          <w:tcPr>
            <w:tcW w:w="467"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1.0 </w:t>
            </w:r>
          </w:p>
        </w:tc>
        <w:tc>
          <w:tcPr>
            <w:tcW w:w="5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0.2 </w:t>
            </w:r>
          </w:p>
        </w:tc>
        <w:tc>
          <w:tcPr>
            <w:tcW w:w="46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0.7 </w:t>
            </w:r>
          </w:p>
        </w:tc>
        <w:tc>
          <w:tcPr>
            <w:tcW w:w="452"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468"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0.1 </w:t>
            </w:r>
          </w:p>
        </w:tc>
        <w:tc>
          <w:tcPr>
            <w:tcW w:w="4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7.0 </w:t>
            </w:r>
          </w:p>
        </w:tc>
        <w:tc>
          <w:tcPr>
            <w:tcW w:w="47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2020</w:t>
            </w:r>
          </w:p>
        </w:tc>
        <w:tc>
          <w:tcPr>
            <w:tcW w:w="93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2.4 </w:t>
            </w:r>
          </w:p>
        </w:tc>
        <w:tc>
          <w:tcPr>
            <w:tcW w:w="467"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w:t>
            </w:r>
          </w:p>
        </w:tc>
        <w:tc>
          <w:tcPr>
            <w:tcW w:w="50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469"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w:t>
            </w:r>
          </w:p>
        </w:tc>
        <w:tc>
          <w:tcPr>
            <w:tcW w:w="452"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(1.6)</w:t>
            </w:r>
          </w:p>
        </w:tc>
        <w:tc>
          <w:tcPr>
            <w:tcW w:w="468"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0.1 </w:t>
            </w:r>
          </w:p>
        </w:tc>
        <w:tc>
          <w:tcPr>
            <w:tcW w:w="456"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0.3 </w:t>
            </w:r>
          </w:p>
        </w:tc>
        <w:tc>
          <w:tcPr>
            <w:tcW w:w="474" w:type="dxa"/>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firstLine="270"/>
        <w:jc w:val="left"/>
        <w:rPr>
          <w:rFonts w:ascii="Futura Std Book;sans-serif" w:hAnsi="Futura Std Book;sans-serif"/>
          <w:b w:val="false"/>
          <w:color w:val="000000"/>
          <w:sz w:val="16"/>
        </w:rPr>
      </w:pPr>
      <w:r>
        <w:rPr>
          <w:rFonts w:ascii="Futura Std Book;sans-serif" w:hAnsi="Futura Std Book;sans-serif"/>
          <w:b w:val="false"/>
          <w:color w:val="000000"/>
          <w:sz w:val="16"/>
        </w:rPr>
        <w:t>The fair value of the grants awarded in the respective years generally correlates with the movement in the Company’s stock price, which is a key driver in the amount of, and change in, CAP. As of the December 31, 2024 measurement date, the fair value of the grants of unvested awards remained relatively consistent compared to the prior year.</w:t>
      </w:r>
    </w:p>
    <w:p>
      <w:pPr>
        <w:pStyle w:val="TextBody"/>
        <w:bidi w:val="0"/>
        <w:spacing w:lineRule="auto" w:line="288" w:before="80" w:after="80"/>
        <w:jc w:val="left"/>
        <w:rPr/>
      </w:pPr>
      <w:r>
        <w:rPr>
          <w:rFonts w:ascii="Futura Std Book;sans-serif" w:hAnsi="Futura Std Book;sans-serif"/>
          <w:b w:val="false"/>
          <w:color w:val="000000"/>
          <w:sz w:val="16"/>
          <w:shd w:fill="FAFAFA" w:val="clear"/>
        </w:rPr>
        <w:t>T</w:t>
      </w:r>
      <w:r>
        <w:rPr>
          <w:rFonts w:ascii="Futura Std Book;sans-serif" w:hAnsi="Futura Std Book;sans-serif"/>
          <w:b w:val="false"/>
          <w:color w:val="000000"/>
          <w:sz w:val="16"/>
        </w:rPr>
        <w:t>he Company’s relative TSR and operational metrics score determine the number of performance shares that vest for each three-year cycle, ranging from 0% to 200% for the 2024, 2023, 2022 and 2021 RPSR grants, and 0% to 150% for the RPSR grants awarded in 2020, 2019 and 2018. The executive RPSR performance scores were 107%, 141%, 135%, 122% and 105%, in 2024</w:t>
      </w:r>
      <w:r>
        <w:rPr>
          <w:rFonts w:ascii="Futura Std Book;sans-serif" w:hAnsi="Futura Std Book;sans-serif"/>
          <w:b w:val="false"/>
          <w:color w:val="000000"/>
          <w:sz w:val="18"/>
        </w:rPr>
        <w:t xml:space="preserve">, </w:t>
      </w:r>
      <w:r>
        <w:rPr>
          <w:rFonts w:ascii="Futura Std Book;sans-serif" w:hAnsi="Futura Std Book;sans-serif"/>
          <w:b w:val="false"/>
          <w:color w:val="000000"/>
          <w:sz w:val="16"/>
        </w:rPr>
        <w:t xml:space="preserve">2023, 2022, 2021, and 2020, respectively, which contributed to the incremental change in CAP year-over-year, along with the change in stock price. </w:t>
      </w:r>
    </w:p>
    <w:p>
      <w:pPr>
        <w:pStyle w:val="TextBody"/>
        <w:bidi w:val="0"/>
        <w:spacing w:lineRule="auto" w:line="288"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Mr. Bedingfield terminated his employment in 2020 and was not retirement eligible. He forfeited nearly $8 million in equity value. The average non-PEO NEO CAP in 2020 was greatly impacted by the forfeited awards. Additional details included in footnote seven. </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(4) TSR has been calculated in the same manner as under Regulation S-K 402(v)(2)(iv).</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(5) Standard &amp; Poor’s (S&amp;P) Aerospace and Defense (A&amp;D) Index as disclosed in our 2024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554990"/>
                <wp:effectExtent l="0" t="0" r="0" b="0"/>
                <wp:wrapNone/>
                <wp:docPr id="323" name="Frame8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Pay Versus Performance</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(6) Adjusted Cash Flow from Operations*, as defined on page </w:t>
      </w:r>
      <w:hyperlink w:anchor="idfbc8dda5d8446848b278eb1ab1265cf_15919">
        <w:r>
          <w:rPr>
            <w:rStyle w:val="InternetLink"/>
            <w:rFonts w:ascii="Futura Std Book;sans-serif" w:hAnsi="Futura Std Book;sans-serif"/>
            <w:b w:val="false"/>
            <w:strike w:val="false"/>
            <w:dstrike w:val="false"/>
            <w:color w:val="000000"/>
            <w:sz w:val="16"/>
            <w:u w:val="none"/>
            <w:effect w:val="none"/>
          </w:rPr>
          <w:t>104</w:t>
        </w:r>
      </w:hyperlink>
      <w:r>
        <w:rPr>
          <w:rFonts w:ascii="Futura Std Book;sans-serif" w:hAnsi="Futura Std Book;sans-serif"/>
          <w:b w:val="false"/>
          <w:color w:val="000000"/>
          <w:sz w:val="16"/>
        </w:rPr>
        <w:t xml:space="preserve">, is the Company Selected Measure (CSM), linking performance for the most recently completed fiscal year to CAP for the PEO and non-PEO NEOs. The selected measure focuses on cash generation for strategy execution and enables management to make capital investment decisions that support long-term profitable growth. For more information, including how the measure is calculated, see “Appendix A - Use of Non-GAAP Financial Measures” on page </w:t>
      </w:r>
      <w:hyperlink w:anchor="idc6f358a7ea345daa8bbc8a5ea69f8d5_247">
        <w:r>
          <w:rPr>
            <w:rStyle w:val="InternetLink"/>
            <w:rFonts w:ascii="Futura Std Book;sans-serif" w:hAnsi="Futura Std Book;sans-serif"/>
            <w:b w:val="false"/>
            <w:strike w:val="false"/>
            <w:dstrike w:val="false"/>
            <w:color w:val="000000"/>
            <w:sz w:val="16"/>
            <w:u w:val="none"/>
            <w:effect w:val="none"/>
          </w:rPr>
          <w:t>104</w:t>
        </w:r>
      </w:hyperlink>
      <w:r>
        <w:rPr>
          <w:rFonts w:ascii="Futura Std Book;sans-serif" w:hAnsi="Futura Std Book;sans-serif"/>
          <w:b w:val="false"/>
          <w:color w:val="000000"/>
          <w:sz w:val="16"/>
        </w:rPr>
        <w:t>.</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(7) Mr. Bedingfield was the Corporate Vice President and Chief Financial Officer in 2019. He stepped down from his position effective February 17, 2020 and left the Company February 21, 2020. On February 6, 2020 the Company filed a Form 8-K which included, as an exhibit, the Separation Agreement with Mr. Bedingfield. A significant portion of Mr. Bedingfield's LTI awards were forfeited upon termination, amounting in a loss of about $8 million. With Mr. Bedingfield excluded, the average CAP for non-PEO NEOs is $4.5 million. </w:t>
      </w:r>
    </w:p>
    <w:p>
      <w:pPr>
        <w:pStyle w:val="TextBody"/>
        <w:bidi w:val="0"/>
        <w:spacing w:lineRule="auto" w:line="288" w:before="260" w:after="120"/>
        <w:jc w:val="left"/>
        <w:rPr/>
      </w:pPr>
      <w:r>
        <w:rPr>
          <w:rFonts w:ascii="Futura Std Book;sans-serif" w:hAnsi="Futura Std Book;sans-serif"/>
          <w:b w:val="false"/>
          <w:color w:val="000000"/>
          <w:sz w:val="26"/>
        </w:rPr>
        <w:t>Tabular List of Performance Measures</w:t>
      </w:r>
      <w:r>
        <w:rPr>
          <w:color w:val="0A2299"/>
        </w:rPr>
        <w:t xml:space="preserve"> </w:t>
      </w:r>
    </w:p>
    <w:p>
      <w:pPr>
        <w:pStyle w:val="TextBody"/>
        <w:bidi w:val="0"/>
        <w:spacing w:lineRule="auto" w:line="276" w:before="120" w:after="120"/>
        <w:jc w:val="left"/>
        <w:rPr/>
      </w:pPr>
      <w:r>
        <w:rPr>
          <w:rFonts w:ascii="Futura Std Book;sans-serif" w:hAnsi="Futura Std Book;sans-serif"/>
          <w:b w:val="false"/>
          <w:color w:val="000000"/>
          <w:sz w:val="18"/>
        </w:rPr>
        <w:t xml:space="preserve">In 2024, the greatest impact on the compensation of our PEO and non-PEO NEOs was from the Company’s LTI plan, particularly our performance against the metrics for our RPSRs, which comprise 70% of the LTI award and approximately half of the total direct compensation for our PEO and non-PEO NEOs. The RPSR metrics reflect the Company’s continued emphasis on operational performance directly impacted by management decisions and behaviors, and are set to motivate and reward the PEO and non-PEO NEOs to achieve our long-term objectives. The metrics reinforce the link between the Company’s interests and the interests of our shareholders. For more detail, see the “Key Components of Our Executive Compensation Programs” section. These performance measures align to the Company’s “Compensation Philosophy and Objectives” as described in the CD&amp;A, on page </w:t>
      </w:r>
      <w:hyperlink w:anchor="idc6f358a7ea345daa8bbc8a5ea69f8d5_109">
        <w:r>
          <w:rPr>
            <w:rStyle w:val="InternetLink"/>
            <w:rFonts w:ascii="Futura Std Book;sans-serif" w:hAnsi="Futura Std Book;sans-serif"/>
            <w:b w:val="false"/>
            <w:strike w:val="false"/>
            <w:dstrike w:val="false"/>
            <w:color w:val="000000"/>
            <w:sz w:val="18"/>
            <w:u w:val="none"/>
            <w:effect w:val="none"/>
          </w:rPr>
          <w:t>49</w:t>
        </w:r>
      </w:hyperlink>
      <w:r>
        <w:rPr>
          <w:rFonts w:ascii="Futura Std Book;sans-serif" w:hAnsi="Futura Std Book;sans-serif"/>
          <w:b w:val="false"/>
          <w:color w:val="000000"/>
          <w:sz w:val="18"/>
        </w:rPr>
        <w:t xml:space="preserve">. </w:t>
      </w:r>
    </w:p>
    <w:p>
      <w:pPr>
        <w:pStyle w:val="TextBody"/>
        <w:bidi w:val="0"/>
        <w:spacing w:lineRule="auto" w:line="276"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In addition, absolute TSR, which reflects our Company's stock value, is another important measure because it has a significant impact on our executives’ required CAP calculation. It is important to note, if absolute TSR is negative, the relative TSR (rTSR) RPSR metric is capped at 100%. Lastly, Adjusted Cash Flow from Operations*, the CSM, focuses on generating cash for strategy execution and enables leaders to make capital investment decisions that support long-term growth. The metric is an important driver for assessing the Company's AIP performance. </w:t>
      </w:r>
    </w:p>
    <w:p>
      <w:pPr>
        <w:pStyle w:val="TextBody"/>
        <w:bidi w:val="0"/>
        <w:spacing w:lineRule="auto" w:line="256"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These key financial performance measures are as follows:</w:t>
      </w:r>
    </w:p>
    <w:tbl>
      <w:tblPr>
        <w:tblW w:w="4650" w:type="dxa"/>
        <w:jc w:val="left"/>
        <w:tblInd w:w="0" w:type="dxa"/>
        <w:tblLayout w:type="fixed"/>
        <w:tblCellMar>
          <w:top w:w="28" w:type="dxa"/>
          <w:left w:w="28" w:type="dxa"/>
          <w:bottom w:w="28" w:type="dxa"/>
          <w:right w:w="28" w:type="dxa"/>
        </w:tblCellMar>
      </w:tblPr>
      <w:tblGrid>
        <w:gridCol w:w="1179"/>
        <w:gridCol w:w="1035"/>
        <w:gridCol w:w="1041"/>
        <w:gridCol w:w="405"/>
        <w:gridCol w:w="405"/>
        <w:gridCol w:w="585"/>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left w:val="single" w:sz="8" w:space="0" w:color="FFFFFF"/>
            </w:tcBorders>
            <w:tcMar>
              <w:top w:w="0" w:type="dxa"/>
              <w:bottom w:w="0" w:type="dxa"/>
              <w:right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Performance Measures</w:t>
            </w:r>
          </w:p>
        </w:tc>
        <w:tc>
          <w:tcPr>
            <w:tcW w:w="1395" w:type="dxa"/>
            <w:gridSpan w:val="3"/>
            <w:tcBorders>
              <w:left w:val="single" w:sz="8" w:space="0" w:color="FFFFFF"/>
              <w:right w:val="single" w:sz="8" w:space="0" w:color="FFFFFF"/>
            </w:tcBorders>
            <w:tcMar>
              <w:top w:w="0" w:type="dxa"/>
              <w:bottom w:w="0" w:type="dxa"/>
            </w:tcMar>
            <w:vAlign w:val="center"/>
          </w:tcPr>
          <w:p>
            <w:pPr>
              <w:pStyle w:val="TableContents"/>
              <w:bidi w:val="0"/>
              <w:spacing w:lineRule="auto" w:line="268" w:before="0" w:after="283"/>
              <w:jc w:val="center"/>
              <w:rPr>
                <w:rFonts w:ascii="Futura Std Book;sans-serif" w:hAnsi="Futura Std Book;sans-serif"/>
                <w:b/>
                <w:color w:val="000000"/>
                <w:sz w:val="14"/>
              </w:rPr>
            </w:pPr>
            <w:r>
              <w:rPr>
                <w:rFonts w:ascii="Futura Std Book;sans-serif" w:hAnsi="Futura Std Book;sans-serif"/>
                <w:b/>
                <w:color w:val="000000"/>
                <w:sz w:val="14"/>
              </w:rPr>
              <w:t>Type</w:t>
            </w:r>
          </w:p>
        </w:tc>
      </w:tr>
      <w:tr>
        <w:trPr/>
        <w:tc>
          <w:tcPr>
            <w:tcW w:w="3255" w:type="dxa"/>
            <w:gridSpan w:val="3"/>
            <w:tcBorders>
              <w:top w:val="single" w:sz="8" w:space="0" w:color="00249C"/>
              <w:left w:val="single" w:sz="8" w:space="0" w:color="FFFFFF"/>
            </w:tcBorders>
            <w:shd w:fill="DFDEEE" w:val="clear"/>
            <w:tcMar>
              <w:top w:w="3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Adjusted Cumulative FCF*</w:t>
            </w:r>
          </w:p>
        </w:tc>
        <w:tc>
          <w:tcPr>
            <w:tcW w:w="1395" w:type="dxa"/>
            <w:gridSpan w:val="3"/>
            <w:tcBorders>
              <w:top w:val="single" w:sz="8" w:space="0" w:color="00249C"/>
            </w:tcBorders>
            <w:shd w:fill="DFDEEE" w:val="clear"/>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RPSR Metric</w:t>
            </w:r>
          </w:p>
        </w:tc>
      </w:tr>
      <w:tr>
        <w:trPr/>
        <w:tc>
          <w:tcPr>
            <w:tcW w:w="325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Relative TSR</w:t>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RPSR Metric</w:t>
            </w:r>
          </w:p>
        </w:tc>
      </w:tr>
      <w:tr>
        <w:trPr/>
        <w:tc>
          <w:tcPr>
            <w:tcW w:w="3255" w:type="dxa"/>
            <w:gridSpan w:val="3"/>
            <w:tcBorders>
              <w:top w:val="single" w:sz="4" w:space="0" w:color="BCBEC0"/>
              <w:left w:val="single" w:sz="8" w:space="0" w:color="FFFFFF"/>
            </w:tcBorders>
            <w:shd w:fill="DFDEEE" w:val="clear"/>
            <w:tcMar>
              <w:top w:w="3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Return on Invested Capital* (ROIC)</w:t>
            </w:r>
          </w:p>
        </w:tc>
        <w:tc>
          <w:tcPr>
            <w:tcW w:w="1395" w:type="dxa"/>
            <w:gridSpan w:val="3"/>
            <w:tcBorders>
              <w:top w:val="single" w:sz="4" w:space="0" w:color="BCBEC0"/>
            </w:tcBorders>
            <w:shd w:fill="DFDEEE" w:val="clear"/>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RPSR Metric</w:t>
            </w:r>
          </w:p>
        </w:tc>
      </w:tr>
      <w:tr>
        <w:trPr/>
        <w:tc>
          <w:tcPr>
            <w:tcW w:w="325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Absolute TSR</w:t>
            </w:r>
          </w:p>
        </w:tc>
        <w:tc>
          <w:tcPr>
            <w:tcW w:w="13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Value of LTI</w:t>
            </w:r>
          </w:p>
        </w:tc>
      </w:tr>
      <w:tr>
        <w:trPr/>
        <w:tc>
          <w:tcPr>
            <w:tcW w:w="325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Adjusted Cash Flow from Operations*</w:t>
            </w:r>
          </w:p>
        </w:tc>
        <w:tc>
          <w:tcPr>
            <w:tcW w:w="1395" w:type="dxa"/>
            <w:gridSpan w:val="3"/>
            <w:tcBorders>
              <w:top w:val="single" w:sz="4" w:space="0" w:color="BCBEC0"/>
              <w:bottom w:val="single" w:sz="4" w:space="0" w:color="BCBEC0"/>
            </w:tcBorders>
            <w:shd w:fill="DFDEEE" w:val="clear"/>
            <w:tcMar>
              <w:top w:w="30" w:type="dxa"/>
              <w:left w:w="0" w:type="dxa"/>
              <w:bottom w:w="30" w:type="dxa"/>
              <w:right w:w="0" w:type="dxa"/>
            </w:tcMar>
            <w:vAlign w:val="center"/>
          </w:tcPr>
          <w:p>
            <w:pPr>
              <w:pStyle w:val="TableContents"/>
              <w:bidi w:val="0"/>
              <w:spacing w:lineRule="auto" w:line="268"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CSM/AIP Metric</w:t>
            </w:r>
          </w:p>
        </w:tc>
      </w:tr>
    </w:tbl>
    <w:p>
      <w:pPr>
        <w:pStyle w:val="TextBody"/>
        <w:bidi w:val="0"/>
        <w:spacing w:lineRule="auto" w:line="256" w:before="80" w:after="8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pStyle w:val="TextBody"/>
        <w:bidi w:val="0"/>
        <w:spacing w:before="2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4605" cy="14605"/>
                <wp:effectExtent l="0" t="0" r="0" b="0"/>
                <wp:wrapNone/>
                <wp:docPr id="324" name="Frame8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Pay Versus Performance</w:t>
      </w:r>
    </w:p>
    <w:p>
      <w:pPr>
        <w:pStyle w:val="TextBody"/>
        <w:bidi w:val="0"/>
        <w:spacing w:lineRule="auto" w:line="288" w:before="260" w:after="120"/>
        <w:jc w:val="left"/>
        <w:rPr>
          <w:rFonts w:ascii="Futura Std Book;sans-serif" w:hAnsi="Futura Std Book;sans-serif"/>
          <w:b w:val="false"/>
          <w:color w:val="000000"/>
          <w:sz w:val="26"/>
        </w:rPr>
      </w:pPr>
      <w:r>
        <w:rPr>
          <w:rFonts w:ascii="Futura Std Book;sans-serif" w:hAnsi="Futura Std Book;sans-serif"/>
          <w:b w:val="false"/>
          <w:color w:val="000000"/>
          <w:sz w:val="26"/>
        </w:rPr>
        <w:t>Relationship Between CAP and Financial Performance Measures</w:t>
      </w:r>
    </w:p>
    <w:p>
      <w:pPr>
        <w:pStyle w:val="TextBody"/>
        <w:bidi w:val="0"/>
        <w:spacing w:lineRule="auto" w:line="276" w:before="80" w:after="80"/>
        <w:jc w:val="left"/>
        <w:rPr>
          <w:rFonts w:ascii="Futura Std Book;sans-serif" w:hAnsi="Futura Std Book;sans-serif"/>
          <w:b w:val="false"/>
          <w:color w:val="000000"/>
          <w:sz w:val="18"/>
        </w:rPr>
      </w:pPr>
      <w:r>
        <w:rPr>
          <w:rFonts w:ascii="Futura Std Book;sans-serif" w:hAnsi="Futura Std Book;sans-serif"/>
          <w:b w:val="false"/>
          <w:color w:val="000000"/>
          <w:sz w:val="18"/>
        </w:rPr>
        <w:t>As shown in the chart below, the Company’s three-year cumulative TSR outperformed the companies included in the S&amp;P A&amp;D Index. The PEO and other non-PEO NEOs’ CAP amounts are aligned with the Company’s TSR. This is due primarily to the Company’s use of equity incentives, which are tied directly to stock price in addition to the Company’s financial performance.</w:t>
      </w:r>
    </w:p>
    <w:p>
      <w:pPr>
        <w:pStyle w:val="TextBody"/>
        <w:bidi w:val="0"/>
        <w:spacing w:before="120" w:after="120"/>
        <w:jc w:val="center"/>
        <w:rPr/>
      </w:pPr>
      <w:r>
        <w:rPr/>
        <w:drawing>
          <wp:inline distT="0" distB="0" distL="0" distR="0">
            <wp:extent cx="5486400" cy="2828925"/>
            <wp:effectExtent l="0" t="0" r="0" b="0"/>
            <wp:docPr id="325"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36" descr=""/>
                    <pic:cNvPicPr>
                      <a:picLocks noChangeAspect="1" noChangeArrowheads="1"/>
                    </pic:cNvPicPr>
                  </pic:nvPicPr>
                  <pic:blipFill>
                    <a:blip r:embed="rId237"/>
                    <a:stretch>
                      <a:fillRect/>
                    </a:stretch>
                  </pic:blipFill>
                  <pic:spPr bwMode="auto">
                    <a:xfrm>
                      <a:off x="0" y="0"/>
                      <a:ext cx="5486400" cy="2828925"/>
                    </a:xfrm>
                    <a:prstGeom prst="rect">
                      <a:avLst/>
                    </a:prstGeom>
                  </pic:spPr>
                </pic:pic>
              </a:graphicData>
            </a:graphic>
          </wp:inline>
        </w:drawing>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Adjusted Cash Flow from Operations* was selected as the CSM to focus on an annual metric, per SEC guidance. This metric emphasizes the importance of generating cash for strategy execution and enables management to make capital investment decisions, which were impacted by lower net tax payments in 2024 as compared to 2023. Since it has a stronger focus on our annual performance rather than long-term performance, the impact of Adjusted Cash Flow from Operations* on CAP is moderate compared to the LTI plan metrics. </w:t>
      </w:r>
    </w:p>
    <w:p>
      <w:pPr>
        <w:pStyle w:val="TextBody"/>
        <w:bidi w:val="0"/>
        <w:spacing w:lineRule="auto" w:line="288" w:before="100" w:after="100"/>
        <w:jc w:val="left"/>
        <w:rPr>
          <w:rFonts w:ascii="Futura Std Book;sans-serif" w:hAnsi="Futura Std Book;sans-serif"/>
          <w:b w:val="false"/>
          <w:color w:val="000000"/>
          <w:sz w:val="18"/>
        </w:rPr>
      </w:pPr>
      <w:r>
        <w:rPr>
          <w:rFonts w:ascii="Futura Std Book;sans-serif" w:hAnsi="Futura Std Book;sans-serif"/>
          <w:b w:val="false"/>
          <w:color w:val="000000"/>
          <w:sz w:val="18"/>
        </w:rPr>
        <w:t>While the Company is required to include net income as a metric in the Pay Versus Performance table, we do not believe the metric is an appropriate selection for analyzing CAP, as defined by the SEC. Net income is not used to measure compensation due to the non-operational impacts of the annual mark-to-market pension and other postretirement benefits “OPB“ adjustments, which include actuarial gains and losses that can vary significantly from year to year.</w:t>
      </w:r>
    </w:p>
    <w:p>
      <w:pPr>
        <w:pStyle w:val="TextBody"/>
        <w:bidi w:val="0"/>
        <w:spacing w:before="100" w:after="100"/>
        <w:jc w:val="center"/>
        <w:rPr/>
      </w:pPr>
      <w:r>
        <w:rPr/>
        <w:drawing>
          <wp:inline distT="0" distB="0" distL="0" distR="0">
            <wp:extent cx="5486400" cy="2828925"/>
            <wp:effectExtent l="0" t="0" r="0" b="0"/>
            <wp:docPr id="326"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37" descr=""/>
                    <pic:cNvPicPr>
                      <a:picLocks noChangeAspect="1" noChangeArrowheads="1"/>
                    </pic:cNvPicPr>
                  </pic:nvPicPr>
                  <pic:blipFill>
                    <a:blip r:embed="rId238"/>
                    <a:stretch>
                      <a:fillRect/>
                    </a:stretch>
                  </pic:blipFill>
                  <pic:spPr bwMode="auto">
                    <a:xfrm>
                      <a:off x="0" y="0"/>
                      <a:ext cx="5486400" cy="2828925"/>
                    </a:xfrm>
                    <a:prstGeom prst="rect">
                      <a:avLst/>
                    </a:prstGeom>
                  </pic:spPr>
                </pic:pic>
              </a:graphicData>
            </a:graphic>
          </wp:inline>
        </w:drawing>
      </w:r>
    </w:p>
    <w:p>
      <w:pPr>
        <w:pStyle w:val="TextBody"/>
        <w:bidi w:val="0"/>
        <w:spacing w:lineRule="auto" w:line="288" w:before="100" w:after="100"/>
        <w:jc w:val="left"/>
        <w:rPr>
          <w:rFonts w:ascii="Futura Std Book;sans-serif" w:hAnsi="Futura Std Book;sans-serif"/>
          <w:b w:val="false"/>
          <w:color w:val="000000"/>
          <w:sz w:val="16"/>
        </w:rPr>
      </w:pPr>
      <w:r>
        <w:rPr>
          <w:rFonts w:ascii="Futura Std Book;sans-serif" w:hAnsi="Futura Std Book;sans-serif"/>
          <w:b w:val="false"/>
          <w:color w:val="000000"/>
          <w:sz w:val="16"/>
        </w:rPr>
        <w:t>* This metric is a non-GAAP financial measure. For more information, see “Appendix A - Use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554990"/>
                <wp:effectExtent l="0" t="0" r="0" b="0"/>
                <wp:wrapNone/>
                <wp:docPr id="327" name="Frame9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Equity Compensation Plan Information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currently maintain three equity compensation plans: the 2024 Plan, the 2011 Plan and the 1993 Stock Plan for Non-Employee Directors, as amended (1993 Directors Plan). Each of these plans has been approved by our shareholders.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sets forth the number of shares of our common stock to be issued upon payout of outstanding awards and the number of shares remaining available for future award grants under these equity compensation plans as of December 31, 2024.</w:t>
      </w:r>
    </w:p>
    <w:tbl>
      <w:tblPr>
        <w:tblW w:w="10205" w:type="dxa"/>
        <w:jc w:val="left"/>
        <w:tblInd w:w="0" w:type="dxa"/>
        <w:tblLayout w:type="fixed"/>
        <w:tblCellMar>
          <w:top w:w="28" w:type="dxa"/>
          <w:left w:w="28" w:type="dxa"/>
          <w:bottom w:w="28" w:type="dxa"/>
          <w:right w:w="28" w:type="dxa"/>
        </w:tblCellMar>
      </w:tblPr>
      <w:tblGrid>
        <w:gridCol w:w="1261"/>
        <w:gridCol w:w="1110"/>
        <w:gridCol w:w="1120"/>
        <w:gridCol w:w="688"/>
        <w:gridCol w:w="688"/>
        <w:gridCol w:w="690"/>
        <w:gridCol w:w="568"/>
        <w:gridCol w:w="568"/>
        <w:gridCol w:w="570"/>
        <w:gridCol w:w="853"/>
        <w:gridCol w:w="853"/>
        <w:gridCol w:w="855"/>
        <w:gridCol w:w="109"/>
        <w:gridCol w:w="109"/>
        <w:gridCol w:w="163"/>
      </w:tblGrid>
      <w:tr>
        <w:trPr/>
        <w:tc>
          <w:tcPr>
            <w:tcW w:w="126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Plan category</w:t>
            </w:r>
          </w:p>
        </w:tc>
        <w:tc>
          <w:tcPr>
            <w:tcW w:w="20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Number of shares of</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common stock to be</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issued upon exercise</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of outstanding options and</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payout of outstanding</w:t>
            </w:r>
          </w:p>
          <w:p>
            <w:pPr>
              <w:pStyle w:val="TableContents"/>
              <w:bidi w:val="0"/>
              <w:spacing w:lineRule="auto" w:line="288" w:before="0" w:after="0"/>
              <w:jc w:val="right"/>
              <w:rPr/>
            </w:pPr>
            <w:r>
              <w:rPr>
                <w:rFonts w:ascii="Futura Std Book;sans-serif" w:hAnsi="Futura Std Book;sans-serif"/>
                <w:b/>
                <w:color w:val="000000"/>
                <w:sz w:val="14"/>
              </w:rPr>
              <w:t>awards</w:t>
            </w:r>
            <w:r>
              <w:rPr>
                <w:rFonts w:ascii="Futura Std Book;sans-serif" w:hAnsi="Futura Std Book;sans-serif"/>
                <w:b/>
                <w:color w:val="000000"/>
                <w:sz w:val="9"/>
              </w:rPr>
              <w:t>(1)</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170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Weighted-average</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exercise price of</w:t>
            </w:r>
          </w:p>
          <w:p>
            <w:pPr>
              <w:pStyle w:val="TableContents"/>
              <w:bidi w:val="0"/>
              <w:spacing w:lineRule="auto" w:line="288" w:before="0" w:after="0"/>
              <w:jc w:val="right"/>
              <w:rPr/>
            </w:pPr>
            <w:r>
              <w:rPr>
                <w:rFonts w:ascii="Futura Std Book;sans-serif" w:hAnsi="Futura Std Book;sans-serif"/>
                <w:b/>
                <w:color w:val="000000"/>
                <w:sz w:val="14"/>
              </w:rPr>
              <w:t>outstanding options</w:t>
            </w:r>
            <w:r>
              <w:rPr>
                <w:rFonts w:ascii="Futura Std Book;sans-serif" w:hAnsi="Futura Std Book;sans-serif"/>
                <w:b/>
                <w:color w:val="000000"/>
                <w:sz w:val="9"/>
              </w:rPr>
              <w:t>(2)</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25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Number of shares of</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common stock remaining</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available for future issuance</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under equity compensation plans</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(excluding shares reflected in the</w:t>
            </w:r>
          </w:p>
          <w:p>
            <w:pPr>
              <w:pStyle w:val="TableContents"/>
              <w:bidi w:val="0"/>
              <w:spacing w:lineRule="auto" w:line="288" w:before="0" w:after="0"/>
              <w:jc w:val="right"/>
              <w:rPr/>
            </w:pPr>
            <w:r>
              <w:rPr>
                <w:rFonts w:ascii="Futura Std Book;sans-serif" w:hAnsi="Futura Std Book;sans-serif"/>
                <w:b/>
                <w:color w:val="000000"/>
                <w:sz w:val="14"/>
              </w:rPr>
              <w:t>first column)</w:t>
            </w:r>
            <w:r>
              <w:rPr>
                <w:rFonts w:ascii="Futura Std Book;sans-serif" w:hAnsi="Futura Std Book;sans-serif"/>
                <w:b/>
                <w:color w:val="000000"/>
                <w:sz w:val="9"/>
              </w:rPr>
              <w:t>(3)</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Equity compensation plans approved</w:t>
              <w:br/>
              <w:t>by shareholders</w:t>
            </w:r>
          </w:p>
        </w:tc>
        <w:tc>
          <w:tcPr>
            <w:tcW w:w="206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965,426</w:t>
            </w:r>
          </w:p>
        </w:tc>
        <w:tc>
          <w:tcPr>
            <w:tcW w:w="170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256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5,792,728</w:t>
            </w:r>
          </w:p>
        </w:tc>
        <w:tc>
          <w:tcPr>
            <w:tcW w:w="381"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Equity compensation plans not</w:t>
              <w:br/>
              <w:t>approved by shareholders</w:t>
            </w:r>
          </w:p>
        </w:tc>
        <w:tc>
          <w:tcPr>
            <w:tcW w:w="206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170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256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38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1"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color w:val="000000"/>
                <w:sz w:val="18"/>
              </w:rPr>
            </w:pPr>
            <w:r>
              <w:rPr>
                <w:rFonts w:ascii="Futura Std Book;sans-serif" w:hAnsi="Futura Std Book;sans-serif"/>
                <w:b/>
                <w:color w:val="000000"/>
                <w:sz w:val="18"/>
              </w:rPr>
              <w:t>Total</w:t>
            </w:r>
          </w:p>
        </w:tc>
        <w:tc>
          <w:tcPr>
            <w:tcW w:w="2066"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965,426</w:t>
            </w:r>
          </w:p>
        </w:tc>
        <w:tc>
          <w:tcPr>
            <w:tcW w:w="1706"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N/A</w:t>
            </w:r>
          </w:p>
        </w:tc>
        <w:tc>
          <w:tcPr>
            <w:tcW w:w="2561"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5,792,728</w:t>
            </w:r>
          </w:p>
        </w:tc>
        <w:tc>
          <w:tcPr>
            <w:tcW w:w="381"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(4)</w:t>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(1)This number includes 468,555 shares that were subject to outstanding stock awards granted under the 2024 Plan and the 2011 Plan, 147,875 awards earned at year end but pending distribution subject to final performance adjustments, 73,323 shares subject to outstanding stock units credited under the 2024 Plan, 2011 Plan and 1993 Directors Plan, and additional performance shares of 275,673, which reflect the number of shares deliverable under payment of outstanding restricted performance stock rights, assuming maximum performance criteria have been achieved.</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(2)There were no options outstanding as of December 31, 2024.</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(3)Of the aggregate number of shares that remained available for future issuance, 5,792,728 were available under the 2024 Plan as of December 31, 2024. No new awards may be granted under the 2011 Plan or the 1993 Directors Plan.</w:t>
      </w:r>
    </w:p>
    <w:p>
      <w:pPr>
        <w:pStyle w:val="TextBody"/>
        <w:bidi w:val="0"/>
        <w:spacing w:lineRule="auto" w:line="276" w:before="0" w:after="0"/>
        <w:ind w:left="0" w:right="0" w:hanging="288"/>
        <w:jc w:val="left"/>
        <w:rPr/>
      </w:pPr>
      <w:r>
        <w:rPr>
          <w:rFonts w:ascii="Futura Std Book;sans-serif" w:hAnsi="Futura Std Book;sans-serif"/>
          <w:b w:val="false"/>
          <w:color w:val="000000"/>
          <w:sz w:val="16"/>
        </w:rPr>
        <w:t xml:space="preserve">(4)After giving effect to our February 2025 awards, the number of shares of common stock remaining available for future issuance would be 5,426,827 </w:t>
      </w:r>
      <w:r>
        <w:rPr>
          <w:rFonts w:ascii="Futura Std Book;sans-serif" w:hAnsi="Futura Std Book;sans-serif"/>
          <w:b w:val="false"/>
          <w:color w:val="000000"/>
          <w:sz w:val="16"/>
          <w:shd w:fill="FFFFFF" w:val="clear"/>
        </w:rPr>
        <w:t>(a</w:t>
      </w:r>
      <w:r>
        <w:rPr>
          <w:rFonts w:ascii="Futura Std Book;sans-serif" w:hAnsi="Futura Std Book;sans-serif"/>
          <w:b w:val="false"/>
          <w:color w:val="000000"/>
          <w:sz w:val="16"/>
        </w:rPr>
        <w:t>ssuming maximum payout of such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734695"/>
                <wp:effectExtent l="0" t="0" r="0" b="0"/>
                <wp:wrapNone/>
                <wp:docPr id="328" name="Frame9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88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Proposal 3: Ratification of Appointment of Independent Auditor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Audit and Risk Committee believes that the appointment of Deloitte &amp; Touche LLP (Deloitte) is in the best interests of the Company and its shareholders, and proposes and recommends that the shareholders ratify the Audit and Risk Committee’s appointment of Deloitte as our independent auditor for 2025.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Deloitte served as our independent auditor for 2024, and Deloitte or its predecessors have served as the independent auditor for the Company (including certain of its predecessor companies) since 1975. The Audit and Risk Committee is responsible for the appointment, compensation, retention, oversight, evaluation and termination, if necessary, of our independent auditor. In determining whether to retain Deloitte or engage another independent registered public accounting firm as the Company’s independent auditor, at least annually the Audit and Risk Committee, with management and our internal auditors, reviews and evaluates Deloitte’s performance and independence. As part of its review, the Audit and Risk Committee may consider, among other things, the following:</w:t>
      </w:r>
    </w:p>
    <w:p>
      <w:pPr>
        <w:pStyle w:val="TextBody"/>
        <w:bidi w:val="0"/>
        <w:spacing w:lineRule="auto" w:line="288" w:before="0" w:after="0"/>
        <w:ind w:left="0" w:right="0" w:hanging="216"/>
        <w:jc w:val="left"/>
        <w:rPr/>
      </w:pPr>
      <w:r>
        <w:rPr>
          <w:color w:val="29378D"/>
        </w:rPr>
        <w:t>•</w:t>
      </w:r>
      <w:r>
        <w:rPr>
          <w:rFonts w:ascii="Futura Std Book;sans-serif" w:hAnsi="Futura Std Book;sans-serif"/>
          <w:b w:val="false"/>
          <w:color w:val="000000"/>
          <w:sz w:val="18"/>
        </w:rPr>
        <w:t xml:space="preserve">the quality and efficiency of Deloitte’s current and historical services provided to the Company; </w:t>
      </w:r>
    </w:p>
    <w:p>
      <w:pPr>
        <w:pStyle w:val="TextBody"/>
        <w:bidi w:val="0"/>
        <w:spacing w:lineRule="auto" w:line="288" w:before="0" w:after="0"/>
        <w:ind w:left="0" w:right="0" w:hanging="216"/>
        <w:jc w:val="left"/>
        <w:rPr/>
      </w:pPr>
      <w:r>
        <w:rPr>
          <w:color w:val="29378D"/>
        </w:rPr>
        <w:t>•</w:t>
      </w:r>
      <w:r>
        <w:rPr>
          <w:rFonts w:ascii="Futura Std Book;sans-serif" w:hAnsi="Futura Std Book;sans-serif"/>
          <w:b w:val="false"/>
          <w:color w:val="000000"/>
          <w:sz w:val="18"/>
        </w:rPr>
        <w:t xml:space="preserve">Deloitte’s capability, expertise and efficiency in handling the breadth and complexity of the Company’s global businesses and operations; </w:t>
      </w:r>
    </w:p>
    <w:p>
      <w:pPr>
        <w:pStyle w:val="TextBody"/>
        <w:bidi w:val="0"/>
        <w:spacing w:lineRule="auto" w:line="288" w:before="0" w:after="0"/>
        <w:ind w:left="0" w:right="0" w:hanging="216"/>
        <w:jc w:val="left"/>
        <w:rPr/>
      </w:pPr>
      <w:r>
        <w:rPr>
          <w:color w:val="29378D"/>
        </w:rPr>
        <w:t>•</w:t>
      </w:r>
      <w:r>
        <w:rPr>
          <w:rFonts w:ascii="Futura Std Book;sans-serif" w:hAnsi="Futura Std Book;sans-serif"/>
          <w:b w:val="false"/>
          <w:color w:val="000000"/>
          <w:sz w:val="18"/>
        </w:rPr>
        <w:t xml:space="preserve">the quality and candor of Deloitte’s communications with the Audit and Risk Committee; </w:t>
      </w:r>
    </w:p>
    <w:p>
      <w:pPr>
        <w:pStyle w:val="TextBody"/>
        <w:bidi w:val="0"/>
        <w:spacing w:lineRule="auto" w:line="288" w:before="0" w:after="0"/>
        <w:ind w:left="0" w:right="0" w:hanging="216"/>
        <w:jc w:val="left"/>
        <w:rPr/>
      </w:pPr>
      <w:r>
        <w:rPr>
          <w:color w:val="29378D"/>
        </w:rPr>
        <w:t>•</w:t>
      </w:r>
      <w:r>
        <w:rPr>
          <w:rFonts w:ascii="Futura Std Book;sans-serif" w:hAnsi="Futura Std Book;sans-serif"/>
          <w:b w:val="false"/>
          <w:color w:val="000000"/>
          <w:sz w:val="18"/>
        </w:rPr>
        <w:t xml:space="preserve">Deloitte’s independence from the Company; </w:t>
      </w:r>
    </w:p>
    <w:p>
      <w:pPr>
        <w:pStyle w:val="TextBody"/>
        <w:bidi w:val="0"/>
        <w:spacing w:lineRule="auto" w:line="288" w:before="0" w:after="0"/>
        <w:ind w:left="0" w:right="0" w:hanging="216"/>
        <w:jc w:val="left"/>
        <w:rPr/>
      </w:pPr>
      <w:r>
        <w:rPr>
          <w:color w:val="29378D"/>
        </w:rPr>
        <w:t>•</w:t>
      </w:r>
      <w:r>
        <w:rPr>
          <w:rFonts w:ascii="Futura Std Book;sans-serif" w:hAnsi="Futura Std Book;sans-serif"/>
          <w:b w:val="false"/>
          <w:color w:val="000000"/>
          <w:sz w:val="18"/>
        </w:rPr>
        <w:t xml:space="preserve">the appropriateness of Deloitte’s fees; and </w:t>
      </w:r>
    </w:p>
    <w:p>
      <w:pPr>
        <w:pStyle w:val="TextBody"/>
        <w:bidi w:val="0"/>
        <w:spacing w:lineRule="auto" w:line="288" w:before="0" w:after="0"/>
        <w:ind w:left="0" w:right="0" w:hanging="216"/>
        <w:jc w:val="left"/>
        <w:rPr/>
      </w:pPr>
      <w:r>
        <w:rPr>
          <w:color w:val="29378D"/>
        </w:rPr>
        <w:t>•</w:t>
      </w:r>
      <w:r>
        <w:rPr>
          <w:rFonts w:ascii="Futura Std Book;sans-serif" w:hAnsi="Futura Std Book;sans-serif"/>
          <w:b w:val="false"/>
          <w:color w:val="000000"/>
          <w:sz w:val="18"/>
        </w:rPr>
        <w:t>Deloitte’s tenure as our independent auditor (including its knowledge of the Company and its operations, accounting policies and practices and internal controls).</w:t>
      </w:r>
      <w:r>
        <w:rPr>
          <w:color w:val="000000"/>
        </w:rPr>
        <w:t xml:space="preserv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Based on its evaluation, the Audit and Risk Committee believes that Deloitte is independent and well-qualified to serve as the Company’s independent auditor in 2025.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Audit and Risk Committee also reviews the performance of Deloitte’s lead audit partner, and the Audit and Risk Committee and its Chair oversee the rotation of Deloitte’s lead audit partner and are involved in the selection and approval of the lead audit partner. The lead audit partner rotates every five years in accordance with regulatory requirements. In addition, the Audit and Risk Committee is responsible for reviewing and pre-approving audit and non-audit services and related fees for the independent auditor.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Although ratification is not required by our Bylaws or otherwise, the Audit and Risk Committee is submitting the selection of Deloitte to shareholders as a matter of good corporate governance. If the shareholders fail to ratify the appointment of Deloitte, the Audit and Risk Committee will consider this in its selection of auditor for the following year. A representative from Deloitte will attend the Annual Meeting and will have the opportunity to make a statement and respond to appropriate questions.</w:t>
      </w:r>
    </w:p>
    <w:p>
      <w:pPr>
        <w:pStyle w:val="TextBody"/>
        <w:bidi w:val="0"/>
        <w:spacing w:lineRule="auto" w:line="288" w:before="120" w:after="120"/>
        <w:jc w:val="left"/>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Approval of this proposal requires that the votes cast “for” the proposal exceed the votes cast “against” the proposal. Abstentions and broker non-votes will have no effect on this proposal.</w:t>
      </w:r>
    </w:p>
    <w:tbl>
      <w:tblPr>
        <w:tblW w:w="9461" w:type="dxa"/>
        <w:jc w:val="left"/>
        <w:tblInd w:w="0" w:type="dxa"/>
        <w:tblLayout w:type="fixed"/>
        <w:tblCellMar>
          <w:top w:w="28" w:type="dxa"/>
          <w:left w:w="28" w:type="dxa"/>
          <w:bottom w:w="28" w:type="dxa"/>
          <w:right w:w="28" w:type="dxa"/>
        </w:tblCellMar>
      </w:tblPr>
      <w:tblGrid>
        <w:gridCol w:w="161"/>
        <w:gridCol w:w="142"/>
        <w:gridCol w:w="143"/>
        <w:gridCol w:w="2638"/>
        <w:gridCol w:w="2638"/>
        <w:gridCol w:w="3739"/>
      </w:tblGrid>
      <w:tr>
        <w:trPr/>
        <w:tc>
          <w:tcPr>
            <w:tcW w:w="16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39" w:type="dxa"/>
            <w:tcBorders/>
            <w:vAlign w:val="center"/>
          </w:tcPr>
          <w:p>
            <w:pPr>
              <w:pStyle w:val="TableContents"/>
              <w:bidi w:val="0"/>
              <w:spacing w:before="0" w:after="283"/>
              <w:jc w:val="left"/>
              <w:rPr>
                <w:sz w:val="4"/>
                <w:szCs w:val="4"/>
              </w:rPr>
            </w:pPr>
            <w:r>
              <w:rPr>
                <w:sz w:val="4"/>
                <w:szCs w:val="4"/>
              </w:rPr>
            </w:r>
          </w:p>
        </w:tc>
      </w:tr>
      <w:tr>
        <w:trPr/>
        <w:tc>
          <w:tcPr>
            <w:tcW w:w="446" w:type="dxa"/>
            <w:gridSpan w:val="3"/>
            <w:tcBorders>
              <w:top w:val="single" w:sz="12" w:space="0" w:color="29378D"/>
              <w:left w:val="single" w:sz="12" w:space="0" w:color="29378D"/>
            </w:tcBorders>
            <w:shd w:fill="29378D" w:val="clear"/>
            <w:tcMar>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op w:val="single" w:sz="12" w:space="0" w:color="29378D"/>
              <w:right w:val="single" w:sz="12" w:space="0" w:color="29378D"/>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left w:val="single" w:sz="12" w:space="0" w:color="29378D"/>
            </w:tcBorders>
            <w:shd w:fill="29378D" w:val="clear"/>
            <w:tcMar>
              <w:top w:w="0" w:type="dxa"/>
              <w:bottom w:w="0" w:type="dxa"/>
              <w:right w:w="0" w:type="dxa"/>
            </w:tcMar>
            <w:vAlign w:val="center"/>
          </w:tcPr>
          <w:p>
            <w:pPr>
              <w:pStyle w:val="TableContents"/>
              <w:bidi w:val="0"/>
              <w:spacing w:before="0" w:after="0"/>
              <w:jc w:val="center"/>
              <w:rPr/>
            </w:pPr>
            <w:r>
              <w:rPr/>
              <w:drawing>
                <wp:inline distT="0" distB="0" distL="0" distR="0">
                  <wp:extent cx="219075" cy="180975"/>
                  <wp:effectExtent l="0" t="0" r="0" b="0"/>
                  <wp:docPr id="329"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38" descr=""/>
                          <pic:cNvPicPr>
                            <a:picLocks noChangeAspect="1" noChangeArrowheads="1"/>
                          </pic:cNvPicPr>
                        </pic:nvPicPr>
                        <pic:blipFill>
                          <a:blip r:embed="rId239"/>
                          <a:stretch>
                            <a:fillRect/>
                          </a:stretch>
                        </pic:blipFill>
                        <pic:spPr bwMode="auto">
                          <a:xfrm>
                            <a:off x="0" y="0"/>
                            <a:ext cx="219075" cy="180975"/>
                          </a:xfrm>
                          <a:prstGeom prst="rect">
                            <a:avLst/>
                          </a:prstGeom>
                        </pic:spPr>
                      </pic:pic>
                    </a:graphicData>
                  </a:graphic>
                </wp:inline>
              </w:drawing>
            </w:r>
          </w:p>
        </w:tc>
        <w:tc>
          <w:tcPr>
            <w:tcW w:w="9015" w:type="dxa"/>
            <w:gridSpan w:val="3"/>
            <w:tcBorders>
              <w:right w:val="single" w:sz="12" w:space="0" w:color="29378D"/>
            </w:tcBorders>
            <w:tcMar>
              <w:top w:w="0" w:type="dxa"/>
              <w:left w:w="0" w:type="dxa"/>
              <w:bottom w:w="0" w:type="dxa"/>
            </w:tcMar>
            <w:vAlign w:val="center"/>
          </w:tcPr>
          <w:p>
            <w:pPr>
              <w:pStyle w:val="TableContents"/>
              <w:bidi w:val="0"/>
              <w:spacing w:lineRule="auto" w:line="288" w:before="0" w:after="0"/>
              <w:jc w:val="left"/>
              <w:rPr/>
            </w:pPr>
            <w:r>
              <w:rPr>
                <w:rFonts w:ascii="Futura Std Book;sans-serif" w:hAnsi="Futura Std Book;sans-serif"/>
                <w:b/>
                <w:color w:val="000000"/>
                <w:sz w:val="16"/>
              </w:rPr>
              <w:t xml:space="preserve">THE BOARD OF DIRECTORS UNANIMOUSLY RECOMMENDS THAT YOU VOTE </w:t>
            </w:r>
            <w:r>
              <w:rPr>
                <w:color w:val="29378D"/>
              </w:rPr>
              <w:t>“</w:t>
            </w:r>
            <w:r>
              <w:rPr>
                <w:rFonts w:ascii="Futura Std Book;sans-serif" w:hAnsi="Futura Std Book;sans-serif"/>
                <w:b/>
                <w:color w:val="29378D"/>
                <w:sz w:val="16"/>
              </w:rPr>
              <w:t xml:space="preserve">FOR” </w:t>
            </w:r>
            <w:r>
              <w:rPr>
                <w:rFonts w:ascii="Futura Std Book;sans-serif" w:hAnsi="Futura Std Book;sans-serif"/>
                <w:b/>
                <w:color w:val="000000"/>
                <w:sz w:val="16"/>
              </w:rPr>
              <w:t>PROPOSAL 3.</w:t>
            </w:r>
          </w:p>
        </w:tc>
      </w:tr>
      <w:tr>
        <w:trPr/>
        <w:tc>
          <w:tcPr>
            <w:tcW w:w="446" w:type="dxa"/>
            <w:gridSpan w:val="3"/>
            <w:tcBorders>
              <w:left w:val="single" w:sz="12" w:space="0" w:color="29378D"/>
              <w:bottom w:val="single" w:sz="12" w:space="0" w:color="29378D"/>
            </w:tcBorders>
            <w:shd w:fill="29378D" w:val="clear"/>
            <w:tcMar>
              <w:top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bottom w:val="single" w:sz="12" w:space="0" w:color="29378D"/>
              <w:right w:val="single" w:sz="12" w:space="0" w:color="29378D"/>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554990"/>
                <wp:effectExtent l="0" t="0" r="0" b="0"/>
                <wp:wrapNone/>
                <wp:docPr id="330" name="Frame9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89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3: Ratification of Appointment of Independent Auditor</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Audit Fees and All Other Fees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summarizes aggregate fees incurred for professional audit services for the audit of the Company’s consolidated financial statement audits for the years ended December 31, 2024 and 2023, and fees billed for other services in fiscal years 2024 and 2023, in each case by Deloitte, the member firms of Deloitte Touche Tohmatsu Limited and their respective affiliates:</w:t>
      </w:r>
    </w:p>
    <w:tbl>
      <w:tblPr>
        <w:tblW w:w="5479" w:type="dxa"/>
        <w:jc w:val="left"/>
        <w:tblInd w:w="0" w:type="dxa"/>
        <w:tblLayout w:type="fixed"/>
        <w:tblCellMar>
          <w:top w:w="28" w:type="dxa"/>
          <w:left w:w="28" w:type="dxa"/>
          <w:bottom w:w="28" w:type="dxa"/>
          <w:right w:w="28" w:type="dxa"/>
        </w:tblCellMar>
      </w:tblPr>
      <w:tblGrid>
        <w:gridCol w:w="709"/>
        <w:gridCol w:w="623"/>
        <w:gridCol w:w="632"/>
        <w:gridCol w:w="109"/>
        <w:gridCol w:w="109"/>
        <w:gridCol w:w="109"/>
        <w:gridCol w:w="623"/>
        <w:gridCol w:w="623"/>
        <w:gridCol w:w="156"/>
        <w:gridCol w:w="109"/>
        <w:gridCol w:w="109"/>
        <w:gridCol w:w="109"/>
        <w:gridCol w:w="623"/>
        <w:gridCol w:w="623"/>
        <w:gridCol w:w="213"/>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color w:val="000000"/>
                <w:sz w:val="14"/>
              </w:rPr>
            </w:pPr>
            <w:r>
              <w:rPr>
                <w:rFonts w:ascii="Futura Std Book;sans-serif" w:hAnsi="Futura Std Book;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Futura Std Book;sans-serif" w:hAnsi="Futura Std Book;sans-serif"/>
                <w:b/>
                <w:color w:val="000000"/>
                <w:sz w:val="14"/>
              </w:rPr>
            </w:pPr>
            <w:r>
              <w:rPr>
                <w:rFonts w:ascii="Futura Std Book;sans-serif" w:hAnsi="Futura Std Book;sans-serif"/>
                <w:b/>
                <w:color w:val="000000"/>
                <w:sz w:val="14"/>
              </w:rPr>
              <w:t>2023</w:t>
            </w:r>
          </w:p>
        </w:tc>
      </w:tr>
      <w:tr>
        <w:trPr/>
        <w:tc>
          <w:tcPr>
            <w:tcW w:w="196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left"/>
              <w:rPr/>
            </w:pPr>
            <w:r>
              <w:rPr>
                <w:rFonts w:ascii="Futura Std Book;sans-serif" w:hAnsi="Futura Std Book;sans-serif"/>
                <w:b w:val="false"/>
                <w:color w:val="000000"/>
                <w:sz w:val="18"/>
              </w:rPr>
              <w:t>Audit Fees</w:t>
            </w:r>
            <w:r>
              <w:rPr>
                <w:rFonts w:ascii="Futura Std Book;sans-serif" w:hAnsi="Futura Std Book;sans-serif"/>
                <w:b w:val="false"/>
                <w:color w:val="000000"/>
                <w:sz w:val="12"/>
              </w:rPr>
              <w:t>(1)</w:t>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21,649,000 </w:t>
            </w:r>
          </w:p>
        </w:tc>
        <w:tc>
          <w:tcPr>
            <w:tcW w:w="156"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21,144,000 </w:t>
            </w:r>
          </w:p>
        </w:tc>
        <w:tc>
          <w:tcPr>
            <w:tcW w:w="213"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20" w:after="20"/>
              <w:jc w:val="left"/>
              <w:rPr/>
            </w:pPr>
            <w:r>
              <w:rPr>
                <w:rFonts w:ascii="Futura Std Book;sans-serif" w:hAnsi="Futura Std Book;sans-serif"/>
                <w:b w:val="false"/>
                <w:color w:val="000000"/>
                <w:sz w:val="18"/>
              </w:rPr>
              <w:t>Audit-Related Fees</w:t>
            </w:r>
            <w:r>
              <w:rPr>
                <w:rFonts w:ascii="Futura Std Book;sans-serif" w:hAnsi="Futura Std Book;sans-serif"/>
                <w:b w:val="false"/>
                <w:color w:val="000000"/>
                <w:sz w:val="12"/>
              </w:rPr>
              <w:t>(2)</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20" w:after="20"/>
              <w:jc w:val="left"/>
              <w:rPr/>
            </w:pPr>
            <w:r>
              <w:rPr>
                <w:rFonts w:ascii="Futura Std Book;sans-serif" w:hAnsi="Futura Std Book;sans-serif"/>
                <w:b w:val="false"/>
                <w:color w:val="000000"/>
                <w:sz w:val="18"/>
              </w:rPr>
              <w:t>Tax-Related Fees</w:t>
            </w:r>
            <w:r>
              <w:rPr>
                <w:rFonts w:ascii="Futura Std Book;sans-serif" w:hAnsi="Futura Std Book;sans-serif"/>
                <w:b w:val="false"/>
                <w:color w:val="000000"/>
                <w:sz w:val="12"/>
              </w:rPr>
              <w:t>(3)</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418,000 </w:t>
            </w:r>
          </w:p>
        </w:tc>
        <w:tc>
          <w:tcPr>
            <w:tcW w:w="1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363,000 </w:t>
            </w:r>
          </w:p>
        </w:tc>
        <w:tc>
          <w:tcPr>
            <w:tcW w:w="2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8"/>
              </w:rPr>
              <w:t>All Other Fees</w:t>
            </w:r>
            <w:r>
              <w:rPr>
                <w:rFonts w:ascii="Futura Std Book;sans-serif" w:hAnsi="Futura Std Book;sans-serif"/>
                <w:b w:val="false"/>
                <w:color w:val="000000"/>
                <w:sz w:val="12"/>
              </w:rPr>
              <w:t>(4)</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25,000 </w:t>
            </w:r>
          </w:p>
        </w:tc>
        <w:tc>
          <w:tcPr>
            <w:tcW w:w="1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Total Fees</w:t>
            </w:r>
          </w:p>
        </w:tc>
        <w:tc>
          <w:tcPr>
            <w:tcW w:w="327"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22,092,000 </w:t>
            </w:r>
          </w:p>
        </w:tc>
        <w:tc>
          <w:tcPr>
            <w:tcW w:w="156"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w:t>
            </w:r>
          </w:p>
        </w:tc>
        <w:tc>
          <w:tcPr>
            <w:tcW w:w="124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21,507,000 </w:t>
            </w:r>
          </w:p>
        </w:tc>
        <w:tc>
          <w:tcPr>
            <w:tcW w:w="213"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(1)Audit fees for 2024 and 2023 reflect fees of $19,405,000 and $18,960,000, respectively, for the consolidated financial statement audits and include the audit of internal controls pursuant to Section 404 of the Sarbanes-Oxley Act of 2002. Audit fees for 2024 and 2023 also include $1,850,000 and $1,925,000, respectively, for foreign statutory audits. Fees for foreign statutory audits are reported in the year in which the audits are performed. For example, foreign statutory audit fees reported in 2024 relate to audits of the Company’s foreign entities for the fiscal year ended 2023. The remaining 2024 audit fees primarily relate to audit services associated with the Company’s Form 8-K filing in connection with its debt offering in January 2024, the Company’s Form S-8 filing in July 2024 and testing procedures associated with the Company's implementation of the S/4HANA enterprise resource planning system and international general IT controls. The remaining 2023 audit fees primarily relate to audit services associated with the Company's Form 8-K filing in connection with its debt offering in February 2023, the Company's Form S-3 filing in March 2023 and the Company's Form S-8 filing in July 2023. </w:t>
      </w:r>
    </w:p>
    <w:p>
      <w:pPr>
        <w:pStyle w:val="TextBody"/>
        <w:bidi w:val="0"/>
        <w:spacing w:lineRule="auto" w:line="26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(2)Audit-related fees reflect fees for services that are reasonably related to the performance of the audit or review of the Company’s financial statements. There were no additional audit-related fees in 2024 or 2023. Audit-related fees exclude fees related to benefit plan audits, which are paid for by the plans, that totaled $1,538,000 for 2024 and $1,496,000 for 2023.</w:t>
      </w:r>
    </w:p>
    <w:p>
      <w:pPr>
        <w:pStyle w:val="TextBody"/>
        <w:bidi w:val="0"/>
        <w:spacing w:lineRule="auto" w:line="26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(3)Tax-related fees during 2024 and 2023 reflect fees of $418,000 and $363,000, respectively, for services concerning foreign income tax compliance, foreign Value Added Tax compliance and other tax matters.</w:t>
      </w:r>
    </w:p>
    <w:p>
      <w:pPr>
        <w:pStyle w:val="TextBody"/>
        <w:bidi w:val="0"/>
        <w:spacing w:lineRule="auto" w:line="26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 xml:space="preserve">(4)All other fees during 2024 reflect fees of $25,000 for services concerning the Company's allocation of hydrofluorocarbon allowances.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Policy on Audit and Risk Committee Pre-Approval of Audit and Permissible Non-Audit Services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It is the Audit and Risk Committee’s policy to pre-approve all audit and permitted non-audit services provided by our independent auditor in order to provide reasonable assurance that the provision of these services does not impair the auditor’s independence. Pre-approval may be given at any time. The Audit and Risk Committee has delegated pre-approval authority for any individual project up to $1 million to the Chair of the Audit and Risk Committee.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decisions of the Chair to pre-approve a permitted service are reported to the Audit and Risk Committee at its next meeting. The independent auditor is required to periodically report to the full Audit and Risk Committee regarding the extent of services provided by the independent auditor in accordance with this pre-approval policy, as well as the fees for the services performed to date.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Audit and Risk Committee approved all audit and non-audit services provided by Deloitte, the member firms of Deloitte Touche Tohmatsu Limited and their respective affiliates during 2024 and 2023, in each case before being engaged to provide those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Audit and Risk Committee Report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Audit and Risk Committee of the Board of Directors is responsible for assisting the Board of Directors in fulfilling its oversight responsibilities over the Company’s accounting, auditing and financial reporting processes and financial risk assessment and management process, and for monitoring compliance with certain regulatory and compliance matters. The Audit and Risk Committee’s written charter describes the Audit and Risk Committee’s responsibilities and has been approved by the Board of Directors.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Management is responsible for preparing the Company’s financial statements and for the financial reporting process, including evaluating the effectiveness of the Company’s disclosure controls and procedures and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734695"/>
                <wp:effectExtent l="0" t="0" r="0" b="0"/>
                <wp:wrapNone/>
                <wp:docPr id="331" name="Frame9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3: Ratification of Appointment of Independent Auditor</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Deloitte &amp; Touche LLP (Deloitte), the Company’s independent auditor, is responsible for performing an independent audit of the Company’s consolidated financial statements and expressing an opinion on the conformity of the financial statements with accounting principles generally accepted in the United States of America, and on the effectiveness of the Company’s internal control over financial reporting.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connection with the preparation of the Company’s financial statements as of and for the year ended December 31, 2024, the Audit and Risk Committee reviewed and discussed the audited financial statements with the Company’s Chief Executive Officer, Chief Financial Officer, Chief Accounting Officer and Deloitte. The Audit and Risk Committee also discussed with Deloitte the communications required under applicable requirements of the Public Company Accounting Oversight Board (PCAOB) and the SEC, including the matters required to be discussed by Auditing Standard No. 1301, Communications with Audit Committees, as adopted by the PCAOB, and, with and without management present, discussed and reviewed the results of Deloitte’s examination of the financial statements. Additionally, the Audit and Risk Committee discussed with the Company’s internal auditors the results of their audits completed during 2024.</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Audit and Risk Committee received the written disclosures and the letter from Deloitte required by the applicable requirements of the PCAOB regarding the independent auditor’s communications with the Audit and Risk Committee concerning independence. In addition, the Audit and Risk Committee discussed with Deloitte that firm’s independence from the Company.</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Based on the Audit and Risk Committee’s review and discussions described in this report, the Audit and Risk Committee recommended to the Board of Directors and the Board of Directors approved that the audited financial statements for the year ended December 31, 2024 be included in the Company’s Annual Report on Form 10-K for the year ended December 31, 2024 for filing with the SEC. The Audit and Risk Committee also reappointed Deloitte to serve as the Company’s independent auditor for 2025, and requested that this appointment be submitted to shareholders for ratification at the Annual Meeting.</w:t>
      </w:r>
    </w:p>
    <w:p>
      <w:pPr>
        <w:pStyle w:val="TextBody"/>
        <w:bidi w:val="0"/>
        <w:spacing w:before="120" w:after="120"/>
        <w:jc w:val="left"/>
        <w:rPr/>
      </w:pPr>
      <w:r>
        <w:rPr/>
      </w:r>
    </w:p>
    <w:p>
      <w:pPr>
        <w:pStyle w:val="TextBody"/>
        <w:bidi w:val="0"/>
        <w:spacing w:lineRule="auto" w:line="288" w:before="120" w:after="120"/>
        <w:jc w:val="left"/>
        <w:rPr/>
      </w:pPr>
      <w:r>
        <w:rPr>
          <w:rFonts w:ascii="Futura Std Book;sans-serif" w:hAnsi="Futura Std Book;sans-serif"/>
          <w:b/>
          <w:color w:val="000000"/>
          <w:sz w:val="18"/>
        </w:rPr>
        <w:t>AUDIT AND RISK COMMITTEE</w:t>
        <w:br/>
      </w:r>
      <w:r>
        <w:rPr>
          <w:rFonts w:ascii="Futura Std Book;sans-serif" w:hAnsi="Futura Std Book;sans-serif"/>
          <w:b/>
          <w:color w:val="29378D"/>
          <w:sz w:val="18"/>
        </w:rPr>
        <w:t>Thomas M. Schoewe, Chair</w:t>
        <w:br/>
        <w:t>Marianne C. Brown</w:t>
        <w:br/>
        <w:t>Ann M. Fudge</w:t>
        <w:br/>
        <w:t>Kimberly A. Ross</w:t>
        <w:br/>
        <w:t>James S. Turley</w:t>
        <w:br/>
        <w:t>Mark A. Welsh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554990"/>
                <wp:effectExtent l="0" t="0" r="0" b="0"/>
                <wp:wrapNone/>
                <wp:docPr id="332" name="Frame9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91</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shd w:fill="FFFFFF" w:val="clear"/>
        </w:rPr>
      </w:pPr>
      <w:r>
        <w:rPr>
          <w:rFonts w:ascii="Futura Std Book;sans-serif" w:hAnsi="Futura Std Book;sans-serif"/>
          <w:b/>
          <w:color w:val="29378D"/>
          <w:sz w:val="48"/>
          <w:shd w:fill="FFFFFF" w:val="clear"/>
        </w:rPr>
        <w:t>Proposal 4: Shareholder Proposal</w:t>
      </w:r>
    </w:p>
    <w:p>
      <w:pPr>
        <w:pStyle w:val="TextBody"/>
        <w:bidi w:val="0"/>
        <w:spacing w:lineRule="auto" w:line="288" w:before="0" w:after="0"/>
        <w:jc w:val="both"/>
        <w:rPr>
          <w:rFonts w:ascii="Futura Std Book;sans-serif" w:hAnsi="Futura Std Book;sans-serif"/>
          <w:b w:val="false"/>
          <w:color w:val="000000"/>
          <w:sz w:val="18"/>
          <w:shd w:fill="FFFFFF" w:val="clear"/>
        </w:rPr>
      </w:pPr>
      <w:r>
        <w:rPr>
          <w:rFonts w:ascii="Futura Std Book;sans-serif" w:hAnsi="Futura Std Book;sans-serif"/>
          <w:b w:val="false"/>
          <w:color w:val="000000"/>
          <w:sz w:val="18"/>
          <w:shd w:fill="FFFFFF" w:val="clear"/>
        </w:rPr>
        <w:t>Mr. John Chevedden, 2215 Nelson Avenue, No. 205, Redondo Beach, California 90278, a beneficial owner of 20 shares of common stock of the Company, has stated that he intends to present the following proposal at the Annual Meeting. The proposal and supporting statement, for which the Board accepts no responsibility, has been reproduced below without modification. The Board opposes the shareholder proposal for the reasons stated below.</w:t>
      </w:r>
    </w:p>
    <w:p>
      <w:pPr>
        <w:pStyle w:val="TextBody"/>
        <w:bidi w:val="0"/>
        <w:spacing w:before="80" w:after="80"/>
        <w:jc w:val="left"/>
        <w:rPr/>
      </w:pPr>
      <w:r>
        <w:rPr/>
      </w:r>
    </w:p>
    <w:p>
      <w:pPr>
        <w:pStyle w:val="TextBody"/>
        <w:bidi w:val="0"/>
        <w:spacing w:lineRule="auto" w:line="288" w:before="80" w:after="80"/>
        <w:jc w:val="center"/>
        <w:rPr>
          <w:rFonts w:ascii="Futura Std Book;sans-serif" w:hAnsi="Futura Std Book;sans-serif"/>
          <w:b/>
          <w:color w:val="000000"/>
          <w:sz w:val="36"/>
        </w:rPr>
      </w:pPr>
      <w:r>
        <w:rPr>
          <w:rFonts w:ascii="Futura Std Book;sans-serif" w:hAnsi="Futura Std Book;sans-serif"/>
          <w:b/>
          <w:color w:val="000000"/>
          <w:sz w:val="36"/>
        </w:rPr>
        <w:t>Proposal 4 - Support Improved Clawback Policy regarding Unearned Executive Pay</w:t>
      </w:r>
    </w:p>
    <w:p>
      <w:pPr>
        <w:pStyle w:val="TextBody"/>
        <w:bidi w:val="0"/>
        <w:spacing w:before="80" w:after="80"/>
        <w:jc w:val="center"/>
        <w:rPr/>
      </w:pPr>
      <w:r>
        <w:rPr/>
        <w:drawing>
          <wp:inline distT="0" distB="0" distL="0" distR="0">
            <wp:extent cx="2724150" cy="504825"/>
            <wp:effectExtent l="0" t="0" r="0" b="0"/>
            <wp:docPr id="333"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39" descr=""/>
                    <pic:cNvPicPr>
                      <a:picLocks noChangeAspect="1" noChangeArrowheads="1"/>
                    </pic:cNvPicPr>
                  </pic:nvPicPr>
                  <pic:blipFill>
                    <a:blip r:embed="rId240"/>
                    <a:stretch>
                      <a:fillRect/>
                    </a:stretch>
                  </pic:blipFill>
                  <pic:spPr bwMode="auto">
                    <a:xfrm>
                      <a:off x="0" y="0"/>
                      <a:ext cx="2724150" cy="5048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Shareholders ask the Board of Directors to amend the Company Policy on recoupment of incentive pay to apply to the each Named Executive Officer and to state that conduct or negligence - not merely misconduct - shall trigger mandatory application of that policy. Also the Board shall report to shareholders in each annual meeting proxy the results of any deliberations regarding the policy, including the Board's reasons for not applying the policy after specific deliberations conclude, about whether or not to cancel or seek recoupment of unearned compensation paid, granted or awarded to NEOs under this policy.</w:t>
      </w:r>
    </w:p>
    <w:p>
      <w:pPr>
        <w:pStyle w:val="TextBody"/>
        <w:bidi w:val="0"/>
        <w:spacing w:before="0" w:after="0"/>
        <w:jc w:val="left"/>
        <w:rPr/>
      </w:pPr>
      <w:r>
        <w:rPr/>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This improved clawback policy shall at least be included in the Governess Guidelines of the Company or similar document and be easily accessible on the Company website.</w:t>
      </w:r>
    </w:p>
    <w:p>
      <w:pPr>
        <w:pStyle w:val="TextBody"/>
        <w:bidi w:val="0"/>
        <w:spacing w:before="0" w:after="0"/>
        <w:jc w:val="left"/>
        <w:rPr/>
      </w:pPr>
      <w:r>
        <w:rPr/>
      </w:r>
    </w:p>
    <w:p>
      <w:pPr>
        <w:pStyle w:val="TextBody"/>
        <w:bidi w:val="0"/>
        <w:spacing w:lineRule="auto" w:line="235"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current Clawback Policy is incomplete and can be difficult for shareholders to access.</w:t>
      </w:r>
    </w:p>
    <w:p>
      <w:pPr>
        <w:pStyle w:val="TextBody"/>
        <w:bidi w:val="0"/>
        <w:spacing w:before="0" w:after="0"/>
        <w:jc w:val="left"/>
        <w:rPr/>
      </w:pPr>
      <w:r>
        <w:rPr/>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Wells Fargo offers a prime example of why Northrop Grumman (NOC) needs a stronger policy. After 2016 Congressional hearings, Wells Fargo agreed to pay $185 million to resolve claims of fraudulent sales practices. The Wells Fargo Board then moved to claw back $136 million from 2 top executives. Wells Fargo unfortunately concluded that the CEO had only turned a blind eye to the practice of opening fraudulent accounts and thus failed to attempt any clawback and left $136 million on the table.</w:t>
      </w:r>
    </w:p>
    <w:p>
      <w:pPr>
        <w:pStyle w:val="TextBody"/>
        <w:bidi w:val="0"/>
        <w:spacing w:before="0" w:after="0"/>
        <w:jc w:val="left"/>
        <w:rPr/>
      </w:pPr>
      <w:r>
        <w:rPr/>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At minimum this proposal alerts NOC shareholders that NOC executives can now be richly rewarded even when they are negligent. This is the wrong incentive for NOC executives at a time when the best incentives for NOC executives should be adopted.</w:t>
      </w:r>
    </w:p>
    <w:p>
      <w:pPr>
        <w:pStyle w:val="TextBody"/>
        <w:bidi w:val="0"/>
        <w:spacing w:before="0" w:after="0"/>
        <w:jc w:val="left"/>
        <w:rPr/>
      </w:pPr>
      <w:r>
        <w:rPr/>
      </w:r>
    </w:p>
    <w:p>
      <w:pPr>
        <w:pStyle w:val="TextBody"/>
        <w:bidi w:val="0"/>
        <w:spacing w:lineRule="auto" w:line="336" w:before="0" w:after="0"/>
        <w:ind w:left="0" w:right="0" w:firstLine="1601"/>
        <w:jc w:val="center"/>
        <w:rPr>
          <w:rFonts w:ascii="Futura Std Book;sans-serif" w:hAnsi="Futura Std Book;sans-serif"/>
          <w:b w:val="false"/>
          <w:color w:val="000000"/>
          <w:sz w:val="18"/>
        </w:rPr>
      </w:pPr>
      <w:r>
        <w:rPr>
          <w:rFonts w:ascii="Futura Std Book;sans-serif" w:hAnsi="Futura Std Book;sans-serif"/>
          <w:b w:val="false"/>
          <w:color w:val="000000"/>
          <w:sz w:val="18"/>
        </w:rPr>
        <w:t>Please vote yes:</w:t>
      </w:r>
    </w:p>
    <w:p>
      <w:pPr>
        <w:pStyle w:val="TextBody"/>
        <w:bidi w:val="0"/>
        <w:spacing w:lineRule="auto" w:line="271" w:before="0" w:after="0"/>
        <w:ind w:left="0" w:right="0" w:firstLine="1601"/>
        <w:jc w:val="center"/>
        <w:rPr>
          <w:rFonts w:ascii="Futura Std Book;sans-serif" w:hAnsi="Futura Std Book;sans-serif"/>
          <w:b/>
          <w:color w:val="000000"/>
          <w:sz w:val="18"/>
        </w:rPr>
      </w:pPr>
      <w:r>
        <w:rPr>
          <w:rFonts w:ascii="Futura Std Book;sans-serif" w:hAnsi="Futura Std Book;sans-serif"/>
          <w:b/>
          <w:color w:val="000000"/>
          <w:sz w:val="18"/>
        </w:rPr>
        <w:t>Support Improved Clawback Policy regarding Unearned Executive Pay -</w:t>
      </w:r>
    </w:p>
    <w:p>
      <w:pPr>
        <w:pStyle w:val="TextBody"/>
        <w:bidi w:val="0"/>
        <w:spacing w:lineRule="auto" w:line="336" w:before="0" w:after="0"/>
        <w:ind w:left="0" w:right="0" w:firstLine="1601"/>
        <w:jc w:val="center"/>
        <w:rPr>
          <w:rFonts w:ascii="Futura Std Book;sans-serif" w:hAnsi="Futura Std Book;sans-serif"/>
          <w:b/>
          <w:color w:val="000000"/>
          <w:sz w:val="18"/>
        </w:rPr>
      </w:pPr>
      <w:r>
        <w:rPr>
          <w:rFonts w:ascii="Futura Std Book;sans-serif" w:hAnsi="Futura Std Book;sans-serif"/>
          <w:b/>
          <w:color w:val="000000"/>
          <w:sz w:val="18"/>
        </w:rPr>
        <w:t>Proposal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734695"/>
                <wp:effectExtent l="0" t="0" r="0" b="0"/>
                <wp:wrapNone/>
                <wp:docPr id="334" name="Frame9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Proposal 4: Shareholder Proposal</w:t>
      </w:r>
    </w:p>
    <w:p>
      <w:pPr>
        <w:pStyle w:val="TextBody"/>
        <w:bidi w:val="0"/>
        <w:spacing w:lineRule="auto" w:line="288" w:before="80" w:after="80"/>
        <w:jc w:val="left"/>
        <w:rPr>
          <w:rFonts w:ascii="Futura Std Book;sans-serif" w:hAnsi="Futura Std Book;sans-serif"/>
          <w:b/>
          <w:color w:val="000000"/>
          <w:sz w:val="36"/>
        </w:rPr>
      </w:pPr>
      <w:r>
        <w:rPr>
          <w:rFonts w:ascii="Futura Std Book;sans-serif" w:hAnsi="Futura Std Book;sans-serif"/>
          <w:b/>
          <w:color w:val="000000"/>
          <w:sz w:val="36"/>
        </w:rPr>
        <w:t>Board of Directors’ Statement in Opposition to Proposal 4</w:t>
      </w:r>
    </w:p>
    <w:p>
      <w:pPr>
        <w:pStyle w:val="TextBody"/>
        <w:bidi w:val="0"/>
        <w:spacing w:lineRule="auto" w:line="26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Board of Directors recommends that shareholders vote against Proposal 4. We believe that implementation of this proposal is unnecessary given the Company’s comprehensive recoupment policy which promotes executive accountability and protects shareholder interests and is fully compliant with the required recoupment provisions under NYSE and SEC rules. </w:t>
      </w:r>
    </w:p>
    <w:p>
      <w:pPr>
        <w:pStyle w:val="TextBody"/>
        <w:bidi w:val="0"/>
        <w:spacing w:lineRule="auto" w:line="288" w:before="120" w:after="120"/>
        <w:jc w:val="left"/>
        <w:rPr>
          <w:rFonts w:ascii="Futura Std Book;sans-serif" w:hAnsi="Futura Std Book;sans-serif"/>
          <w:b/>
          <w:color w:val="000000"/>
          <w:sz w:val="18"/>
        </w:rPr>
      </w:pPr>
      <w:r>
        <w:rPr>
          <w:rFonts w:ascii="Futura Std Book;sans-serif" w:hAnsi="Futura Std Book;sans-serif"/>
          <w:b/>
          <w:color w:val="000000"/>
          <w:sz w:val="18"/>
        </w:rPr>
        <w:t>Our current recoupment policy is comprehensive and effectively protects the interests of our shareholders.</w:t>
      </w:r>
    </w:p>
    <w:p>
      <w:pPr>
        <w:pStyle w:val="TextBody"/>
        <w:bidi w:val="0"/>
        <w:spacing w:lineRule="auto" w:line="288" w:before="120" w:after="120"/>
        <w:jc w:val="left"/>
        <w:rPr/>
      </w:pPr>
      <w:r>
        <w:rPr>
          <w:rFonts w:ascii="Futura Std Book;sans-serif" w:hAnsi="Futura Std Book;sans-serif"/>
          <w:b w:val="false"/>
          <w:color w:val="000000"/>
          <w:sz w:val="18"/>
        </w:rPr>
        <w:t>Northrop Grumman has a comprehensive Policy Regarding the Recoupment of Certain Incentive Compensation Payments (Company Recoupment Policy)</w:t>
      </w:r>
      <w:r>
        <w:rPr>
          <w:rFonts w:ascii="Futura Std Book;sans-serif" w:hAnsi="Futura Std Book;sans-serif"/>
          <w:b w:val="false"/>
          <w:color w:val="000000"/>
          <w:sz w:val="12"/>
        </w:rPr>
        <w:t>1</w:t>
      </w:r>
      <w:r>
        <w:rPr>
          <w:rFonts w:ascii="Futura Std Book;sans-serif" w:hAnsi="Futura Std Book;sans-serif"/>
          <w:b w:val="false"/>
          <w:color w:val="000000"/>
          <w:sz w:val="18"/>
        </w:rPr>
        <w:t xml:space="preserve">. The Company Recoupment Policy requires the Company to attempt to recover certain incentive compensation from executive officers, regardless of the executive officer’s personal culpability, in the event the Company is required to prepare an accounting restatement </w:t>
      </w:r>
      <w:r>
        <w:rPr>
          <w:rFonts w:ascii="Futura Std Book;sans-serif" w:hAnsi="Futura Std Book;sans-serif"/>
          <w:b w:val="false"/>
          <w:color w:val="231F20"/>
          <w:sz w:val="18"/>
        </w:rPr>
        <w:t>due to, among other things, the material noncompliance of the Company with any financial reporting requirement under U.S. federal securities laws</w:t>
      </w:r>
      <w:r>
        <w:rPr>
          <w:rFonts w:ascii="Futura Std Book;sans-serif" w:hAnsi="Futura Std Book;sans-serif"/>
          <w:b w:val="false"/>
          <w:color w:val="000000"/>
          <w:sz w:val="18"/>
        </w:rPr>
        <w:t xml:space="preserve">. This ensures that all executive officers, including the named executive officers, are held accountable for material inaccuracies in previously issued financial statements without the burden of proving fault – a lower threshold than the “conduct or negligence” threshold requested by the proposal. As mentioned above, these provisions meet the required recoupment provisions under NYSE and SEC rules. </w:t>
      </w:r>
    </w:p>
    <w:p>
      <w:pPr>
        <w:pStyle w:val="TextBody"/>
        <w:bidi w:val="0"/>
        <w:spacing w:lineRule="auto" w:line="268" w:before="0" w:after="0"/>
        <w:jc w:val="left"/>
        <w:rPr/>
      </w:pPr>
      <w:r>
        <w:rPr>
          <w:rFonts w:ascii="Futura Std Book;sans-serif" w:hAnsi="Futura Std Book;sans-serif"/>
          <w:b w:val="false"/>
          <w:color w:val="000000"/>
          <w:sz w:val="18"/>
        </w:rPr>
        <w:t xml:space="preserve">The Company Recoupment Policy goes beyond the required recoupment provisions by also permitting the Board to seek recovery of incentive payments from </w:t>
      </w:r>
      <w:r>
        <w:rPr>
          <w:rFonts w:ascii="Futura Std Book;sans-serif" w:hAnsi="Futura Std Book;sans-serif"/>
          <w:b w:val="false"/>
          <w:color w:val="000000"/>
          <w:sz w:val="18"/>
          <w:u w:val="single"/>
        </w:rPr>
        <w:t>all</w:t>
      </w:r>
      <w:r>
        <w:rPr>
          <w:color w:val="000000"/>
        </w:rPr>
        <w:t xml:space="preserve"> </w:t>
      </w:r>
      <w:r>
        <w:rPr>
          <w:rFonts w:ascii="Futura Std Book;sans-serif" w:hAnsi="Futura Std Book;sans-serif"/>
          <w:b w:val="false"/>
          <w:color w:val="000000"/>
          <w:sz w:val="18"/>
        </w:rPr>
        <w:t>elected officers, not just NEOs, due to certain conduct, including fraud, bribery or illegal acts that caused significant financial or reputational harm to the Company. In addition, the Company Recoupment Policy further provides for the right to recover incentive payments from elected officers for certain instances of gross negligence in failing to supervise other employees and failure to report certain misconduct of others. Finally, the Company Recoupment Policy permits the CEO to require reimbursement of incentive payments made to non-executive employees in certain circumstances. These provisions, along with the no-fault provision described above, provide a comprehensive system of accountability that addresses a broad range of actions by executive officers and other employees and provide a framework that we believe is better for our Company and shareholders than the provisions proposed in Proposal 4.</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Implementation of Proposal 4 could also result in actions that would not be in the best interests of shareholders. Proposal 4 seeks to amend the Company Recoupment Policy to trigger recoupment of incentive pay whenever an NEO has engaged in “conduct or negligence” – terms that are incredibly broad and subject to any number of interpretations with no guidance from the proposal as to how this should be implemented. By mandating recoupment for almost any conduct by an NEO, even neutral conduct or conduct beneficial to the Company and its shareholders, Proposal 4 could discourage executive officers from exercising the business judgment necessary to evaluate complex business decisions and deliver shareholder value, causing a chilling effect on the executive decision-making necessary to deliver the best results for our shareholders. In addition, given the overly broad and uncertain terms used in the proposal, such as “conduct” and “negligence”, confusion in the application of the resulting recoupment policy could also harm the Company’s ability to attract and retain qualified executives.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Company Recoupment Policy is carefully designed to promote clarity around the circumstances under which the recoupment of incentive compensation may be warranted, while providing the Board with the necessary authority and discretion to act in the best interests of the Company and its shareholders by taking into account particular facts and circumstances. Mandating prescriptive measures, as suggested in the proposal, would inhibit the Board’s ability to exercise sound judgment in the complex situations surrounding recovery of incentive compensation. Proposal 4 risks creating a one-size-fits-all approach to executive accountability, which creates risk that recoupment would be triggered when such action is not warranted. </w:t>
      </w:r>
    </w:p>
    <w:p>
      <w:pPr>
        <w:pStyle w:val="TextBody"/>
        <w:bidi w:val="0"/>
        <w:spacing w:lineRule="auto" w:line="288" w:before="120" w:after="120"/>
        <w:jc w:val="left"/>
        <w:rPr>
          <w:rFonts w:ascii="Futura Std Book;sans-serif" w:hAnsi="Futura Std Book;sans-serif"/>
          <w:b/>
          <w:color w:val="000000"/>
          <w:sz w:val="18"/>
        </w:rPr>
      </w:pPr>
      <w:r>
        <w:rPr>
          <w:rFonts w:ascii="Futura Std Book;sans-serif" w:hAnsi="Futura Std Book;sans-serif"/>
          <w:b/>
          <w:color w:val="000000"/>
          <w:sz w:val="18"/>
        </w:rPr>
        <w:t xml:space="preserve">We are dedicated to maintaining a reputation for the highest levels of ethics, integrity and transparency.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are dedicated to maintaining high standards of corporate governance and strive to maintain a culture of accountability in which ethical conduct is encouraged and rewarded and improper conduct is appropriately addressed. In addition to the Company Recoupment Policy, we also maintain Standards of Business Conduct, which define our expectations for ethical decision-making, responsibility and accountability and apply to all employees, including our executive officers.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With respect to transparency surrounding recoupment efforts, the Company is committed to disclosing the aggregate amount recovered if the underlying event has previously been disclosed by the Company in its filings with the SEC or otherwise, and disclosure is permitted. Therefore, the proposal’s request that the Board “report to shareholders in each annual meeting proxy the results of any deliberations regarding the policy…about whether or not to cancel or seek recoupment…” is unnecessary. The Company’s commitment to ethical conduct, accountability and transparency is rooted in our culture. Our executives seek to embody our values and act with integrity in all that they do. Together with our Company Recoupment </w:t>
      </w:r>
    </w:p>
    <w:p>
      <w:pPr>
        <w:pStyle w:val="TextBody"/>
        <w:bidi w:val="0"/>
        <w:spacing w:lineRule="auto" w:line="268" w:before="0" w:after="0"/>
        <w:jc w:val="left"/>
        <w:rPr/>
      </w:pPr>
      <w:r>
        <w:rPr>
          <w:rFonts w:ascii="Futura Std Book;sans-serif" w:hAnsi="Futura Std Book;sans-serif"/>
          <w:b w:val="false"/>
          <w:color w:val="000000"/>
          <w:sz w:val="12"/>
        </w:rPr>
        <w:t>1</w:t>
      </w:r>
      <w:r>
        <w:rPr>
          <w:color w:val="000000"/>
        </w:rPr>
        <w:t xml:space="preserve"> </w:t>
      </w:r>
      <w:r>
        <w:rPr>
          <w:rFonts w:ascii="Futura Std Book;sans-serif" w:hAnsi="Futura Std Book;sans-serif"/>
          <w:b w:val="false"/>
          <w:color w:val="000000"/>
          <w:sz w:val="18"/>
        </w:rPr>
        <w:t xml:space="preserve">Filed as Exhibit 97.1 to the Form 10-K for the year ended December 31, 2023, filed January 25,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554990"/>
                <wp:effectExtent l="0" t="0" r="0" b="0"/>
                <wp:wrapNone/>
                <wp:docPr id="335" name="Frame9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Proposal 4: Shareholder Proposal</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Policy, we believe our policies and practices address the issues of proper business conduct and appropriate accountability for our executives in a way that protects shareholder interests.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In summary, the Board of Directors recommends that shareholders vote against Proposal 4. Our Company Recoupment Policy already provides a comprehensive mechanism for accountability and implementing the proposal would therefore be unnecessary and would also create confusion and complexity which would result in outcomes that may not be in the best interests of shareholders. </w:t>
      </w:r>
    </w:p>
    <w:p>
      <w:pPr>
        <w:pStyle w:val="TextBody"/>
        <w:bidi w:val="0"/>
        <w:spacing w:lineRule="auto" w:line="268" w:before="0" w:after="0"/>
        <w:jc w:val="left"/>
        <w:rPr>
          <w:rFonts w:ascii="Futura Std Book;sans-serif" w:hAnsi="Futura Std Book;sans-serif"/>
          <w:b/>
          <w:color w:val="000000"/>
          <w:sz w:val="18"/>
        </w:rPr>
      </w:pPr>
      <w:r>
        <w:rPr>
          <w:rFonts w:ascii="Futura Std Book;sans-serif" w:hAnsi="Futura Std Book;sans-serif"/>
          <w:b/>
          <w:color w:val="000000"/>
          <w:sz w:val="18"/>
        </w:rPr>
        <w:t>Vote Required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Approval of this proposal requires that the votes cast “for” the proposal exceed the votes cast “against” the proposal. Abstentions and broker non-votes will have no effect on this proposal.</w:t>
      </w:r>
    </w:p>
    <w:p>
      <w:pPr>
        <w:pStyle w:val="TextBody"/>
        <w:bidi w:val="0"/>
        <w:spacing w:before="120" w:after="120"/>
        <w:jc w:val="left"/>
        <w:rPr/>
      </w:pPr>
      <w:r>
        <w:rPr/>
      </w:r>
    </w:p>
    <w:tbl>
      <w:tblPr>
        <w:tblW w:w="9881" w:type="dxa"/>
        <w:jc w:val="left"/>
        <w:tblInd w:w="0" w:type="dxa"/>
        <w:tblLayout w:type="fixed"/>
        <w:tblCellMar>
          <w:top w:w="28" w:type="dxa"/>
          <w:left w:w="28" w:type="dxa"/>
          <w:bottom w:w="28" w:type="dxa"/>
          <w:right w:w="28" w:type="dxa"/>
        </w:tblCellMar>
      </w:tblPr>
      <w:tblGrid>
        <w:gridCol w:w="145"/>
        <w:gridCol w:w="127"/>
        <w:gridCol w:w="129"/>
        <w:gridCol w:w="2774"/>
        <w:gridCol w:w="2774"/>
        <w:gridCol w:w="3932"/>
      </w:tblGrid>
      <w:tr>
        <w:trPr/>
        <w:tc>
          <w:tcPr>
            <w:tcW w:w="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401" w:type="dxa"/>
            <w:gridSpan w:val="3"/>
            <w:tcBorders>
              <w:top w:val="single" w:sz="4" w:space="0" w:color="6D6E71"/>
              <w:left w:val="single" w:sz="4" w:space="0" w:color="6D6E71"/>
            </w:tcBorders>
            <w:shd w:fill="00249C" w:val="clear"/>
            <w:tcMar>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op w:val="single" w:sz="4" w:space="0" w:color="6D6E71"/>
              <w:right w:val="single" w:sz="4" w:space="0" w:color="6D6E71"/>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1" w:type="dxa"/>
            <w:gridSpan w:val="3"/>
            <w:tcBorders>
              <w:left w:val="single" w:sz="4" w:space="0" w:color="6D6E71"/>
            </w:tcBorders>
            <w:shd w:fill="00249C" w:val="clear"/>
            <w:tcMar>
              <w:top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336"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40" descr=""/>
                          <pic:cNvPicPr>
                            <a:picLocks noChangeAspect="1" noChangeArrowheads="1"/>
                          </pic:cNvPicPr>
                        </pic:nvPicPr>
                        <pic:blipFill>
                          <a:blip r:embed="rId241"/>
                          <a:stretch>
                            <a:fillRect/>
                          </a:stretch>
                        </pic:blipFill>
                        <pic:spPr bwMode="auto">
                          <a:xfrm>
                            <a:off x="0" y="0"/>
                            <a:ext cx="190500" cy="190500"/>
                          </a:xfrm>
                          <a:prstGeom prst="rect">
                            <a:avLst/>
                          </a:prstGeom>
                        </pic:spPr>
                      </pic:pic>
                    </a:graphicData>
                  </a:graphic>
                </wp:inline>
              </w:drawing>
            </w:r>
          </w:p>
        </w:tc>
        <w:tc>
          <w:tcPr>
            <w:tcW w:w="9480" w:type="dxa"/>
            <w:gridSpan w:val="3"/>
            <w:tcBorders>
              <w:right w:val="single" w:sz="4" w:space="0" w:color="6D6E71"/>
            </w:tcBorders>
            <w:tcMar>
              <w:top w:w="0" w:type="dxa"/>
              <w:left w:w="0" w:type="dxa"/>
              <w:bottom w:w="0" w:type="dxa"/>
            </w:tcMar>
            <w:vAlign w:val="center"/>
          </w:tcPr>
          <w:p>
            <w:pPr>
              <w:pStyle w:val="TableContents"/>
              <w:bidi w:val="0"/>
              <w:spacing w:lineRule="auto" w:line="288" w:before="120" w:after="120"/>
              <w:jc w:val="left"/>
              <w:rPr/>
            </w:pPr>
            <w:r>
              <w:rPr>
                <w:rFonts w:ascii="Futura Std Book;sans-serif" w:hAnsi="Futura Std Book;sans-serif"/>
                <w:b/>
                <w:color w:val="000000"/>
                <w:sz w:val="16"/>
              </w:rPr>
              <w:t xml:space="preserve">THE BOARD OF DIRECTORS UNANIMOUSLY RECOMMENDS THAT YOU VOTE </w:t>
            </w:r>
            <w:r>
              <w:rPr>
                <w:color w:val="00249C"/>
              </w:rPr>
              <w:t>“</w:t>
            </w:r>
            <w:r>
              <w:rPr>
                <w:rFonts w:ascii="Futura Std Book;sans-serif" w:hAnsi="Futura Std Book;sans-serif"/>
                <w:b/>
                <w:color w:val="00249C"/>
                <w:sz w:val="16"/>
              </w:rPr>
              <w:t>AGAINST”</w:t>
            </w:r>
            <w:r>
              <w:rPr>
                <w:color w:val="000000"/>
              </w:rPr>
              <w:t xml:space="preserve"> </w:t>
            </w:r>
            <w:r>
              <w:rPr>
                <w:rFonts w:ascii="Futura Std Book;sans-serif" w:hAnsi="Futura Std Book;sans-serif"/>
                <w:b/>
                <w:color w:val="000000"/>
                <w:sz w:val="16"/>
              </w:rPr>
              <w:t>PROPOSAL 4.</w:t>
            </w:r>
          </w:p>
        </w:tc>
      </w:tr>
      <w:tr>
        <w:trPr/>
        <w:tc>
          <w:tcPr>
            <w:tcW w:w="401" w:type="dxa"/>
            <w:gridSpan w:val="3"/>
            <w:tcBorders>
              <w:left w:val="single" w:sz="4" w:space="0" w:color="6D6E71"/>
              <w:bottom w:val="single" w:sz="4" w:space="0" w:color="6D6E71"/>
            </w:tcBorders>
            <w:shd w:fill="00249C" w:val="clear"/>
            <w:tcMar>
              <w:top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bottom w:val="single" w:sz="4" w:space="0" w:color="6D6E71"/>
              <w:right w:val="single" w:sz="4" w:space="0" w:color="6D6E71"/>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734695"/>
                <wp:effectExtent l="0" t="0" r="0" b="0"/>
                <wp:wrapNone/>
                <wp:docPr id="337" name="Frame9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Transactions with Related Persons and Control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 xml:space="preserve">Related Person Transactions </w:t>
      </w:r>
    </w:p>
    <w:p>
      <w:pPr>
        <w:pStyle w:val="TextBody"/>
        <w:bidi w:val="0"/>
        <w:spacing w:lineRule="auto" w:line="288" w:before="120" w:after="120"/>
        <w:jc w:val="left"/>
        <w:rPr/>
      </w:pPr>
      <w:r>
        <w:rPr>
          <w:rFonts w:ascii="Futura Std Book;sans-serif" w:hAnsi="Futura Std Book;sans-serif"/>
          <w:b w:val="false"/>
          <w:color w:val="000000"/>
          <w:sz w:val="18"/>
        </w:rPr>
        <w:t>The Company has a written policy approved by the Board, for the review, approval and ratification of transactions between our Company and our directors, executive officers and other related persons. A copy of the policy is available on the Investor Relations section of our website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 The policy provides for related person transactions to be reviewed in advance and approved or ratified, as applicable, by the Board of Directors, the Nominating and Corporate Governance Committee or the Chair of the Nominating and Corporate Governance Committee. A related person transaction may be approved if, after reviewing the relevant facts and circumstances, the reviewing party concludes that approving the related person transaction is in the best interests of the Company and its shareholders.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policy defines a related person transaction as any transaction in which the Company was, is or will be a participant, where the amount involved exceeds $120,000, and in which a related person had, has or is expected to have a direct or indirect material interest. A “related person” includes: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any of our directors, nominees for director or executive officers; </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any person who is known to be the beneficial owner of more than 5% of our common stock; or</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 xml:space="preserve">an immediate family member of any such persons.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Under exceptional circumstances, if a related person transaction has not been approved in advance, the Nominating and Corporate Governance Committee will recommend to the Board of Directors such action as the Nominating and Corporate Governance Committee deems appropriate, including ratification, amendment or termination of the transaction.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policy requires each director and executive officer to complete an annual questionnaire to identify his or her related interests and to notify the Corporate Secretary of any changes in their information.</w:t>
      </w:r>
    </w:p>
    <w:p>
      <w:pPr>
        <w:pStyle w:val="TextBody"/>
        <w:bidi w:val="0"/>
        <w:spacing w:lineRule="auto" w:line="26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During 2024, the Company employed one family member of an executive officer who received compensation in excess of the reporting threshold. The spouse of our Corporate Vice President and President, Defense Systems, Ben Davies, was employed by the Company as a Senior Manager, Electronics Engineering, in our Mission Systems sector. She received cash compensation of approximately $182,400 and participated in the Company’s benefit plans, commensurate with her position at the Company.</w:t>
      </w:r>
    </w:p>
    <w:p>
      <w:pPr>
        <w:pStyle w:val="TextBody"/>
        <w:bidi w:val="0"/>
        <w:spacing w:lineRule="auto" w:line="26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State Street Corporation (State Street), acting in various fiduciary capacities, filed a Schedule 13G/A with the SEC reporting that as of December 31, 2023, State Street and certain of its subsidiaries collectively were the beneficial owners of more than 5% of our outstanding common stock. A subsidiary of State Street is the trustee for various Northrop Grumman defined benefit and defined contribution plan trusts. Two other State Street subsidiaries provide investment management services. During 2024, those State Street subsidiaries received approximately $5.6 million for such services, all of which was paid by the plan trusts.</w:t>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BlackRock, Inc. (BlackRock) filed a Schedule 13G/A with the SEC reporting that as of September 30, 2024, BlackRock and certain of its subsidiaries collectively were the beneficial owners of more than 5% of our outstanding common stock. A subsidiary of BlackRock provides investment management services for certain assets within various Northrop Grumman defined benefit plan trusts. During 2024, the trusts paid that BlackRock subsidiary approximately $230,000 for such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Indemnification Agreements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Our Bylaws require us generally to indemnify our directors and executive officers to the fullest extent permitted by Delaware law. Additionally, as permitted by Delaware law, we have entered into indemnification agreements with each of our directors and elected officers. Under the indemnification agreements, we have agreed to hold harmless and indemnify each indemnitee, generally to the fullest extent permitted by Delaware law, against expenses, liabilities and loss incurred in connection with threatened, pending or completed action, suit or proceeding, whether civil, criminal, administrative or investigative to which the indemnitee is made a party by reason of the fact that the indemnitee is or was a director or officer of the Company or any other entity at our request, provided however, that the indemnitee acted in good faith and in a manner reasonably believed to be in the best interests of our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554990"/>
                <wp:effectExtent l="0" t="0" r="0" b="0"/>
                <wp:wrapNone/>
                <wp:docPr id="338" name="Frame9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95</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pPr>
      <w:r>
        <w:rPr>
          <w:rFonts w:ascii="Futura Std Book;sans-serif" w:hAnsi="Futura Std Book;sans-serif"/>
          <w:b/>
          <w:color w:val="29378D"/>
          <w:sz w:val="48"/>
        </w:rPr>
        <w:t>Voting</w:t>
      </w:r>
      <w:r>
        <w:rPr>
          <w:color w:val="29378D"/>
        </w:rPr>
        <w:t xml:space="preserve"> </w:t>
      </w:r>
      <w:r>
        <w:rPr>
          <w:rFonts w:ascii="Futura Std Book;sans-serif" w:hAnsi="Futura Std Book;sans-serif"/>
          <w:b/>
          <w:color w:val="29378D"/>
          <w:sz w:val="48"/>
        </w:rPr>
        <w:t>Securities</w:t>
      </w:r>
      <w:r>
        <w:rPr>
          <w:color w:val="29378D"/>
        </w:rPr>
        <w:t xml:space="preserve"> </w:t>
      </w:r>
      <w:r>
        <w:rPr>
          <w:rFonts w:ascii="Futura Std Book;sans-serif" w:hAnsi="Futura Std Book;sans-serif"/>
          <w:b/>
          <w:color w:val="29378D"/>
          <w:sz w:val="48"/>
        </w:rPr>
        <w:t>and</w:t>
      </w:r>
      <w:r>
        <w:rPr>
          <w:color w:val="29378D"/>
        </w:rPr>
        <w:t xml:space="preserve"> </w:t>
      </w:r>
      <w:r>
        <w:rPr>
          <w:rFonts w:ascii="Futura Std Book;sans-serif" w:hAnsi="Futura Std Book;sans-serif"/>
          <w:b/>
          <w:color w:val="29378D"/>
          <w:sz w:val="48"/>
        </w:rPr>
        <w:t>Principal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Stock Ownership of Certain Beneficial Holders</w:t>
      </w:r>
    </w:p>
    <w:p>
      <w:pPr>
        <w:pStyle w:val="TextBody"/>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entities beneficially owned, to the best of our knowledge, more than five percent of the outstanding common stock as of the dates indicated in the footnotes below. As of March 21, 2025, there were 144,138,702 shares of our common stock outstanding.</w:t>
      </w:r>
    </w:p>
    <w:tbl>
      <w:tblPr>
        <w:tblW w:w="7210" w:type="dxa"/>
        <w:jc w:val="left"/>
        <w:tblInd w:w="0" w:type="dxa"/>
        <w:tblLayout w:type="fixed"/>
        <w:tblCellMar>
          <w:top w:w="28" w:type="dxa"/>
          <w:left w:w="28" w:type="dxa"/>
          <w:bottom w:w="28" w:type="dxa"/>
          <w:right w:w="28" w:type="dxa"/>
        </w:tblCellMar>
      </w:tblPr>
      <w:tblGrid>
        <w:gridCol w:w="1553"/>
        <w:gridCol w:w="1363"/>
        <w:gridCol w:w="1373"/>
        <w:gridCol w:w="619"/>
        <w:gridCol w:w="619"/>
        <w:gridCol w:w="621"/>
        <w:gridCol w:w="109"/>
        <w:gridCol w:w="109"/>
        <w:gridCol w:w="109"/>
        <w:gridCol w:w="215"/>
        <w:gridCol w:w="215"/>
        <w:gridCol w:w="305"/>
      </w:tblGrid>
      <w:tr>
        <w:trPr/>
        <w:tc>
          <w:tcPr>
            <w:tcW w:w="15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Name and Address of Beneficial Owner</w:t>
            </w:r>
          </w:p>
        </w:tc>
        <w:tc>
          <w:tcPr>
            <w:tcW w:w="185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Futura Std Book;sans-serif" w:hAnsi="Futura Std Book;sans-serif"/>
                <w:b/>
                <w:color w:val="000000"/>
                <w:sz w:val="14"/>
              </w:rPr>
              <w:t>Amount and Nature of</w:t>
            </w:r>
            <w:r>
              <w:rPr>
                <w:rFonts w:ascii="Futura Std Book;sans-serif" w:hAnsi="Futura Std Book;sans-serif"/>
                <w:b w:val="false"/>
                <w:color w:val="000000"/>
                <w:sz w:val="14"/>
              </w:rPr>
              <w:br/>
            </w:r>
            <w:r>
              <w:rPr>
                <w:rFonts w:ascii="Futura Std Book;sans-serif" w:hAnsi="Futura Std Book;sans-serif"/>
                <w:b/>
                <w:color w:val="000000"/>
                <w:sz w:val="14"/>
              </w:rPr>
              <w:t>Beneficial Ownership of</w:t>
            </w:r>
            <w:r>
              <w:rPr>
                <w:rFonts w:ascii="Futura Std Book;sans-serif" w:hAnsi="Futura Std Book;sans-serif"/>
                <w:b w:val="false"/>
                <w:color w:val="000000"/>
                <w:sz w:val="14"/>
              </w:rPr>
              <w:br/>
            </w:r>
            <w:r>
              <w:rPr>
                <w:rFonts w:ascii="Futura Std Book;sans-serif" w:hAnsi="Futura Std Book;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120" w:after="120"/>
              <w:jc w:val="right"/>
              <w:rPr/>
            </w:pPr>
            <w:r>
              <w:rPr>
                <w:rFonts w:ascii="Futura Std Book;sans-serif" w:hAnsi="Futura Std Book;sans-serif"/>
                <w:b/>
                <w:color w:val="000000"/>
                <w:sz w:val="14"/>
              </w:rPr>
              <w:t>Percent</w:t>
            </w:r>
            <w:r>
              <w:rPr>
                <w:rFonts w:ascii="Futura Std Book;sans-serif" w:hAnsi="Futura Std Book;sans-serif"/>
                <w:b w:val="false"/>
                <w:color w:val="000000"/>
                <w:sz w:val="14"/>
              </w:rPr>
              <w:br/>
            </w:r>
            <w:r>
              <w:rPr>
                <w:rFonts w:ascii="Futura Std Book;sans-serif" w:hAnsi="Futura Std Book;sans-serif"/>
                <w:b/>
                <w:color w:val="000000"/>
                <w:sz w:val="14"/>
              </w:rPr>
              <w:t>of Class</w:t>
            </w:r>
          </w:p>
        </w:tc>
      </w:tr>
      <w:tr>
        <w:trPr/>
        <w:tc>
          <w:tcPr>
            <w:tcW w:w="428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State Street Corporation</w:t>
              <w:br/>
              <w:t>1 Congress Street, Suite 1, Boston, MA 02114</w:t>
            </w:r>
          </w:p>
        </w:tc>
        <w:tc>
          <w:tcPr>
            <w:tcW w:w="185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13,860,192</w:t>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(1)</w:t>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9.6%</w:t>
            </w:r>
          </w:p>
        </w:tc>
      </w:tr>
      <w:tr>
        <w:trPr/>
        <w:tc>
          <w:tcPr>
            <w:tcW w:w="428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The Vanguard Group</w:t>
              <w:br/>
              <w:t>100 Vanguard Blvd., Malvern, PA 19355</w:t>
            </w:r>
          </w:p>
        </w:tc>
        <w:tc>
          <w:tcPr>
            <w:tcW w:w="185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12,107,227</w:t>
            </w:r>
          </w:p>
        </w:tc>
        <w:tc>
          <w:tcPr>
            <w:tcW w:w="327"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(2)</w:t>
            </w:r>
          </w:p>
        </w:tc>
        <w:tc>
          <w:tcPr>
            <w:tcW w:w="73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8.4%</w:t>
            </w:r>
          </w:p>
        </w:tc>
      </w:tr>
      <w:tr>
        <w:trPr/>
        <w:tc>
          <w:tcPr>
            <w:tcW w:w="428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Capital International Investors</w:t>
              <w:br/>
              <w:t>333 South Hope Street, 55th Floor,</w:t>
              <w:br/>
              <w:t>Los Angeles, CA 90071</w:t>
            </w:r>
          </w:p>
        </w:tc>
        <w:tc>
          <w:tcPr>
            <w:tcW w:w="185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8,105,233</w:t>
            </w:r>
          </w:p>
        </w:tc>
        <w:tc>
          <w:tcPr>
            <w:tcW w:w="327"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(3)</w:t>
            </w:r>
          </w:p>
        </w:tc>
        <w:tc>
          <w:tcPr>
            <w:tcW w:w="735"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5.6%</w:t>
            </w:r>
          </w:p>
        </w:tc>
      </w:tr>
      <w:tr>
        <w:trPr/>
        <w:tc>
          <w:tcPr>
            <w:tcW w:w="4289"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BlackRock, Inc.</w:t>
              <w:br/>
              <w:t>50 Hudson Yards</w:t>
              <w:br/>
              <w:t>New York, NY 10001</w:t>
            </w:r>
          </w:p>
        </w:tc>
        <w:tc>
          <w:tcPr>
            <w:tcW w:w="1859"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10,688,475</w:t>
            </w:r>
          </w:p>
        </w:tc>
        <w:tc>
          <w:tcPr>
            <w:tcW w:w="327"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88" w:before="20" w:after="20"/>
              <w:jc w:val="left"/>
              <w:rPr>
                <w:rFonts w:ascii="Futura Std Book;sans-serif" w:hAnsi="Futura Std Book;sans-serif"/>
                <w:b w:val="false"/>
                <w:color w:val="000000"/>
                <w:sz w:val="12"/>
              </w:rPr>
            </w:pPr>
            <w:r>
              <w:rPr>
                <w:rFonts w:ascii="Futura Std Book;sans-serif" w:hAnsi="Futura Std Book;sans-serif"/>
                <w:b w:val="false"/>
                <w:color w:val="000000"/>
                <w:sz w:val="12"/>
              </w:rPr>
              <w:t>(4)</w:t>
            </w:r>
          </w:p>
        </w:tc>
        <w:tc>
          <w:tcPr>
            <w:tcW w:w="735"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7.4%</w:t>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(1)This information was provided in a Schedule 13G/A jointly filed with the SEC on January 30, 2024 by State Street Corporation (State Street) and State Street’s subsidiaries State Street Bank and Trust Company (State Street Bank) and State Street Global Advisors Trust Company (State Street Global). According to State Street, as of December 31, 2023, it beneficially owned 13,860,192 shares and had sole voting power over 0 shares, shared voting power over 11,565,443 shares, sole dispositive power over 0 shares and shared dispositive power over 13,854,855 shares. According to State Street Bank, as of December 31, 2023, it beneficially owned 8,355,658 shares and had sole voting power over 0 shares, shared voting power over 8,355,658 shares, sole dispositive power over 0 shares and shared dispositive power over 0 shares. According to State Street Global, as of December 31, 2023, it beneficially owned 11,969,908 shares and had sole voting power over 0 shares, shared voting power over 1,460,684 shares, sole dispositive power over 0 shares and shared dispositive power over 11,969,408 shares. These totals include 8,355,658 shares held as of December 31, 2023 in the Defined Contribution Plans Master Trust for the Northrop Grumman Savings Plan and the Northrop Grumman Financial Security and Savings Program, for which State Street Bank acts as trustee and State Street Global acts as investment manager.</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(2)This information was provided by The Vanguard Group (Vanguard) in a Schedule 13G/A filed with the SEC on February 13, 2024. According to Vanguard, as of December 29, 2023, Vanguard had sole voting power over 0 shares, shared voting power over 163,649 shares, sole dispositive power over 11,537,000 shares and shared dispositive power over 570,227 shares.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(3)This information was provided by Capital International Investors (Capital International), a division of Capital Research and Management Company, in a Schedule 13G/A filed with the SEC on November 13, 2024. According to Capital International, as of September 30, 2024, Capital International had sole voting power over 8,007,334 shares, shared voting power over 0 shares, sole dispositive power over 8,105,233 shares and shared dispositive power over 0 shares.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(4)This information was provided by BlackRock, Inc. (BlackRock) in a Schedule 13G/A filed with the SEC on November 12, 2024. According to BlackRock, as of September 30, 2024, BlackRock had sole voting power over 9,965,772 shares, shared voting power over 0 shares, sole dispositive power over 10,688,475 shares and shared dispositive power over 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734695"/>
                <wp:effectExtent l="0" t="0" r="0" b="0"/>
                <wp:wrapNone/>
                <wp:docPr id="339" name="Frame9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Voting Securities and Principal Holders</w:t>
      </w:r>
    </w:p>
    <w:p>
      <w:pPr>
        <w:pStyle w:val="TextBody"/>
        <w:bidi w:val="0"/>
        <w:spacing w:lineRule="auto" w:line="288" w:before="0" w:after="120"/>
        <w:jc w:val="left"/>
        <w:rPr>
          <w:rFonts w:ascii="Futura Std Book;sans-serif" w:hAnsi="Futura Std Book;sans-serif"/>
          <w:b/>
          <w:color w:val="000000"/>
          <w:sz w:val="36"/>
        </w:rPr>
      </w:pPr>
      <w:r>
        <w:rPr>
          <w:rFonts w:ascii="Futura Std Book;sans-serif" w:hAnsi="Futura Std Book;sans-serif"/>
          <w:b/>
          <w:color w:val="000000"/>
          <w:sz w:val="36"/>
        </w:rPr>
        <w:t>Stock Ownership of Officers and Directors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shows beneficial ownership of our common stock as of March 21, 2025 by each of our current directors, our named executive officers and all directors and executive officers as a group. As of March 21, 2025, there were 144,138,702 shares of our common stock outstanding. None of the persons named below beneficially owns in excess of 1% of our outstanding common stock. Unless otherwise indicated, each individual has sole investment power and sole voting power with respect to the shares owned by such person.</w:t>
      </w:r>
    </w:p>
    <w:tbl>
      <w:tblPr>
        <w:tblW w:w="10081" w:type="dxa"/>
        <w:jc w:val="left"/>
        <w:tblInd w:w="0" w:type="dxa"/>
        <w:tblLayout w:type="fixed"/>
        <w:tblCellMar>
          <w:top w:w="28" w:type="dxa"/>
          <w:left w:w="28" w:type="dxa"/>
          <w:bottom w:w="28" w:type="dxa"/>
          <w:right w:w="28" w:type="dxa"/>
        </w:tblCellMar>
      </w:tblPr>
      <w:tblGrid>
        <w:gridCol w:w="2008"/>
        <w:gridCol w:w="1766"/>
        <w:gridCol w:w="1775"/>
        <w:gridCol w:w="509"/>
        <w:gridCol w:w="509"/>
        <w:gridCol w:w="511"/>
        <w:gridCol w:w="413"/>
        <w:gridCol w:w="413"/>
        <w:gridCol w:w="371"/>
        <w:gridCol w:w="109"/>
        <w:gridCol w:w="109"/>
        <w:gridCol w:w="109"/>
        <w:gridCol w:w="473"/>
        <w:gridCol w:w="473"/>
        <w:gridCol w:w="161"/>
        <w:gridCol w:w="109"/>
        <w:gridCol w:w="109"/>
        <w:gridCol w:w="154"/>
      </w:tblGrid>
      <w:tr>
        <w:trPr/>
        <w:tc>
          <w:tcPr>
            <w:tcW w:w="2008"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29378D"/>
            </w:tcBorders>
            <w:tcMar>
              <w:top w:w="0" w:type="dxa"/>
              <w:left w:w="0" w:type="dxa"/>
              <w:bottom w:w="30" w:type="dxa"/>
              <w:right w:w="0" w:type="dxa"/>
            </w:tcMar>
            <w:vAlign w:val="center"/>
          </w:tcPr>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Shares of</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Common Stock</w:t>
            </w:r>
          </w:p>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Beneficially Owned</w:t>
            </w:r>
          </w:p>
        </w:tc>
        <w:tc>
          <w:tcPr>
            <w:tcW w:w="1197" w:type="dxa"/>
            <w:gridSpan w:val="3"/>
            <w:tcBorders>
              <w:bottom w:val="single" w:sz="8" w:space="0" w:color="29378D"/>
            </w:tcBorders>
            <w:tcMar>
              <w:top w:w="0" w:type="dxa"/>
              <w:left w:w="0" w:type="dxa"/>
              <w:bottom w:w="30" w:type="dxa"/>
              <w:right w:w="0" w:type="dxa"/>
            </w:tcMar>
            <w:vAlign w:val="center"/>
          </w:tcPr>
          <w:p>
            <w:pPr>
              <w:pStyle w:val="TableContents"/>
              <w:bidi w:val="0"/>
              <w:spacing w:lineRule="auto" w:line="288" w:before="0" w:after="0"/>
              <w:jc w:val="right"/>
              <w:rPr>
                <w:rFonts w:ascii="Futura Std Book;sans-serif" w:hAnsi="Futura Std Book;sans-serif"/>
                <w:b/>
                <w:color w:val="000000"/>
                <w:sz w:val="14"/>
              </w:rPr>
            </w:pPr>
            <w:r>
              <w:rPr>
                <w:rFonts w:ascii="Futura Std Book;sans-serif" w:hAnsi="Futura Std Book;sans-serif"/>
                <w:b/>
                <w:color w:val="000000"/>
                <w:sz w:val="14"/>
              </w:rPr>
              <w:t>Share</w:t>
            </w:r>
          </w:p>
          <w:p>
            <w:pPr>
              <w:pStyle w:val="TableContents"/>
              <w:bidi w:val="0"/>
              <w:spacing w:lineRule="auto" w:line="288" w:before="0" w:after="0"/>
              <w:jc w:val="right"/>
              <w:rPr/>
            </w:pPr>
            <w:r>
              <w:rPr>
                <w:rFonts w:ascii="Futura Std Book;sans-serif" w:hAnsi="Futura Std Book;sans-serif"/>
                <w:b/>
                <w:color w:val="000000"/>
                <w:sz w:val="14"/>
              </w:rPr>
              <w:t>Equivalents</w:t>
            </w:r>
            <w:r>
              <w:rPr>
                <w:rFonts w:ascii="Futura Std Book;sans-serif" w:hAnsi="Futura Std Book;sans-serif"/>
                <w:b/>
                <w:color w:val="000000"/>
                <w:sz w:val="9"/>
              </w:rPr>
              <w:t>(1)</w:t>
            </w:r>
          </w:p>
        </w:tc>
        <w:tc>
          <w:tcPr>
            <w:tcW w:w="327"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8" w:space="0" w:color="29378D"/>
            </w:tcBorders>
            <w:tcMar>
              <w:top w:w="0" w:type="dxa"/>
              <w:left w:w="0" w:type="dxa"/>
              <w:bottom w:w="30" w:type="dxa"/>
              <w:right w:w="0" w:type="dxa"/>
            </w:tcMar>
            <w:vAlign w:val="center"/>
          </w:tcPr>
          <w:p>
            <w:pPr>
              <w:pStyle w:val="TableContents"/>
              <w:bidi w:val="0"/>
              <w:spacing w:lineRule="auto" w:line="288" w:before="0" w:after="283"/>
              <w:jc w:val="right"/>
              <w:rPr>
                <w:rFonts w:ascii="Futura Std Book;sans-serif" w:hAnsi="Futura Std Book;sans-serif"/>
                <w:b/>
                <w:color w:val="000000"/>
                <w:sz w:val="14"/>
              </w:rPr>
            </w:pPr>
            <w:r>
              <w:rPr>
                <w:rFonts w:ascii="Futura Std Book;sans-serif" w:hAnsi="Futura Std Book;sans-serif"/>
                <w:b/>
                <w:color w:val="000000"/>
                <w:sz w:val="14"/>
              </w:rPr>
              <w:t>Total</w:t>
            </w:r>
          </w:p>
        </w:tc>
        <w:tc>
          <w:tcPr>
            <w:tcW w:w="372" w:type="dxa"/>
            <w:gridSpan w:val="3"/>
            <w:tcBorders>
              <w:bottom w:val="single" w:sz="8" w:space="0" w:color="29378D"/>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081" w:type="dxa"/>
            <w:gridSpan w:val="18"/>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LT Medium;sans-serif" w:hAnsi="Futura LT Medium;sans-serif"/>
                <w:b w:val="false"/>
                <w:color w:val="000000"/>
                <w:sz w:val="18"/>
              </w:rPr>
            </w:pPr>
            <w:r>
              <w:rPr>
                <w:rFonts w:ascii="Futura LT Medium;sans-serif" w:hAnsi="Futura LT Medium;sans-serif"/>
                <w:b w:val="false"/>
                <w:color w:val="000000"/>
                <w:sz w:val="18"/>
              </w:rPr>
              <w:t>Non-Employee Directors</w:t>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P. Abney</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1,701 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382 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2,083 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Marianne C. Brown</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10,100 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10,100 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Ann M. Fudge</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1,178 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4,229 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5,407 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Madeleine A. Kleiner</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20,617 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20,617 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Arvind Krishna</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1,578 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1,578 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Graham N. Robinson</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1,941 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1,941 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Kimberly A. Ross</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857 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857 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Gary Roughead</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11,286 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11,286 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M. Schoewe</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3,160 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12,632 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15,792 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James S. Turley</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635 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5,277 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5,912 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Mark A. Welsh III</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133 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3,957 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4,090 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Mary A. Winston</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78 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787 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865 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LT Medium;sans-serif" w:hAnsi="Futura LT Medium;sans-serif"/>
                <w:b w:val="false"/>
                <w:color w:val="000000"/>
                <w:sz w:val="18"/>
              </w:rPr>
            </w:pPr>
            <w:r>
              <w:rPr>
                <w:rFonts w:ascii="Futura LT Medium;sans-serif" w:hAnsi="Futura LT Medium;sans-serif"/>
                <w:b w:val="false"/>
                <w:color w:val="000000"/>
                <w:sz w:val="18"/>
              </w:rPr>
              <w:t>Named Executive Officers</w:t>
            </w:r>
          </w:p>
        </w:tc>
        <w:tc>
          <w:tcPr>
            <w:tcW w:w="1529"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color w:val="29378D"/>
                <w:sz w:val="18"/>
              </w:rPr>
              <w:t>Kathy J. Warden</w:t>
            </w:r>
            <w:r>
              <w:rPr>
                <w:rFonts w:ascii="Futura Std Book;sans-serif" w:hAnsi="Futura Std Book;sans-serif"/>
                <w:b/>
                <w:color w:val="29378D"/>
                <w:sz w:val="12"/>
              </w:rPr>
              <w:t>(2)</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212,852 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212,852 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Kenneth B. Crews</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2,645 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107 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2,752 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Robert J. Fleming</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5,327 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5,327 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Thomas H. Jones</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9,010 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9,010 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Roshan S. Roeder</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1,310 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116 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40"/>
              <w:jc w:val="right"/>
              <w:rPr>
                <w:rFonts w:ascii="Futura Std Book;sans-serif" w:hAnsi="Futura Std Book;sans-serif"/>
                <w:b w:val="false"/>
                <w:color w:val="000000"/>
                <w:sz w:val="12"/>
              </w:rPr>
            </w:pPr>
            <w:r>
              <w:rPr>
                <w:rFonts w:ascii="Futura Std Book;sans-serif" w:hAnsi="Futura Std Book;sans-serif"/>
                <w:b w:val="false"/>
                <w:color w:val="000000"/>
                <w:sz w:val="12"/>
              </w:rPr>
              <w:t>(3)</w:t>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1,426 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David F. Keffer</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10,892 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10,892 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left"/>
              <w:rPr>
                <w:rFonts w:ascii="Futura LT Medium;sans-serif" w:hAnsi="Futura LT Medium;sans-serif"/>
                <w:b w:val="false"/>
                <w:color w:val="000000"/>
                <w:sz w:val="18"/>
              </w:rPr>
            </w:pPr>
            <w:r>
              <w:rPr>
                <w:rFonts w:ascii="Futura LT Medium;sans-serif" w:hAnsi="Futura LT Medium;sans-serif"/>
                <w:b w:val="false"/>
                <w:color w:val="000000"/>
                <w:sz w:val="18"/>
              </w:rPr>
              <w:t>Other Executive Officers</w:t>
            </w:r>
          </w:p>
        </w:tc>
        <w:tc>
          <w:tcPr>
            <w:tcW w:w="1018"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3,740 </w:t>
            </w:r>
          </w:p>
        </w:tc>
        <w:tc>
          <w:tcPr>
            <w:tcW w:w="51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7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3,740 </w:t>
            </w:r>
          </w:p>
        </w:tc>
        <w:tc>
          <w:tcPr>
            <w:tcW w:w="161" w:type="dxa"/>
            <w:tcBorders>
              <w:top w:val="single" w:sz="2"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88" w:before="0" w:after="0"/>
              <w:jc w:val="left"/>
              <w:rPr>
                <w:rFonts w:ascii="Futura LT Medium;sans-serif" w:hAnsi="Futura LT Medium;sans-serif"/>
                <w:b w:val="false"/>
                <w:color w:val="000000"/>
                <w:sz w:val="18"/>
              </w:rPr>
            </w:pPr>
            <w:r>
              <w:rPr>
                <w:rFonts w:ascii="Futura LT Medium;sans-serif" w:hAnsi="Futura LT Medium;sans-serif"/>
                <w:b w:val="false"/>
                <w:color w:val="000000"/>
                <w:sz w:val="18"/>
              </w:rPr>
              <w:t>All Directors and Executive Officers as a Group (21 persons)</w:t>
            </w:r>
          </w:p>
        </w:tc>
        <w:tc>
          <w:tcPr>
            <w:tcW w:w="1018" w:type="dxa"/>
            <w:gridSpan w:val="2"/>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252,661 </w:t>
            </w:r>
          </w:p>
        </w:tc>
        <w:tc>
          <w:tcPr>
            <w:tcW w:w="511" w:type="dxa"/>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73,866 </w:t>
            </w:r>
          </w:p>
        </w:tc>
        <w:tc>
          <w:tcPr>
            <w:tcW w:w="371" w:type="dxa"/>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929292"/>
              <w:bottom w:val="single" w:sz="2" w:space="0" w:color="929292"/>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8"/>
              </w:rPr>
            </w:pPr>
            <w:r>
              <w:rPr>
                <w:rFonts w:ascii="Futura Std Book;sans-serif" w:hAnsi="Futura Std Book;sans-serif"/>
                <w:b w:val="false"/>
                <w:color w:val="000000"/>
                <w:sz w:val="18"/>
              </w:rPr>
              <w:t>326,527 </w:t>
            </w:r>
          </w:p>
        </w:tc>
        <w:tc>
          <w:tcPr>
            <w:tcW w:w="161" w:type="dxa"/>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88" w:before="120" w:after="120"/>
              <w:jc w:val="left"/>
              <w:rPr>
                <w:rFonts w:ascii="Futura Std Book;sans-serif" w:hAnsi="Futura Std Book;sans-serif"/>
                <w:b w:val="false"/>
                <w:color w:val="000000"/>
                <w:sz w:val="12"/>
              </w:rPr>
            </w:pPr>
            <w:r>
              <w:rPr>
                <w:rFonts w:ascii="Futura Std Book;sans-serif" w:hAnsi="Futura Std Book;sans-serif"/>
                <w:b w:val="false"/>
                <w:color w:val="000000"/>
                <w:sz w:val="12"/>
              </w:rPr>
              <w:t>(4)</w:t>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(1)Share equivalents for directors represent non-voting deferred stock units acquired under the 2024 Plan, the 2011 Plan or the 1993 Directors Plan, some of which are paid out in shares of common stock at the conclusion of a director-specified deferral period, and others are paid out upon termination of the director’s service on the Board. Certain of the NEOs hold share equivalents with pass-through voting rights in the Northrop Grumman Savings Plan or the Northrop Grumman Financial Security and Savings Program.</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(2)Ms. Warden also serves on the Company’s Board of Directors.</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(3)Includes 3 share equivalents held by Ms. Roeder's spouse in the Northrop Grumman Savings Plan as of March 21, 2025.</w:t>
      </w:r>
    </w:p>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(4)Total represents 0.23% of the outstanding common stock as of March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554990"/>
                <wp:effectExtent l="0" t="0" r="0" b="0"/>
                <wp:wrapNone/>
                <wp:docPr id="340" name="Frame10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97</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 xml:space="preserve">Questions and Answers About </w:t>
        <w:br/>
        <w:t>the Annual Meeting</w:t>
      </w:r>
    </w:p>
    <w:p>
      <w:pPr>
        <w:pStyle w:val="TextBody"/>
        <w:bidi w:val="0"/>
        <w:spacing w:lineRule="auto" w:line="288" w:before="120" w:after="120"/>
        <w:jc w:val="left"/>
        <w:rPr>
          <w:rFonts w:ascii="Futura Std Book;sans-serif" w:hAnsi="Futura Std Book;sans-serif"/>
          <w:b/>
          <w:color w:val="29378D"/>
          <w:sz w:val="22"/>
        </w:rPr>
      </w:pPr>
      <w:r>
        <w:rPr>
          <w:rFonts w:ascii="Futura Std Book;sans-serif" w:hAnsi="Futura Std Book;sans-serif"/>
          <w:b/>
          <w:color w:val="29378D"/>
          <w:sz w:val="22"/>
        </w:rPr>
        <w:t>How do I attend the Annual Meeting?</w:t>
      </w:r>
    </w:p>
    <w:p>
      <w:pPr>
        <w:pStyle w:val="TextBody"/>
        <w:bidi w:val="0"/>
        <w:spacing w:lineRule="auto" w:line="268" w:before="0" w:after="0"/>
        <w:jc w:val="left"/>
        <w:rPr/>
      </w:pPr>
      <w:r>
        <w:rPr>
          <w:rFonts w:ascii="Futura Std Book;sans-serif" w:hAnsi="Futura Std Book;sans-serif"/>
          <w:b w:val="false"/>
          <w:color w:val="000000"/>
          <w:sz w:val="18"/>
        </w:rPr>
        <w:t xml:space="preserve">The Annual Meeting will be held exclusively online via live webcast at </w:t>
      </w:r>
      <w:r>
        <w:rPr>
          <w:rFonts w:ascii="Futura Std Book;sans-serif" w:hAnsi="Futura Std Book;sans-serif"/>
          <w:b w:val="false"/>
          <w:i/>
          <w:color w:val="000000"/>
          <w:sz w:val="18"/>
        </w:rPr>
        <w:t>www.virtualshareholdermeeting.com/NOC2025</w:t>
      </w:r>
      <w:r>
        <w:rPr>
          <w:color w:val="000000"/>
        </w:rPr>
        <w:t xml:space="preserve"> </w:t>
      </w:r>
      <w:r>
        <w:rPr>
          <w:rFonts w:ascii="Futura Std Book;sans-serif" w:hAnsi="Futura Std Book;sans-serif"/>
          <w:b w:val="false"/>
          <w:color w:val="000000"/>
          <w:sz w:val="18"/>
        </w:rPr>
        <w:t>on May 21, 2025. To be admitted to the Annual Meeting via the website, shareholders must enter the 16-digit voting control number found on their proxy card, voting instruction form, notice of internet availability of proxy materials, or email notification. You may begin to log into the website beginning at 7:45 AM Eastern Daylight Time. The meeting will begin promptly at 8:00 AM Eastern Daylight Time. If you encounter any technical difficulties, please call the number posted to the online webcast (it will be available starting at 7:45 AM Eastern Daylight Time and remain available for the duration of the meeting). We will disclose additional details about the Annual Meeting or changes to the process on the Investor Relations section of our website (w</w:t>
      </w:r>
      <w:r>
        <w:rPr>
          <w:rFonts w:ascii="Futura Std Book;sans-serif" w:hAnsi="Futura Std Book;sans-serif"/>
          <w:b w:val="false"/>
          <w:i/>
          <w:color w:val="000000"/>
          <w:sz w:val="18"/>
        </w:rPr>
        <w:t>ww.northropgrumman.com</w:t>
      </w:r>
      <w:r>
        <w:rPr>
          <w:rFonts w:ascii="Futura Std Book;sans-serif" w:hAnsi="Futura Std Book;sans-serif"/>
          <w:b w:val="false"/>
          <w:color w:val="000000"/>
          <w:sz w:val="18"/>
        </w:rPr>
        <w:t>) and/or in a public filing with the SEC, as appropriate.</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Why did I receive a “Notice of Internet Availability of Proxy Materials” but not a full set of proxy materials?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distribute our proxy materials to shareholders via the internet under the “Notice and Access” approach permitted by the rules of the SEC. This approach reduces the environmental impact of the Annual Meeting and our distribution costs, while providing a timely and convenient method of accessing the proxy materials and voting. On April 4, 2025, we mailed a “Notice of Internet Availability of Proxy Materials” to participating shareholders, containing instructions on how to access the proxy materials.</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Who is entitled to vote at the Annual Meeting?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You may vote your shares of our common stock if you owned your shares as of the close of business on March 25, 2025 (Record Date). As of the Record Date, there were 144,138,702 shares of our common stock outstanding. You may cast one vote for each share of common stock you hold as of the Record Date on all matters presented.</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How many votes must be present to hold the Annual Meeting?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presence virtually or by proxy of the holders of a majority of the shares entitled to vote at the Annual Meeting will constitute a quorum at the Annual Meeting. Persons returning executed proxy cards will be counted as present for purposes of establishing a quorum even if they abstain from voting on any or all proposals. Shares held by brokers who vote such shares on any proposal and broker non-votes will be counted as present for purposes of establishing a quorum.</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How can I receive a paper copy of the proxy materials?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Instead of mailing a printed copy of this Proxy Statement and accompanying materials to each shareholder of record, we have elected to provide a Notice of Internet Availability of Proxy Materials (Notice) as permitted by the rules of the SEC. The Notice instructs you as to how you may access and review all of the proxy materials and how you may provide your proxy. If you would like to receive a printed or electronic copy of this Proxy Statement and accompanying materials, you must follow the instructions for requesting such materials included in the Notice.</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Will I have an opportunity to ask questions before or during the Annual Meeting?</w:t>
      </w:r>
    </w:p>
    <w:p>
      <w:pPr>
        <w:pStyle w:val="TextBody"/>
        <w:bidi w:val="0"/>
        <w:spacing w:lineRule="auto" w:line="268" w:before="0" w:after="0"/>
        <w:jc w:val="left"/>
        <w:rPr/>
      </w:pPr>
      <w:r>
        <w:rPr>
          <w:rFonts w:ascii="Futura Std Book;sans-serif" w:hAnsi="Futura Std Book;sans-serif"/>
          <w:b w:val="false"/>
          <w:color w:val="000000"/>
          <w:sz w:val="18"/>
        </w:rPr>
        <w:t xml:space="preserve">Shareholders entitled to vote will be able to submit questions relevant to the business of the meeting during the meeting via </w:t>
      </w:r>
      <w:r>
        <w:rPr>
          <w:rFonts w:ascii="Futura Std Book;sans-serif" w:hAnsi="Futura Std Book;sans-serif"/>
          <w:b w:val="false"/>
          <w:i/>
          <w:color w:val="000000"/>
          <w:sz w:val="18"/>
        </w:rPr>
        <w:t>www.virtualshareholdermeeting.com/NOC2025</w:t>
      </w:r>
      <w:r>
        <w:rPr>
          <w:color w:val="000000"/>
        </w:rPr>
        <w:t xml:space="preserve"> </w:t>
      </w:r>
      <w:r>
        <w:rPr>
          <w:rFonts w:ascii="Futura Std Book;sans-serif" w:hAnsi="Futura Std Book;sans-serif"/>
          <w:b w:val="false"/>
          <w:color w:val="000000"/>
          <w:sz w:val="18"/>
        </w:rPr>
        <w:t xml:space="preserve">by typing the question into the "Ask a Question" box and clicking “Submit.” In order to ask a question, shareholders will need to have a valid voting control number. You may also submit a question in advance of the meeting at </w:t>
      </w:r>
      <w:r>
        <w:rPr>
          <w:rFonts w:ascii="Futura Std Book;sans-serif" w:hAnsi="Futura Std Book;sans-serif"/>
          <w:b w:val="false"/>
          <w:i/>
          <w:color w:val="000000"/>
          <w:sz w:val="18"/>
        </w:rPr>
        <w:t>www.proxyvote.com</w:t>
      </w:r>
      <w:r>
        <w:rPr>
          <w:color w:val="000000"/>
        </w:rPr>
        <w:t xml:space="preserve"> </w:t>
      </w:r>
      <w:r>
        <w:rPr>
          <w:rFonts w:ascii="Futura Std Book;sans-serif" w:hAnsi="Futura Std Book;sans-serif"/>
          <w:b w:val="false"/>
          <w:color w:val="000000"/>
          <w:sz w:val="18"/>
        </w:rPr>
        <w:t>by logging in with the 16-digit voting control number found on your proxy card, voting instruction form, Notice, or email notification. Once you are past the login screen, click on “Questions for Management,” type in your question and click “Submit.” All questions should relate to the official business of the meeting, and management and shareholder proposals in particular. Management will seek to answer questions at the relevant time, when the proposal or matter is up for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734695"/>
                <wp:effectExtent l="0" t="0" r="0" b="0"/>
                <wp:wrapNone/>
                <wp:docPr id="341" name="Frame10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161" w:type="dxa"/>
                        <w:jc w:val="left"/>
                        <w:tblInd w:w="0" w:type="dxa"/>
                        <w:tblLayout w:type="fixed"/>
                        <w:tblCellMar>
                          <w:top w:w="28" w:type="dxa"/>
                          <w:left w:w="28" w:type="dxa"/>
                          <w:bottom w:w="28" w:type="dxa"/>
                          <w:right w:w="28" w:type="dxa"/>
                        </w:tblCellMar>
                      </w:tblPr>
                      <w:tblGrid>
                        <w:gridCol w:w="130"/>
                        <w:gridCol w:w="115"/>
                        <w:gridCol w:w="116"/>
                        <w:gridCol w:w="526"/>
                        <w:gridCol w:w="526"/>
                        <w:gridCol w:w="748"/>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98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Questions and Answers About the Annual Meeting</w:t>
      </w:r>
    </w:p>
    <w:p>
      <w:pPr>
        <w:pStyle w:val="TextBody"/>
        <w:bidi w:val="0"/>
        <w:spacing w:lineRule="auto" w:line="288" w:before="0" w:after="120"/>
        <w:jc w:val="left"/>
        <w:rPr>
          <w:rFonts w:ascii="Futura Std Book;sans-serif" w:hAnsi="Futura Std Book;sans-serif"/>
          <w:b/>
          <w:color w:val="29378D"/>
          <w:sz w:val="22"/>
        </w:rPr>
      </w:pPr>
      <w:r>
        <w:rPr>
          <w:rFonts w:ascii="Futura Std Book;sans-serif" w:hAnsi="Futura Std Book;sans-serif"/>
          <w:b/>
          <w:color w:val="29378D"/>
          <w:sz w:val="22"/>
        </w:rPr>
        <w:t>What am I being asked to vote on and what are the Board of Directors’ recommendations?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following table lists the proposals scheduled to be voted on, the vote required for approval of each proposal and the effect of abstentions and broker non-votes:</w:t>
      </w:r>
    </w:p>
    <w:tbl>
      <w:tblPr>
        <w:tblW w:w="10205" w:type="dxa"/>
        <w:jc w:val="left"/>
        <w:tblInd w:w="0" w:type="dxa"/>
        <w:tblLayout w:type="fixed"/>
        <w:tblCellMar>
          <w:top w:w="28" w:type="dxa"/>
          <w:left w:w="28" w:type="dxa"/>
          <w:bottom w:w="28" w:type="dxa"/>
          <w:right w:w="28" w:type="dxa"/>
        </w:tblCellMar>
      </w:tblPr>
      <w:tblGrid>
        <w:gridCol w:w="1492"/>
        <w:gridCol w:w="1148"/>
        <w:gridCol w:w="1142"/>
        <w:gridCol w:w="460"/>
        <w:gridCol w:w="460"/>
        <w:gridCol w:w="461"/>
        <w:gridCol w:w="397"/>
        <w:gridCol w:w="397"/>
        <w:gridCol w:w="403"/>
        <w:gridCol w:w="325"/>
        <w:gridCol w:w="325"/>
        <w:gridCol w:w="326"/>
        <w:gridCol w:w="535"/>
        <w:gridCol w:w="535"/>
        <w:gridCol w:w="541"/>
        <w:gridCol w:w="414"/>
        <w:gridCol w:w="357"/>
        <w:gridCol w:w="487"/>
      </w:tblGrid>
      <w:tr>
        <w:trPr/>
        <w:tc>
          <w:tcPr>
            <w:tcW w:w="149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378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Proposal</w:t>
            </w:r>
          </w:p>
        </w:tc>
        <w:tc>
          <w:tcPr>
            <w:tcW w:w="13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Board</w:t>
            </w:r>
          </w:p>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Recommendation</w:t>
            </w:r>
          </w:p>
        </w:tc>
        <w:tc>
          <w:tcPr>
            <w:tcW w:w="11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Vote</w:t>
            </w:r>
          </w:p>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Required</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000000"/>
                <w:sz w:val="14"/>
              </w:rPr>
            </w:pPr>
            <w:r>
              <w:rPr>
                <w:rFonts w:ascii="Futura Std Book;sans-serif" w:hAnsi="Futura Std Book;sans-serif"/>
                <w:b/>
                <w:color w:val="000000"/>
                <w:sz w:val="14"/>
              </w:rPr>
              <w:t>Abstentions</w:t>
            </w:r>
          </w:p>
        </w:tc>
        <w:tc>
          <w:tcPr>
            <w:tcW w:w="16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Broker</w:t>
            </w:r>
          </w:p>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Non-Votes</w:t>
            </w:r>
          </w:p>
        </w:tc>
        <w:tc>
          <w:tcPr>
            <w:tcW w:w="12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Unmarked</w:t>
            </w:r>
          </w:p>
          <w:p>
            <w:pPr>
              <w:pStyle w:val="TableContents"/>
              <w:bidi w:val="0"/>
              <w:spacing w:lineRule="auto" w:line="288" w:before="0" w:after="0"/>
              <w:jc w:val="left"/>
              <w:rPr>
                <w:rFonts w:ascii="Futura Std Book;sans-serif" w:hAnsi="Futura Std Book;sans-serif"/>
                <w:b/>
                <w:color w:val="000000"/>
                <w:sz w:val="14"/>
              </w:rPr>
            </w:pPr>
            <w:r>
              <w:rPr>
                <w:rFonts w:ascii="Futura Std Book;sans-serif" w:hAnsi="Futura Std Book;sans-serif"/>
                <w:b/>
                <w:color w:val="000000"/>
                <w:sz w:val="14"/>
              </w:rPr>
              <w:t>Proxy Cards</w:t>
            </w:r>
          </w:p>
        </w:tc>
      </w:tr>
      <w:tr>
        <w:trPr/>
        <w:tc>
          <w:tcPr>
            <w:tcW w:w="378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Election of Directors</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(Proposal 1)</w:t>
            </w:r>
          </w:p>
        </w:tc>
        <w:tc>
          <w:tcPr>
            <w:tcW w:w="138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color w:val="29378D"/>
                <w:sz w:val="18"/>
              </w:rPr>
            </w:pPr>
            <w:r>
              <w:rPr>
                <w:rFonts w:ascii="Futura Std Book;sans-serif" w:hAnsi="Futura Std Book;sans-serif"/>
                <w:b/>
                <w:color w:val="29378D"/>
                <w:sz w:val="18"/>
              </w:rPr>
              <w:t>FOR</w:t>
            </w:r>
          </w:p>
        </w:tc>
        <w:tc>
          <w:tcPr>
            <w:tcW w:w="119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976"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611"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58"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“FOR“</w:t>
            </w:r>
          </w:p>
        </w:tc>
      </w:tr>
      <w:tr>
        <w:trPr/>
        <w:tc>
          <w:tcPr>
            <w:tcW w:w="378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Advisory Vote on Compensation of Named Executive Officers</w:t>
            </w:r>
          </w:p>
          <w:p>
            <w:pPr>
              <w:pStyle w:val="TableContents"/>
              <w:bidi w:val="0"/>
              <w:spacing w:lineRule="auto" w:line="288" w:before="0" w:after="0"/>
              <w:jc w:val="left"/>
              <w:rPr>
                <w:rFonts w:ascii="Futura Std Book;sans-serif" w:hAnsi="Futura Std Book;sans-serif"/>
                <w:b/>
                <w:color w:val="29378D"/>
                <w:sz w:val="18"/>
              </w:rPr>
            </w:pPr>
            <w:r>
              <w:rPr>
                <w:rFonts w:ascii="Futura Std Book;sans-serif" w:hAnsi="Futura Std Book;sans-serif"/>
                <w:b/>
                <w:color w:val="29378D"/>
                <w:sz w:val="18"/>
              </w:rPr>
              <w:t>(Proposal 2)</w:t>
            </w:r>
          </w:p>
        </w:tc>
        <w:tc>
          <w:tcPr>
            <w:tcW w:w="138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FOR</w:t>
            </w:r>
          </w:p>
        </w:tc>
        <w:tc>
          <w:tcPr>
            <w:tcW w:w="119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9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61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58"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“FOR“</w:t>
            </w:r>
          </w:p>
        </w:tc>
      </w:tr>
      <w:tr>
        <w:trPr/>
        <w:tc>
          <w:tcPr>
            <w:tcW w:w="378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Ratification of Appointment of Independent Auditor </w:t>
            </w:r>
          </w:p>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(Proposal 3)</w:t>
            </w:r>
          </w:p>
        </w:tc>
        <w:tc>
          <w:tcPr>
            <w:tcW w:w="138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FOR</w:t>
            </w:r>
          </w:p>
        </w:tc>
        <w:tc>
          <w:tcPr>
            <w:tcW w:w="119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9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61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Brokers have discretion to vote</w:t>
            </w:r>
          </w:p>
        </w:tc>
        <w:tc>
          <w:tcPr>
            <w:tcW w:w="1258"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“FOR“</w:t>
            </w:r>
          </w:p>
        </w:tc>
      </w:tr>
      <w:tr>
        <w:trPr/>
        <w:tc>
          <w:tcPr>
            <w:tcW w:w="378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Shareholder Proposal to Support Improved Clawback Policy regarding Unearned Executive Pay </w:t>
            </w:r>
          </w:p>
          <w:p>
            <w:pPr>
              <w:pStyle w:val="TableContents"/>
              <w:bidi w:val="0"/>
              <w:spacing w:lineRule="auto" w:line="276" w:before="0" w:after="0"/>
              <w:jc w:val="left"/>
              <w:rPr>
                <w:rFonts w:ascii="Futura Std Book;sans-serif" w:hAnsi="Futura Std Book;sans-serif"/>
                <w:b/>
                <w:color w:val="29378D"/>
                <w:sz w:val="18"/>
              </w:rPr>
            </w:pPr>
            <w:r>
              <w:rPr>
                <w:rFonts w:ascii="Futura Std Book;sans-serif" w:hAnsi="Futura Std Book;sans-serif"/>
                <w:b/>
                <w:color w:val="29378D"/>
                <w:sz w:val="18"/>
              </w:rPr>
              <w:t>(Proposal 4)</w:t>
            </w:r>
          </w:p>
        </w:tc>
        <w:tc>
          <w:tcPr>
            <w:tcW w:w="138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8"/>
              </w:rPr>
            </w:pPr>
            <w:r>
              <w:rPr>
                <w:rFonts w:ascii="Futura Std Book;sans-serif" w:hAnsi="Futura Std Book;sans-serif"/>
                <w:b/>
                <w:color w:val="29378D"/>
                <w:sz w:val="18"/>
              </w:rPr>
              <w:t>AGAINST</w:t>
            </w:r>
          </w:p>
        </w:tc>
        <w:tc>
          <w:tcPr>
            <w:tcW w:w="119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Majority of votes cast</w:t>
            </w:r>
          </w:p>
        </w:tc>
        <w:tc>
          <w:tcPr>
            <w:tcW w:w="976"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61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No effect</w:t>
            </w:r>
          </w:p>
        </w:tc>
        <w:tc>
          <w:tcPr>
            <w:tcW w:w="1258"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left"/>
              <w:rPr>
                <w:rFonts w:ascii="Futura Std Book;sans-serif" w:hAnsi="Futura Std Book;sans-serif"/>
                <w:b w:val="false"/>
                <w:color w:val="000000"/>
                <w:sz w:val="18"/>
              </w:rPr>
            </w:pPr>
            <w:r>
              <w:rPr>
                <w:rFonts w:ascii="Futura Std Book;sans-serif" w:hAnsi="Futura Std Book;sans-serif"/>
                <w:b w:val="false"/>
                <w:color w:val="000000"/>
                <w:sz w:val="18"/>
              </w:rPr>
              <w:t>Voted “AGAINST“</w:t>
            </w:r>
          </w:p>
        </w:tc>
      </w:tr>
    </w:tbl>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 xml:space="preserve">What is a broker non-vote?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Brokers who hold shares of common stock for the accounts of their clients may vote these shares either as directed by their clients or in their own discretion if permitted by the stock exchanges or other organizations of which they are members. Members of the New York Stock Exchange (NYSE) are permitted to vote their clients’ proxies in their own discretion on certain matters if the clients have not furnished voting instructions within ten days of the meeting. However, NYSE Rule 452 defines various matters as “non-routine,” and brokers who have not received instructions from their clients do not have discretion to vote their client’s shares on such “non-routine” matters, resulting in a “broker non-vote.”</w:t>
      </w:r>
    </w:p>
    <w:p>
      <w:pPr>
        <w:pStyle w:val="TextBody"/>
        <w:bidi w:val="0"/>
        <w:spacing w:lineRule="auto" w:line="288" w:before="120" w:after="120"/>
        <w:jc w:val="left"/>
        <w:rPr/>
      </w:pPr>
      <w:r>
        <w:rPr>
          <w:rFonts w:ascii="Futura Std Book;sans-serif" w:hAnsi="Futura Std Book;sans-serif"/>
          <w:b w:val="false"/>
          <w:color w:val="000000"/>
          <w:sz w:val="18"/>
        </w:rPr>
        <w:t xml:space="preserve">If you are a beneficial owner whose shares are held of record by a broker, your broker has discretionary voting authority under NYSE rules to vote your shares, without instructions from you, on the ratification of the appointment of Deloitte &amp; Touche LLP as independent auditor. However, your broker does not have discretionary authority to vote your shares, without instructions from you, on the election of directors, the advisory vote to approve the compensation of our NEOs, </w:t>
      </w:r>
      <w:r>
        <w:rPr>
          <w:rFonts w:ascii="Futura Std Book;sans-serif" w:hAnsi="Futura Std Book;sans-serif"/>
          <w:b w:val="false"/>
          <w:color w:val="000000"/>
          <w:sz w:val="18"/>
          <w:shd w:fill="FFFFFF" w:val="clear"/>
        </w:rPr>
        <w:t>or the shareholder proposal</w:t>
      </w:r>
      <w:r>
        <w:rPr>
          <w:rFonts w:ascii="Futura Std Book;sans-serif" w:hAnsi="Futura Std Book;sans-serif"/>
          <w:b w:val="false"/>
          <w:color w:val="000000"/>
          <w:sz w:val="18"/>
        </w:rPr>
        <w:t>, in which case a broker non-vote will occur and your shares will not be voted on these matters.</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How do I vote my shares if they are registered directly in my name?</w:t>
      </w:r>
    </w:p>
    <w:p>
      <w:pPr>
        <w:pStyle w:val="TextBody"/>
        <w:bidi w:val="0"/>
        <w:spacing w:lineRule="auto" w:line="288" w:before="120" w:after="120"/>
        <w:jc w:val="left"/>
        <w:rPr/>
      </w:pPr>
      <w:r>
        <w:rPr>
          <w:rFonts w:ascii="Futura Std Book;sans-serif" w:hAnsi="Futura Std Book;sans-serif"/>
          <w:b w:val="false"/>
          <w:color w:val="000000"/>
          <w:sz w:val="18"/>
        </w:rPr>
        <w:t>If your shares are registered directly in your name with our transfer agent, Computershare Trust Company, N.A., you are considered the “registered shareholder” of those shares, and you may vote by proxy prior to the Annual Meeting, as discussed below, or you may vote online during the Annual Meeting. Shares represented by a properly executed proxy will be voted at the Annual Meeting in accordance with the shareholder’s instructions. If no instructions are given, the shares will be voted according to the recommendations of the Board. Registered shareholders may go to </w:t>
      </w:r>
      <w:r>
        <w:rPr>
          <w:rFonts w:ascii="Futura Std Book;sans-serif" w:hAnsi="Futura Std Book;sans-serif"/>
          <w:b w:val="false"/>
          <w:i/>
          <w:color w:val="000000"/>
          <w:sz w:val="18"/>
        </w:rPr>
        <w:t>www.proxyvote.com</w:t>
      </w:r>
      <w:r>
        <w:rPr>
          <w:color w:val="000000"/>
        </w:rPr>
        <w:t xml:space="preserve"> </w:t>
      </w:r>
      <w:r>
        <w:rPr>
          <w:rFonts w:ascii="Futura Std Book;sans-serif" w:hAnsi="Futura Std Book;sans-serif"/>
          <w:b w:val="false"/>
          <w:color w:val="000000"/>
          <w:sz w:val="18"/>
        </w:rPr>
        <w:t>to view this Proxy Statement and the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554990"/>
                <wp:effectExtent l="0" t="0" r="0" b="0"/>
                <wp:wrapNone/>
                <wp:docPr id="342" name="Frame10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386" w:type="dxa"/>
                        <w:jc w:val="right"/>
                        <w:tblInd w:w="0" w:type="dxa"/>
                        <w:tblLayout w:type="fixed"/>
                        <w:tblCellMar>
                          <w:top w:w="28" w:type="dxa"/>
                          <w:left w:w="28" w:type="dxa"/>
                          <w:bottom w:w="28" w:type="dxa"/>
                          <w:right w:w="28" w:type="dxa"/>
                        </w:tblCellMar>
                      </w:tblPr>
                      <w:tblGrid>
                        <w:gridCol w:w="723"/>
                        <w:gridCol w:w="634"/>
                        <w:gridCol w:w="638"/>
                        <w:gridCol w:w="114"/>
                        <w:gridCol w:w="114"/>
                        <w:gridCol w:w="16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99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Questions and Answers About the Annual Meeting</w:t>
      </w:r>
    </w:p>
    <w:tbl>
      <w:tblPr>
        <w:tblW w:w="10205" w:type="dxa"/>
        <w:jc w:val="left"/>
        <w:tblInd w:w="0" w:type="dxa"/>
        <w:tblLayout w:type="fixed"/>
        <w:tblCellMar>
          <w:top w:w="28" w:type="dxa"/>
          <w:left w:w="28" w:type="dxa"/>
          <w:bottom w:w="28" w:type="dxa"/>
          <w:right w:w="28" w:type="dxa"/>
        </w:tblCellMar>
      </w:tblPr>
      <w:tblGrid>
        <w:gridCol w:w="275"/>
        <w:gridCol w:w="242"/>
        <w:gridCol w:w="244"/>
        <w:gridCol w:w="532"/>
        <w:gridCol w:w="517"/>
        <w:gridCol w:w="450"/>
        <w:gridCol w:w="3246"/>
        <w:gridCol w:w="1945"/>
        <w:gridCol w:w="27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op w:val="single" w:sz="8"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419100" cy="419100"/>
                  <wp:effectExtent l="0" t="0" r="0" b="0"/>
                  <wp:docPr id="343"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41" descr=""/>
                          <pic:cNvPicPr>
                            <a:picLocks noChangeAspect="1" noChangeArrowheads="1"/>
                          </pic:cNvPicPr>
                        </pic:nvPicPr>
                        <pic:blipFill>
                          <a:blip r:embed="rId242"/>
                          <a:stretch>
                            <a:fillRect/>
                          </a:stretch>
                        </pic:blipFill>
                        <pic:spPr bwMode="auto">
                          <a:xfrm>
                            <a:off x="0" y="0"/>
                            <a:ext cx="419100" cy="419100"/>
                          </a:xfrm>
                          <a:prstGeom prst="rect">
                            <a:avLst/>
                          </a:prstGeom>
                        </pic:spPr>
                      </pic:pic>
                    </a:graphicData>
                  </a:graphic>
                </wp:inline>
              </w:drawing>
            </w:r>
          </w:p>
        </w:tc>
        <w:tc>
          <w:tcPr>
            <w:tcW w:w="14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INTERNET</w:t>
            </w:r>
          </w:p>
        </w:tc>
        <w:tc>
          <w:tcPr>
            <w:tcW w:w="7945"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 xml:space="preserve">Registered shareholders may vote on the internet, as well as view the documents, by logging on to </w:t>
            </w:r>
            <w:r>
              <w:rPr>
                <w:rFonts w:ascii="Futura Std Book;sans-serif" w:hAnsi="Futura Std Book;sans-serif"/>
                <w:b w:val="false"/>
                <w:i/>
                <w:color w:val="000000"/>
                <w:sz w:val="18"/>
              </w:rPr>
              <w:t>www.proxyvote.com</w:t>
            </w:r>
            <w:r>
              <w:rPr>
                <w:color w:val="29378D"/>
              </w:rPr>
              <w:t xml:space="preserve"> </w:t>
            </w:r>
            <w:r>
              <w:rPr>
                <w:rFonts w:ascii="Futura Std Book;sans-serif" w:hAnsi="Futura Std Book;sans-serif"/>
                <w:b w:val="false"/>
                <w:color w:val="000000"/>
                <w:sz w:val="18"/>
              </w:rPr>
              <w:t xml:space="preserve">and following the instructions given. You will need the control number included in your proxy card, voting instruction form or Notice. </w:t>
            </w:r>
          </w:p>
        </w:tc>
      </w:tr>
      <w:tr>
        <w:trPr/>
        <w:tc>
          <w:tcPr>
            <w:tcW w:w="761" w:type="dxa"/>
            <w:gridSpan w:val="3"/>
            <w:tcBorders>
              <w:top w:val="single" w:sz="8"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409575" cy="409575"/>
                  <wp:effectExtent l="0" t="0" r="0" b="0"/>
                  <wp:docPr id="344"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42" descr=""/>
                          <pic:cNvPicPr>
                            <a:picLocks noChangeAspect="1" noChangeArrowheads="1"/>
                          </pic:cNvPicPr>
                        </pic:nvPicPr>
                        <pic:blipFill>
                          <a:blip r:embed="rId243"/>
                          <a:stretch>
                            <a:fillRect/>
                          </a:stretch>
                        </pic:blipFill>
                        <pic:spPr bwMode="auto">
                          <a:xfrm>
                            <a:off x="0" y="0"/>
                            <a:ext cx="409575" cy="409575"/>
                          </a:xfrm>
                          <a:prstGeom prst="rect">
                            <a:avLst/>
                          </a:prstGeom>
                        </pic:spPr>
                      </pic:pic>
                    </a:graphicData>
                  </a:graphic>
                </wp:inline>
              </w:drawing>
            </w:r>
          </w:p>
        </w:tc>
        <w:tc>
          <w:tcPr>
            <w:tcW w:w="14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TELEPHONE</w:t>
            </w:r>
          </w:p>
        </w:tc>
        <w:tc>
          <w:tcPr>
            <w:tcW w:w="7945"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Registered shareholders may vote by calling 800-690-6903 (toll-free) with a touch-tone telephone and following the recorded instructions. You will need the control number included in your proxy card, voting instruction form or Notice. </w:t>
            </w:r>
          </w:p>
        </w:tc>
      </w:tr>
      <w:tr>
        <w:trPr/>
        <w:tc>
          <w:tcPr>
            <w:tcW w:w="761" w:type="dxa"/>
            <w:gridSpan w:val="3"/>
            <w:tcBorders>
              <w:top w:val="single" w:sz="8"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381000" cy="381000"/>
                  <wp:effectExtent l="0" t="0" r="0" b="0"/>
                  <wp:docPr id="345"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43" descr=""/>
                          <pic:cNvPicPr>
                            <a:picLocks noChangeAspect="1" noChangeArrowheads="1"/>
                          </pic:cNvPicPr>
                        </pic:nvPicPr>
                        <pic:blipFill>
                          <a:blip r:embed="rId244"/>
                          <a:stretch>
                            <a:fillRect/>
                          </a:stretch>
                        </pic:blipFill>
                        <pic:spPr bwMode="auto">
                          <a:xfrm>
                            <a:off x="0" y="0"/>
                            <a:ext cx="381000" cy="381000"/>
                          </a:xfrm>
                          <a:prstGeom prst="rect">
                            <a:avLst/>
                          </a:prstGeom>
                        </pic:spPr>
                      </pic:pic>
                    </a:graphicData>
                  </a:graphic>
                </wp:inline>
              </w:drawing>
            </w:r>
          </w:p>
        </w:tc>
        <w:tc>
          <w:tcPr>
            <w:tcW w:w="14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QR CODE</w:t>
            </w:r>
          </w:p>
        </w:tc>
        <w:tc>
          <w:tcPr>
            <w:tcW w:w="7945"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Registered shareholders may vote by scanning the QR code on their proxy card or Notice with their mobile device.</w:t>
            </w:r>
          </w:p>
        </w:tc>
      </w:tr>
      <w:tr>
        <w:trPr/>
        <w:tc>
          <w:tcPr>
            <w:tcW w:w="761" w:type="dxa"/>
            <w:gridSpan w:val="3"/>
            <w:tcBorders>
              <w:top w:val="single" w:sz="8"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419100" cy="419100"/>
                  <wp:effectExtent l="0" t="0" r="0" b="0"/>
                  <wp:docPr id="346"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44" descr=""/>
                          <pic:cNvPicPr>
                            <a:picLocks noChangeAspect="1" noChangeArrowheads="1"/>
                          </pic:cNvPicPr>
                        </pic:nvPicPr>
                        <pic:blipFill>
                          <a:blip r:embed="rId245"/>
                          <a:stretch>
                            <a:fillRect/>
                          </a:stretch>
                        </pic:blipFill>
                        <pic:spPr bwMode="auto">
                          <a:xfrm>
                            <a:off x="0" y="0"/>
                            <a:ext cx="419100" cy="419100"/>
                          </a:xfrm>
                          <a:prstGeom prst="rect">
                            <a:avLst/>
                          </a:prstGeom>
                        </pic:spPr>
                      </pic:pic>
                    </a:graphicData>
                  </a:graphic>
                </wp:inline>
              </w:drawing>
            </w:r>
          </w:p>
        </w:tc>
        <w:tc>
          <w:tcPr>
            <w:tcW w:w="14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9378D"/>
                <w:sz w:val="16"/>
              </w:rPr>
            </w:pPr>
            <w:r>
              <w:rPr>
                <w:rFonts w:ascii="Futura Std Book;sans-serif" w:hAnsi="Futura Std Book;sans-serif"/>
                <w:b/>
                <w:color w:val="29378D"/>
                <w:sz w:val="16"/>
              </w:rPr>
              <w:t>BY MAIL</w:t>
            </w:r>
          </w:p>
        </w:tc>
        <w:tc>
          <w:tcPr>
            <w:tcW w:w="7945"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 xml:space="preserve">Registered shareholders must request a paper copy of the proxy materials to receive a proxy card and may vote by marking the voting instructions on the proxy card and following the instructions given for mailing. A paper copy of the proxy materials may be obtained by logging on to </w:t>
            </w:r>
            <w:r>
              <w:rPr>
                <w:rFonts w:ascii="Futura Std Book;sans-serif" w:hAnsi="Futura Std Book;sans-serif"/>
                <w:b w:val="false"/>
                <w:i/>
                <w:color w:val="000000"/>
                <w:sz w:val="18"/>
              </w:rPr>
              <w:t>www.proxyvote.com</w:t>
            </w:r>
            <w:r>
              <w:rPr>
                <w:color w:val="000000"/>
              </w:rPr>
              <w:t xml:space="preserve"> </w:t>
            </w:r>
            <w:r>
              <w:rPr>
                <w:rFonts w:ascii="Futura Std Book;sans-serif" w:hAnsi="Futura Std Book;sans-serif"/>
                <w:b w:val="false"/>
                <w:color w:val="000000"/>
                <w:sz w:val="18"/>
              </w:rPr>
              <w:t>and following the instructions given.</w:t>
            </w:r>
          </w:p>
        </w:tc>
      </w:tr>
      <w:tr>
        <w:trPr/>
        <w:tc>
          <w:tcPr>
            <w:tcW w:w="761" w:type="dxa"/>
            <w:gridSpan w:val="3"/>
            <w:tcBorders>
              <w:top w:val="single" w:sz="8" w:space="0" w:color="BCBEC0"/>
            </w:tcBorders>
            <w:tcMar>
              <w:left w:w="0" w:type="dxa"/>
              <w:bottom w:w="0" w:type="dxa"/>
              <w:right w:w="0" w:type="dxa"/>
            </w:tcMar>
            <w:vAlign w:val="center"/>
          </w:tcPr>
          <w:p>
            <w:pPr>
              <w:pStyle w:val="TableContents"/>
              <w:bidi w:val="0"/>
              <w:spacing w:before="0" w:after="0"/>
              <w:jc w:val="center"/>
              <w:rPr/>
            </w:pPr>
            <w:r>
              <w:rPr/>
              <w:drawing>
                <wp:inline distT="0" distB="0" distL="0" distR="0">
                  <wp:extent cx="419100" cy="542925"/>
                  <wp:effectExtent l="0" t="0" r="0" b="0"/>
                  <wp:docPr id="347"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45" descr=""/>
                          <pic:cNvPicPr>
                            <a:picLocks noChangeAspect="1" noChangeArrowheads="1"/>
                          </pic:cNvPicPr>
                        </pic:nvPicPr>
                        <pic:blipFill>
                          <a:blip r:embed="rId246"/>
                          <a:stretch>
                            <a:fillRect/>
                          </a:stretch>
                        </pic:blipFill>
                        <pic:spPr bwMode="auto">
                          <a:xfrm>
                            <a:off x="0" y="0"/>
                            <a:ext cx="419100" cy="542925"/>
                          </a:xfrm>
                          <a:prstGeom prst="rect">
                            <a:avLst/>
                          </a:prstGeom>
                        </pic:spPr>
                      </pic:pic>
                    </a:graphicData>
                  </a:graphic>
                </wp:inline>
              </w:drawing>
            </w:r>
          </w:p>
        </w:tc>
        <w:tc>
          <w:tcPr>
            <w:tcW w:w="1499"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29378D"/>
                <w:sz w:val="16"/>
              </w:rPr>
            </w:pPr>
            <w:r>
              <w:rPr>
                <w:rFonts w:ascii="Futura Std Book;sans-serif" w:hAnsi="Futura Std Book;sans-serif"/>
                <w:b/>
                <w:color w:val="29378D"/>
                <w:sz w:val="16"/>
              </w:rPr>
              <w:t>DURING THE ANNUAL MEETING</w:t>
            </w:r>
          </w:p>
        </w:tc>
        <w:tc>
          <w:tcPr>
            <w:tcW w:w="7945" w:type="dxa"/>
            <w:gridSpan w:val="3"/>
            <w:tcBorders>
              <w:top w:val="single" w:sz="8"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Futura Std Book;sans-serif" w:hAnsi="Futura Std Book;sans-serif"/>
                <w:b w:val="false"/>
                <w:color w:val="000000"/>
                <w:sz w:val="18"/>
              </w:rPr>
              <w:t xml:space="preserve">Registered shareholders may vote during the Annual Meeting online at </w:t>
            </w:r>
            <w:r>
              <w:rPr>
                <w:rFonts w:ascii="Futura Std Book;sans-serif" w:hAnsi="Futura Std Book;sans-serif"/>
                <w:b w:val="false"/>
                <w:i/>
                <w:color w:val="000000"/>
                <w:sz w:val="18"/>
              </w:rPr>
              <w:t>www.virtualshareholdermeeting.com/NOC2025</w:t>
            </w:r>
            <w:r>
              <w:rPr>
                <w:rFonts w:ascii="Futura Std Book;sans-serif" w:hAnsi="Futura Std Book;sans-serif"/>
                <w:b w:val="false"/>
                <w:color w:val="000000"/>
                <w:sz w:val="18"/>
              </w:rPr>
              <w:t>. If you have already voted online, by telephone, by QR code or by mail, your vote during the Annual Meeting will supersede your earlier vote.</w:t>
            </w:r>
          </w:p>
        </w:tc>
      </w:tr>
    </w:tbl>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If any other matters are properly brought before the Annual Meeting, the proxy card gives discretionary authority to the proxyholders named on the card to vote the shares in their best judgment. A shareholder who executes a proxy may revoke it at any time before its exercise by delivering a written notice of revocation to the Corporate Secretary or by delivering a valid, later-dated proxy, or a later-dated vote by telephone or on the internet, in a timely manner. In addition, a shareholder attending the Annual Meeting may revoke the proxy by voting during the meeting.</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How do I vote my shares if they are held by a bank, broker or other nominee?</w:t>
      </w:r>
    </w:p>
    <w:p>
      <w:pPr>
        <w:pStyle w:val="TextBody"/>
        <w:bidi w:val="0"/>
        <w:spacing w:lineRule="auto" w:line="288" w:before="120" w:after="120"/>
        <w:jc w:val="left"/>
        <w:rPr/>
      </w:pPr>
      <w:r>
        <w:rPr>
          <w:rFonts w:ascii="Futura Std Book;sans-serif" w:hAnsi="Futura Std Book;sans-serif"/>
          <w:b w:val="false"/>
          <w:color w:val="000000"/>
          <w:sz w:val="18"/>
        </w:rPr>
        <w:t>If your shares are held in a stock brokerage account or by a bank or other nominee (that is, in street name), you are considered the “beneficial owner” of the shares that are registered in the street name. You are able to vote those shares, to attend the Annual Meeting as a shareholder, and to ask questions at the meeting. You will need to instruct the bank, broker or other nominee how to vote these shares using the procedure identified by the bank, broker or other nominee. You should receive voting instruction forms from your bank, broker or other nominee. We expect most banks, brokers and other nominees to enable beneficial owners to provide voting instructions by telephone or on the internet. Beneficial owners may view this Proxy Statement and the Annual Report on the internet by logging on to </w:t>
      </w:r>
      <w:r>
        <w:rPr>
          <w:rFonts w:ascii="Futura Std Book;sans-serif" w:hAnsi="Futura Std Book;sans-serif"/>
          <w:b w:val="false"/>
          <w:i/>
          <w:color w:val="000000"/>
          <w:sz w:val="18"/>
        </w:rPr>
        <w:t>www.proxyvote.com</w:t>
      </w:r>
      <w:r>
        <w:rPr>
          <w:rFonts w:ascii="Futura Std Book;sans-serif" w:hAnsi="Futura Std Book;sans-serif"/>
          <w:b w:val="false"/>
          <w:color w:val="000000"/>
          <w:sz w:val="18"/>
        </w:rPr>
        <w:t>.</w:t>
      </w:r>
    </w:p>
    <w:p>
      <w:pPr>
        <w:pStyle w:val="TextBody"/>
        <w:bidi w:val="0"/>
        <w:spacing w:lineRule="auto" w:line="288" w:before="120" w:after="120"/>
        <w:jc w:val="left"/>
        <w:rPr/>
      </w:pPr>
      <w:r>
        <w:rPr>
          <w:rFonts w:ascii="Futura Std Book;sans-serif" w:hAnsi="Futura Std Book;sans-serif"/>
          <w:b w:val="false"/>
          <w:color w:val="000000"/>
          <w:sz w:val="18"/>
        </w:rPr>
        <w:t xml:space="preserve">Beneficial owners who hold shares in “street name” may revoke a proxy or change a vote by submitting a new, later-dated voting instruction form, contacting the bank, broker or other nominee or by voting during the Annual Meeting. If the Notice or voting instruction form that you received does not indicate that you may vote your shares through the </w:t>
      </w:r>
      <w:r>
        <w:rPr>
          <w:rFonts w:ascii="Futura Std Book;sans-serif" w:hAnsi="Futura Std Book;sans-serif"/>
          <w:b w:val="false"/>
          <w:i/>
          <w:color w:val="000000"/>
          <w:sz w:val="18"/>
        </w:rPr>
        <w:t>www.proxyvote.com</w:t>
      </w:r>
      <w:r>
        <w:rPr>
          <w:color w:val="000000"/>
        </w:rPr>
        <w:t xml:space="preserve"> </w:t>
      </w:r>
      <w:r>
        <w:rPr>
          <w:rFonts w:ascii="Futura Std Book;sans-serif" w:hAnsi="Futura Std Book;sans-serif"/>
          <w:b w:val="false"/>
          <w:color w:val="000000"/>
          <w:sz w:val="18"/>
        </w:rPr>
        <w:t xml:space="preserve">website, you should contact your bank, broker, or other nominee (preferably at least five days before the meeting) and obtain your 16-digit control number that will allow you to attend, participate in, and vote at the meeting. </w:t>
      </w:r>
    </w:p>
    <w:p>
      <w:pPr>
        <w:pStyle w:val="TextBody"/>
        <w:bidi w:val="0"/>
        <w:spacing w:lineRule="auto" w:line="288" w:before="220" w:after="120"/>
        <w:jc w:val="left"/>
        <w:rPr>
          <w:rFonts w:ascii="Futura Std Book;sans-serif" w:hAnsi="Futura Std Book;sans-serif"/>
          <w:b/>
          <w:color w:val="29378D"/>
          <w:sz w:val="22"/>
        </w:rPr>
      </w:pPr>
      <w:r>
        <w:rPr>
          <w:rFonts w:ascii="Futura Std Book;sans-serif" w:hAnsi="Futura Std Book;sans-serif"/>
          <w:b/>
          <w:color w:val="29378D"/>
          <w:sz w:val="22"/>
        </w:rPr>
        <w:t>How do I vote my shares held under a Northrop Grumman savings plan?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If shares are held on an individual’s behalf under any of our savings plans, the proxy will serve to provide confidential instructions to the plan Trustee or Voting Manager who then votes the participant’s shares in accordance with the individual’s instructions. For those participants who do not vote their plan shares, the applicable Trustee or Voting Manager will vote their plan shares in the same proportion as shares held under the plan for which voting directions have been received, unless the Employee Retirement Income Security Act requires a different procedure.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Savings plan participants may submit their voting instructions by the same methods as registered shareholders (see “How do I vote my shares if they are registered directly in my name?” above) but voting instructions from savings plan participants must be received by the applicable plan Trustee or Voting Manager by 11:59 p.m. Eastern Daylight Time on May 18, 2025 in order to be used by the plan Trustee or Voting Manager to determine the votes cast with respect to plan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734695"/>
                <wp:effectExtent l="0" t="0" r="0" b="0"/>
                <wp:wrapNone/>
                <wp:docPr id="348" name="Frame103"/>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100</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Voting on Other Matters</w:t>
      </w:r>
    </w:p>
    <w:p>
      <w:pPr>
        <w:pStyle w:val="TextBody"/>
        <w:bidi w:val="0"/>
        <w:spacing w:lineRule="auto" w:line="288" w:before="120" w:after="120"/>
        <w:jc w:val="left"/>
        <w:rPr/>
      </w:pPr>
      <w:r>
        <w:rPr>
          <w:rFonts w:ascii="Futura Std Book;sans-serif" w:hAnsi="Futura Std Book;sans-serif"/>
          <w:b w:val="false"/>
          <w:color w:val="000000"/>
          <w:sz w:val="18"/>
        </w:rPr>
        <w:t xml:space="preserve">We are not aware of any other business to be transacted at the Annual Meeting. Our Bylaws outline procedures, including minimum notice provisions, for shareholder nominations of directors and submission of other shareholder business to be transacted at the Annual Meeting. A copy of the pertinent Bylaw provisions is available on request to the Corporate Secretary, Northrop Grumman Corporation, 2980 Fairview Park Drive, Falls Church, Virginia 22042. Our Bylaws are also available in the Investor Relations section of our website at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 If any other business properly comes before the Annual Meeting, the shares represented by proxies will be voted in accordance with the judgment of the persons authorized to vote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Shareholder Proposals for the 2026 Annual Meeting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Any shareholder who intends to present a proposal at the 2026 Annual Meeting must deliver the proposal to the Corporate Secretary at Northrop Grumman Corporation, 2980 Fairview Park Drive, Falls Church, Virginia 22042:</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not later than December 5, 2025, if the proposal is submitted for inclusion in the Company’s proxy materials for that meeting pursuant to Rule 14a-8 under the Exchange Act; and</w:t>
      </w:r>
    </w:p>
    <w:p>
      <w:pPr>
        <w:pStyle w:val="TextBody"/>
        <w:bidi w:val="0"/>
        <w:spacing w:lineRule="auto" w:line="288" w:before="80" w:after="80"/>
        <w:ind w:left="0" w:right="0" w:hanging="216"/>
        <w:jc w:val="left"/>
        <w:rPr/>
      </w:pPr>
      <w:r>
        <w:rPr>
          <w:color w:val="00249C"/>
        </w:rPr>
        <w:t>•</w:t>
      </w:r>
      <w:r>
        <w:rPr>
          <w:rFonts w:ascii="Futura Std Book;sans-serif" w:hAnsi="Futura Std Book;sans-serif"/>
          <w:b w:val="false"/>
          <w:color w:val="000000"/>
          <w:sz w:val="18"/>
        </w:rPr>
        <w:t>not earlier than December 5, 2025 and not later than January 4, 2026, if the proposal is submitted pursuant to the Bylaws, but not pursuant to Rule 14a-8, in which case we are not required to include the proposal in our proxy materials. If the 2026 Annual Meeting is convened more than 30 days prior to or delayed by more than 30 days after the one-year anniversary of the Annual Meeting, our Bylaws provide different notice requirements.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Any shareholder who wishes to introduce a proposal should review our Bylaws and applicable proxy rules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Shareholder Nominations for Director Elections at the 2026 Annual Meeting</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Any shareholder who intends to nominate a person for election as a director at the 2026 Annual Meeting must deliver a notice of such nomination (along with certain other information required by our Bylaws) to the Corporate Secretary at Northrop Grumman Corporation, 2980 Fairview Park Drive, Falls Church, Virginia 22042:</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not earlier than November 5, 2025 and not later than December 5, 2025, if the nomination is submitted for inclusion in the Company’s proxy materials for that meeting pursuant to the Company’s proxy access provision, as set forth in our Bylaws, which nomination and supporting materials must comply with the requirements in our Bylaws;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not earlier than December 5, 2025 and not later than January 4, 2026, if the nomination is submitted pursuant to the Bylaws, but not pursuant to our proxy access provision, in which case we are not required to include the nomination in our proxy materials (except as may be required in our proxy card pursuant to Rule 14a-19). If the 2026 Annual Meeting is convened more than 30 days prior to or delayed by more than 30 days after the one-year anniversary of the Annual Meeting, our Bylaws provide different notice requirements.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Any shareholder who wishes to nominate a person for election as a director should review our Bylaws. In addition, shareholders who intend to solicit proxies in reliance on the SEC’s universal proxy rule for director nominees submitted under the advance notice requirements of our Bylaws must comply with the additional requirements of Rule 14a-19, including delivery of written notice that sets forth all information required by Rule 14a-19(b)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Householding Information</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Some banks, brokers and other nominee record holders may be participating in the practice of “householding.” This means that only one copy of the Notice of Internet Availability of Proxy Materials may have been sent to multiple shareholders in a household. We will promptly deliver a separate copy to a shareholder upon written or oral request to the Corporate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554990"/>
                <wp:effectExtent l="0" t="0" r="0" b="0"/>
                <wp:wrapNone/>
                <wp:docPr id="349" name="Frame104"/>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Miscellaneous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Secretary at the following address and phone number: Northrop Grumman Corporation, 2980 Fairview Park Drive, Falls Church, Virginia 22042, (703) 280-2900. To receive separate copies of the notice in the future, or if a shareholder is receiving multiple copies and would like to receive only one copy for the household, the shareholder should contact his or her bank, broker or other nominee record holder, or may contact the Corporate Secretary at the above address or phone number.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Cost of Soliciting Proxies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will pay all costs of soliciting proxies. We have made arrangements with brokerage houses and other custodians, nominees and fiduciaries to make proxy materials available to beneficial owners. We will, upon request, reimburse them for reasonable expenses incurred. We have retained D.F. King &amp; Co., Inc. of New York at an estimated fee of $22,500, plus reasonable disbursements to solicit proxies on our behalf. Our officers, directors and regular employees may solicit proxies personally, by means of materials prepared for shareholders and employee-shareholders or by telephone or other methods to the extent deemed appropriate by the Board.</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No additional compensation will be paid to such individuals for this activity. The extent to which this solicitation will be necessary will depend upon how promptly proxies are received. We therefore urge shareholders to give voting instructions without delay.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Available Information</w:t>
      </w:r>
    </w:p>
    <w:p>
      <w:pPr>
        <w:pStyle w:val="TextBody"/>
        <w:bidi w:val="0"/>
        <w:spacing w:lineRule="auto" w:line="288" w:before="120" w:after="120"/>
        <w:jc w:val="left"/>
        <w:rPr/>
      </w:pPr>
      <w:r>
        <w:rPr>
          <w:rFonts w:ascii="Futura Std Book;sans-serif" w:hAnsi="Futura Std Book;sans-serif"/>
          <w:b w:val="false"/>
          <w:color w:val="000000"/>
          <w:sz w:val="18"/>
        </w:rPr>
        <w:t>You may obtain a copy of the following corporate governance materials on the Investor Relations section of our website (</w:t>
      </w:r>
      <w:r>
        <w:rPr>
          <w:rFonts w:ascii="Futura Std Book;sans-serif" w:hAnsi="Futura Std Book;sans-serif"/>
          <w:b w:val="false"/>
          <w:i/>
          <w:color w:val="000000"/>
          <w:sz w:val="18"/>
        </w:rPr>
        <w:t>www.northropgrumman.com</w:t>
      </w:r>
      <w:r>
        <w:rPr>
          <w:rFonts w:ascii="Futura Std Book;sans-serif" w:hAnsi="Futura Std Book;sans-serif"/>
          <w:b w:val="false"/>
          <w:color w:val="000000"/>
          <w:sz w:val="18"/>
        </w:rPr>
        <w:t>) under Corporate Governance: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Bylaws;</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Principles of Corporate Governance;</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Standards of Business Conduct;</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Policy and Procedure Regarding Company Transactions with Related Persons; and</w:t>
      </w:r>
    </w:p>
    <w:p>
      <w:pPr>
        <w:pStyle w:val="TextBody"/>
        <w:bidi w:val="0"/>
        <w:spacing w:lineRule="auto" w:line="288" w:before="80" w:after="80"/>
        <w:ind w:left="0" w:right="0" w:hanging="216"/>
        <w:jc w:val="left"/>
        <w:rPr/>
      </w:pPr>
      <w:r>
        <w:rPr>
          <w:color w:val="29378D"/>
        </w:rPr>
        <w:t>•</w:t>
      </w:r>
      <w:r>
        <w:rPr>
          <w:rFonts w:ascii="Futura Std Book;sans-serif" w:hAnsi="Futura Std Book;sans-serif"/>
          <w:b w:val="false"/>
          <w:color w:val="000000"/>
          <w:sz w:val="18"/>
        </w:rPr>
        <w:t>Board Committee Charters.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Copies of these documents are also available without charge to any shareholder upon written request to the Corporate Secretary, Northrop Grumman Corporation, 2980 Fairview Park Drive, Falls Church, Virginia 22042. </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 disclose amendments to provisions of our Standards of Business Conduct by posting amendments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Incorporation by Reference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In accordance with SEC rules, notwithstanding anything to the contrary set forth in any of our previous or future filings under the Securities Act of 1933, as amended, or the Exchange Act that might incorporate this Proxy Statement or future filings made by the Company under those statutes, the information included under the section entitled “Compensation and Human Capital Committee Report” and those portions of the information included under the section entitled “Audit and Risk Committee Report” required by the SEC’s rules to be included therein, shall not be deemed to be “soliciting material” nor shall the information included under the section entitled “Compensation of Directors - Stock Ownership Requirements and Anti-Hedging and Pledging Policy,” the information included under the section entitled “Compensation and Human Capital Committee Report,” or those portions of the information included under the section entitled “Audit and Risk Committee Report” required by the SEC’s rules to be included therein, be “filed” with the SEC or, along with the information included under the section entitled ”Pay Versus Performance,” be deemed incorporated by reference into any of those prior filings or into any future filings made by the Company under those statutes, except to the extent we specifically incorporate these items by reference.</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Web links throughout this document are provided for convenience only, and the content on the referenced websites does not constitute a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734695"/>
                <wp:effectExtent l="0" t="0" r="0" b="0"/>
                <wp:wrapNone/>
                <wp:docPr id="350" name="Frame105"/>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102</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Miscellaneous</w:t>
      </w:r>
    </w:p>
    <w:p>
      <w:pPr>
        <w:pStyle w:val="TextBody"/>
        <w:bidi w:val="0"/>
        <w:spacing w:lineRule="auto" w:line="288" w:before="360" w:after="120"/>
        <w:jc w:val="left"/>
        <w:rPr>
          <w:rFonts w:ascii="Futura Std Book;sans-serif" w:hAnsi="Futura Std Book;sans-serif"/>
          <w:b/>
          <w:color w:val="000000"/>
          <w:sz w:val="36"/>
        </w:rPr>
      </w:pPr>
      <w:r>
        <w:rPr>
          <w:rFonts w:ascii="Futura Std Book;sans-serif" w:hAnsi="Futura Std Book;sans-serif"/>
          <w:b/>
          <w:color w:val="000000"/>
          <w:sz w:val="36"/>
        </w:rPr>
        <w:t>Annual Report</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April 4, 2025</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NOTICE: THE COMPANY FILED AN ANNUAL REPORT ON FORM 10-K FOR THE YEAR ENDED DECEMBER 31, 2024 ON JANUARY 30, 2025. SHAREHOLDERS OF RECORD ON MARCH 25, 2025 MAY OBTAIN A COPY OF THIS REPORT WITHOUT CHARGE UPON WRITTEN REQUEST TO THE CORPORATE SECRETARY, NORTHROP GRUMMAN CORPORATION, 2980 FAIRVIEW PARK DRIVE, FALLS CHURCH, VIRGINIA 22042.</w:t>
      </w:r>
    </w:p>
    <w:p>
      <w:pPr>
        <w:pStyle w:val="TextBody"/>
        <w:bidi w:val="0"/>
        <w:spacing w:before="120" w:after="120"/>
        <w:jc w:val="right"/>
        <w:rPr/>
      </w:pPr>
      <w:r>
        <w:rPr/>
        <w:drawing>
          <wp:inline distT="0" distB="0" distL="0" distR="0">
            <wp:extent cx="1247775" cy="400050"/>
            <wp:effectExtent l="0" t="0" r="0" b="0"/>
            <wp:docPr id="351"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46" descr=""/>
                    <pic:cNvPicPr>
                      <a:picLocks noChangeAspect="1" noChangeArrowheads="1"/>
                    </pic:cNvPicPr>
                  </pic:nvPicPr>
                  <pic:blipFill>
                    <a:blip r:embed="rId247"/>
                    <a:stretch>
                      <a:fillRect/>
                    </a:stretch>
                  </pic:blipFill>
                  <pic:spPr bwMode="auto">
                    <a:xfrm>
                      <a:off x="0" y="0"/>
                      <a:ext cx="1247775" cy="400050"/>
                    </a:xfrm>
                    <a:prstGeom prst="rect">
                      <a:avLst/>
                    </a:prstGeom>
                  </pic:spPr>
                </pic:pic>
              </a:graphicData>
            </a:graphic>
          </wp:inline>
        </w:drawing>
      </w:r>
    </w:p>
    <w:p>
      <w:pPr>
        <w:pStyle w:val="TextBody"/>
        <w:bidi w:val="0"/>
        <w:spacing w:lineRule="auto" w:line="288" w:before="0" w:after="0"/>
        <w:jc w:val="right"/>
        <w:rPr>
          <w:rFonts w:ascii="Futura Std Book;sans-serif" w:hAnsi="Futura Std Book;sans-serif"/>
          <w:b/>
          <w:color w:val="29378D"/>
          <w:sz w:val="18"/>
        </w:rPr>
      </w:pPr>
      <w:r>
        <w:rPr>
          <w:rFonts w:ascii="Futura Std Book;sans-serif" w:hAnsi="Futura Std Book;sans-serif"/>
          <w:b/>
          <w:color w:val="29378D"/>
          <w:sz w:val="18"/>
        </w:rPr>
        <w:t>Jennifer C. McGarey</w:t>
      </w:r>
    </w:p>
    <w:p>
      <w:pPr>
        <w:pStyle w:val="TextBody"/>
        <w:bidi w:val="0"/>
        <w:spacing w:lineRule="auto" w:line="288" w:before="0" w:after="0"/>
        <w:jc w:val="right"/>
        <w:rPr>
          <w:rFonts w:ascii="Futura Std Book;sans-serif" w:hAnsi="Futura Std Book;sans-serif"/>
          <w:b w:val="false"/>
          <w:color w:val="000000"/>
          <w:sz w:val="18"/>
        </w:rPr>
      </w:pPr>
      <w:r>
        <w:rPr>
          <w:rFonts w:ascii="Futura Std Book;sans-serif" w:hAnsi="Futura Std Book;sans-serif"/>
          <w:b w:val="false"/>
          <w:color w:val="000000"/>
          <w:sz w:val="18"/>
        </w:rPr>
        <w:t>Corporate Vice President and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554990"/>
                <wp:effectExtent l="0" t="0" r="0" b="0"/>
                <wp:wrapNone/>
                <wp:docPr id="352" name="Frame106"/>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480"/>
        <w:jc w:val="left"/>
        <w:rPr>
          <w:rFonts w:ascii="Futura Std Book;sans-serif" w:hAnsi="Futura Std Book;sans-serif"/>
          <w:b/>
          <w:color w:val="29378D"/>
          <w:sz w:val="48"/>
        </w:rPr>
      </w:pPr>
      <w:r>
        <w:rPr>
          <w:rFonts w:ascii="Futura Std Book;sans-serif" w:hAnsi="Futura Std Book;sans-serif"/>
          <w:b/>
          <w:color w:val="29378D"/>
          <w:sz w:val="48"/>
        </w:rPr>
        <w:t>Appendix A – Use of Non-GAAP Financial Measures</w:t>
      </w:r>
    </w:p>
    <w:p>
      <w:pPr>
        <w:pStyle w:val="TextBody"/>
        <w:bidi w:val="0"/>
        <w:spacing w:lineRule="auto" w:line="256" w:before="0" w:after="0"/>
        <w:jc w:val="left"/>
        <w:rPr/>
      </w:pPr>
      <w:r>
        <w:rPr>
          <w:rFonts w:ascii="Futura Std Book;sans-serif" w:hAnsi="Futura Std Book;sans-serif"/>
          <w:b w:val="false"/>
          <w:color w:val="000000"/>
          <w:sz w:val="18"/>
        </w:rPr>
        <w:t xml:space="preserve">This Proxy Statement contains non-GAAP (accounting principles generally accepted in the United States of America) financial measures, as defined by SEC Regulation G and indicated by an asterisk in this Proxy Statement. While we believe investors and other users of our financial statements may find these non-GAAP financial measures useful in evaluating our financial performance and operational trends, they should be considered as supplemental in nature, and therefore, should not be considered in isolation or as a substitute for financial information prepared in accordance with GAAP. Definitions for the non-GAAP financial measures contained in this Proxy Statement are provided below and the reconciliations of non-GAAP financial measures presented in this Proxy Statement are located on pages </w:t>
      </w:r>
      <w:hyperlink w:anchor="idfbc8dda5d8446848b278eb1ab1265cf_15923">
        <w:r>
          <w:rPr>
            <w:rStyle w:val="InternetLink"/>
            <w:rFonts w:ascii="Futura Std Book;sans-serif" w:hAnsi="Futura Std Book;sans-serif"/>
            <w:b w:val="false"/>
            <w:strike w:val="false"/>
            <w:dstrike w:val="false"/>
            <w:color w:val="000000"/>
            <w:sz w:val="18"/>
            <w:u w:val="none"/>
            <w:effect w:val="none"/>
          </w:rPr>
          <w:t>107</w:t>
        </w:r>
      </w:hyperlink>
      <w:r>
        <w:rPr>
          <w:rFonts w:ascii="Futura Std Book;sans-serif" w:hAnsi="Futura Std Book;sans-serif"/>
          <w:b w:val="false"/>
          <w:color w:val="000000"/>
          <w:sz w:val="18"/>
        </w:rPr>
        <w:t xml:space="preserve"> to </w:t>
      </w:r>
      <w:hyperlink w:anchor="idfbc8dda5d8446848b278eb1ab1265cf_63996">
        <w:r>
          <w:rPr>
            <w:rStyle w:val="InternetLink"/>
            <w:rFonts w:ascii="Futura Std Book;sans-serif" w:hAnsi="Futura Std Book;sans-serif"/>
            <w:b w:val="false"/>
            <w:strike w:val="false"/>
            <w:dstrike w:val="false"/>
            <w:color w:val="000000"/>
            <w:sz w:val="18"/>
            <w:u w:val="none"/>
            <w:effect w:val="none"/>
          </w:rPr>
          <w:t>108</w:t>
        </w:r>
      </w:hyperlink>
      <w:r>
        <w:rPr>
          <w:rFonts w:ascii="Futura Std Book;sans-serif" w:hAnsi="Futura Std Book;sans-serif"/>
          <w:b w:val="false"/>
          <w:color w:val="000000"/>
          <w:sz w:val="18"/>
        </w:rPr>
        <w:t xml:space="preserve"> of this Appendix A. Other companies, including companies in our industry, may define these measures differently or may utilize different non-GAAP financial measures, limiting the usefulness of those measures for comparative purposes between companies.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Certain non-GAAP financial measures below are used as internal measures for performance-based compensation decisions, as further discussed in the “Key Components of Our Executive Compensation Programs” section of the Compensation Discussion and Analysis. The Compensation and Human Capital Committee has discretion to make adjustments to these measures in instances where the Company’s performance has been impacted by unforeseen or unusual events. For 2024, 2023 and 2022, the Compensation and Human Capital Committee adjusted the calculation of certain measures in order to exclude the impact of certain events or transactions that were not contemplated when the performance metrics were established.</w:t>
      </w:r>
    </w:p>
    <w:p>
      <w:pPr>
        <w:pStyle w:val="TextBody"/>
        <w:bidi w:val="0"/>
        <w:spacing w:lineRule="auto" w:line="288" w:before="120" w:after="120"/>
        <w:jc w:val="left"/>
        <w:rPr/>
      </w:pPr>
      <w:r>
        <w:rPr>
          <w:rFonts w:ascii="Futura Std Book;sans-serif" w:hAnsi="Futura Std Book;sans-serif"/>
          <w:b/>
          <w:color w:val="000000"/>
          <w:sz w:val="18"/>
          <w:u w:val="single"/>
        </w:rPr>
        <w:t>Cash Flow Metrics</w:t>
      </w:r>
      <w:r>
        <w:rPr>
          <w:rFonts w:ascii="Futura Std Book;sans-serif" w:hAnsi="Futura Std Book;sans-serif"/>
          <w:b w:val="false"/>
          <w:color w:val="000000"/>
          <w:sz w:val="18"/>
        </w:rPr>
        <w:t>: We use cash flow metrics as internal measures of financial performance and for performance based compensation decisions. We also use these measures as a key factor in our planning for, and consideration of, acquisitions, payments of dividends and share repurchases. The following cash flow metrics may be useful to investors and other users of our financial statements as supplemental measures of our cash performance, but should not be considered in isolation, as measures of residual cash flow available for discretionary purposes, or as alternatives to operating results presented in accordance with GAAP. All cash flow metrics are reconciled below.</w:t>
      </w:r>
    </w:p>
    <w:p>
      <w:pPr>
        <w:pStyle w:val="TextBody"/>
        <w:bidi w:val="0"/>
        <w:spacing w:lineRule="auto" w:line="288" w:before="120" w:after="120"/>
        <w:jc w:val="left"/>
        <w:rPr/>
      </w:pPr>
      <w:r>
        <w:rPr>
          <w:rFonts w:ascii="Futura Std Book;sans-serif" w:hAnsi="Futura Std Book;sans-serif"/>
          <w:b/>
          <w:color w:val="000000"/>
          <w:sz w:val="18"/>
          <w:u w:val="single"/>
        </w:rPr>
        <w:t>Free Cash Flow</w:t>
      </w:r>
      <w:r>
        <w:rPr>
          <w:rFonts w:ascii="Futura Std Book;sans-serif" w:hAnsi="Futura Std Book;sans-serif"/>
          <w:b w:val="false"/>
          <w:color w:val="000000"/>
          <w:sz w:val="18"/>
        </w:rPr>
        <w:t xml:space="preserve">: Net cash provided by operating activities, less capital expenditures. We use free cash flow as a key factor in our planning for, and consideration of, acquisitions, the payment of dividends and stock repurchases. </w:t>
      </w:r>
    </w:p>
    <w:p>
      <w:pPr>
        <w:pStyle w:val="TextBody"/>
        <w:bidi w:val="0"/>
        <w:spacing w:lineRule="auto" w:line="288" w:before="120" w:after="120"/>
        <w:jc w:val="left"/>
        <w:rPr/>
      </w:pPr>
      <w:r>
        <w:rPr>
          <w:rFonts w:ascii="Futura Std Book;sans-serif" w:hAnsi="Futura Std Book;sans-serif"/>
          <w:b/>
          <w:color w:val="000000"/>
          <w:sz w:val="18"/>
          <w:u w:val="single"/>
        </w:rPr>
        <w:t>Adjusted Free Cash Flow (Adjusted FCF)</w:t>
      </w:r>
      <w:r>
        <w:rPr>
          <w:rFonts w:ascii="Futura Std Book;sans-serif" w:hAnsi="Futura Std Book;sans-serif"/>
          <w:b w:val="false"/>
          <w:color w:val="000000"/>
          <w:sz w:val="18"/>
        </w:rPr>
        <w:t xml:space="preserve">: Net cash provided by operating activities, less capital expenditures, plus proceeds from the sale of equipment to a customer (not otherwise included in net cash provided by or used in operating activities) and the after-tax impact of discretionary pension contributions, if any.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w:t>
      </w:r>
    </w:p>
    <w:p>
      <w:pPr>
        <w:pStyle w:val="TextBody"/>
        <w:bidi w:val="0"/>
        <w:spacing w:lineRule="auto" w:line="288" w:before="120" w:after="120"/>
        <w:jc w:val="left"/>
        <w:rPr/>
      </w:pPr>
      <w:r>
        <w:rPr>
          <w:rFonts w:ascii="Futura Std Book;sans-serif" w:hAnsi="Futura Std Book;sans-serif"/>
          <w:b/>
          <w:color w:val="000000"/>
          <w:sz w:val="18"/>
          <w:u w:val="single"/>
        </w:rPr>
        <w:t>Adjusted Free Cash Flow Before After-Tax Total Pension Funding</w:t>
      </w:r>
      <w:r>
        <w:rPr>
          <w:rFonts w:ascii="Futura Std Book;sans-serif" w:hAnsi="Futura Std Book;sans-serif"/>
          <w:b w:val="false"/>
          <w:color w:val="000000"/>
          <w:sz w:val="18"/>
        </w:rPr>
        <w:t>: Adjusted Free Cash Flow, as defined above, before the after-tax impact of required pension funding, as approved by the Compensation and Human Capital Committee.</w:t>
      </w:r>
    </w:p>
    <w:p>
      <w:pPr>
        <w:pStyle w:val="TextBody"/>
        <w:bidi w:val="0"/>
        <w:spacing w:lineRule="auto" w:line="288" w:before="120" w:after="120"/>
        <w:jc w:val="left"/>
        <w:rPr/>
      </w:pPr>
      <w:r>
        <w:rPr>
          <w:rFonts w:ascii="Futura Std Book;sans-serif" w:hAnsi="Futura Std Book;sans-serif"/>
          <w:b/>
          <w:color w:val="000000"/>
          <w:sz w:val="18"/>
          <w:u w:val="single"/>
        </w:rPr>
        <w:t>Adjusted Cumulative Free Cash Flow (Adjusted Cumulative FCF)</w:t>
      </w:r>
      <w:r>
        <w:rPr>
          <w:rFonts w:ascii="Futura Std Book;sans-serif" w:hAnsi="Futura Std Book;sans-serif"/>
          <w:b w:val="false"/>
          <w:color w:val="000000"/>
          <w:sz w:val="18"/>
        </w:rPr>
        <w:t xml:space="preserve">: The aggregate Adjusted Free Cash Flow Before After-Tax Total Pension Funding, as defined above, over a three-year period and after cash flow adjustments, as approved by the Compensation and Human Capital Committee, to adjust for unanticipated impacts to this measure for each three-year period since initial grant setting. As approved by the Compensation and Human Capital Committee, the 2022 grant excludes CAS pension recovery over the three-year period, the impact of unanticipated cash expenditures on a Space Systems program due to international trade restrictions, federal and state tax impacts associated with the sale of a minority investment in an international business, plan-based differences in free cash flow related to unanticipated costs on the B-21 program, and assumptions regarding tax legislation related to research credits at initial grant setting. </w:t>
      </w:r>
    </w:p>
    <w:p>
      <w:pPr>
        <w:pStyle w:val="TextBody"/>
        <w:bidi w:val="0"/>
        <w:spacing w:lineRule="auto" w:line="288" w:before="0" w:after="0"/>
        <w:jc w:val="left"/>
        <w:rPr/>
      </w:pPr>
      <w:bookmarkStart w:id="13" w:name="idfbc8dda5d8446848b278eb1ab1265cf_15919"/>
      <w:bookmarkEnd w:id="13"/>
      <w:r>
        <w:rPr>
          <w:rFonts w:ascii="Futura Std Book;sans-serif" w:hAnsi="Futura Std Book;sans-serif"/>
          <w:b/>
          <w:color w:val="000000"/>
          <w:sz w:val="18"/>
          <w:u w:val="single"/>
        </w:rPr>
        <w:t>Adjusted Cash Flow from Operations</w:t>
      </w:r>
      <w:r>
        <w:rPr>
          <w:rFonts w:ascii="Futura Std Book;sans-serif" w:hAnsi="Futura Std Book;sans-serif"/>
          <w:b w:val="false"/>
          <w:color w:val="000000"/>
          <w:sz w:val="18"/>
        </w:rPr>
        <w:t xml:space="preserve">: Net cash provided by operating activities, adjusted to include proceeds from sale of equipment to a customer (not otherwise included in net cash provided by operating activities) and to exclude transaction costs as well as federal and state income taxes associated with the IT services divestiture, the after-tax impact of discretionary pension contributions, if any, and other cash flow adjustments as approved by the Compensation and Human Capital Committee. Adjusted Cash Flow from Operations includes proceeds from the sale of equipment to a customer as such proceeds were generated in a customer sales transaction. It excludes the after-tax impact of discretionary pension contributions for consistency and comparability of financial performance. As approved by the Compensation and Human Capital Committee, the 2024 metric has been adjusted to exclude CAS pension recovery. As approved by the Compensation and Human Capital Committee, the 2023 metric has been adjusted to exclude CAS pension recovery, cash received from certain federal and state tax settlements, and the federal and state tax impacts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734695"/>
                <wp:effectExtent l="0" t="0" r="0" b="0"/>
                <wp:wrapNone/>
                <wp:docPr id="353" name="Frame107"/>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104</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p>
      <w:pPr>
        <w:pStyle w:val="TextBody"/>
        <w:bidi w:val="0"/>
        <w:spacing w:lineRule="auto" w:line="288" w:before="0" w:after="0"/>
        <w:jc w:val="left"/>
        <w:rPr>
          <w:rFonts w:ascii="Futura Std Book;sans-serif" w:hAnsi="Futura Std Book;sans-serif"/>
          <w:b w:val="false"/>
          <w:color w:val="000000"/>
          <w:sz w:val="18"/>
        </w:rPr>
      </w:pPr>
      <w:r>
        <w:rPr>
          <w:rFonts w:ascii="Futura Std Book;sans-serif" w:hAnsi="Futura Std Book;sans-serif"/>
          <w:b w:val="false"/>
          <w:color w:val="000000"/>
          <w:sz w:val="18"/>
        </w:rPr>
        <w:t xml:space="preserve">the sale of a minority investment in an international business. As approved by the Compensation and Human Capital Committee, the 2022 metric has been adjusted to exclude CAS pension recovery, assumptions regarding tax legislation related to research credits at the time of grant setting, unanticipated costs related to a Space Systems program due to international trade restrictions, and certain delayed costs related to the IT services divestiture. </w:t>
      </w:r>
    </w:p>
    <w:p>
      <w:pPr>
        <w:pStyle w:val="TextBody"/>
        <w:bidi w:val="0"/>
        <w:spacing w:lineRule="auto" w:line="288" w:before="120" w:after="120"/>
        <w:jc w:val="left"/>
        <w:rPr/>
      </w:pPr>
      <w:r>
        <w:rPr>
          <w:rFonts w:ascii="Futura Std Book;sans-serif" w:hAnsi="Futura Std Book;sans-serif"/>
          <w:b/>
          <w:color w:val="000000"/>
          <w:sz w:val="18"/>
          <w:u w:val="single"/>
        </w:rPr>
        <w:t>Pension-Adjusted Metrics</w:t>
      </w:r>
      <w:r>
        <w:rPr>
          <w:rFonts w:ascii="Futura Std Book;sans-serif" w:hAnsi="Futura Std Book;sans-serif"/>
          <w:b w:val="false"/>
          <w:color w:val="000000"/>
          <w:sz w:val="18"/>
        </w:rPr>
        <w:t>: For financial statement purposes, we account for our employee pension plans in accordance with GAAP (FAS). However, the cost of these plans is charged to our contracts in accordance with the Federal Acquisition Regulation (FAR) and the related U.S. Government Cost Accounting Standards (CAS) that govern such plans. We use pension-adjusted metrics as internal measures of financial performance and for performance-based compensation decisions.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The FAS/CAS operating adjustment referred to below reflects the difference between CAS pension expense included as cost in segment operating income and the service cost component of FAS expense included in total operating income. The total net FAS/CAS pension adjustment referred to below reflects the combined FAS/CAS operating adjustment and Non-operating FAS pension benefit. The following pension-adjusted measures may be useful to investors and other users of our financial statements in evaluating our performance based upon the pension costs charged to our contracts. All pension-adjusted metrics are reconciled below.</w:t>
      </w:r>
    </w:p>
    <w:p>
      <w:pPr>
        <w:pStyle w:val="TextBody"/>
        <w:bidi w:val="0"/>
        <w:spacing w:lineRule="auto" w:line="288" w:before="120" w:after="120"/>
        <w:jc w:val="left"/>
        <w:rPr/>
      </w:pPr>
      <w:r>
        <w:rPr>
          <w:rFonts w:ascii="Futura Std Book;sans-serif" w:hAnsi="Futura Std Book;sans-serif"/>
          <w:b/>
          <w:color w:val="000000"/>
          <w:sz w:val="18"/>
          <w:u w:val="single"/>
        </w:rPr>
        <w:t>Pension-Adjusted Operating Income</w:t>
      </w:r>
      <w:r>
        <w:rPr>
          <w:rFonts w:ascii="Futura Std Book;sans-serif" w:hAnsi="Futura Std Book;sans-serif"/>
          <w:b w:val="false"/>
          <w:color w:val="000000"/>
          <w:sz w:val="18"/>
        </w:rPr>
        <w:t>: Operating income before the FAS/CAS operating adjustment as defined above and excluding unallocated state tax impacts reflected within unallocated corporate income (expense). As approved by the Compensation and Human Capital Committee, this metric has been adjusted to exclude Orbital ATK intangible asset amortization and property, plant and equipment (PP&amp;E) step-up depreciation.</w:t>
      </w:r>
    </w:p>
    <w:p>
      <w:pPr>
        <w:pStyle w:val="TextBody"/>
        <w:bidi w:val="0"/>
        <w:spacing w:lineRule="auto" w:line="288" w:before="120" w:after="120"/>
        <w:jc w:val="left"/>
        <w:rPr/>
      </w:pPr>
      <w:r>
        <w:rPr>
          <w:rFonts w:ascii="Futura Std Book;sans-serif" w:hAnsi="Futura Std Book;sans-serif"/>
          <w:b/>
          <w:color w:val="000000"/>
          <w:sz w:val="18"/>
          <w:u w:val="single"/>
        </w:rPr>
        <w:t>Pension-Adjusted Operating Margin (OM) Rate</w:t>
      </w:r>
      <w:r>
        <w:rPr>
          <w:rFonts w:ascii="Futura Std Book;sans-serif" w:hAnsi="Futura Std Book;sans-serif"/>
          <w:b w:val="false"/>
          <w:color w:val="000000"/>
          <w:sz w:val="18"/>
        </w:rPr>
        <w:t>: Pension-Adjusted Operating Income as defined above, divided by sales.</w:t>
      </w:r>
    </w:p>
    <w:p>
      <w:pPr>
        <w:pStyle w:val="TextBody"/>
        <w:bidi w:val="0"/>
        <w:spacing w:lineRule="auto" w:line="288" w:before="120" w:after="120"/>
        <w:jc w:val="left"/>
        <w:rPr/>
      </w:pPr>
      <w:r>
        <w:rPr>
          <w:rFonts w:ascii="Futura Std Book;sans-serif" w:hAnsi="Futura Std Book;sans-serif"/>
          <w:b/>
          <w:color w:val="000000"/>
          <w:sz w:val="18"/>
          <w:u w:val="single"/>
        </w:rPr>
        <w:t>Segment Operating Income and Segment Operating Margin Rate:</w:t>
      </w:r>
      <w:r>
        <w:rPr>
          <w:color w:val="000000"/>
        </w:rPr>
        <w:t xml:space="preserve"> </w:t>
      </w:r>
      <w:r>
        <w:rPr>
          <w:rFonts w:ascii="Futura Std Book;sans-serif" w:hAnsi="Futura Std Book;sans-serif"/>
          <w:b w:val="false"/>
          <w:color w:val="000000"/>
          <w:sz w:val="18"/>
        </w:rPr>
        <w:t>Segment Operating Income and Segment Operating Margin Rate (Segment Operating 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pStyle w:val="TextBody"/>
        <w:bidi w:val="0"/>
        <w:spacing w:lineRule="auto" w:line="288" w:before="120" w:after="120"/>
        <w:jc w:val="left"/>
        <w:rPr/>
      </w:pPr>
      <w:r>
        <w:rPr>
          <w:rFonts w:ascii="Futura Std Book;sans-serif" w:hAnsi="Futura Std Book;sans-serif"/>
          <w:b/>
          <w:color w:val="000000"/>
          <w:sz w:val="18"/>
          <w:u w:val="single"/>
        </w:rPr>
        <w:t>MTM-Adjusted Net Earnings</w:t>
      </w:r>
      <w:r>
        <w:rPr>
          <w:rFonts w:ascii="Futura Std Book;sans-serif" w:hAnsi="Futura Std Book;sans-serif"/>
          <w:b w:val="false"/>
          <w:color w:val="000000"/>
          <w:sz w:val="18"/>
        </w:rPr>
        <w:t>: Net earnings excluding MTM expense and related tax impacts. This measure may be useful to investors and other users of our financial statements as a supplemental measure in evaluating the Company’s underlying financial performance by presenting the Company’s operating results before the non-operational impact of pension and OPB actuarial gains and losses. This measure is also consistent with how management views the underlying performance of the business as the impact of MTM accounting is not considered in management’s assessment of the Company’s operating performance or in its determination of incentive compensation awards.</w:t>
      </w:r>
    </w:p>
    <w:p>
      <w:pPr>
        <w:pStyle w:val="TextBody"/>
        <w:bidi w:val="0"/>
        <w:spacing w:lineRule="auto" w:line="288" w:before="120" w:after="120"/>
        <w:jc w:val="left"/>
        <w:rPr/>
      </w:pPr>
      <w:r>
        <w:rPr>
          <w:rFonts w:ascii="Futura Std Book;sans-serif" w:hAnsi="Futura Std Book;sans-serif"/>
          <w:b/>
          <w:color w:val="000000"/>
          <w:sz w:val="18"/>
          <w:u w:val="single"/>
        </w:rPr>
        <w:t>MTM-Adjusted EPS</w:t>
      </w:r>
      <w:r>
        <w:rPr>
          <w:rFonts w:ascii="Futura Std Book;sans-serif" w:hAnsi="Futura Std Book;sans-serif"/>
          <w:b w:val="false"/>
          <w:color w:val="000000"/>
          <w:sz w:val="18"/>
        </w:rPr>
        <w:t>: Diluted earnings per share excluding the per share impact of MTM benefit (expense) and related tax impacts. This measure may be useful to investors and other users of our financial statements as a supplemental measure in evaluating the company’s underlying financial performance per share by presenting the company’s diluted earnings per share results before the non-operational impact of pension and OPB actuarial gains and losses.</w:t>
      </w:r>
    </w:p>
    <w:p>
      <w:pPr>
        <w:pStyle w:val="TextBody"/>
        <w:bidi w:val="0"/>
        <w:spacing w:lineRule="auto" w:line="288" w:before="120" w:after="120"/>
        <w:jc w:val="left"/>
        <w:rPr/>
      </w:pPr>
      <w:r>
        <w:rPr>
          <w:rFonts w:ascii="Futura Std Book;sans-serif" w:hAnsi="Futura Std Book;sans-serif"/>
          <w:b/>
          <w:color w:val="000000"/>
          <w:sz w:val="18"/>
          <w:u w:val="single"/>
        </w:rPr>
        <w:t>Pension-Adjusted Net Operating Profit After-Tax (Pension-Adjusted NOPAT)</w:t>
      </w:r>
      <w:r>
        <w:rPr>
          <w:rFonts w:ascii="Futura Std Book;sans-serif" w:hAnsi="Futura Std Book;sans-serif"/>
          <w:b w:val="false"/>
          <w:color w:val="000000"/>
          <w:sz w:val="18"/>
        </w:rPr>
        <w:t>: MTM-Adjusted Net Earnings, as defined above, adjusted to exclude interest expense, Orbital ATK intangible asset amortization and PP&amp;E step-up depreciation and net FAS/CAS pension adjustment, as defined above, after taxes and other earnings adjustments as approved by the Compensation and Human Capital Committee. For the 2022 grant, this metric has been adjusted to exclude unanticipated impacts to this measure for each three-year period since initial grant setting. Approved adjustments include a charge on the low-rate initial production phase of the B-21 program (including the related federal and state tax impacts), the gain on sale of a minority investment in an international business, the loss on divestiture of a small international subsidiary, as well as the federal tax impacts of each sale.</w:t>
      </w:r>
    </w:p>
    <w:p>
      <w:pPr>
        <w:pStyle w:val="TextBody"/>
        <w:bidi w:val="0"/>
        <w:spacing w:lineRule="auto" w:line="288" w:before="120" w:after="120"/>
        <w:jc w:val="left"/>
        <w:rPr/>
      </w:pPr>
      <w:r>
        <w:rPr>
          <w:rFonts w:ascii="Futura Std Book;sans-serif" w:hAnsi="Futura Std Book;sans-serif"/>
          <w:b/>
          <w:color w:val="000000"/>
          <w:sz w:val="18"/>
          <w:u w:val="single"/>
        </w:rPr>
        <w:t>Return on Invested Capital (ROIC</w:t>
      </w:r>
      <w:r>
        <w:rPr>
          <w:rFonts w:ascii="Futura Std Book;sans-serif" w:hAnsi="Futura Std Book;sans-serif"/>
          <w:b/>
          <w:color w:val="000000"/>
          <w:sz w:val="18"/>
        </w:rPr>
        <w:t>)</w:t>
      </w:r>
      <w:r>
        <w:rPr>
          <w:rFonts w:ascii="Futura Std Book;sans-serif" w:hAnsi="Futura Std Book;sans-serif"/>
          <w:b w:val="false"/>
          <w:color w:val="000000"/>
          <w:sz w:val="18"/>
        </w:rPr>
        <w:t>:</w:t>
      </w:r>
      <w:r>
        <w:rPr>
          <w:color w:val="000000"/>
        </w:rPr>
        <w:t xml:space="preserve"> </w:t>
      </w:r>
      <w:r>
        <w:rPr>
          <w:rFonts w:ascii="Futura Std Book;sans-serif" w:hAnsi="Futura Std Book;sans-serif"/>
          <w:b w:val="false"/>
          <w:color w:val="000000"/>
          <w:sz w:val="18"/>
        </w:rPr>
        <w:t>The three-year average of Pension-Adjusted NOPAT, as defined above, divided by the three-year average of invested capital, as defined below.</w:t>
      </w:r>
    </w:p>
    <w:p>
      <w:pPr>
        <w:pStyle w:val="TextBody"/>
        <w:bidi w:val="0"/>
        <w:spacing w:lineRule="auto" w:line="288" w:before="120" w:after="120"/>
        <w:jc w:val="left"/>
        <w:rPr/>
      </w:pPr>
      <w:r>
        <w:rPr>
          <w:rFonts w:ascii="Futura Std Book;sans-serif" w:hAnsi="Futura Std Book;sans-serif"/>
          <w:b/>
          <w:color w:val="000000"/>
          <w:sz w:val="18"/>
          <w:u w:val="single"/>
        </w:rPr>
        <w:t>Invested Capital</w:t>
      </w:r>
      <w:r>
        <w:rPr>
          <w:rFonts w:ascii="Futura Std Book;sans-serif" w:hAnsi="Futura Std Book;sans-serif"/>
          <w:b w:val="false"/>
          <w:color w:val="000000"/>
          <w:sz w:val="18"/>
        </w:rPr>
        <w:t xml:space="preserve">: Shareholder’s equity plus total long-term debt, net of cash and cash equivalents. As approved by the Compensation and Human Capital Committee, Invested Capital excludes the impact on retained earnings related to accumulated other comprehensive income (loss) (AOCI/(AOCL), cumulative MTM benefits (expenses) from 2021 onward after federal and state taxes, and the 2021 IT services divestiture, including the gain on sale of the business, associated federal and state income tax expenses, transaction costs, and the make-whole premium for early debt redemption. Approved adjustments also include impacts resulting from the charge on the low-rate initial production phase of the B-21 program (including the related federal and state tax impacts), plan-based differences in free cash flow related to unanticipated costs on the B-21 program, assumptions regarding tax legislation related to research credits at the time of grant setting, the gain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554990"/>
                <wp:effectExtent l="0" t="0" r="0" b="0"/>
                <wp:wrapNone/>
                <wp:docPr id="354" name="Frame108"/>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p>
      <w:pPr>
        <w:pStyle w:val="TextBody"/>
        <w:bidi w:val="0"/>
        <w:spacing w:lineRule="auto" w:line="288" w:before="120" w:after="120"/>
        <w:jc w:val="left"/>
        <w:rPr>
          <w:rFonts w:ascii="Futura Std Book;sans-serif" w:hAnsi="Futura Std Book;sans-serif"/>
          <w:b w:val="false"/>
          <w:color w:val="000000"/>
          <w:sz w:val="18"/>
        </w:rPr>
      </w:pPr>
      <w:r>
        <w:rPr>
          <w:rFonts w:ascii="Futura Std Book;sans-serif" w:hAnsi="Futura Std Book;sans-serif"/>
          <w:b w:val="false"/>
          <w:color w:val="000000"/>
          <w:sz w:val="18"/>
        </w:rPr>
        <w:t>on sale of a minority investment in an international business, the loss on divestiture of a small international subsidiary, as well as the federal tax impacts of each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734695"/>
                <wp:effectExtent l="0" t="0" r="0" b="0"/>
                <wp:wrapNone/>
                <wp:docPr id="355" name="Frame109"/>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106</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p>
      <w:pPr>
        <w:pStyle w:val="TextBody"/>
        <w:bidi w:val="0"/>
        <w:spacing w:lineRule="auto" w:line="288" w:before="0" w:after="120"/>
        <w:jc w:val="left"/>
        <w:rPr>
          <w:rFonts w:ascii="Futura Std Book;sans-serif" w:hAnsi="Futura Std Book;sans-serif"/>
          <w:b/>
          <w:color w:val="000000"/>
          <w:sz w:val="36"/>
        </w:rPr>
      </w:pPr>
      <w:bookmarkStart w:id="14" w:name="idfbc8dda5d8446848b278eb1ab1265cf_15923"/>
      <w:bookmarkEnd w:id="14"/>
      <w:r>
        <w:rPr>
          <w:rFonts w:ascii="Futura Std Book;sans-serif" w:hAnsi="Futura Std Book;sans-serif"/>
          <w:b/>
          <w:color w:val="000000"/>
          <w:sz w:val="36"/>
        </w:rPr>
        <w:t>Reconciliation of Non-GAAP Financial Measures</w:t>
      </w:r>
    </w:p>
    <w:tbl>
      <w:tblPr>
        <w:tblW w:w="9695" w:type="dxa"/>
        <w:jc w:val="left"/>
        <w:tblInd w:w="0" w:type="dxa"/>
        <w:tblLayout w:type="fixed"/>
        <w:tblCellMar>
          <w:top w:w="28" w:type="dxa"/>
          <w:left w:w="28" w:type="dxa"/>
          <w:bottom w:w="28" w:type="dxa"/>
          <w:right w:w="28" w:type="dxa"/>
        </w:tblCellMar>
      </w:tblPr>
      <w:tblGrid>
        <w:gridCol w:w="2249"/>
        <w:gridCol w:w="1973"/>
        <w:gridCol w:w="2002"/>
        <w:gridCol w:w="109"/>
        <w:gridCol w:w="109"/>
        <w:gridCol w:w="109"/>
        <w:gridCol w:w="353"/>
        <w:gridCol w:w="353"/>
        <w:gridCol w:w="109"/>
        <w:gridCol w:w="109"/>
        <w:gridCol w:w="109"/>
        <w:gridCol w:w="109"/>
        <w:gridCol w:w="353"/>
        <w:gridCol w:w="353"/>
        <w:gridCol w:w="109"/>
        <w:gridCol w:w="109"/>
        <w:gridCol w:w="109"/>
        <w:gridCol w:w="109"/>
        <w:gridCol w:w="353"/>
        <w:gridCol w:w="353"/>
        <w:gridCol w:w="154"/>
      </w:tblGrid>
      <w:tr>
        <w:trPr/>
        <w:tc>
          <w:tcPr>
            <w:tcW w:w="2249"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471" w:type="dxa"/>
            <w:gridSpan w:val="18"/>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622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c>
          <w:tcPr>
            <w:tcW w:w="1187"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r>
      <w:tr>
        <w:trPr/>
        <w:tc>
          <w:tcPr>
            <w:tcW w:w="622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Cash Flow Metrics</w:t>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15"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1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860"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r>
      <w:tr>
        <w:trPr/>
        <w:tc>
          <w:tcPr>
            <w:tcW w:w="622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cash provided by operating activities</w:t>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4,388</w:t>
            </w: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3,875</w:t>
            </w: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2,901</w:t>
            </w:r>
            <w:r>
              <w:rPr>
                <w:color w:val="000000"/>
              </w:rPr>
              <w:t> </w:t>
            </w:r>
          </w:p>
        </w:tc>
        <w:tc>
          <w:tcPr>
            <w:tcW w:w="15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Capital expenditures</w:t>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(1,767)</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(1,775)</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(1,435)</w:t>
            </w:r>
          </w:p>
        </w:tc>
        <w:tc>
          <w:tcPr>
            <w:tcW w:w="15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Free Cash Flow</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2,621</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2,100</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1,466</w:t>
            </w: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Proceeds from sale of equipment to a customer</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155 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Free Cash Flow</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2,621</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2,100</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1,621</w:t>
            </w: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After-tax required pension contributions</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58 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68 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68 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Adjusted Free Cash Flow Before After-Tax Total Pension Funding</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2,679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2,168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1,689</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Approved cash flow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Cumulative Free Cash Flow</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7,949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850" w:type="dxa"/>
        <w:jc w:val="left"/>
        <w:tblInd w:w="0" w:type="dxa"/>
        <w:tblLayout w:type="fixed"/>
        <w:tblCellMar>
          <w:top w:w="28" w:type="dxa"/>
          <w:left w:w="28" w:type="dxa"/>
          <w:bottom w:w="28" w:type="dxa"/>
          <w:right w:w="28" w:type="dxa"/>
        </w:tblCellMar>
      </w:tblPr>
      <w:tblGrid>
        <w:gridCol w:w="1480"/>
        <w:gridCol w:w="1299"/>
        <w:gridCol w:w="1316"/>
        <w:gridCol w:w="109"/>
        <w:gridCol w:w="109"/>
        <w:gridCol w:w="109"/>
        <w:gridCol w:w="353"/>
        <w:gridCol w:w="353"/>
        <w:gridCol w:w="109"/>
        <w:gridCol w:w="109"/>
        <w:gridCol w:w="109"/>
        <w:gridCol w:w="109"/>
        <w:gridCol w:w="353"/>
        <w:gridCol w:w="353"/>
        <w:gridCol w:w="109"/>
        <w:gridCol w:w="109"/>
        <w:gridCol w:w="109"/>
        <w:gridCol w:w="109"/>
        <w:gridCol w:w="353"/>
        <w:gridCol w:w="353"/>
        <w:gridCol w:w="109"/>
        <w:gridCol w:w="109"/>
        <w:gridCol w:w="109"/>
        <w:gridCol w:w="109"/>
        <w:gridCol w:w="353"/>
        <w:gridCol w:w="353"/>
        <w:gridCol w:w="109"/>
        <w:gridCol w:w="109"/>
        <w:gridCol w:w="109"/>
        <w:gridCol w:w="109"/>
        <w:gridCol w:w="353"/>
        <w:gridCol w:w="353"/>
        <w:gridCol w:w="154"/>
      </w:tblGrid>
      <w:tr>
        <w:trPr/>
        <w:tc>
          <w:tcPr>
            <w:tcW w:w="14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30"/>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40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2021</w:t>
            </w:r>
          </w:p>
        </w:tc>
        <w:tc>
          <w:tcPr>
            <w:tcW w:w="1187"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2020</w:t>
            </w:r>
          </w:p>
        </w:tc>
      </w:tr>
      <w:tr>
        <w:trPr/>
        <w:tc>
          <w:tcPr>
            <w:tcW w:w="4095"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cash provided by operating activities</w:t>
            </w:r>
          </w:p>
        </w:tc>
        <w:tc>
          <w:tcPr>
            <w:tcW w:w="32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4,388</w:t>
            </w:r>
            <w:r>
              <w:rPr>
                <w:color w:val="000000"/>
              </w:rPr>
              <w:t> </w:t>
            </w:r>
          </w:p>
        </w:tc>
        <w:tc>
          <w:tcPr>
            <w:tcW w:w="109"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3,875</w:t>
            </w:r>
            <w:r>
              <w:rPr>
                <w:color w:val="000000"/>
              </w:rPr>
              <w:t> </w:t>
            </w:r>
          </w:p>
        </w:tc>
        <w:tc>
          <w:tcPr>
            <w:tcW w:w="109"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2,901</w:t>
            </w:r>
            <w:r>
              <w:rPr>
                <w:color w:val="000000"/>
              </w:rPr>
              <w:t> </w:t>
            </w:r>
          </w:p>
        </w:tc>
        <w:tc>
          <w:tcPr>
            <w:tcW w:w="109"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3,567</w:t>
            </w:r>
            <w:r>
              <w:rPr>
                <w:color w:val="000000"/>
              </w:rPr>
              <w:t> </w:t>
            </w:r>
          </w:p>
        </w:tc>
        <w:tc>
          <w:tcPr>
            <w:tcW w:w="109"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4,305</w:t>
            </w:r>
            <w:r>
              <w:rPr>
                <w:color w:val="000000"/>
              </w:rPr>
              <w:t> </w:t>
            </w:r>
          </w:p>
        </w:tc>
        <w:tc>
          <w:tcPr>
            <w:tcW w:w="154" w:type="dxa"/>
            <w:tcBorders>
              <w:top w:val="single" w:sz="8" w:space="0" w:color="29378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Proceeds from sale of equipment to a customer</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155 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205 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IT services divestiture transaction costs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32 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IT services divestiture federal and state taxes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785 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After-tax discretionary pension contributions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593 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Approved cash flow adjustments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(279)</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(238)</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857 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Adjusted Cash Flow from Operations</w:t>
            </w:r>
          </w:p>
        </w:tc>
        <w:tc>
          <w:tcPr>
            <w:tcW w:w="327" w:type="dxa"/>
            <w:gridSpan w:val="3"/>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4,109</w:t>
            </w:r>
            <w:r>
              <w:rPr>
                <w:color w:val="000000"/>
              </w:rPr>
              <w:t> </w:t>
            </w:r>
          </w:p>
        </w:tc>
        <w:tc>
          <w:tcPr>
            <w:tcW w:w="109"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3,637</w:t>
            </w:r>
            <w:r>
              <w:rPr>
                <w:color w:val="000000"/>
              </w:rPr>
              <w:t> </w:t>
            </w:r>
          </w:p>
        </w:tc>
        <w:tc>
          <w:tcPr>
            <w:tcW w:w="109"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3,913</w:t>
            </w:r>
            <w:r>
              <w:rPr>
                <w:color w:val="000000"/>
              </w:rPr>
              <w:t> </w:t>
            </w:r>
          </w:p>
        </w:tc>
        <w:tc>
          <w:tcPr>
            <w:tcW w:w="109"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4,475</w:t>
            </w:r>
            <w:r>
              <w:rPr>
                <w:color w:val="000000"/>
              </w:rPr>
              <w:t> </w:t>
            </w:r>
          </w:p>
        </w:tc>
        <w:tc>
          <w:tcPr>
            <w:tcW w:w="109"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bottom w:val="single" w:sz="4" w:space="0" w:color="BCBEC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5,135</w:t>
            </w:r>
            <w:r>
              <w:rPr>
                <w:color w:val="000000"/>
              </w:rPr>
              <w:t> </w:t>
            </w:r>
          </w:p>
        </w:tc>
        <w:tc>
          <w:tcPr>
            <w:tcW w:w="154" w:type="dxa"/>
            <w:tcBorders>
              <w:top w:val="single" w:sz="4" w:space="0" w:color="BCBEC0"/>
              <w:bottom w:val="single" w:sz="4" w:space="0" w:color="BCBEC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80" w:type="dxa"/>
        <w:jc w:val="left"/>
        <w:tblInd w:w="0" w:type="dxa"/>
        <w:tblLayout w:type="fixed"/>
        <w:tblCellMar>
          <w:top w:w="28" w:type="dxa"/>
          <w:left w:w="28" w:type="dxa"/>
          <w:bottom w:w="28" w:type="dxa"/>
          <w:right w:w="28" w:type="dxa"/>
        </w:tblCellMar>
      </w:tblPr>
      <w:tblGrid>
        <w:gridCol w:w="2350"/>
        <w:gridCol w:w="2062"/>
        <w:gridCol w:w="2083"/>
        <w:gridCol w:w="118"/>
        <w:gridCol w:w="118"/>
        <w:gridCol w:w="118"/>
        <w:gridCol w:w="353"/>
        <w:gridCol w:w="353"/>
        <w:gridCol w:w="325"/>
      </w:tblGrid>
      <w:tr>
        <w:trPr/>
        <w:tc>
          <w:tcPr>
            <w:tcW w:w="2350"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385" w:type="dxa"/>
            <w:gridSpan w:val="6"/>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649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385"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r>
      <w:tr>
        <w:trPr/>
        <w:tc>
          <w:tcPr>
            <w:tcW w:w="6495"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Pension-Adjusted Metrics</w:t>
            </w:r>
          </w:p>
        </w:tc>
        <w:tc>
          <w:tcPr>
            <w:tcW w:w="35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31"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Operating income</w:t>
            </w:r>
          </w:p>
        </w:tc>
        <w:tc>
          <w:tcPr>
            <w:tcW w:w="3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4,370</w:t>
            </w:r>
            <w:r>
              <w:rPr>
                <w:color w:val="000000"/>
              </w:rPr>
              <w:t> </w:t>
            </w:r>
          </w:p>
        </w:tc>
        <w:tc>
          <w:tcPr>
            <w:tcW w:w="3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FAS/CAS operating adjustment</w:t>
            </w:r>
          </w:p>
        </w:tc>
        <w:tc>
          <w:tcPr>
            <w:tcW w:w="3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(40)</w:t>
            </w:r>
          </w:p>
        </w:tc>
        <w:tc>
          <w:tcPr>
            <w:tcW w:w="3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Unallocated state tax impacts reflected within unallocated income (expense)</w:t>
            </w:r>
          </w:p>
        </w:tc>
        <w:tc>
          <w:tcPr>
            <w:tcW w:w="3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(47)</w:t>
            </w:r>
          </w:p>
        </w:tc>
        <w:tc>
          <w:tcPr>
            <w:tcW w:w="3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Approved operating income adjustments</w:t>
            </w:r>
          </w:p>
        </w:tc>
        <w:tc>
          <w:tcPr>
            <w:tcW w:w="354"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87 </w:t>
            </w:r>
          </w:p>
        </w:tc>
        <w:tc>
          <w:tcPr>
            <w:tcW w:w="3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Pension-Adjusted Operating Income</w:t>
            </w:r>
          </w:p>
        </w:tc>
        <w:tc>
          <w:tcPr>
            <w:tcW w:w="35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4,370</w:t>
            </w:r>
            <w:r>
              <w:rPr>
                <w:color w:val="000000"/>
              </w:rPr>
              <w:t> </w:t>
            </w:r>
          </w:p>
        </w:tc>
        <w:tc>
          <w:tcPr>
            <w:tcW w:w="325"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4" w:space="0" w:color="BCBEC0"/>
              <w:bottom w:val="single" w:sz="8" w:space="0" w:color="D1D3D4"/>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Pension-Adjusted OM Rate</w:t>
            </w:r>
          </w:p>
        </w:tc>
        <w:tc>
          <w:tcPr>
            <w:tcW w:w="354" w:type="dxa"/>
            <w:gridSpan w:val="3"/>
            <w:tcBorders>
              <w:top w:val="single" w:sz="4" w:space="0" w:color="BCBEC0"/>
              <w:bottom w:val="single" w:sz="8" w:space="0" w:color="D1D3D4"/>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bottom w:val="single" w:sz="8" w:space="0" w:color="D1D3D4"/>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10.6 </w:t>
            </w:r>
          </w:p>
        </w:tc>
        <w:tc>
          <w:tcPr>
            <w:tcW w:w="325" w:type="dxa"/>
            <w:tcBorders>
              <w:top w:val="single" w:sz="4" w:space="0" w:color="BCBEC0"/>
              <w:bottom w:val="single" w:sz="8" w:space="0" w:color="D1D3D4"/>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bl>
    <w:tbl>
      <w:tblPr>
        <w:tblW w:w="8246" w:type="dxa"/>
        <w:jc w:val="left"/>
        <w:tblInd w:w="0" w:type="dxa"/>
        <w:tblLayout w:type="fixed"/>
        <w:tblCellMar>
          <w:top w:w="28" w:type="dxa"/>
          <w:left w:w="28" w:type="dxa"/>
          <w:bottom w:w="28" w:type="dxa"/>
          <w:right w:w="28" w:type="dxa"/>
        </w:tblCellMar>
      </w:tblPr>
      <w:tblGrid>
        <w:gridCol w:w="1552"/>
        <w:gridCol w:w="1362"/>
        <w:gridCol w:w="1375"/>
        <w:gridCol w:w="109"/>
        <w:gridCol w:w="109"/>
        <w:gridCol w:w="109"/>
        <w:gridCol w:w="360"/>
        <w:gridCol w:w="361"/>
        <w:gridCol w:w="256"/>
        <w:gridCol w:w="109"/>
        <w:gridCol w:w="109"/>
        <w:gridCol w:w="109"/>
        <w:gridCol w:w="360"/>
        <w:gridCol w:w="361"/>
        <w:gridCol w:w="256"/>
        <w:gridCol w:w="109"/>
        <w:gridCol w:w="109"/>
        <w:gridCol w:w="109"/>
        <w:gridCol w:w="360"/>
        <w:gridCol w:w="361"/>
        <w:gridCol w:w="301"/>
      </w:tblGrid>
      <w:tr>
        <w:trPr/>
        <w:tc>
          <w:tcPr>
            <w:tcW w:w="155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957" w:type="dxa"/>
            <w:gridSpan w:val="18"/>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42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304"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1304"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c>
          <w:tcPr>
            <w:tcW w:w="1349"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r>
      <w:tr>
        <w:trPr/>
        <w:tc>
          <w:tcPr>
            <w:tcW w:w="428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Segment Operating Income</w:t>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Sales</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41,033 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39,290 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36,602 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242424"/>
                <w:sz w:val="16"/>
              </w:rPr>
            </w:pPr>
            <w:r>
              <w:rPr>
                <w:rFonts w:ascii="Futura Std Book;sans-serif" w:hAnsi="Futura Std Book;sans-serif"/>
                <w:b/>
                <w:color w:val="242424"/>
                <w:sz w:val="16"/>
              </w:rPr>
              <w:t>Operating income</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4,370</w:t>
            </w:r>
            <w:r>
              <w:rPr>
                <w:color w:val="000000"/>
              </w:rPr>
              <w:t>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2,537</w:t>
            </w:r>
            <w:r>
              <w:rPr>
                <w:color w:val="000000"/>
              </w:rPr>
              <w:t>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3,601</w:t>
            </w:r>
            <w:r>
              <w:rPr>
                <w:color w:val="000000"/>
              </w:rPr>
              <w:t>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Operating margin rate</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10.6 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6.5 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9.8 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w:t>
            </w:r>
          </w:p>
        </w:tc>
      </w:tr>
      <w:tr>
        <w:trPr/>
        <w:tc>
          <w:tcPr>
            <w:tcW w:w="42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Reconciliation to Segment Operating Income</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22"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r>
      <w:tr>
        <w:trPr/>
        <w:tc>
          <w:tcPr>
            <w:tcW w:w="42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FAS/CAS operating adjustment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(40)</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200 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Unallocated corporate expense (income)</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214 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141 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452 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Segment Operating Income</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4,544</w:t>
            </w:r>
            <w:r>
              <w:rPr>
                <w:color w:val="000000"/>
              </w:rPr>
              <w:t>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2,760</w:t>
            </w:r>
            <w:r>
              <w:rPr>
                <w:color w:val="000000"/>
              </w:rPr>
              <w:t> </w:t>
            </w:r>
          </w:p>
        </w:tc>
        <w:tc>
          <w:tcPr>
            <w:tcW w:w="2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21"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4,253</w:t>
            </w:r>
            <w:r>
              <w:rPr>
                <w:color w:val="000000"/>
              </w:rPr>
              <w:t> </w:t>
            </w:r>
          </w:p>
        </w:tc>
        <w:tc>
          <w:tcPr>
            <w:tcW w:w="30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Segment Operating Margin Rate</w:t>
            </w:r>
          </w:p>
        </w:tc>
        <w:tc>
          <w:tcPr>
            <w:tcW w:w="327" w:type="dxa"/>
            <w:gridSpan w:val="3"/>
            <w:tcBorders>
              <w:top w:val="single" w:sz="4" w:space="0" w:color="BCBEC0"/>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11.1 </w:t>
            </w:r>
          </w:p>
        </w:tc>
        <w:tc>
          <w:tcPr>
            <w:tcW w:w="256" w:type="dxa"/>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c>
          <w:tcPr>
            <w:tcW w:w="327" w:type="dxa"/>
            <w:gridSpan w:val="3"/>
            <w:tcBorders>
              <w:top w:val="single" w:sz="4" w:space="0" w:color="BCBEC0"/>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7.0 </w:t>
            </w:r>
          </w:p>
        </w:tc>
        <w:tc>
          <w:tcPr>
            <w:tcW w:w="256" w:type="dxa"/>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c>
          <w:tcPr>
            <w:tcW w:w="327" w:type="dxa"/>
            <w:gridSpan w:val="3"/>
            <w:tcBorders>
              <w:top w:val="single" w:sz="4" w:space="0" w:color="BCBEC0"/>
              <w:bottom w:val="single" w:sz="8" w:space="0" w:color="DBDBDB"/>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val="false"/>
                <w:i/>
                <w:color w:val="000000"/>
                <w:sz w:val="16"/>
              </w:rPr>
            </w:pPr>
            <w:r>
              <w:rPr>
                <w:rFonts w:ascii="Futura Std Book;sans-serif" w:hAnsi="Futura Std Book;sans-serif"/>
                <w:b w:val="false"/>
                <w:i/>
                <w:color w:val="000000"/>
                <w:sz w:val="16"/>
              </w:rPr>
              <w:t>11.6 </w:t>
            </w:r>
          </w:p>
        </w:tc>
        <w:tc>
          <w:tcPr>
            <w:tcW w:w="301" w:type="dxa"/>
            <w:tcBorders>
              <w:top w:val="single" w:sz="4" w:space="0" w:color="BCBEC0"/>
              <w:bottom w:val="single" w:sz="8" w:space="0" w:color="DBDBDB"/>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val="false"/>
                <w:i/>
                <w:color w:val="000000"/>
                <w:sz w:val="16"/>
              </w:rPr>
            </w:pPr>
            <w:r>
              <w:rPr>
                <w:rFonts w:ascii="Futura Std Book;sans-serif" w:hAnsi="Futura Std Book;sans-serif"/>
                <w:b w:val="false"/>
                <w:i/>
                <w:color w:val="000000"/>
                <w:sz w:val="16"/>
              </w:rPr>
              <w:t>%</w:t>
            </w:r>
          </w:p>
        </w:tc>
      </w:tr>
    </w:tbl>
    <w:p>
      <w:pPr>
        <w:pStyle w:val="TextBody"/>
        <w:bidi w:val="0"/>
        <w:spacing w:before="120" w:after="120"/>
        <w:ind w:left="0" w:right="0" w:hanging="21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554990"/>
                <wp:effectExtent l="0" t="0" r="0" b="0"/>
                <wp:wrapNone/>
                <wp:docPr id="356" name="Frame110"/>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left"/>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tbl>
      <w:tblPr>
        <w:tblW w:w="8705" w:type="dxa"/>
        <w:jc w:val="left"/>
        <w:tblInd w:w="0" w:type="dxa"/>
        <w:tblLayout w:type="fixed"/>
        <w:tblCellMar>
          <w:top w:w="28" w:type="dxa"/>
          <w:left w:w="28" w:type="dxa"/>
          <w:bottom w:w="28" w:type="dxa"/>
          <w:right w:w="28" w:type="dxa"/>
        </w:tblCellMar>
      </w:tblPr>
      <w:tblGrid>
        <w:gridCol w:w="1897"/>
        <w:gridCol w:w="1662"/>
        <w:gridCol w:w="1675"/>
        <w:gridCol w:w="109"/>
        <w:gridCol w:w="109"/>
        <w:gridCol w:w="109"/>
        <w:gridCol w:w="353"/>
        <w:gridCol w:w="353"/>
        <w:gridCol w:w="109"/>
        <w:gridCol w:w="109"/>
        <w:gridCol w:w="109"/>
        <w:gridCol w:w="109"/>
        <w:gridCol w:w="353"/>
        <w:gridCol w:w="353"/>
        <w:gridCol w:w="109"/>
        <w:gridCol w:w="109"/>
        <w:gridCol w:w="109"/>
        <w:gridCol w:w="109"/>
        <w:gridCol w:w="353"/>
        <w:gridCol w:w="353"/>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471" w:type="dxa"/>
            <w:gridSpan w:val="18"/>
            <w:tcBorders>
              <w:bottom w:val="single" w:sz="8" w:space="0" w:color="29378D"/>
            </w:tcBorders>
            <w:tcMar>
              <w:top w:w="0" w:type="dxa"/>
              <w:left w:w="0" w:type="dxa"/>
              <w:bottom w:w="3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523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c>
          <w:tcPr>
            <w:tcW w:w="1187"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r>
      <w:tr>
        <w:trPr/>
        <w:tc>
          <w:tcPr>
            <w:tcW w:w="5234"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MTM-Adjusted EPS</w:t>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earnings</w:t>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4,174</w:t>
            </w: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2,056</w:t>
            </w: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4,896</w:t>
            </w:r>
            <w:r>
              <w:rPr>
                <w:color w:val="000000"/>
              </w:rPr>
              <w:t> </w:t>
            </w:r>
          </w:p>
        </w:tc>
        <w:tc>
          <w:tcPr>
            <w:tcW w:w="15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expense (benefit)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(443)</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422 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(1,232)</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MTM-related deferred state tax expense (benefit)</w:t>
            </w:r>
            <w:r>
              <w:rPr>
                <w:rFonts w:ascii="Futura Std Book;sans-serif" w:hAnsi="Futura Std Book;sans-serif"/>
                <w:b w:val="false"/>
                <w:color w:val="000000"/>
                <w:sz w:val="10"/>
              </w:rPr>
              <w:t>(1)</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65 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Federal tax expense (benefit) of items above</w:t>
            </w:r>
            <w:r>
              <w:rPr>
                <w:rFonts w:ascii="Futura Std Book;sans-serif" w:hAnsi="Futura Std Book;sans-serif"/>
                <w:b w:val="false"/>
                <w:color w:val="000000"/>
                <w:sz w:val="10"/>
              </w:rPr>
              <w:t>(2)</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88 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adjustment,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(922)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MTM-Adjusted Net Earnings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3,842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2,372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3,974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Diluted earnings per share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28.34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13.53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31.47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(benefit) expense per share</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(3.02)</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2.78 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(7.92)</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MTM-related deferred state tax expense (benefit) per share</w:t>
            </w:r>
            <w:r>
              <w:rPr>
                <w:rFonts w:ascii="Futura Std Book;sans-serif" w:hAnsi="Futura Std Book;sans-serif"/>
                <w:b w:val="false"/>
                <w:color w:val="000000"/>
                <w:sz w:val="10"/>
              </w:rPr>
              <w:t>(1)</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0.16 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(0.14)</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0.42 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Federal tax expense (benefit) of items above per share</w:t>
            </w:r>
            <w:r>
              <w:rPr>
                <w:rFonts w:ascii="Futura Std Book;sans-serif" w:hAnsi="Futura Std Book;sans-serif"/>
                <w:b w:val="false"/>
                <w:color w:val="000000"/>
                <w:sz w:val="10"/>
              </w:rPr>
              <w:t>(2)</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0.60 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(0.56)</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1.57 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adjustment per share,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(5.93)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MTM-Adjusted EPS</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26.08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15.61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25.54</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85" w:type="dxa"/>
        <w:jc w:val="left"/>
        <w:tblInd w:w="0" w:type="dxa"/>
        <w:tblLayout w:type="fixed"/>
        <w:tblCellMar>
          <w:top w:w="28" w:type="dxa"/>
          <w:left w:w="28" w:type="dxa"/>
          <w:bottom w:w="28" w:type="dxa"/>
          <w:right w:w="28" w:type="dxa"/>
        </w:tblCellMar>
      </w:tblPr>
      <w:tblGrid>
        <w:gridCol w:w="2394"/>
        <w:gridCol w:w="2098"/>
        <w:gridCol w:w="2122"/>
        <w:gridCol w:w="109"/>
        <w:gridCol w:w="109"/>
        <w:gridCol w:w="109"/>
        <w:gridCol w:w="353"/>
        <w:gridCol w:w="353"/>
        <w:gridCol w:w="109"/>
        <w:gridCol w:w="109"/>
        <w:gridCol w:w="109"/>
        <w:gridCol w:w="109"/>
        <w:gridCol w:w="353"/>
        <w:gridCol w:w="353"/>
        <w:gridCol w:w="109"/>
        <w:gridCol w:w="109"/>
        <w:gridCol w:w="109"/>
        <w:gridCol w:w="109"/>
        <w:gridCol w:w="353"/>
        <w:gridCol w:w="353"/>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471" w:type="dxa"/>
            <w:gridSpan w:val="18"/>
            <w:tcBorders>
              <w:bottom w:val="single" w:sz="8" w:space="0" w:color="29378D"/>
            </w:tcBorders>
            <w:tcMar>
              <w:top w:w="0" w:type="dxa"/>
              <w:left w:w="0" w:type="dxa"/>
              <w:bottom w:w="30" w:type="dxa"/>
              <w:right w:w="0" w:type="dxa"/>
            </w:tcMar>
            <w:vAlign w:val="center"/>
          </w:tcPr>
          <w:p>
            <w:pPr>
              <w:pStyle w:val="TableContents"/>
              <w:bidi w:val="0"/>
              <w:spacing w:lineRule="auto" w:line="276" w:before="0" w:after="0"/>
              <w:jc w:val="center"/>
              <w:rPr>
                <w:rFonts w:ascii="Futura Std Book;sans-serif" w:hAnsi="Futura Std Book;sans-serif"/>
                <w:b/>
                <w:color w:val="000000"/>
                <w:sz w:val="14"/>
              </w:rPr>
            </w:pPr>
            <w:r>
              <w:rPr>
                <w:rFonts w:ascii="Futura Std Book;sans-serif" w:hAnsi="Futura Std Book;sans-serif"/>
                <w:b/>
                <w:color w:val="000000"/>
                <w:sz w:val="14"/>
              </w:rPr>
              <w:t>Total Year</w:t>
            </w:r>
          </w:p>
        </w:tc>
      </w:tr>
      <w:tr>
        <w:trPr/>
        <w:tc>
          <w:tcPr>
            <w:tcW w:w="66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1142"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c>
          <w:tcPr>
            <w:tcW w:w="1187" w:type="dxa"/>
            <w:gridSpan w:val="6"/>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r>
      <w:tr>
        <w:trPr/>
        <w:tc>
          <w:tcPr>
            <w:tcW w:w="6614"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Pension-Adjusted NOPAT</w:t>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Net earnings</w:t>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4,174</w:t>
            </w: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2,056</w:t>
            </w:r>
            <w:r>
              <w:rPr>
                <w:color w:val="000000"/>
              </w:rPr>
              <w:t> </w:t>
            </w:r>
          </w:p>
        </w:tc>
        <w:tc>
          <w:tcPr>
            <w:tcW w:w="109"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4,896</w:t>
            </w:r>
            <w:r>
              <w:rPr>
                <w:color w:val="000000"/>
              </w:rPr>
              <w:t> </w:t>
            </w:r>
          </w:p>
        </w:tc>
        <w:tc>
          <w:tcPr>
            <w:tcW w:w="154"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expense (benefit)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(443)</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422 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(1,232)</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MTM-related deferred state tax (benefit) expense</w:t>
            </w:r>
            <w:r>
              <w:rPr>
                <w:rFonts w:ascii="Futura Std Book;sans-serif" w:hAnsi="Futura Std Book;sans-serif"/>
                <w:b w:val="false"/>
                <w:color w:val="000000"/>
                <w:sz w:val="10"/>
              </w:rPr>
              <w:t>(1)</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23 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65 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pPr>
            <w:r>
              <w:rPr>
                <w:rFonts w:ascii="Futura Std Book;sans-serif" w:hAnsi="Futura Std Book;sans-serif"/>
                <w:b w:val="false"/>
                <w:color w:val="000000"/>
                <w:sz w:val="16"/>
              </w:rPr>
              <w:t>Federal tax (benefit) expense of items above</w:t>
            </w:r>
            <w:r>
              <w:rPr>
                <w:rFonts w:ascii="Futura Std Book;sans-serif" w:hAnsi="Futura Std Book;sans-serif"/>
                <w:b w:val="false"/>
                <w:color w:val="000000"/>
                <w:sz w:val="10"/>
              </w:rPr>
              <w:t>(2)</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88 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(84)</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245 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MTM adjustment, net of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(332)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(922)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MTM-Adjusted Net Earnings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3,842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2,372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3,974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Plus: Orbital ATK intangible asset amortization and PP&amp;E step-up depreciation</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87 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108 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227 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Less: Net FAS/CAS pension adjustment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FAS/CAS operating adjustment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(40)</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82 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200 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Non-Operating FAS pension benefit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(656)</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(530)</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(1,505)</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Net FAS/CAS pension adjustment</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(696)</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(448)</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(1,305)</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242424"/>
                <w:sz w:val="16"/>
              </w:rPr>
            </w:pPr>
            <w:r>
              <w:rPr>
                <w:rFonts w:ascii="Futura Std Book;sans-serif" w:hAnsi="Futura Std Book;sans-serif"/>
                <w:b w:val="false"/>
                <w:color w:val="242424"/>
                <w:sz w:val="16"/>
              </w:rPr>
              <w:t>Federal tax (benefit) expense of items above</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(43)</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120 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242424"/>
                <w:sz w:val="16"/>
              </w:rPr>
            </w:pPr>
            <w:r>
              <w:rPr>
                <w:rFonts w:ascii="Futura Std Book;sans-serif" w:hAnsi="Futura Std Book;sans-serif"/>
                <w:b w:val="false"/>
                <w:color w:val="242424"/>
                <w:sz w:val="16"/>
              </w:rPr>
              <w:t>Approved NOPAT adjustments (post-tax)</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1,103 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Pension-Adjusted NOPAT</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3,851</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3,637</w:t>
            </w:r>
            <w:r>
              <w:rPr>
                <w:color w:val="000000"/>
              </w:rPr>
              <w:t> </w:t>
            </w:r>
          </w:p>
        </w:tc>
        <w:tc>
          <w:tcPr>
            <w:tcW w:w="109"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3,522</w:t>
            </w:r>
            <w:r>
              <w:rPr>
                <w:color w:val="000000"/>
              </w:rPr>
              <w:t> </w:t>
            </w:r>
          </w:p>
        </w:tc>
        <w:tc>
          <w:tcPr>
            <w:tcW w:w="15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242424"/>
                <w:sz w:val="16"/>
              </w:rPr>
            </w:pPr>
            <w:r>
              <w:rPr>
                <w:rFonts w:ascii="Futura Std Book;sans-serif" w:hAnsi="Futura Std Book;sans-serif"/>
                <w:b/>
                <w:color w:val="242424"/>
                <w:sz w:val="16"/>
              </w:rPr>
              <w:t>Pension-Adjusted NOPAT (three-year average)</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w:t>
            </w:r>
          </w:p>
        </w:tc>
        <w:tc>
          <w:tcPr>
            <w:tcW w:w="7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3,670</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88"/>
        <w:jc w:val="left"/>
        <w:rPr>
          <w:rFonts w:ascii="Futura Std Book;sans-serif" w:hAnsi="Futura Std Book;sans-serif"/>
          <w:b w:val="false"/>
          <w:color w:val="000000"/>
          <w:sz w:val="16"/>
        </w:rPr>
      </w:pPr>
      <w:r>
        <w:rPr>
          <w:rFonts w:ascii="Futura Std Book;sans-serif" w:hAnsi="Futura Std Book;sans-serif"/>
          <w:b w:val="false"/>
          <w:color w:val="000000"/>
          <w:sz w:val="16"/>
        </w:rPr>
        <w:t>(1)MTM expense is expected to be deductible on our future state tax returns. The deferred state tax benefit was calculated using the Company’s blended state tax rate of 5.25 percent and included in Unallocated corporate (income) expense within operating income.</w:t>
      </w:r>
    </w:p>
    <w:p>
      <w:pPr>
        <w:pStyle w:val="TextBody"/>
        <w:bidi w:val="0"/>
        <w:spacing w:lineRule="auto" w:line="288" w:before="80" w:after="80"/>
        <w:ind w:left="0" w:right="0" w:hanging="288"/>
        <w:jc w:val="left"/>
        <w:rPr/>
      </w:pPr>
      <w:r>
        <w:rPr>
          <w:rFonts w:ascii="Futura Std Book;sans-serif" w:hAnsi="Futura Std Book;sans-serif"/>
          <w:b w:val="false"/>
          <w:color w:val="000000"/>
          <w:sz w:val="16"/>
        </w:rPr>
        <w:t xml:space="preserve">(2)The federal tax impact in each period was calculated by subtracting the deferred state tax impact from MTM benefit (expense) and applying the 21 percent federal statutory </w:t>
      </w:r>
      <w:bookmarkStart w:id="15" w:name="idfbc8dda5d8446848b278eb1ab1265cf_63996"/>
      <w:bookmarkEnd w:id="15"/>
      <w:r>
        <w:rPr>
          <w:rFonts w:ascii="Futura Std Book;sans-serif" w:hAnsi="Futura Std Book;sans-serif"/>
          <w:b w:val="false"/>
          <w:color w:val="000000"/>
          <w:sz w:val="16"/>
        </w:rPr>
        <w:t>r</w:t>
      </w:r>
      <w:bookmarkStart w:id="16" w:name="idfbc8dda5d8446848b278eb1ab1265cf_63978"/>
      <w:bookmarkEnd w:id="16"/>
      <w:r>
        <w:rPr>
          <w:rFonts w:ascii="Futura Std Book;sans-serif" w:hAnsi="Futura Std Book;sans-serif"/>
          <w:b w:val="false"/>
          <w:color w:val="000000"/>
          <w:sz w:val="16"/>
        </w:rPr>
        <w:t>ate.</w:t>
      </w:r>
    </w:p>
    <w:p>
      <w:pPr>
        <w:pStyle w:val="TextBody"/>
        <w:bidi w:val="0"/>
        <w:spacing w:before="80" w:after="80"/>
        <w:ind w:left="0" w:right="0" w:hanging="288"/>
        <w:jc w:val="left"/>
        <w:rPr/>
      </w:pPr>
      <w:r>
        <w:rPr/>
      </w:r>
    </w:p>
    <w:p>
      <w:pPr>
        <w:pStyle w:val="TextBody"/>
        <w:bidi w:val="0"/>
        <w:spacing w:before="80" w:after="80"/>
        <w:ind w:left="0" w:right="0" w:firstLine="72"/>
        <w:jc w:val="left"/>
        <w:rPr/>
      </w:pPr>
      <w:r>
        <w:rPr/>
      </w:r>
    </w:p>
    <w:p>
      <w:pPr>
        <w:pStyle w:val="TextBody"/>
        <w:bidi w:val="0"/>
        <w:spacing w:before="80" w:after="80"/>
        <w:ind w:left="0" w:right="0" w:firstLine="72"/>
        <w:jc w:val="left"/>
        <w:rPr/>
      </w:pPr>
      <w:r>
        <w:rPr/>
      </w:r>
    </w:p>
    <w:p>
      <w:pPr>
        <w:pStyle w:val="TextBody"/>
        <w:bidi w:val="0"/>
        <w:spacing w:before="80" w:after="80"/>
        <w:ind w:left="0" w:right="0" w:firstLine="7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734695"/>
                <wp:effectExtent l="0" t="0" r="0" b="0"/>
                <wp:wrapNone/>
                <wp:docPr id="357" name="Frame111"/>
                <a:graphic xmlns:a="http://schemas.openxmlformats.org/drawingml/2006/main">
                  <a:graphicData uri="http://schemas.microsoft.com/office/word/2010/wordprocessingShape">
                    <wps:wsp>
                      <wps:cNvSpPr txBox="1"/>
                      <wps:spPr>
                        <a:xfrm>
                          <a:off x="0" y="0"/>
                          <a:ext cx="6480175" cy="734695"/>
                        </a:xfrm>
                        <a:prstGeom prst="rect"/>
                        <a:solidFill>
                          <a:srgbClr val="FFFFFF"/>
                        </a:solidFill>
                      </wps:spPr>
                      <wps:txb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5pt;mso-wrap-distance-left:0pt;mso-wrap-distance-right:0pt;mso-wrap-distance-top:0pt;mso-wrap-distance-bottom:0pt;margin-top:0pt;mso-position-vertical:top;mso-position-vertical-relative:text;margin-left:0pt;mso-position-horizontal:left;mso-position-horizontal-relative:text">
                <v:textbox>
                  <w:txbxContent>
                    <w:tbl>
                      <w:tblPr>
                        <w:tblW w:w="2281" w:type="dxa"/>
                        <w:jc w:val="left"/>
                        <w:tblInd w:w="0" w:type="dxa"/>
                        <w:tblLayout w:type="fixed"/>
                        <w:tblCellMar>
                          <w:top w:w="28" w:type="dxa"/>
                          <w:left w:w="28" w:type="dxa"/>
                          <w:bottom w:w="28" w:type="dxa"/>
                          <w:right w:w="28" w:type="dxa"/>
                        </w:tblCellMar>
                      </w:tblPr>
                      <w:tblGrid>
                        <w:gridCol w:w="174"/>
                        <w:gridCol w:w="153"/>
                        <w:gridCol w:w="154"/>
                        <w:gridCol w:w="526"/>
                        <w:gridCol w:w="526"/>
                        <w:gridCol w:w="748"/>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108</w:t>
                            </w:r>
                          </w:p>
                        </w:tc>
                        <w:tc>
                          <w:tcPr>
                            <w:tcW w:w="180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val="false"/>
                                <w:color w:val="000000"/>
                                <w:sz w:val="16"/>
                              </w:rPr>
                            </w:pPr>
                            <w:r>
                              <w:rPr>
                                <w:rFonts w:ascii="Futura Std Book;sans-serif" w:hAnsi="Futura Std Book;sans-serif"/>
                                <w:b w:val="false"/>
                                <w:color w:val="000000"/>
                                <w:sz w:val="16"/>
                              </w:rPr>
                              <w:t>Northrop Grumman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right"/>
        <w:rPr>
          <w:rFonts w:ascii="Futura Std Book;sans-serif" w:hAnsi="Futura Std Book;sans-serif"/>
          <w:b/>
          <w:color w:val="000000"/>
          <w:sz w:val="16"/>
        </w:rPr>
      </w:pPr>
      <w:r>
        <w:rPr>
          <w:rFonts w:ascii="Futura Std Book;sans-serif" w:hAnsi="Futura Std Book;sans-serif"/>
          <w:b/>
          <w:color w:val="000000"/>
          <w:sz w:val="16"/>
        </w:rPr>
        <w:t>Appendix A – Use of Non-GAAP Financial Measures</w:t>
      </w:r>
    </w:p>
    <w:tbl>
      <w:tblPr>
        <w:tblW w:w="7488" w:type="dxa"/>
        <w:jc w:val="left"/>
        <w:tblInd w:w="0" w:type="dxa"/>
        <w:tblLayout w:type="fixed"/>
        <w:tblCellMar>
          <w:top w:w="28" w:type="dxa"/>
          <w:left w:w="28" w:type="dxa"/>
          <w:bottom w:w="28" w:type="dxa"/>
          <w:right w:w="28" w:type="dxa"/>
        </w:tblCellMar>
      </w:tblPr>
      <w:tblGrid>
        <w:gridCol w:w="1224"/>
        <w:gridCol w:w="1071"/>
        <w:gridCol w:w="1094"/>
        <w:gridCol w:w="109"/>
        <w:gridCol w:w="109"/>
        <w:gridCol w:w="109"/>
        <w:gridCol w:w="413"/>
        <w:gridCol w:w="413"/>
        <w:gridCol w:w="271"/>
        <w:gridCol w:w="109"/>
        <w:gridCol w:w="109"/>
        <w:gridCol w:w="109"/>
        <w:gridCol w:w="413"/>
        <w:gridCol w:w="413"/>
        <w:gridCol w:w="156"/>
        <w:gridCol w:w="109"/>
        <w:gridCol w:w="109"/>
        <w:gridCol w:w="109"/>
        <w:gridCol w:w="413"/>
        <w:gridCol w:w="413"/>
        <w:gridCol w:w="213"/>
      </w:tblGrid>
      <w:tr>
        <w:trPr/>
        <w:tc>
          <w:tcPr>
            <w:tcW w:w="122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8"/>
            <w:tcBorders/>
            <w:tcMar>
              <w:top w:w="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December 31</w:t>
            </w:r>
          </w:p>
        </w:tc>
      </w:tr>
      <w:tr>
        <w:trPr/>
        <w:tc>
          <w:tcPr>
            <w:tcW w:w="33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Futura Std Book;sans-serif" w:hAnsi="Futura Std Book;sans-serif"/>
                <w:b/>
                <w:color w:val="000000"/>
                <w:sz w:val="14"/>
              </w:rPr>
            </w:pPr>
            <w:r>
              <w:rPr>
                <w:rFonts w:ascii="Futura Std Book;sans-serif" w:hAnsi="Futura Std Book;sans-serif"/>
                <w:b/>
                <w:color w:val="000000"/>
                <w:sz w:val="14"/>
              </w:rPr>
              <w:t>($M)</w:t>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2024</w:t>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2023</w:t>
            </w:r>
          </w:p>
        </w:tc>
        <w:tc>
          <w:tcPr>
            <w:tcW w:w="327" w:type="dxa"/>
            <w:gridSpan w:val="3"/>
            <w:tcBorders>
              <w:top w:val="single" w:sz="8" w:space="0" w:color="2937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283"/>
              <w:jc w:val="center"/>
              <w:rPr>
                <w:rFonts w:ascii="Futura Std Book;sans-serif" w:hAnsi="Futura Std Book;sans-serif"/>
                <w:b/>
                <w:color w:val="000000"/>
                <w:sz w:val="14"/>
              </w:rPr>
            </w:pPr>
            <w:r>
              <w:rPr>
                <w:rFonts w:ascii="Futura Std Book;sans-serif" w:hAnsi="Futura Std Book;sans-serif"/>
                <w:b/>
                <w:color w:val="000000"/>
                <w:sz w:val="14"/>
              </w:rPr>
              <w:t>2022</w:t>
            </w:r>
          </w:p>
        </w:tc>
      </w:tr>
      <w:tr>
        <w:trPr/>
        <w:tc>
          <w:tcPr>
            <w:tcW w:w="3389" w:type="dxa"/>
            <w:gridSpan w:val="3"/>
            <w:tcBorders>
              <w:top w:val="single" w:sz="8" w:space="0" w:color="29378D"/>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ROIC</w:t>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A22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Shareholders Equity</w:t>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15,290</w:t>
            </w:r>
            <w:r>
              <w:rPr>
                <w:color w:val="000000"/>
              </w:rPr>
              <w:t> </w:t>
            </w:r>
          </w:p>
        </w:tc>
        <w:tc>
          <w:tcPr>
            <w:tcW w:w="271"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14,795</w:t>
            </w:r>
            <w:r>
              <w:rPr>
                <w:color w:val="000000"/>
              </w:rPr>
              <w:t> </w:t>
            </w:r>
          </w:p>
        </w:tc>
        <w:tc>
          <w:tcPr>
            <w:tcW w:w="156"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8" w:space="0" w:color="DBDBDB"/>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15,312</w:t>
            </w:r>
            <w:r>
              <w:rPr>
                <w:color w:val="000000"/>
              </w:rPr>
              <w:t> </w:t>
            </w:r>
          </w:p>
        </w:tc>
        <w:tc>
          <w:tcPr>
            <w:tcW w:w="213" w:type="dxa"/>
            <w:tcBorders>
              <w:top w:val="single" w:sz="8" w:space="0" w:color="DBDBD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Total long-term debt</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16,274</w:t>
            </w:r>
            <w:r>
              <w:rPr>
                <w:color w:val="000000"/>
              </w:rPr>
              <w:t> </w:t>
            </w:r>
          </w:p>
        </w:tc>
        <w:tc>
          <w:tcPr>
            <w:tcW w:w="2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13,856</w:t>
            </w:r>
            <w:r>
              <w:rPr>
                <w:color w:val="000000"/>
              </w:rPr>
              <w:t> </w:t>
            </w:r>
          </w:p>
        </w:tc>
        <w:tc>
          <w:tcPr>
            <w:tcW w:w="1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12,877</w:t>
            </w:r>
            <w:r>
              <w:rPr>
                <w:color w:val="000000"/>
              </w:rPr>
              <w:t> </w:t>
            </w:r>
          </w:p>
        </w:tc>
        <w:tc>
          <w:tcPr>
            <w:tcW w:w="2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Less: Cash and cash equivalents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(4,353)</w:t>
            </w:r>
          </w:p>
        </w:tc>
        <w:tc>
          <w:tcPr>
            <w:tcW w:w="2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(3,109)</w:t>
            </w:r>
          </w:p>
        </w:tc>
        <w:tc>
          <w:tcPr>
            <w:tcW w:w="1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(2,577)</w:t>
            </w:r>
          </w:p>
        </w:tc>
        <w:tc>
          <w:tcPr>
            <w:tcW w:w="2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Approved invested capital adjustments</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(4,422)</w:t>
            </w:r>
          </w:p>
        </w:tc>
        <w:tc>
          <w:tcPr>
            <w:tcW w:w="2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(3,745)</w:t>
            </w:r>
          </w:p>
        </w:tc>
        <w:tc>
          <w:tcPr>
            <w:tcW w:w="1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val="false"/>
                <w:color w:val="000000"/>
                <w:sz w:val="16"/>
              </w:rPr>
            </w:pPr>
            <w:r>
              <w:rPr>
                <w:rFonts w:ascii="Futura Std Book;sans-serif" w:hAnsi="Futura Std Book;sans-serif"/>
                <w:b w:val="false"/>
                <w:color w:val="000000"/>
                <w:sz w:val="16"/>
              </w:rPr>
              <w:t>(4,555)</w:t>
            </w:r>
          </w:p>
        </w:tc>
        <w:tc>
          <w:tcPr>
            <w:tcW w:w="2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Invested Capital</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22,789</w:t>
            </w:r>
            <w:r>
              <w:rPr>
                <w:color w:val="000000"/>
              </w:rPr>
              <w:t> </w:t>
            </w:r>
          </w:p>
        </w:tc>
        <w:tc>
          <w:tcPr>
            <w:tcW w:w="27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21,797</w:t>
            </w:r>
            <w:r>
              <w:rPr>
                <w:color w:val="000000"/>
              </w:rPr>
              <w:t> </w:t>
            </w:r>
          </w:p>
        </w:tc>
        <w:tc>
          <w:tcPr>
            <w:tcW w:w="15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8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21,057</w:t>
            </w:r>
            <w:r>
              <w:rPr>
                <w:color w:val="000000"/>
              </w:rPr>
              <w:t> </w:t>
            </w:r>
          </w:p>
        </w:tc>
        <w:tc>
          <w:tcPr>
            <w:tcW w:w="213"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left"/>
              <w:rPr>
                <w:rFonts w:ascii="Futura Std Book;sans-serif" w:hAnsi="Futura Std Book;sans-serif"/>
                <w:b w:val="false"/>
                <w:color w:val="000000"/>
                <w:sz w:val="16"/>
              </w:rPr>
            </w:pPr>
            <w:r>
              <w:rPr>
                <w:rFonts w:ascii="Futura Std Book;sans-serif" w:hAnsi="Futura Std Book;sans-serif"/>
                <w:b w:val="false"/>
                <w:color w:val="000000"/>
                <w:sz w:val="16"/>
              </w:rPr>
              <w:t>Invested Capital (three-year average)</w:t>
            </w:r>
          </w:p>
        </w:tc>
        <w:tc>
          <w:tcPr>
            <w:tcW w:w="32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w:t>
            </w:r>
          </w:p>
        </w:tc>
        <w:tc>
          <w:tcPr>
            <w:tcW w:w="1097"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21,881</w:t>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0"/>
              <w:jc w:val="left"/>
              <w:rPr>
                <w:rFonts w:ascii="Futura Std Book;sans-serif" w:hAnsi="Futura Std Book;sans-serif"/>
                <w:b/>
                <w:color w:val="000000"/>
                <w:sz w:val="16"/>
              </w:rPr>
            </w:pPr>
            <w:r>
              <w:rPr>
                <w:rFonts w:ascii="Futura Std Book;sans-serif" w:hAnsi="Futura Std Book;sans-serif"/>
                <w:b/>
                <w:color w:val="000000"/>
                <w:sz w:val="16"/>
              </w:rPr>
              <w:t>ROIC</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pPr>
            <w:r>
              <w:rPr>
                <w:rFonts w:ascii="Futura Std Book;sans-serif" w:hAnsi="Futura Std Book;sans-serif"/>
                <w:b/>
                <w:color w:val="000000"/>
                <w:sz w:val="16"/>
              </w:rPr>
              <w:t>16.8</w:t>
            </w:r>
            <w:r>
              <w:rPr>
                <w:color w:val="000000"/>
              </w:rPr>
              <w:t> </w:t>
            </w:r>
          </w:p>
        </w:tc>
        <w:tc>
          <w:tcPr>
            <w:tcW w:w="2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right"/>
              <w:rPr>
                <w:rFonts w:ascii="Futura Std Book;sans-serif" w:hAnsi="Futura Std Book;sans-serif"/>
                <w:b/>
                <w:color w:val="000000"/>
                <w:sz w:val="16"/>
              </w:rPr>
            </w:pPr>
            <w:r>
              <w:rPr>
                <w:rFonts w:ascii="Futura Std Book;sans-serif" w:hAnsi="Futura Std Book;sans-serif"/>
                <w:b/>
                <w:color w:val="000000"/>
                <w:sz w:val="16"/>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554990"/>
                <wp:effectExtent l="0" t="0" r="0" b="0"/>
                <wp:wrapNone/>
                <wp:docPr id="358" name="Frame112"/>
                <a:graphic xmlns:a="http://schemas.openxmlformats.org/drawingml/2006/main">
                  <a:graphicData uri="http://schemas.microsoft.com/office/word/2010/wordprocessingShape">
                    <wps:wsp>
                      <wps:cNvSpPr txBox="1"/>
                      <wps:spPr>
                        <a:xfrm>
                          <a:off x="0" y="0"/>
                          <a:ext cx="6480175" cy="554990"/>
                        </a:xfrm>
                        <a:prstGeom prst="rect"/>
                        <a:solidFill>
                          <a:srgbClr val="FFFFFF"/>
                        </a:solidFill>
                      </wps:spPr>
                      <wps:txb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7pt;mso-wrap-distance-left:0pt;mso-wrap-distance-right:0pt;mso-wrap-distance-top:0pt;mso-wrap-distance-bottom:0pt;margin-top:0pt;mso-position-vertical:top;mso-position-vertical-relative:text;margin-left:0pt;mso-position-horizontal:left;mso-position-horizontal-relative:text">
                <v:textbox>
                  <w:txbxContent>
                    <w:tbl>
                      <w:tblPr>
                        <w:tblW w:w="2506" w:type="dxa"/>
                        <w:jc w:val="right"/>
                        <w:tblInd w:w="0" w:type="dxa"/>
                        <w:tblLayout w:type="fixed"/>
                        <w:tblCellMar>
                          <w:top w:w="28" w:type="dxa"/>
                          <w:left w:w="28" w:type="dxa"/>
                          <w:bottom w:w="28" w:type="dxa"/>
                          <w:right w:w="28" w:type="dxa"/>
                        </w:tblCellMar>
                      </w:tblPr>
                      <w:tblGrid>
                        <w:gridCol w:w="723"/>
                        <w:gridCol w:w="634"/>
                        <w:gridCol w:w="638"/>
                        <w:gridCol w:w="149"/>
                        <w:gridCol w:w="149"/>
                        <w:gridCol w:w="213"/>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val="false"/>
                                <w:color w:val="000000"/>
                                <w:sz w:val="16"/>
                              </w:rPr>
                            </w:pPr>
                            <w:r>
                              <w:rPr>
                                <w:rFonts w:ascii="Futura Std Book;sans-serif" w:hAnsi="Futura Std Book;sans-serif"/>
                                <w:b w:val="false"/>
                                <w:color w:val="000000"/>
                                <w:sz w:val="16"/>
                              </w:rPr>
                              <w:t>2025 Proxy Statement</w:t>
                            </w:r>
                          </w:p>
                        </w:tc>
                        <w:tc>
                          <w:tcPr>
                            <w:tcW w:w="511"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Futura Std Book;sans-serif" w:hAnsi="Futura Std Book;sans-serif"/>
                                <w:b/>
                                <w:color w:val="000000"/>
                                <w:sz w:val="16"/>
                              </w:rPr>
                            </w:pPr>
                            <w:r>
                              <w:rPr>
                                <w:rFonts w:ascii="Futura Std Book;sans-serif" w:hAnsi="Futura Std Book;sans-serif"/>
                                <w:b/>
                                <w:color w:val="000000"/>
                                <w:sz w:val="16"/>
                              </w:rPr>
                              <w:t>109</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80" w:after="80"/>
        <w:jc w:val="center"/>
        <w:rPr/>
      </w:pPr>
      <w:r>
        <w:rPr/>
        <w:drawing>
          <wp:inline distT="0" distB="0" distL="0" distR="0">
            <wp:extent cx="7543800" cy="9829800"/>
            <wp:effectExtent l="0" t="0" r="0" b="0"/>
            <wp:docPr id="359"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47" descr=""/>
                    <pic:cNvPicPr>
                      <a:picLocks noChangeAspect="1" noChangeArrowheads="1"/>
                    </pic:cNvPicPr>
                  </pic:nvPicPr>
                  <pic:blipFill>
                    <a:blip r:embed="rId248"/>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251460"/>
                <wp:effectExtent l="0" t="0" r="0" b="0"/>
                <wp:wrapNone/>
                <wp:docPr id="360" name="Frame11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953375"/>
            <wp:effectExtent l="0" t="0" r="0" b="0"/>
            <wp:docPr id="36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48" descr=""/>
                    <pic:cNvPicPr>
                      <a:picLocks noChangeAspect="1" noChangeArrowheads="1"/>
                    </pic:cNvPicPr>
                  </pic:nvPicPr>
                  <pic:blipFill>
                    <a:blip r:embed="rId249"/>
                    <a:stretch>
                      <a:fillRect/>
                    </a:stretch>
                  </pic:blipFill>
                  <pic:spPr bwMode="auto">
                    <a:xfrm>
                      <a:off x="0" y="0"/>
                      <a:ext cx="6172200" cy="79533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251460"/>
                <wp:effectExtent l="0" t="0" r="0" b="0"/>
                <wp:wrapNone/>
                <wp:docPr id="362" name="Frame11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829550"/>
            <wp:effectExtent l="0" t="0" r="0" b="0"/>
            <wp:docPr id="363"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49" descr=""/>
                    <pic:cNvPicPr>
                      <a:picLocks noChangeAspect="1" noChangeArrowheads="1"/>
                    </pic:cNvPicPr>
                  </pic:nvPicPr>
                  <pic:blipFill>
                    <a:blip r:embed="rId250"/>
                    <a:stretch>
                      <a:fillRect/>
                    </a:stretch>
                  </pic:blipFill>
                  <pic:spPr bwMode="auto">
                    <a:xfrm>
                      <a:off x="0" y="0"/>
                      <a:ext cx="6172200" cy="78295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251460"/>
                <wp:effectExtent l="0" t="0" r="0" b="0"/>
                <wp:wrapNone/>
                <wp:docPr id="364" name="Frame11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781925"/>
            <wp:effectExtent l="0" t="0" r="0" b="0"/>
            <wp:docPr id="365"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50" descr=""/>
                    <pic:cNvPicPr>
                      <a:picLocks noChangeAspect="1" noChangeArrowheads="1"/>
                    </pic:cNvPicPr>
                  </pic:nvPicPr>
                  <pic:blipFill>
                    <a:blip r:embed="rId251"/>
                    <a:stretch>
                      <a:fillRect/>
                    </a:stretch>
                  </pic:blipFill>
                  <pic:spPr bwMode="auto">
                    <a:xfrm>
                      <a:off x="0" y="0"/>
                      <a:ext cx="6172200" cy="77819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251460"/>
                <wp:effectExtent l="0" t="0" r="0" b="0"/>
                <wp:wrapNone/>
                <wp:docPr id="366" name="Frame11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762875"/>
            <wp:effectExtent l="0" t="0" r="0" b="0"/>
            <wp:docPr id="367"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251" descr=""/>
                    <pic:cNvPicPr>
                      <a:picLocks noChangeAspect="1" noChangeArrowheads="1"/>
                    </pic:cNvPicPr>
                  </pic:nvPicPr>
                  <pic:blipFill>
                    <a:blip r:embed="rId252"/>
                    <a:stretch>
                      <a:fillRect/>
                    </a:stretch>
                  </pic:blipFill>
                  <pic:spPr bwMode="auto">
                    <a:xfrm>
                      <a:off x="0" y="0"/>
                      <a:ext cx="6172200" cy="77628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251460"/>
                <wp:effectExtent l="0" t="0" r="0" b="0"/>
                <wp:wrapNone/>
                <wp:docPr id="368" name="Frame11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791450"/>
            <wp:effectExtent l="0" t="0" r="0" b="0"/>
            <wp:docPr id="369"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52" descr=""/>
                    <pic:cNvPicPr>
                      <a:picLocks noChangeAspect="1" noChangeArrowheads="1"/>
                    </pic:cNvPicPr>
                  </pic:nvPicPr>
                  <pic:blipFill>
                    <a:blip r:embed="rId253"/>
                    <a:stretch>
                      <a:fillRect/>
                    </a:stretch>
                  </pic:blipFill>
                  <pic:spPr bwMode="auto">
                    <a:xfrm>
                      <a:off x="0" y="0"/>
                      <a:ext cx="6172200" cy="77914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251460"/>
                <wp:effectExtent l="0" t="0" r="0" b="0"/>
                <wp:wrapNone/>
                <wp:docPr id="370" name="Frame11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534275"/>
            <wp:effectExtent l="0" t="0" r="0" b="0"/>
            <wp:docPr id="371"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253" descr=""/>
                    <pic:cNvPicPr>
                      <a:picLocks noChangeAspect="1" noChangeArrowheads="1"/>
                    </pic:cNvPicPr>
                  </pic:nvPicPr>
                  <pic:blipFill>
                    <a:blip r:embed="rId254"/>
                    <a:stretch>
                      <a:fillRect/>
                    </a:stretch>
                  </pic:blipFill>
                  <pic:spPr bwMode="auto">
                    <a:xfrm>
                      <a:off x="0" y="0"/>
                      <a:ext cx="6172200" cy="75342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251460"/>
                <wp:effectExtent l="0" t="0" r="0" b="0"/>
                <wp:wrapNone/>
                <wp:docPr id="372" name="Frame11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877175"/>
            <wp:effectExtent l="0" t="0" r="0" b="0"/>
            <wp:docPr id="373"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254" descr=""/>
                    <pic:cNvPicPr>
                      <a:picLocks noChangeAspect="1" noChangeArrowheads="1"/>
                    </pic:cNvPicPr>
                  </pic:nvPicPr>
                  <pic:blipFill>
                    <a:blip r:embed="rId255"/>
                    <a:stretch>
                      <a:fillRect/>
                    </a:stretch>
                  </pic:blipFill>
                  <pic:spPr bwMode="auto">
                    <a:xfrm>
                      <a:off x="0" y="0"/>
                      <a:ext cx="6172200" cy="78771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251460"/>
                <wp:effectExtent l="0" t="0" r="0" b="0"/>
                <wp:wrapNone/>
                <wp:docPr id="374" name="Frame12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7562850"/>
            <wp:effectExtent l="0" t="0" r="0" b="0"/>
            <wp:docPr id="37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55" descr=""/>
                    <pic:cNvPicPr>
                      <a:picLocks noChangeAspect="1" noChangeArrowheads="1"/>
                    </pic:cNvPicPr>
                  </pic:nvPicPr>
                  <pic:blipFill>
                    <a:blip r:embed="rId256"/>
                    <a:stretch>
                      <a:fillRect/>
                    </a:stretch>
                  </pic:blipFill>
                  <pic:spPr bwMode="auto">
                    <a:xfrm>
                      <a:off x="0" y="0"/>
                      <a:ext cx="6172200" cy="75628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251460"/>
                <wp:effectExtent l="0" t="0" r="0" b="0"/>
                <wp:wrapNone/>
                <wp:docPr id="376" name="Frame12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6172200" cy="6915150"/>
            <wp:effectExtent l="0" t="0" r="0" b="0"/>
            <wp:docPr id="377"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56" descr=""/>
                    <pic:cNvPicPr>
                      <a:picLocks noChangeAspect="1" noChangeArrowheads="1"/>
                    </pic:cNvPicPr>
                  </pic:nvPicPr>
                  <pic:blipFill>
                    <a:blip r:embed="rId257"/>
                    <a:stretch>
                      <a:fillRect/>
                    </a:stretch>
                  </pic:blipFill>
                  <pic:spPr bwMode="auto">
                    <a:xfrm>
                      <a:off x="0" y="0"/>
                      <a:ext cx="6172200" cy="69151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251460"/>
                <wp:effectExtent l="0" t="0" r="0" b="0"/>
                <wp:wrapNone/>
                <wp:docPr id="378" name="Frame12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5486400" cy="7286625"/>
            <wp:effectExtent l="0" t="0" r="0" b="0"/>
            <wp:docPr id="379"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57" descr=""/>
                    <pic:cNvPicPr>
                      <a:picLocks noChangeAspect="1" noChangeArrowheads="1"/>
                    </pic:cNvPicPr>
                  </pic:nvPicPr>
                  <pic:blipFill>
                    <a:blip r:embed="rId258"/>
                    <a:stretch>
                      <a:fillRect/>
                    </a:stretch>
                  </pic:blipFill>
                  <pic:spPr bwMode="auto">
                    <a:xfrm>
                      <a:off x="0" y="0"/>
                      <a:ext cx="5486400" cy="72866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251460"/>
                <wp:effectExtent l="0" t="0" r="0" b="0"/>
                <wp:wrapNone/>
                <wp:docPr id="380" name="Frame12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5486400" cy="7905750"/>
            <wp:effectExtent l="0" t="0" r="0" b="0"/>
            <wp:docPr id="381"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58" descr=""/>
                    <pic:cNvPicPr>
                      <a:picLocks noChangeAspect="1" noChangeArrowheads="1"/>
                    </pic:cNvPicPr>
                  </pic:nvPicPr>
                  <pic:blipFill>
                    <a:blip r:embed="rId259"/>
                    <a:stretch>
                      <a:fillRect/>
                    </a:stretch>
                  </pic:blipFill>
                  <pic:spPr bwMode="auto">
                    <a:xfrm>
                      <a:off x="0" y="0"/>
                      <a:ext cx="5486400" cy="79057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251460"/>
                <wp:effectExtent l="0" t="0" r="0" b="0"/>
                <wp:wrapNone/>
                <wp:docPr id="382" name="Frame12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right"/>
        <w:rPr/>
      </w:pPr>
      <w:r>
        <w:rPr/>
      </w:r>
    </w:p>
    <w:p>
      <w:pPr>
        <w:pStyle w:val="TextBody"/>
        <w:bidi w:val="0"/>
        <w:spacing w:before="120" w:after="120"/>
        <w:jc w:val="right"/>
        <w:rPr/>
      </w:pPr>
      <w:r>
        <w:rPr/>
      </w:r>
    </w:p>
    <w:p>
      <w:pPr>
        <w:pStyle w:val="TextBody"/>
        <w:bidi w:val="0"/>
        <w:spacing w:before="120" w:after="120"/>
        <w:jc w:val="center"/>
        <w:rPr/>
      </w:pPr>
      <w:r>
        <w:rPr/>
        <w:drawing>
          <wp:inline distT="0" distB="0" distL="0" distR="0">
            <wp:extent cx="5486400" cy="1819275"/>
            <wp:effectExtent l="0" t="0" r="0" b="0"/>
            <wp:docPr id="383"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59" descr=""/>
                    <pic:cNvPicPr>
                      <a:picLocks noChangeAspect="1" noChangeArrowheads="1"/>
                    </pic:cNvPicPr>
                  </pic:nvPicPr>
                  <pic:blipFill>
                    <a:blip r:embed="rId260"/>
                    <a:stretch>
                      <a:fillRect/>
                    </a:stretch>
                  </pic:blipFill>
                  <pic:spPr bwMode="auto">
                    <a:xfrm>
                      <a:off x="0" y="0"/>
                      <a:ext cx="5486400" cy="18192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251460"/>
                <wp:effectExtent l="0" t="0" r="0" b="0"/>
                <wp:wrapNone/>
                <wp:docPr id="384" name="Frame12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7762875" cy="1743075"/>
            <wp:effectExtent l="0" t="0" r="0" b="0"/>
            <wp:docPr id="385"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260" descr=""/>
                    <pic:cNvPicPr>
                      <a:picLocks noChangeAspect="1" noChangeArrowheads="1"/>
                    </pic:cNvPicPr>
                  </pic:nvPicPr>
                  <pic:blipFill>
                    <a:blip r:embed="rId261"/>
                    <a:stretch>
                      <a:fillRect/>
                    </a:stretch>
                  </pic:blipFill>
                  <pic:spPr bwMode="auto">
                    <a:xfrm>
                      <a:off x="0" y="0"/>
                      <a:ext cx="7762875" cy="1743075"/>
                    </a:xfrm>
                    <a:prstGeom prst="rect">
                      <a:avLst/>
                    </a:prstGeom>
                  </pic:spPr>
                </pic:pic>
              </a:graphicData>
            </a:graphic>
          </wp:inline>
        </w:drawing>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 xml:space="preserve">April 4, 2025 </w:t>
      </w:r>
    </w:p>
    <w:p>
      <w:pPr>
        <w:pStyle w:val="TextBody"/>
        <w:bidi w:val="0"/>
        <w:spacing w:lineRule="auto" w:line="268" w:before="0" w:after="0"/>
        <w:jc w:val="left"/>
        <w:rPr>
          <w:rFonts w:ascii="Arial;sans-serif" w:hAnsi="Arial;sans-serif"/>
          <w:b/>
          <w:color w:val="000000"/>
          <w:sz w:val="24"/>
        </w:rPr>
      </w:pPr>
      <w:r>
        <w:rPr>
          <w:rFonts w:ascii="Arial;sans-serif" w:hAnsi="Arial;sans-serif"/>
          <w:b/>
          <w:color w:val="000000"/>
          <w:sz w:val="24"/>
        </w:rPr>
        <w:t xml:space="preserve">Information Regarding Your Northrop Grumman Shares — Your Vote Is Important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To Northrop Grumman Employees: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Northrop Grumman filed its proxy statement today for the 2025 Annual Meeting of Shareholders. The meeting will be held virtually on May 21, 2025. The 2025 Proxy Statement and 2024 Annual Report are now available online</w:t>
      </w:r>
      <w:r>
        <w:rPr>
          <w:rFonts w:ascii="Arial;sans-serif" w:hAnsi="Arial;sans-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Many of you hold Northrop Grumman shares through one of the company’s savings plans. As shareholders, you have the right to vote on matters that impact the company. Your vote on these matters is important and you are encouraged to vote your shares.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Northrop Grumman employees who hold these shares as participants in the Northrop Grumman Savings Plan or the Northrop Grumman Financial Security and Savings Program should receive an email tomorrow regarding the availability of proxy materials for the Annual Meeting and containing instructions for voting your shares. This email will be sent to your email address on record (either personal or company email) and contains important instructions for viewing the proxy statement and annual report and for voting your shares.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2"/>
        </w:rPr>
        <w:t>This email is an important communication approved by Northrop Grumman. The subject line of the email will read, “</w:t>
      </w:r>
      <w:r>
        <w:rPr>
          <w:rFonts w:ascii="Arial;sans-serif" w:hAnsi="Arial;sans-serif"/>
          <w:b w:val="false"/>
          <w:i/>
          <w:color w:val="000000"/>
          <w:sz w:val="24"/>
        </w:rPr>
        <w:t>Vote Now! NORTHROP GRUMMAN CORPORATION Annual Meeting</w:t>
      </w:r>
      <w:r>
        <w:rPr>
          <w:rFonts w:ascii="Arial;sans-serif" w:hAnsi="Arial;sans-serif"/>
          <w:b w:val="false"/>
          <w:color w:val="000000"/>
          <w:sz w:val="22"/>
        </w:rPr>
        <w:t xml:space="preserve">.” Note that the “EXT” warning tag, which appears in the subject line of emails originating outside of Northrop Grumman, will be removed for this message which will come directly from Broadridge. </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Northrop Grumman values your input as shareholders. Please ensure that your shares are represented at the 2025 Annual Meeting.</w:t>
      </w:r>
    </w:p>
    <w:p>
      <w:pPr>
        <w:pStyle w:val="TextBody"/>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485140"/>
                <wp:effectExtent l="0" t="0" r="0" b="0"/>
                <wp:wrapNone/>
                <wp:docPr id="386" name="Frame126"/>
                <a:graphic xmlns:a="http://schemas.openxmlformats.org/drawingml/2006/main">
                  <a:graphicData uri="http://schemas.microsoft.com/office/word/2010/wordprocessingShape">
                    <wps:wsp>
                      <wps:cNvSpPr txBox="1"/>
                      <wps:spPr>
                        <a:xfrm>
                          <a:off x="0" y="0"/>
                          <a:ext cx="6480175" cy="485140"/>
                        </a:xfrm>
                        <a:prstGeom prst="rect"/>
                        <a:solidFill>
                          <a:srgbClr val="FFFFFF"/>
                        </a:solidFill>
                      </wps:spPr>
                      <wps:txbx>
                        <w:txbxContent>
                          <w:p>
                            <w:pPr>
                              <w:pStyle w:val="TextBody"/>
                              <w:bidi w:val="0"/>
                              <w:spacing w:lineRule="auto" w:line="288" w:before="120" w:after="120"/>
                              <w:jc w:val="right"/>
                              <w:rPr>
                                <w:rFonts w:ascii="Arial;sans-serif" w:hAnsi="Arial;sans-serif"/>
                                <w:b w:val="false"/>
                                <w:color w:val="000000"/>
                                <w:sz w:val="18"/>
                              </w:rPr>
                            </w:pPr>
                            <w:r>
                              <w:rPr>
                                <w:rFonts w:ascii="Arial;sans-serif" w:hAnsi="Arial;sans-serif"/>
                                <w:b w:val="false"/>
                                <w:color w:val="000000"/>
                                <w:sz w:val="18"/>
                              </w:rPr>
                              <w:t>CORPORATE COMMUNICATIONS</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right"/>
                        <w:rPr>
                          <w:rFonts w:ascii="Arial;sans-serif" w:hAnsi="Arial;sans-serif"/>
                          <w:b w:val="false"/>
                          <w:color w:val="000000"/>
                          <w:sz w:val="18"/>
                        </w:rPr>
                      </w:pPr>
                      <w:r>
                        <w:rPr>
                          <w:rFonts w:ascii="Arial;sans-serif" w:hAnsi="Arial;sans-serif"/>
                          <w:b w:val="false"/>
                          <w:color w:val="000000"/>
                          <w:sz w:val="18"/>
                        </w:rPr>
                        <w:t>CORPORATE COMMUNICATIONS</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Futura Std Book">
    <w:altName w:val="sans-serif"/>
    <w:charset w:val="01"/>
    <w:family w:val="auto"/>
    <w:pitch w:val="default"/>
  </w:font>
  <w:font w:name="Wingdings">
    <w:altName w:val="sans-serif"/>
    <w:charset w:val="02"/>
    <w:family w:val="auto"/>
    <w:pitch w:val="default"/>
  </w:font>
  <w:font w:name="Futura LT Medium">
    <w:altName w:val="sans-serif"/>
    <w:charset w:val="01"/>
    <w:family w:val="auto"/>
    <w:pitch w:val="default"/>
  </w:font>
  <w:font w:name="Wingdings 2">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6.jpeg"/><Relationship Id="rId37" Type="http://schemas.openxmlformats.org/officeDocument/2006/relationships/image" Target="media/image26.jpeg"/><Relationship Id="rId38" Type="http://schemas.openxmlformats.org/officeDocument/2006/relationships/image" Target="media/image27.jpeg"/><Relationship Id="rId39" Type="http://schemas.openxmlformats.org/officeDocument/2006/relationships/image" Target="media/image28.jpeg"/><Relationship Id="rId40" Type="http://schemas.openxmlformats.org/officeDocument/2006/relationships/image" Target="media/image29.jpeg"/><Relationship Id="rId41" Type="http://schemas.openxmlformats.org/officeDocument/2006/relationships/image" Target="media/image30.jpeg"/><Relationship Id="rId42" Type="http://schemas.openxmlformats.org/officeDocument/2006/relationships/image" Target="media/image31.jpeg"/><Relationship Id="rId43" Type="http://schemas.openxmlformats.org/officeDocument/2006/relationships/image" Target="media/image32.jpeg"/><Relationship Id="rId44" Type="http://schemas.openxmlformats.org/officeDocument/2006/relationships/image" Target="media/image33.jpeg"/><Relationship Id="rId45" Type="http://schemas.openxmlformats.org/officeDocument/2006/relationships/image" Target="media/image34.jpeg"/><Relationship Id="rId46" Type="http://schemas.openxmlformats.org/officeDocument/2006/relationships/image" Target="media/image35.jpeg"/><Relationship Id="rId47" Type="http://schemas.openxmlformats.org/officeDocument/2006/relationships/image" Target="media/image36.jpeg"/><Relationship Id="rId48" Type="http://schemas.openxmlformats.org/officeDocument/2006/relationships/image" Target="media/image37.jpeg"/><Relationship Id="rId49" Type="http://schemas.openxmlformats.org/officeDocument/2006/relationships/image" Target="media/image38.jpeg"/><Relationship Id="rId50" Type="http://schemas.openxmlformats.org/officeDocument/2006/relationships/image" Target="media/image39.jpeg"/><Relationship Id="rId51" Type="http://schemas.openxmlformats.org/officeDocument/2006/relationships/image" Target="media/image40.jpeg"/><Relationship Id="rId52" Type="http://schemas.openxmlformats.org/officeDocument/2006/relationships/image" Target="media/image39.jpeg"/><Relationship Id="rId53" Type="http://schemas.openxmlformats.org/officeDocument/2006/relationships/image" Target="media/image38.jpeg"/><Relationship Id="rId54" Type="http://schemas.openxmlformats.org/officeDocument/2006/relationships/image" Target="media/image41.jpeg"/><Relationship Id="rId55" Type="http://schemas.openxmlformats.org/officeDocument/2006/relationships/image" Target="media/image39.jpeg"/><Relationship Id="rId56" Type="http://schemas.openxmlformats.org/officeDocument/2006/relationships/image" Target="media/image39.jpeg"/><Relationship Id="rId57" Type="http://schemas.openxmlformats.org/officeDocument/2006/relationships/image" Target="media/image42.jpeg"/><Relationship Id="rId58" Type="http://schemas.openxmlformats.org/officeDocument/2006/relationships/image" Target="media/image39.jpeg"/><Relationship Id="rId59" Type="http://schemas.openxmlformats.org/officeDocument/2006/relationships/image" Target="media/image39.jpeg"/><Relationship Id="rId60" Type="http://schemas.openxmlformats.org/officeDocument/2006/relationships/image" Target="media/image43.jpeg"/><Relationship Id="rId61" Type="http://schemas.openxmlformats.org/officeDocument/2006/relationships/image" Target="media/image39.jpeg"/><Relationship Id="rId62" Type="http://schemas.openxmlformats.org/officeDocument/2006/relationships/image" Target="media/image39.jpeg"/><Relationship Id="rId63" Type="http://schemas.openxmlformats.org/officeDocument/2006/relationships/image" Target="media/image44.jpeg"/><Relationship Id="rId64" Type="http://schemas.openxmlformats.org/officeDocument/2006/relationships/image" Target="media/image39.jpeg"/><Relationship Id="rId65" Type="http://schemas.openxmlformats.org/officeDocument/2006/relationships/image" Target="media/image39.jpeg"/><Relationship Id="rId66" Type="http://schemas.openxmlformats.org/officeDocument/2006/relationships/image" Target="media/image45.jpeg"/><Relationship Id="rId67" Type="http://schemas.openxmlformats.org/officeDocument/2006/relationships/image" Target="media/image39.jpeg"/><Relationship Id="rId68" Type="http://schemas.openxmlformats.org/officeDocument/2006/relationships/image" Target="media/image38.jpeg"/><Relationship Id="rId69" Type="http://schemas.openxmlformats.org/officeDocument/2006/relationships/image" Target="media/image46.jpeg"/><Relationship Id="rId70" Type="http://schemas.openxmlformats.org/officeDocument/2006/relationships/image" Target="media/image38.jpeg"/><Relationship Id="rId71" Type="http://schemas.openxmlformats.org/officeDocument/2006/relationships/image" Target="media/image39.jpeg"/><Relationship Id="rId72" Type="http://schemas.openxmlformats.org/officeDocument/2006/relationships/image" Target="media/image47.jpeg"/><Relationship Id="rId73" Type="http://schemas.openxmlformats.org/officeDocument/2006/relationships/image" Target="media/image39.jpeg"/><Relationship Id="rId74" Type="http://schemas.openxmlformats.org/officeDocument/2006/relationships/image" Target="media/image39.jpeg"/><Relationship Id="rId75" Type="http://schemas.openxmlformats.org/officeDocument/2006/relationships/image" Target="media/image48.jpeg"/><Relationship Id="rId76" Type="http://schemas.openxmlformats.org/officeDocument/2006/relationships/image" Target="media/image49.jpeg"/><Relationship Id="rId77" Type="http://schemas.openxmlformats.org/officeDocument/2006/relationships/image" Target="media/image39.jpeg"/><Relationship Id="rId78" Type="http://schemas.openxmlformats.org/officeDocument/2006/relationships/image" Target="media/image39.jpeg"/><Relationship Id="rId79" Type="http://schemas.openxmlformats.org/officeDocument/2006/relationships/image" Target="media/image50.jpeg"/><Relationship Id="rId80" Type="http://schemas.openxmlformats.org/officeDocument/2006/relationships/image" Target="media/image39.jpeg"/><Relationship Id="rId81" Type="http://schemas.openxmlformats.org/officeDocument/2006/relationships/image" Target="media/image39.jpeg"/><Relationship Id="rId82" Type="http://schemas.openxmlformats.org/officeDocument/2006/relationships/image" Target="media/image38.jpeg"/><Relationship Id="rId83" Type="http://schemas.openxmlformats.org/officeDocument/2006/relationships/image" Target="media/image39.jpeg"/><Relationship Id="rId84" Type="http://schemas.openxmlformats.org/officeDocument/2006/relationships/image" Target="media/image51.jpeg"/><Relationship Id="rId85" Type="http://schemas.openxmlformats.org/officeDocument/2006/relationships/image" Target="media/image52.jpeg"/><Relationship Id="rId86" Type="http://schemas.openxmlformats.org/officeDocument/2006/relationships/image" Target="media/image53.jpeg"/><Relationship Id="rId87" Type="http://schemas.openxmlformats.org/officeDocument/2006/relationships/image" Target="media/image54.jpeg"/><Relationship Id="rId88" Type="http://schemas.openxmlformats.org/officeDocument/2006/relationships/image" Target="media/image55.jpeg"/><Relationship Id="rId89" Type="http://schemas.openxmlformats.org/officeDocument/2006/relationships/image" Target="media/image56.jpeg"/><Relationship Id="rId90" Type="http://schemas.openxmlformats.org/officeDocument/2006/relationships/image" Target="media/image57.jpeg"/><Relationship Id="rId91" Type="http://schemas.openxmlformats.org/officeDocument/2006/relationships/image" Target="media/image58.jpeg"/><Relationship Id="rId92" Type="http://schemas.openxmlformats.org/officeDocument/2006/relationships/image" Target="media/image59.jpeg"/><Relationship Id="rId93" Type="http://schemas.openxmlformats.org/officeDocument/2006/relationships/image" Target="media/image60.jpeg"/><Relationship Id="rId94" Type="http://schemas.openxmlformats.org/officeDocument/2006/relationships/image" Target="media/image61.jpeg"/><Relationship Id="rId95" Type="http://schemas.openxmlformats.org/officeDocument/2006/relationships/image" Target="media/image62.jpeg"/><Relationship Id="rId96" Type="http://schemas.openxmlformats.org/officeDocument/2006/relationships/image" Target="media/image63.jpeg"/><Relationship Id="rId97" Type="http://schemas.openxmlformats.org/officeDocument/2006/relationships/image" Target="media/image63.jpeg"/><Relationship Id="rId98" Type="http://schemas.openxmlformats.org/officeDocument/2006/relationships/image" Target="media/image63.jpeg"/><Relationship Id="rId99" Type="http://schemas.openxmlformats.org/officeDocument/2006/relationships/image" Target="media/image63.jpeg"/><Relationship Id="rId100" Type="http://schemas.openxmlformats.org/officeDocument/2006/relationships/image" Target="media/image63.jpeg"/><Relationship Id="rId101" Type="http://schemas.openxmlformats.org/officeDocument/2006/relationships/image" Target="media/image63.jpeg"/><Relationship Id="rId102" Type="http://schemas.openxmlformats.org/officeDocument/2006/relationships/image" Target="media/image63.jpeg"/><Relationship Id="rId103" Type="http://schemas.openxmlformats.org/officeDocument/2006/relationships/image" Target="media/image63.jpeg"/><Relationship Id="rId104" Type="http://schemas.openxmlformats.org/officeDocument/2006/relationships/image" Target="media/image63.jpeg"/><Relationship Id="rId105" Type="http://schemas.openxmlformats.org/officeDocument/2006/relationships/image" Target="media/image63.jpeg"/><Relationship Id="rId106" Type="http://schemas.openxmlformats.org/officeDocument/2006/relationships/image" Target="media/image63.jpeg"/><Relationship Id="rId107" Type="http://schemas.openxmlformats.org/officeDocument/2006/relationships/image" Target="media/image63.jpeg"/><Relationship Id="rId108" Type="http://schemas.openxmlformats.org/officeDocument/2006/relationships/image" Target="media/image63.jpeg"/><Relationship Id="rId109" Type="http://schemas.openxmlformats.org/officeDocument/2006/relationships/image" Target="media/image63.jpeg"/><Relationship Id="rId110" Type="http://schemas.openxmlformats.org/officeDocument/2006/relationships/image" Target="media/image63.jpeg"/><Relationship Id="rId111" Type="http://schemas.openxmlformats.org/officeDocument/2006/relationships/image" Target="media/image63.jpeg"/><Relationship Id="rId112" Type="http://schemas.openxmlformats.org/officeDocument/2006/relationships/image" Target="media/image63.jpeg"/><Relationship Id="rId113" Type="http://schemas.openxmlformats.org/officeDocument/2006/relationships/image" Target="media/image63.jpeg"/><Relationship Id="rId114" Type="http://schemas.openxmlformats.org/officeDocument/2006/relationships/image" Target="media/image63.jpeg"/><Relationship Id="rId115" Type="http://schemas.openxmlformats.org/officeDocument/2006/relationships/image" Target="media/image63.jpeg"/><Relationship Id="rId116" Type="http://schemas.openxmlformats.org/officeDocument/2006/relationships/image" Target="media/image63.jpeg"/><Relationship Id="rId117" Type="http://schemas.openxmlformats.org/officeDocument/2006/relationships/image" Target="media/image63.jpeg"/><Relationship Id="rId118" Type="http://schemas.openxmlformats.org/officeDocument/2006/relationships/image" Target="media/image63.jpeg"/><Relationship Id="rId119" Type="http://schemas.openxmlformats.org/officeDocument/2006/relationships/image" Target="media/image63.jpeg"/><Relationship Id="rId120" Type="http://schemas.openxmlformats.org/officeDocument/2006/relationships/image" Target="media/image63.jpeg"/><Relationship Id="rId121" Type="http://schemas.openxmlformats.org/officeDocument/2006/relationships/image" Target="media/image63.jpeg"/><Relationship Id="rId122" Type="http://schemas.openxmlformats.org/officeDocument/2006/relationships/image" Target="media/image63.jpeg"/><Relationship Id="rId123" Type="http://schemas.openxmlformats.org/officeDocument/2006/relationships/image" Target="media/image63.jpeg"/><Relationship Id="rId124" Type="http://schemas.openxmlformats.org/officeDocument/2006/relationships/image" Target="media/image63.jpeg"/><Relationship Id="rId125" Type="http://schemas.openxmlformats.org/officeDocument/2006/relationships/image" Target="media/image63.jpeg"/><Relationship Id="rId126" Type="http://schemas.openxmlformats.org/officeDocument/2006/relationships/image" Target="media/image64.jpeg"/><Relationship Id="rId127" Type="http://schemas.openxmlformats.org/officeDocument/2006/relationships/image" Target="media/image64.jpeg"/><Relationship Id="rId128" Type="http://schemas.openxmlformats.org/officeDocument/2006/relationships/image" Target="media/image64.jpeg"/><Relationship Id="rId129" Type="http://schemas.openxmlformats.org/officeDocument/2006/relationships/image" Target="media/image65.jpeg"/><Relationship Id="rId130" Type="http://schemas.openxmlformats.org/officeDocument/2006/relationships/image" Target="media/image66.jpeg"/><Relationship Id="rId131" Type="http://schemas.openxmlformats.org/officeDocument/2006/relationships/image" Target="media/image67.jpeg"/><Relationship Id="rId132" Type="http://schemas.openxmlformats.org/officeDocument/2006/relationships/image" Target="media/image63.jpeg"/><Relationship Id="rId133" Type="http://schemas.openxmlformats.org/officeDocument/2006/relationships/image" Target="media/image63.jpeg"/><Relationship Id="rId134" Type="http://schemas.openxmlformats.org/officeDocument/2006/relationships/image" Target="media/image63.jpeg"/><Relationship Id="rId135" Type="http://schemas.openxmlformats.org/officeDocument/2006/relationships/image" Target="media/image63.jpeg"/><Relationship Id="rId136" Type="http://schemas.openxmlformats.org/officeDocument/2006/relationships/image" Target="media/image63.jpeg"/><Relationship Id="rId137" Type="http://schemas.openxmlformats.org/officeDocument/2006/relationships/image" Target="media/image63.jpeg"/><Relationship Id="rId138" Type="http://schemas.openxmlformats.org/officeDocument/2006/relationships/image" Target="media/image63.jpeg"/><Relationship Id="rId139" Type="http://schemas.openxmlformats.org/officeDocument/2006/relationships/image" Target="media/image68.jpeg"/><Relationship Id="rId140" Type="http://schemas.openxmlformats.org/officeDocument/2006/relationships/image" Target="media/image69.jpeg"/><Relationship Id="rId141" Type="http://schemas.openxmlformats.org/officeDocument/2006/relationships/image" Target="media/image70.jpeg"/><Relationship Id="rId142" Type="http://schemas.openxmlformats.org/officeDocument/2006/relationships/image" Target="media/image71.jpeg"/><Relationship Id="rId143" Type="http://schemas.openxmlformats.org/officeDocument/2006/relationships/image" Target="media/image72.jpeg"/><Relationship Id="rId144" Type="http://schemas.openxmlformats.org/officeDocument/2006/relationships/image" Target="media/image73.jpeg"/><Relationship Id="rId145" Type="http://schemas.openxmlformats.org/officeDocument/2006/relationships/image" Target="media/image74.jpeg"/><Relationship Id="rId146" Type="http://schemas.openxmlformats.org/officeDocument/2006/relationships/image" Target="media/image75.jpeg"/><Relationship Id="rId147" Type="http://schemas.openxmlformats.org/officeDocument/2006/relationships/image" Target="media/image76.jpeg"/><Relationship Id="rId148" Type="http://schemas.openxmlformats.org/officeDocument/2006/relationships/image" Target="media/image77.jpeg"/><Relationship Id="rId149" Type="http://schemas.openxmlformats.org/officeDocument/2006/relationships/image" Target="media/image78.jpeg"/><Relationship Id="rId150" Type="http://schemas.openxmlformats.org/officeDocument/2006/relationships/image" Target="media/image79.jpeg"/><Relationship Id="rId151" Type="http://schemas.openxmlformats.org/officeDocument/2006/relationships/image" Target="media/image80.jpeg"/><Relationship Id="rId152" Type="http://schemas.openxmlformats.org/officeDocument/2006/relationships/image" Target="media/image81.jpeg"/><Relationship Id="rId153" Type="http://schemas.openxmlformats.org/officeDocument/2006/relationships/image" Target="media/image82.jpeg"/><Relationship Id="rId154" Type="http://schemas.openxmlformats.org/officeDocument/2006/relationships/image" Target="media/image83.jpeg"/><Relationship Id="rId155" Type="http://schemas.openxmlformats.org/officeDocument/2006/relationships/image" Target="media/image84.jpeg"/><Relationship Id="rId156" Type="http://schemas.openxmlformats.org/officeDocument/2006/relationships/image" Target="media/image85.jpeg"/><Relationship Id="rId157" Type="http://schemas.openxmlformats.org/officeDocument/2006/relationships/image" Target="media/image86.jpeg"/><Relationship Id="rId158" Type="http://schemas.openxmlformats.org/officeDocument/2006/relationships/image" Target="media/image87.jpeg"/><Relationship Id="rId159" Type="http://schemas.openxmlformats.org/officeDocument/2006/relationships/image" Target="media/image88.jpeg"/><Relationship Id="rId160" Type="http://schemas.openxmlformats.org/officeDocument/2006/relationships/image" Target="media/image89.jpeg"/><Relationship Id="rId161" Type="http://schemas.openxmlformats.org/officeDocument/2006/relationships/image" Target="media/image90.jpeg"/><Relationship Id="rId162" Type="http://schemas.openxmlformats.org/officeDocument/2006/relationships/image" Target="media/image91.jpeg"/><Relationship Id="rId163" Type="http://schemas.openxmlformats.org/officeDocument/2006/relationships/image" Target="media/image92.jpeg"/><Relationship Id="rId164" Type="http://schemas.openxmlformats.org/officeDocument/2006/relationships/image" Target="media/image93.jpeg"/><Relationship Id="rId165" Type="http://schemas.openxmlformats.org/officeDocument/2006/relationships/image" Target="media/image94.jpeg"/><Relationship Id="rId166" Type="http://schemas.openxmlformats.org/officeDocument/2006/relationships/image" Target="media/image43.jpeg"/><Relationship Id="rId167" Type="http://schemas.openxmlformats.org/officeDocument/2006/relationships/image" Target="media/image95.jpeg"/><Relationship Id="rId168" Type="http://schemas.openxmlformats.org/officeDocument/2006/relationships/image" Target="media/image96.jpeg"/><Relationship Id="rId169" Type="http://schemas.openxmlformats.org/officeDocument/2006/relationships/image" Target="media/image97.jpeg"/><Relationship Id="rId170" Type="http://schemas.openxmlformats.org/officeDocument/2006/relationships/image" Target="media/image98.jpeg"/><Relationship Id="rId171" Type="http://schemas.openxmlformats.org/officeDocument/2006/relationships/image" Target="media/image99.jpeg"/><Relationship Id="rId172" Type="http://schemas.openxmlformats.org/officeDocument/2006/relationships/image" Target="media/image100.jpeg"/><Relationship Id="rId173" Type="http://schemas.openxmlformats.org/officeDocument/2006/relationships/image" Target="media/image101.jpeg"/><Relationship Id="rId174" Type="http://schemas.openxmlformats.org/officeDocument/2006/relationships/image" Target="media/image102.jpeg"/><Relationship Id="rId175" Type="http://schemas.openxmlformats.org/officeDocument/2006/relationships/image" Target="media/image103.jpeg"/><Relationship Id="rId176" Type="http://schemas.openxmlformats.org/officeDocument/2006/relationships/image" Target="media/image104.jpeg"/><Relationship Id="rId177" Type="http://schemas.openxmlformats.org/officeDocument/2006/relationships/image" Target="media/image51.jpeg"/><Relationship Id="rId178" Type="http://schemas.openxmlformats.org/officeDocument/2006/relationships/image" Target="media/image52.jpeg"/><Relationship Id="rId179" Type="http://schemas.openxmlformats.org/officeDocument/2006/relationships/image" Target="media/image105.jpeg"/><Relationship Id="rId180" Type="http://schemas.openxmlformats.org/officeDocument/2006/relationships/image" Target="media/image105.jpeg"/><Relationship Id="rId181" Type="http://schemas.openxmlformats.org/officeDocument/2006/relationships/image" Target="media/image105.jpeg"/><Relationship Id="rId182" Type="http://schemas.openxmlformats.org/officeDocument/2006/relationships/image" Target="media/image106.jpeg"/><Relationship Id="rId183" Type="http://schemas.openxmlformats.org/officeDocument/2006/relationships/image" Target="media/image107.jpeg"/><Relationship Id="rId184" Type="http://schemas.openxmlformats.org/officeDocument/2006/relationships/image" Target="media/image108.jpeg"/><Relationship Id="rId185" Type="http://schemas.openxmlformats.org/officeDocument/2006/relationships/image" Target="media/image109.jpeg"/><Relationship Id="rId186" Type="http://schemas.openxmlformats.org/officeDocument/2006/relationships/image" Target="media/image110.jpeg"/><Relationship Id="rId187" Type="http://schemas.openxmlformats.org/officeDocument/2006/relationships/image" Target="media/image111.jpeg"/><Relationship Id="rId188" Type="http://schemas.openxmlformats.org/officeDocument/2006/relationships/image" Target="media/image112.jpeg"/><Relationship Id="rId189" Type="http://schemas.openxmlformats.org/officeDocument/2006/relationships/image" Target="media/image113.jpeg"/><Relationship Id="rId190" Type="http://schemas.openxmlformats.org/officeDocument/2006/relationships/image" Target="media/image114.jpeg"/><Relationship Id="rId191" Type="http://schemas.openxmlformats.org/officeDocument/2006/relationships/image" Target="media/image115.jpeg"/><Relationship Id="rId192" Type="http://schemas.openxmlformats.org/officeDocument/2006/relationships/image" Target="media/image67.jpeg"/><Relationship Id="rId193" Type="http://schemas.openxmlformats.org/officeDocument/2006/relationships/image" Target="media/image116.jpeg"/><Relationship Id="rId194" Type="http://schemas.openxmlformats.org/officeDocument/2006/relationships/image" Target="media/image117.jpeg"/><Relationship Id="rId195" Type="http://schemas.openxmlformats.org/officeDocument/2006/relationships/image" Target="media/image118.jpeg"/><Relationship Id="rId196" Type="http://schemas.openxmlformats.org/officeDocument/2006/relationships/image" Target="media/image119.jpeg"/><Relationship Id="rId197" Type="http://schemas.openxmlformats.org/officeDocument/2006/relationships/image" Target="media/image120.jpeg"/><Relationship Id="rId198" Type="http://schemas.openxmlformats.org/officeDocument/2006/relationships/image" Target="media/image121.jpeg"/><Relationship Id="rId199" Type="http://schemas.openxmlformats.org/officeDocument/2006/relationships/image" Target="media/image122.jpeg"/><Relationship Id="rId200" Type="http://schemas.openxmlformats.org/officeDocument/2006/relationships/image" Target="media/image123.jpeg"/><Relationship Id="rId201" Type="http://schemas.openxmlformats.org/officeDocument/2006/relationships/image" Target="media/image124.jpeg"/><Relationship Id="rId202" Type="http://schemas.openxmlformats.org/officeDocument/2006/relationships/image" Target="media/image125.jpeg"/><Relationship Id="rId203" Type="http://schemas.openxmlformats.org/officeDocument/2006/relationships/image" Target="media/image126.jpeg"/><Relationship Id="rId204" Type="http://schemas.openxmlformats.org/officeDocument/2006/relationships/image" Target="media/image127.jpeg"/><Relationship Id="rId205" Type="http://schemas.openxmlformats.org/officeDocument/2006/relationships/image" Target="media/image128.jpeg"/><Relationship Id="rId206" Type="http://schemas.openxmlformats.org/officeDocument/2006/relationships/image" Target="media/image129.jpeg"/><Relationship Id="rId207" Type="http://schemas.openxmlformats.org/officeDocument/2006/relationships/image" Target="media/image130.jpeg"/><Relationship Id="rId208" Type="http://schemas.openxmlformats.org/officeDocument/2006/relationships/image" Target="media/image131.jpeg"/><Relationship Id="rId209" Type="http://schemas.openxmlformats.org/officeDocument/2006/relationships/image" Target="media/image132.jpeg"/><Relationship Id="rId210" Type="http://schemas.openxmlformats.org/officeDocument/2006/relationships/image" Target="media/image133.jpeg"/><Relationship Id="rId211" Type="http://schemas.openxmlformats.org/officeDocument/2006/relationships/image" Target="media/image134.jpeg"/><Relationship Id="rId212" Type="http://schemas.openxmlformats.org/officeDocument/2006/relationships/image" Target="media/image135.jpeg"/><Relationship Id="rId213" Type="http://schemas.openxmlformats.org/officeDocument/2006/relationships/image" Target="media/image136.jpeg"/><Relationship Id="rId214" Type="http://schemas.openxmlformats.org/officeDocument/2006/relationships/image" Target="media/image137.jpeg"/><Relationship Id="rId215" Type="http://schemas.openxmlformats.org/officeDocument/2006/relationships/image" Target="media/image138.jpeg"/><Relationship Id="rId216" Type="http://schemas.openxmlformats.org/officeDocument/2006/relationships/image" Target="media/image139.jpeg"/><Relationship Id="rId217" Type="http://schemas.openxmlformats.org/officeDocument/2006/relationships/image" Target="media/image140.jpeg"/><Relationship Id="rId218" Type="http://schemas.openxmlformats.org/officeDocument/2006/relationships/image" Target="media/image141.jpeg"/><Relationship Id="rId219" Type="http://schemas.openxmlformats.org/officeDocument/2006/relationships/image" Target="media/image142.jpeg"/><Relationship Id="rId220" Type="http://schemas.openxmlformats.org/officeDocument/2006/relationships/image" Target="media/image143.jpeg"/><Relationship Id="rId221" Type="http://schemas.openxmlformats.org/officeDocument/2006/relationships/image" Target="media/image144.jpeg"/><Relationship Id="rId222" Type="http://schemas.openxmlformats.org/officeDocument/2006/relationships/image" Target="media/image145.jpeg"/><Relationship Id="rId223" Type="http://schemas.openxmlformats.org/officeDocument/2006/relationships/image" Target="media/image146.jpeg"/><Relationship Id="rId224" Type="http://schemas.openxmlformats.org/officeDocument/2006/relationships/image" Target="media/image147.jpeg"/><Relationship Id="rId225" Type="http://schemas.openxmlformats.org/officeDocument/2006/relationships/image" Target="media/image141.jpeg"/><Relationship Id="rId226" Type="http://schemas.openxmlformats.org/officeDocument/2006/relationships/image" Target="media/image142.jpeg"/><Relationship Id="rId227" Type="http://schemas.openxmlformats.org/officeDocument/2006/relationships/image" Target="media/image143.jpeg"/><Relationship Id="rId228" Type="http://schemas.openxmlformats.org/officeDocument/2006/relationships/image" Target="media/image144.jpeg"/><Relationship Id="rId229" Type="http://schemas.openxmlformats.org/officeDocument/2006/relationships/image" Target="media/image148.jpeg"/><Relationship Id="rId230" Type="http://schemas.openxmlformats.org/officeDocument/2006/relationships/image" Target="media/image149.jpeg"/><Relationship Id="rId231" Type="http://schemas.openxmlformats.org/officeDocument/2006/relationships/image" Target="media/image150.jpeg"/><Relationship Id="rId232" Type="http://schemas.openxmlformats.org/officeDocument/2006/relationships/image" Target="media/image151.jpeg"/><Relationship Id="rId233" Type="http://schemas.openxmlformats.org/officeDocument/2006/relationships/image" Target="media/image152.jpeg"/><Relationship Id="rId234" Type="http://schemas.openxmlformats.org/officeDocument/2006/relationships/image" Target="media/image153.jpeg"/><Relationship Id="rId235" Type="http://schemas.openxmlformats.org/officeDocument/2006/relationships/image" Target="media/image154.jpeg"/><Relationship Id="rId236" Type="http://schemas.openxmlformats.org/officeDocument/2006/relationships/image" Target="media/image155.jpeg"/><Relationship Id="rId237" Type="http://schemas.openxmlformats.org/officeDocument/2006/relationships/image" Target="media/image156.jpeg"/><Relationship Id="rId238" Type="http://schemas.openxmlformats.org/officeDocument/2006/relationships/image" Target="media/image157.jpeg"/><Relationship Id="rId239" Type="http://schemas.openxmlformats.org/officeDocument/2006/relationships/image" Target="media/image67.jpeg"/><Relationship Id="rId240" Type="http://schemas.openxmlformats.org/officeDocument/2006/relationships/image" Target="media/image158.jpeg"/><Relationship Id="rId241" Type="http://schemas.openxmlformats.org/officeDocument/2006/relationships/image" Target="media/image159.jpeg"/><Relationship Id="rId242" Type="http://schemas.openxmlformats.org/officeDocument/2006/relationships/image" Target="media/image21.jpeg"/><Relationship Id="rId243" Type="http://schemas.openxmlformats.org/officeDocument/2006/relationships/image" Target="media/image160.jpeg"/><Relationship Id="rId244" Type="http://schemas.openxmlformats.org/officeDocument/2006/relationships/image" Target="media/image24.jpeg"/><Relationship Id="rId245" Type="http://schemas.openxmlformats.org/officeDocument/2006/relationships/image" Target="media/image23.jpeg"/><Relationship Id="rId246" Type="http://schemas.openxmlformats.org/officeDocument/2006/relationships/image" Target="media/image25.jpeg"/><Relationship Id="rId247" Type="http://schemas.openxmlformats.org/officeDocument/2006/relationships/image" Target="media/image20.jpeg"/><Relationship Id="rId248" Type="http://schemas.openxmlformats.org/officeDocument/2006/relationships/image" Target="media/image161.jpeg"/><Relationship Id="rId249" Type="http://schemas.openxmlformats.org/officeDocument/2006/relationships/image" Target="media/image162.jpeg"/><Relationship Id="rId250" Type="http://schemas.openxmlformats.org/officeDocument/2006/relationships/image" Target="media/image163.jpeg"/><Relationship Id="rId251" Type="http://schemas.openxmlformats.org/officeDocument/2006/relationships/image" Target="media/image164.jpeg"/><Relationship Id="rId252" Type="http://schemas.openxmlformats.org/officeDocument/2006/relationships/image" Target="media/image165.jpeg"/><Relationship Id="rId253" Type="http://schemas.openxmlformats.org/officeDocument/2006/relationships/image" Target="media/image166.gif"/><Relationship Id="rId254" Type="http://schemas.openxmlformats.org/officeDocument/2006/relationships/image" Target="media/image167.jpeg"/><Relationship Id="rId255" Type="http://schemas.openxmlformats.org/officeDocument/2006/relationships/image" Target="media/image168.jpeg"/><Relationship Id="rId256" Type="http://schemas.openxmlformats.org/officeDocument/2006/relationships/image" Target="media/image169.jpeg"/><Relationship Id="rId257" Type="http://schemas.openxmlformats.org/officeDocument/2006/relationships/image" Target="media/image170.jpeg"/><Relationship Id="rId258" Type="http://schemas.openxmlformats.org/officeDocument/2006/relationships/image" Target="media/image171.jpeg"/><Relationship Id="rId259" Type="http://schemas.openxmlformats.org/officeDocument/2006/relationships/image" Target="media/image172.jpeg"/><Relationship Id="rId260" Type="http://schemas.openxmlformats.org/officeDocument/2006/relationships/image" Target="media/image173.jpeg"/><Relationship Id="rId261" Type="http://schemas.openxmlformats.org/officeDocument/2006/relationships/image" Target="media/image174.jpeg"/><Relationship Id="rId262" Type="http://schemas.openxmlformats.org/officeDocument/2006/relationships/fontTable" Target="fontTable.xml"/><Relationship Id="rId2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42507</Words>
  <Characters>242918</Characters>
  <CharactersWithSpaces>282711</CharactersWithSpaces>
  <Paragraphs>4582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