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31,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Northrop Grumman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80-0640649</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2980 Fairview Park Drive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(703) 280-2900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Jennifer C. McGarey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Vice President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(703) 280-2900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Erika L. Robinson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1875 Pennsylvania Avenue,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41"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gridSpan w:val="2"/>
          </w:tcPr>
          <w:p>
            <w:pPr>
              <w:spacing w:after="0"/>
              <w:rPr>
                <w:sz w:val="20"/>
                <w:szCs w:val="20"/>
                <w:color w:val="auto"/>
              </w:rPr>
            </w:pPr>
            <w:r>
              <w:rPr>
                <w:rFonts w:ascii="Arial" w:cs="Arial" w:eastAsia="Arial" w:hAnsi="Arial"/>
                <w:sz w:val="18"/>
                <w:szCs w:val="18"/>
                <w:color w:val="auto"/>
                <w:w w:val="96"/>
              </w:rPr>
              <w:t>Large accelerated filer</w:t>
            </w:r>
          </w:p>
        </w:tc>
        <w:tc>
          <w:tcPr>
            <w:tcW w:w="1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w w:val="92"/>
              </w:rPr>
              <w:t>Accelerated filer</w:t>
            </w:r>
          </w:p>
        </w:tc>
        <w:tc>
          <w:tcPr>
            <w:tcW w:w="1060" w:type="dxa"/>
            <w:vAlign w:val="bottom"/>
          </w:tcPr>
          <w:p>
            <w:pPr>
              <w:spacing w:after="0"/>
              <w:rPr>
                <w:sz w:val="24"/>
                <w:szCs w:val="24"/>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gridSpan w:val="5"/>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60" w:type="dxa"/>
            <w:vAlign w:val="bottom"/>
            <w:gridSpan w:val="5"/>
          </w:tcPr>
          <w:p>
            <w:pPr>
              <w:ind w:left="2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7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60" w:type="dxa"/>
            <w:vAlign w:val="bottom"/>
          </w:tcPr>
          <w:p>
            <w:pPr>
              <w:jc w:val="center"/>
              <w:ind w:right="316"/>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8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91"/>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3"/>
                <w:szCs w:val="13"/>
                <w:color w:val="auto"/>
              </w:rPr>
            </w:pPr>
          </w:p>
        </w:tc>
        <w:tc>
          <w:tcPr>
            <w:tcW w:w="106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Borders>
              <w:bottom w:val="single" w:sz="8" w:color="auto"/>
            </w:tcBorders>
            <w:gridSpan w:val="2"/>
          </w:tcPr>
          <w:p>
            <w:pPr>
              <w:jc w:val="center"/>
              <w:ind w:left="1239"/>
              <w:spacing w:after="0"/>
              <w:rPr>
                <w:sz w:val="20"/>
                <w:szCs w:val="20"/>
                <w:color w:val="auto"/>
              </w:rPr>
            </w:pPr>
            <w:r>
              <w:rPr>
                <w:rFonts w:ascii="Arial" w:cs="Arial" w:eastAsia="Arial" w:hAnsi="Arial"/>
                <w:sz w:val="14"/>
                <w:szCs w:val="14"/>
                <w:b w:val="1"/>
                <w:bCs w:val="1"/>
                <w:color w:val="auto"/>
                <w:w w:val="91"/>
              </w:rPr>
              <w:t>Securities to be Registered(1)</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5"/>
              </w:rPr>
              <w:t>Offering Price (1)</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Senior Debt Securities</w:t>
            </w:r>
          </w:p>
        </w:tc>
        <w:tc>
          <w:tcPr>
            <w:tcW w:w="1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$1.00 per share</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71"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Form S-3 General Instructions II.E information is not required to be included.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the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177165</wp:posOffset>
            </wp:positionV>
            <wp:extent cx="355028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Northrop Grumman Corporation</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may offer and sell any combination of the securities described in this prospectus from time to time in one or more offerings, in one or more series and in amounts, at prices and on terms that we will determine at the time of the offering.</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provide the specific terms of the securities, including their offering prices, and the methods by which we will sell them, in supplements to this prospectus. The prospectus supplements may also add, update or change information contained in this prospectus. You should read this prospectus and any accompanying prospectus supplements carefully before you make your investment decision.</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offer and sell the securities on an immediate, continuous or delayed basis directly to investors or through underwriters, dealers or agents, or through a combination of these methods.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Northrop Grumman’s common stock is listed on The New York Stock Exchange under the symbol “NOC”.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260" w:firstLine="456"/>
        <w:spacing w:after="0" w:line="261" w:lineRule="auto"/>
        <w:rPr>
          <w:sz w:val="20"/>
          <w:szCs w:val="20"/>
          <w:color w:val="auto"/>
        </w:rPr>
      </w:pPr>
      <w:r>
        <w:rPr>
          <w:rFonts w:ascii="Arial" w:cs="Arial" w:eastAsia="Arial" w:hAnsi="Arial"/>
          <w:sz w:val="21"/>
          <w:szCs w:val="21"/>
          <w:b w:val="1"/>
          <w:bCs w:val="1"/>
          <w:color w:val="auto"/>
        </w:rPr>
        <w:t>Investing in these securities involves certain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date of this prospectus is March 31, 2017.</w:t>
      </w:r>
    </w:p>
    <w:p>
      <w:pPr>
        <w:sectPr>
          <w:pgSz w:w="11900" w:h="16838" w:orient="portrait"/>
          <w:cols w:equalWidth="0" w:num="1">
            <w:col w:w="11280"/>
          </w:cols>
          <w:pgMar w:left="240" w:top="459"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40" w:type="dxa"/>
            <w:vAlign w:val="bottom"/>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70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382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INCORPORATION BY REFERENCE</w:t>
              </w:r>
            </w:hyperlink>
          </w:p>
        </w:tc>
        <w:tc>
          <w:tcPr>
            <w:tcW w:w="512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FORWARD-LOOKING STATEMENTS AND IMPORTANT FACTORS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NORTHROP GRUMMAN CORPORATION</w:t>
              </w:r>
            </w:hyperlink>
          </w:p>
        </w:tc>
        <w:tc>
          <w:tcPr>
            <w:tcW w:w="2000" w:type="dxa"/>
            <w:vAlign w:val="bottom"/>
            <w:tcBorders>
              <w:top w:val="single" w:sz="8" w:color="0000EE"/>
            </w:tcBorders>
            <w:gridSpan w:val="3"/>
          </w:tcPr>
          <w:p>
            <w:pPr>
              <w:spacing w:after="0"/>
              <w:rPr>
                <w:sz w:val="24"/>
                <w:szCs w:val="24"/>
                <w:color w:val="auto"/>
              </w:rPr>
            </w:pPr>
          </w:p>
        </w:tc>
        <w:tc>
          <w:tcPr>
            <w:tcW w:w="36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SENIOR DEBT SECURITIES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720" w:type="dxa"/>
            <w:vAlign w:val="bottom"/>
            <w:tcBorders>
              <w:top w:val="single" w:sz="8" w:color="0000EE"/>
            </w:tcBorders>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COMMON STOCK</w:t>
              </w:r>
            </w:hyperlink>
          </w:p>
        </w:tc>
        <w:tc>
          <w:tcPr>
            <w:tcW w:w="522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PLAN OF DISTRIBUTION</w:t>
              </w:r>
            </w:hyperlink>
          </w:p>
        </w:tc>
        <w:tc>
          <w:tcPr>
            <w:tcW w:w="900" w:type="dxa"/>
            <w:vAlign w:val="bottom"/>
            <w:tcBorders>
              <w:top w:val="single" w:sz="8" w:color="0000EE"/>
            </w:tcBorders>
            <w:gridSpan w:val="4"/>
          </w:tcPr>
          <w:p>
            <w:pPr>
              <w:spacing w:after="0"/>
              <w:rPr>
                <w:sz w:val="24"/>
                <w:szCs w:val="24"/>
                <w:color w:val="auto"/>
              </w:rPr>
            </w:pPr>
          </w:p>
        </w:tc>
        <w:tc>
          <w:tcPr>
            <w:tcW w:w="598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58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VALIDITY OF THE SECURITIES</w:t>
              </w:r>
            </w:hyperlink>
          </w:p>
        </w:tc>
        <w:tc>
          <w:tcPr>
            <w:tcW w:w="636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EXPERTS</w:t>
              </w:r>
            </w:hyperlink>
          </w:p>
        </w:tc>
        <w:tc>
          <w:tcPr>
            <w:tcW w:w="816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Unless otherwise stated or the context otherwise requires, references in this prospectus to “Northrop Grumman” are to Northrop Grumman Corporation, and references to “we,” “our,” “us” or similar references are to Northrop Grumman and its consolidated subsidiaries.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using a shelf registration process. Under this shelf registration process, Northrop Grumman may from time to time sell, either separately or together, senior debt securities or common stock, in one or more offerings to the public. This prospectus provides you with a general description of these securities.</w:t>
      </w:r>
    </w:p>
    <w:p>
      <w:pPr>
        <w:spacing w:after="0" w:line="16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Each time we sell securities, we will provide a prospectus supplement containing specific information about the terms of that offering. That prospectus supplement may include or incorporate by reference a detailed and current discussion of any risk factors and will discuss any special considerations applicable to those securities. The prospectus supplement may also add, update or change information contained in this prospectus. You should read both this prospectus and any accompanying prospectus supplement together with additional information described under the heading “Where You Can Find More Information” and “Incorporation by Reference.” If there is any inconsistency between the information in this prospectus and any prospectus supplement, you should rely on the information contained in that prospectus supplement.</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If anyone provides you with different or inconsistent information, you should not rely on it. We are not making an offer to sell these securities in any jurisdiction where the offer or sale is not permitted. You should read this prospectus, including the documents incorporated by reference in this prospectus, when making your investment decision. You should assume that the information appearing in this prospectus, any prospectus supplement, the documents incorporated by reference and any related free writing prospectus is accurate only as of their respective dates. Our business, financial condition, results of operations, cash flows and/or prospects may have changed materially since those dates.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Northrop Grumman files annual, quarterly and current reports, proxy statements and other information with the SEC. You may read and copy any document we file with the SEC (including exhibits to such documents) at the SEC’s Public Reference Room at 100 F Street, N.E., Room 1580, Washington, D.C. 20549. You may obtain additional information about the Public Reference Room by calling the SEC at 1-800-SEC-0330. In addition, the SEC maintains a site on the internet at http://www.sec.gov that contains reports, proxy statements and other information that we file electronically with the SEC. Copies of certain information filed by us with the SEC are also available on our website at www.northropgrumman.com. Our website is not a part of, and is not incorporated by reference into, this prospectus.</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in, and the exhibits to,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“incorporating by reference” information into this prospectus, which means that we can disclose important information to you by referring you to another document that has been filed separately with the SEC. The information incorporated by reference is considered to be part of this prospectus, and information that we file later with the SEC will automatically update and supersede the information contained in documents filed earlier with the SEC or contained in this prospectus. This means that you must look at all of the SEC filings that we incorporate by reference to determine if any of the statements in this prospectus or in any document previously incorporated by reference have been modified or superseded. We incorporate by reference in this prospectus the documents listed below (File No. 001-16411) and any future filings made by us with the SEC under Section 13(a), 13(c), 14 and 15(d) of the Securities Exchange Act of 1934, as amended (the “Exchange Act”), after the initial filing of the registration statement that contains this prospectus and prior to the time that the offering of the securities under the registration statement is terminated or completed (in each case, other than those documents or the portions of those documents not deemed to be filed):</w:t>
      </w:r>
    </w:p>
    <w:p>
      <w:pPr>
        <w:spacing w:after="0" w:line="87" w:lineRule="exact"/>
        <w:rPr>
          <w:sz w:val="20"/>
          <w:szCs w:val="20"/>
          <w:color w:val="auto"/>
        </w:rPr>
      </w:pPr>
    </w:p>
    <w:p>
      <w:pPr>
        <w:ind w:left="900" w:right="8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Annual Report on Form 10-K for the fiscal year ended December 31, 2016 (including information specifically incorporated by reference into the Annual Report on Form 10-K from our Definitive Proxy Statement on Schedule 14A filed with the SEC on March 31, 2017);</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February 22, 2017 and February 28, 2017;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March 28, 2001, including any amendments or reports filed for the purpose of updating such description.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obtain copies, without charge, of documents incorporated by reference in this prospectus, by requesting them in writing or by telephone from us as follows: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Jennifer C. McGarey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Corporate Vice President and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Falls Church, Virginia 22042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(703) 280-2900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 AND IMPORTANT FACTORS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the information we are incorporating by reference contain statements, other than statements of historical fact, that constitute “forward-looking statements” within the meaning of the Private Securities Litigation Reform Act of 1995. Words such as “expect,” “intend,” “may,” “could,” “plan,” “project,” “forecast,” “believe,” “estimate,” “outlook,” “anticipate,” “trends,” “goals” and similar expressions generally identify these forward-looking statements. Forward-looking statements include, among other things, statements relating to our future financial condition, results of operations and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Item 1A, Risk Factors in our Annual Report on Form 10-K for the year ended December 31, 2016 and other important factors disclosed in our reports, and from time to time in our other filings with the SEC.</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of this prospectus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Northrop Grumman Corporation is a leading global security company. We offer a broad portfolio of capabilities and technologies that enable us to deliver innovative products, systems and solutions for applications that range from undersea to outer space and into cyberspace. We provide products, systems and solutions in autonomous systems; cyber; command, control, communications and computers, intelligence, surveillance, and reconnaissance (C4ISR);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2980 Fairview Park Drive, Falls Church, Virginia 22042, and our telephone number is (703) 280-2900.</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maintain an internet site at http://www.northropgrumman.com. The information contained at our internet site is not incorporated by reference in this prospectus, and you should not consider it a part of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specify otherwise in a prospectus supplement, we will use the net proceeds from the sale of the securities for general corporate purposes. These purposes may include repayment of debt, repurchase of our common stock, working capital needs, capital expenditures, acquisitions and any other general corporate purpose.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SENIOR DEBT SECURITIES</w:t>
      </w:r>
    </w:p>
    <w:p>
      <w:pPr>
        <w:spacing w:after="0" w:line="229"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following description of senior debt securities, which we refer to as the debt securities, sets forth the general terms and provisions of the debt securities we may offer. The specific terms of any debt securities we offer and the extent to which these general terms and provisions apply to those debt securities will be described in a prospectus supplement.</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Northrop Grumman may issue the debt securities in one or more series under the indenture dated as of November 21, 2001, which we refer to as the base indenture, as supplemented and/or amended by (i) the first supplemental indenture dated as of July 30, 2009, between Northrop Grumman and The Bank of New York Mellon, which we refer to as the trustee, (ii) the third supplemental indenture dated as of March 30, 2011, by and among Titan II, Inc. (formerly known as Northrop Grumman Corporation), the trustee and Titan Holdings II, L.P. and (iii) the fourth supplemental indenture dated as of March 30, 2011, by and among Titan Holdings II, L.P., the trustee and Northrop Grumman (formerly known as New P, Inc.). We refer to the base indenture as modified by the supplemental indentures, and as further amended and/or supplemented, as the indenture. If we use a different indenture trustee for any series of debt securities, we will provide the details in a prospectus supplement.</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have summarized some of the material provisions of the indenture on the following pages. The summary does not purport to be complete and is subject to, and is qualified in its entirety by reference to, all provisions of the indenture, including definitions of various terms contained in the indenture. The base indenture and the supplemental indentures are exhibits to the registration statement of which this prospectus is a part. We encourage you to read the indenture. If you would like more information on the indenture, see “Where You Can Find More Information” on how to obtain copies of the indenture. Section references in the summary below are to the section in the base indenture as such section may have been modified by the supplemental indentures.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for the issuance of debt securities in one or more series. A prospectus supplement relating to any series of debt securities we offer will describe the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 on the total principal amount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person who will receive interest payments on any debt securities, if other than the registered 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or dates of the debt securities;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debt securities will bear interest and the date from which such interest will accrue;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dates on which interest will be payable and the related record dates;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index, formula or other method will determine payments of principal, premium or interest and the manner of determining the amount of such payments;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of payments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and on what terms the debt securities are redeemable;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mandatory or optional sinking fund or purchase fund or analogous provisions;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or currency units of principal, premium and interest payments if other than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deletions from, changes in or additions to the events of default or the covenants specified in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registrars or other agents for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are subject to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will issue the debt securities as original issue discount securities for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temporary or permanent global form and, if so, the initial depositary with respect to the global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payment upon acceleration;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any other material terms of the debt securities. </w:t>
      </w:r>
      <w:r>
        <w:rPr>
          <w:rFonts w:ascii="Arial" w:cs="Arial" w:eastAsia="Arial" w:hAnsi="Arial"/>
          <w:sz w:val="18"/>
          <w:szCs w:val="18"/>
          <w:i w:val="1"/>
          <w:iCs w:val="1"/>
          <w:color w:val="auto"/>
        </w:rPr>
        <w:t>(Section 301)</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issue debt securities that are convertible into or exchangeable for our common stock. If we issue convertible or exchangeable debt securities, we will provide additional information in a prospectus supplement.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may sell debt securities at a discount below their stated principal amount, bearing no interest or interest at a rate that, at the time of issuance, is different than market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debt securities will be our senior unsecured obligations and will rank equally and ratably in right of payment with all of our other unsecured and non-subordinated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Form, Payment and Transfer</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Normally, we will denominate and make payments on debt securities in U.S. dollars. If we issue debt securities denominated, or with payments, in a foreign or composite currency, the applicable prospectus supplement will specify the currency or composite currency. </w:t>
      </w:r>
      <w:r>
        <w:rPr>
          <w:rFonts w:ascii="Arial" w:cs="Arial" w:eastAsia="Arial" w:hAnsi="Arial"/>
          <w:sz w:val="17"/>
          <w:szCs w:val="17"/>
          <w:i w:val="1"/>
          <w:iCs w:val="1"/>
          <w:color w:val="auto"/>
        </w:rPr>
        <w:t>(Section 301)</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may from time to time issue debt securities in certificated form. This means that holders will be entitled to receive certificates representing the debt securities registered in their name. You can transfer or exchange debt securities in certificated form without service charge, upon reimbursement of any taxes or government charges. You can make this transfer or exchange at the trustee’s corporate trust office or at any other office we maintain for such purposes. If the debt securities are in certificated form, we can pay interest by check mailed to the person in whose name the debt securities are registered on the days specified in the indenture. </w:t>
      </w:r>
      <w:r>
        <w:rPr>
          <w:rFonts w:ascii="Arial" w:cs="Arial" w:eastAsia="Arial" w:hAnsi="Arial"/>
          <w:sz w:val="18"/>
          <w:szCs w:val="18"/>
          <w:i w:val="1"/>
          <w:iCs w:val="1"/>
          <w:color w:val="auto"/>
        </w:rPr>
        <w:t>(Sections 301 and 305)</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We may issue the debt securities of a particular series in whole or in part in the form of one or more global notes that will be issued to and registered in the name of a depositary, which we refer to as the depositary, or its nominee, identified in the prospectus supplement relating to that series. Global notes may be issued only in fully registered form and in either temporary or permanent form. Unless and until a global note is exchanged in whole or in part for certificated debt securities, a global note may only be transferred as a whole between the depositary (or its successor) and its nominees. </w:t>
      </w:r>
      <w:r>
        <w:rPr>
          <w:rFonts w:ascii="Arial" w:cs="Arial" w:eastAsia="Arial" w:hAnsi="Arial"/>
          <w:sz w:val="16"/>
          <w:szCs w:val="16"/>
          <w:i w:val="1"/>
          <w:iCs w:val="1"/>
          <w:color w:val="auto"/>
        </w:rPr>
        <w:t>(Section 305)</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While the specific terms of the depositary arrangement with respect to a series of debt securities will be described in the prospectus supplement relating to that series, we anticipate that the following provisions will generally apply to depositary arrangements for global notes.</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Upon the issuance of a global note, the depositary or its nominee will credit, on its book-entry registration and transfer system, the respective principal amounts of the persons who beneficially own the global note to their accounts with the depositary. These accounts will be designated by the dealers, underwriters or agents through whom we sold the debt securities, or by us if we offer and sell the debt securities directly. Ownership of beneficial interests in a global note will be limited to persons that have accounts with the depositary, whom we refer to as participants, or persons that may hold interests through participants. Ownership of beneficial interests in a global note will be shown on, and the transfer of that ownership will be effected only through, records maintained by the depositary or its nominee (with respect to interests of participants) and the records of participants (with respect to interests of beneficial owners other than participants). The laws of some states require that certain purchasers of securities must take physical delivery of debt securities in definitive, certificated form. These requirements may impair our ability to sell, and the ability of a purchaser to transfer, beneficial interests in a global note.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So long as the depositary or its nominee is the registered owner of a global note, the depositary or its nominee will be considered the sole owner or “Holder” of the debt represented by the global note for all purposes under the indenture. Except as described below, owners of beneficial interests in a global note will not be entitled to have any of the debt represented by the global note registered in their individual names, will not receive or be entitled to receive certificates representing debt securities in definitive form, and will not be considered the owners or “Holders” of the debt securities under the indenture. Accordingly, investors who hold an interest in global debt securities in accounts at banks or brokers will not generally be recognized by us as the legal holders of the debt securities although the depositary or its nominee may choose to grant proxies or otherwise allow owners of beneficial interests in the debt securities to take action which the depositary as “Holder” is entitled to take.</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Payments of principal and interest, if any, on a global note registered in the name of the depositary or its nominee will be made to the depositary or its nominee, as the registered owner of the global note. Neither we nor the trustee, any paying agent or the security registrar for the debt securities will have any responsibility or liability for any aspect of the records relating to or payments made on account of beneficial ownership interests of the global note or for maintaining, supervising or reviewing any records relating to those beneficial ownership interests.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expect that the depositary or its nominee, immediately upon receipt of any payment of principal or interest in respect of a global note, will credit the accounts of the applicable participants with payments in amounts proportionate to their respective beneficial ownership interests in the principal amount of the global note, as shown on the records of the depositary or its nominee. We further expect that payments by participants to owners of beneficial interests in the global note held through those participants will be governed by standing instructions and customary practices, as is now the case with securities held for the accounts of customers. These payments will, however, be the sole responsibility of the participants. We have no control over the practices of the depositary or the participants, and there can be no assurance that these practices will not be changed.</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the depositary for a series of debt securities is at any time unwilling, unable or ineligible to continue as depositary and a successor depositary is not appointed by us within 90 days, we will issue certificated debt securities of that series in exchange for the global note held by that depositary. In addition, we may at any time and in our sole discretion, subject to any limitations described in the prospectus supplement relating to the debt securities, determine not to have any series of debt securities represented by one or more global notes and, in that event, will issue certificated debt securities of that series in exchange for the global note. Further, if an Event of Default with respect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to any series represented by a global note has occurred and is continuing, the global note may be exchanged for certificated debt securities. In that case, each owner of a beneficial interest in a global note will be entitled to physical delivery of certificated debt securities of the series represented by the global note equal in principal amount to that owner’s beneficial interest, and to have those debt securities registered in its name.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We will pay interest to direct holders listed in the registrar’s records at the close of business on the record date specified in the applicable prospectus supplement, which usually falls about two weeks in advance of each due date for interest, even if the holder on the record date no longer owns the debt security on the interest payment date. </w:t>
      </w:r>
      <w:r>
        <w:rPr>
          <w:rFonts w:ascii="Arial" w:cs="Arial" w:eastAsia="Arial" w:hAnsi="Arial"/>
          <w:sz w:val="17"/>
          <w:szCs w:val="17"/>
          <w:i w:val="1"/>
          <w:iCs w:val="1"/>
          <w:color w:val="auto"/>
        </w:rPr>
        <w:t>(Section 307)</w:t>
      </w:r>
      <w:r>
        <w:rPr>
          <w:rFonts w:ascii="Arial" w:cs="Arial" w:eastAsia="Arial" w:hAnsi="Arial"/>
          <w:sz w:val="17"/>
          <w:szCs w:val="17"/>
          <w:color w:val="auto"/>
        </w:rPr>
        <w:t xml:space="preserve"> Holders buying and selling debt securities must make their own arrangements to account for the issuer’s payment of all the interest for an interest period to the person who was the registered holder on the record date.</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If any amount payable on any debt security remains unclaimed at the end of two years after the amount became due and payable, the paying agent or trustee will return that amount to us. </w:t>
      </w:r>
      <w:r>
        <w:rPr>
          <w:rFonts w:ascii="Arial" w:cs="Arial" w:eastAsia="Arial" w:hAnsi="Arial"/>
          <w:sz w:val="18"/>
          <w:szCs w:val="18"/>
          <w:i w:val="1"/>
          <w:iCs w:val="1"/>
          <w:color w:val="auto"/>
        </w:rPr>
        <w:t>(Section 1003)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Unless we indicate otherwise in a prospectus supplement, the following are events of default under the indenture with respect to any series of issued debt securities:</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pay the principal or any premium on any debt security of that series when due;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pay interest on any debt security of that series within 30 days of when due;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deposit any sinking fund payment on any debt security of that series when due; or</w:t>
      </w:r>
    </w:p>
    <w:p>
      <w:pPr>
        <w:spacing w:after="0" w:line="130" w:lineRule="exact"/>
        <w:rPr>
          <w:rFonts w:ascii="Arial" w:cs="Arial" w:eastAsia="Arial" w:hAnsi="Arial"/>
          <w:sz w:val="18"/>
          <w:szCs w:val="18"/>
          <w:color w:val="auto"/>
        </w:rPr>
      </w:pPr>
    </w:p>
    <w:p>
      <w:pPr>
        <w:ind w:left="1480" w:right="140" w:hanging="446"/>
        <w:spacing w:after="0" w:line="264"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perform any other covenant in the indenture applicable to that series and the issuer or guarantor, if applicable, that continues for 90 days after we have been given written notice of the failure by the trustee or the holders of at least 25% in aggregate principal amount of the outstanding debt securities of that series;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occurrence of specified bankruptcy, insolvency or reorganization events. </w:t>
      </w:r>
      <w:r>
        <w:rPr>
          <w:rFonts w:ascii="Arial" w:cs="Arial" w:eastAsia="Arial" w:hAnsi="Arial"/>
          <w:sz w:val="18"/>
          <w:szCs w:val="18"/>
          <w:i w:val="1"/>
          <w:iCs w:val="1"/>
          <w:color w:val="auto"/>
        </w:rPr>
        <w:t>(Section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 event of default for one series of debt securities does not necessarily constitute an event of default for any other series under the indenture.</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the specified bankruptcy, insolvency or reorganization events occur, the entire principal of all the debt securities of that series will be due and payable immediately. If any other event of default occurs and continues, the trustee, or the holders of at least 25% in aggregate principal amount of the outstanding debt securities of the series, may declare the entire principal of all the debt securities of that series to be due and payable immediately. If this happens, and we cure the event of default in the manner specified in the indenture, the holders of a majority of the aggregate outstanding principal amount of the debt securities of that series can void the acceleration of payment. </w:t>
      </w:r>
      <w:r>
        <w:rPr>
          <w:rFonts w:ascii="Arial" w:cs="Arial" w:eastAsia="Arial" w:hAnsi="Arial"/>
          <w:sz w:val="18"/>
          <w:szCs w:val="18"/>
          <w:i w:val="1"/>
          <w:iCs w:val="1"/>
          <w:color w:val="auto"/>
        </w:rPr>
        <w:t>(Section 502)</w:t>
      </w:r>
    </w:p>
    <w:p>
      <w:pPr>
        <w:spacing w:after="0" w:line="18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The indenture provides that the trustee has no obligation to exercise any of its rights at the direction of any holders, unless the holders offer the trustee reasonable indemnity. </w:t>
      </w:r>
      <w:r>
        <w:rPr>
          <w:rFonts w:ascii="Arial" w:cs="Arial" w:eastAsia="Arial" w:hAnsi="Arial"/>
          <w:sz w:val="16"/>
          <w:szCs w:val="16"/>
          <w:i w:val="1"/>
          <w:iCs w:val="1"/>
          <w:color w:val="auto"/>
        </w:rPr>
        <w:t>(Section 603)</w:t>
      </w:r>
      <w:r>
        <w:rPr>
          <w:rFonts w:ascii="Arial" w:cs="Arial" w:eastAsia="Arial" w:hAnsi="Arial"/>
          <w:sz w:val="16"/>
          <w:szCs w:val="16"/>
          <w:color w:val="auto"/>
        </w:rPr>
        <w:t xml:space="preserve"> If they provide this indemnification, the holders of a majority in principal amount of any series of debt securities have the right to direct any proceeding, remedy, or power available to the trustee with respect to that series, subject to certain limitations. </w:t>
      </w:r>
      <w:r>
        <w:rPr>
          <w:rFonts w:ascii="Arial" w:cs="Arial" w:eastAsia="Arial" w:hAnsi="Arial"/>
          <w:sz w:val="16"/>
          <w:szCs w:val="16"/>
          <w:i w:val="1"/>
          <w:iCs w:val="1"/>
          <w:color w:val="auto"/>
        </w:rPr>
        <w:t>(Section 512)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the Indenture</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specified otherwise in the applicable prospectus supplement, the following covenants will apply to any series of debt securities issued under the indenture.</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Limitations on Liens</w:t>
      </w:r>
      <w:r>
        <w:rPr>
          <w:rFonts w:ascii="Arial" w:cs="Arial" w:eastAsia="Arial" w:hAnsi="Arial"/>
          <w:sz w:val="16"/>
          <w:szCs w:val="16"/>
          <w:color w:val="auto"/>
        </w:rPr>
        <w:t>. The indenture restricts our ability to encumber specified types of our assets or those of our restricted subsidiaries. If we, 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subsidiary, pledges or mortgages any principal property, or any stock or indebtedness of any restricted subsidiary, to secure any debt or guarantee of debt, then for as long as the debt or guarantee is secured by the property, we or our restricted subsidiary will be obligated to pledge or mortgage the same property to the trustee to secure the debt securities on an equal and ratable basis with such other secured debt, unless an exception applies. Restricted subsidiary means any of our direct or indirect subsidiaries that has substantially all of its assets located in the United States and carries on substantially all of its business in the United States, or that holds substantially all of its assets in the form of ownership of other restricted subsidiaries. Principal property means any manufacturing plant or facility located in the continental United States which is owned by us or any of our restricted subsidiaries, unless our board of directors determines the plant or facility is not of material importance to our total business and the business of our restricted subsidiaries.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limitation is subject to exceptions. We may encumber our assets without equally and ratably securing the debt securities if the encumbrance is a permitted lien, without regard to the amount of debt secured by the encumbrance. We may also encumber assets if the amount of all of our debt and the debt of our restricted subsidiaries secured by encumbrances on any principal property, or any stock or indebtedness of any restricted subsidiary, other than the permitted liens, does not exceed the greater of $1,000,000,000 or 10% of our consolidated net tangible assets. Consolidated net tangible assets means our total assets, including the assets of our subsidiaries, as reflected in our most recent balance sheet, less current liabilities (other than the current portion of debt and capital leases, notes and loans payable and deferred income taxes), goodwill, patents and trademarks and unamortized debt discount. Permitted liens include:</w:t>
      </w:r>
    </w:p>
    <w:p>
      <w:pPr>
        <w:spacing w:after="0" w:line="7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on a corporation’s property, stock or indebtedness at the time it becomes a restricted subsidiary;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on property at the time we or a restricted subsidiary acquires the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securing debt owing by a restricted subsidiary to us or another of our restricted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existing at the time the indenture became effective;</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on property of an entity at the time it is merged into or consolidated with us or a restricted subsidiary or at the time we or any restricted subsidiary acquires all or substantially all of the assets of the entity;</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any governmental customer to secure payments or performance pursuant to any contract or statute, or to secure indebtedness we incur or guarantee with respect to the acquisition or construction of the property subject to the liens;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any renewal, extension or replacement for any lien permitted by one of the exceptions described above. </w:t>
      </w:r>
      <w:r>
        <w:rPr>
          <w:rFonts w:ascii="Arial" w:cs="Arial" w:eastAsia="Arial" w:hAnsi="Arial"/>
          <w:sz w:val="18"/>
          <w:szCs w:val="18"/>
          <w:i w:val="1"/>
          <w:iCs w:val="1"/>
          <w:color w:val="auto"/>
        </w:rPr>
        <w:t>(Section 1009)</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Limitations on Sale Leaseback Arrangements</w:t>
      </w:r>
      <w:r>
        <w:rPr>
          <w:rFonts w:ascii="Arial" w:cs="Arial" w:eastAsia="Arial" w:hAnsi="Arial"/>
          <w:sz w:val="17"/>
          <w:szCs w:val="17"/>
          <w:color w:val="auto"/>
        </w:rPr>
        <w:t>. The indenture also restricts our ability and the ability of any of our restricted subsidiaries to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sale-leaseback transactions with respect to any principal property. A sale-leaseback transaction is permitted if we or the restricted subsidiary would be permitted to incur indebtedness secured by the principal property at least equal in amount to the attributable debt with respect to the transaction, or the greater of the net proceeds of the sale or the attributable debt with respect to the transaction is used to prepay our long-term debt or the long-term debt of any restricted subsidiary (other than debt owed to us or another restricted subsidiary). Sale-leaseback transaction means, subject to some exceptions, an arrangement pursuant to which we, or a restricted subsidiary, transfers a principal property to a person and leases it back from that person. Attributable debt for a sale-leaseback transaction means the lesser of the fair market value of the property, as determined by our board of directors, or the present value of the obligation of the lessee for net rental payments during the remaining term of the lease. </w:t>
      </w:r>
      <w:r>
        <w:rPr>
          <w:rFonts w:ascii="Arial" w:cs="Arial" w:eastAsia="Arial" w:hAnsi="Arial"/>
          <w:sz w:val="17"/>
          <w:szCs w:val="17"/>
          <w:i w:val="1"/>
          <w:iCs w:val="1"/>
          <w:color w:val="auto"/>
        </w:rPr>
        <w:t>(Section 1010)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not otherwise limit our ability to incur additional debt, except as otherwise described in a prospectus supplement.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contains certain other covenants, including among other things, maintenance of corporate existence and other properties and payment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Under the indenture, we may not consolidate with or merge into another entity, transfer our assets substantially as an entirety to another entity, permit any entity to consolidate with or merge into us, or acquire the assets substantially as an entirety of another entity, unless:</w:t>
      </w:r>
    </w:p>
    <w:p>
      <w:pPr>
        <w:spacing w:after="0" w:line="52" w:lineRule="exact"/>
        <w:rPr>
          <w:sz w:val="20"/>
          <w:szCs w:val="20"/>
          <w:color w:val="auto"/>
        </w:rPr>
      </w:pPr>
    </w:p>
    <w:p>
      <w:pPr>
        <w:ind w:left="900" w:right="4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successor entity is a U.S. entity that is a corporation, limited liability company, partnership or trust and assumes all of our obligations, as applicable, under the outstanding debt securities and the indenture;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following the transaction, no event of default and no event that, after notice or lapse of time or both, would become an event of default, has occurred and is continuing;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 officers’ certificate and a legal opinion have been delivered to the trustee confirming that the transaction is being effected in compliance with the indenture. </w:t>
      </w:r>
      <w:r>
        <w:rPr>
          <w:rFonts w:ascii="Arial" w:cs="Arial" w:eastAsia="Arial" w:hAnsi="Arial"/>
          <w:sz w:val="18"/>
          <w:szCs w:val="18"/>
          <w:i w:val="1"/>
          <w:iCs w:val="1"/>
          <w:color w:val="auto"/>
        </w:rPr>
        <w:t>(Section 801)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Any series of issued debt securities may be subject to the defeasance and discharge provisions of the indenture. Under those provisions, the debt securities of any series may authorize us to elect:</w:t>
      </w:r>
    </w:p>
    <w:p>
      <w:pPr>
        <w:spacing w:after="0" w:line="76" w:lineRule="exact"/>
        <w:rPr>
          <w:sz w:val="20"/>
          <w:szCs w:val="20"/>
          <w:color w:val="auto"/>
        </w:rPr>
      </w:pPr>
    </w:p>
    <w:p>
      <w:pPr>
        <w:ind w:left="900" w:right="200" w:hanging="325"/>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defease and to discharge us from any and all of our obligations with respect to those debt securities, except for the rights of holders of those debt securities to receive payments on the securities solely from the trust fund established pursuant to the indenture and the obligations to exchange or register the transfer of the securities, to replace temporary or mutilated, destroyed, lost or stolen securities, to maintain an office or agency with respect to the securities and to hold moneys for payment in trust, which we refer to as a defeasance; or</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be released from our obligations with respect to those debt securities to comply with the restrictive covenants which are subject to covenant defeasance, and the occurrence of certain events of default with respect to those restrictive covenants shall no longer be an event of default, which we refer to as a covenant defeasance. </w:t>
      </w:r>
      <w:r>
        <w:rPr>
          <w:rFonts w:ascii="Arial" w:cs="Arial" w:eastAsia="Arial" w:hAnsi="Arial"/>
          <w:sz w:val="18"/>
          <w:szCs w:val="18"/>
          <w:i w:val="1"/>
          <w:iCs w:val="1"/>
          <w:color w:val="auto"/>
        </w:rPr>
        <w:t>(Sections 1302 and 1303)</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To invoke defeasance or covenant defeasance with respect to any series of debt securities, we must irrevocably deposit with a trustee, in trust, money or U.S. Government obligations, or both, which will provide money in an amount sufficient to pay all sums due on that series. </w:t>
      </w:r>
      <w:r>
        <w:rPr>
          <w:rFonts w:ascii="Arial" w:cs="Arial" w:eastAsia="Arial" w:hAnsi="Arial"/>
          <w:sz w:val="17"/>
          <w:szCs w:val="17"/>
          <w:i w:val="1"/>
          <w:iCs w:val="1"/>
          <w:color w:val="auto"/>
        </w:rPr>
        <w:t>(Section 1304)</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a condition to defeasance or covenant defeasance, we must deliver to the trustee an opinion of counsel stating that holders of the applicable debt securities will not recognize gain or loss for federal income tax purposes as a result of the defeasance or covenant defeasance and will be subject to federal income tax on the same amounts, in the same manner and at the same times as would have been the case if we did not elect the defeasance or covenant defeasance. We may exercise our defeasance option with respect to the securities notwithstanding our prior exercise of our covenant defeasance option. If we exercise our defeasance option, payment of the securities may not be accelerated by the reference to restrictive covenants which are subject to covenant defeasance. If we do not comply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with our remaining obligations after exercising our covenant defeasance option and the securities are declared due and payable because of the occurrence of any event of default, the amount of money and U.S. Government obligations on deposit in the defeasance trust may be insufficient to pay amounts due on the securities at the time of the acceleration. However, we will remain liable for those payments. </w:t>
      </w:r>
      <w:r>
        <w:rPr>
          <w:rFonts w:ascii="Arial" w:cs="Arial" w:eastAsia="Arial" w:hAnsi="Arial"/>
          <w:sz w:val="17"/>
          <w:szCs w:val="17"/>
          <w:i w:val="1"/>
          <w:iCs w:val="1"/>
          <w:color w:val="auto"/>
        </w:rPr>
        <w:t>(Sections 1302, 1303 and 1304)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Indenture</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Holders who own more than a majority in principal amount of the outstanding debt securities of a series can agree with us to change the provisions of the indenture relating to that series. However, no change can affect the payment terms or the percentage required to change certain other terms without the consent of all holders of debt securities of the affected series. </w:t>
      </w:r>
      <w:r>
        <w:rPr>
          <w:rFonts w:ascii="Arial" w:cs="Arial" w:eastAsia="Arial" w:hAnsi="Arial"/>
          <w:sz w:val="18"/>
          <w:szCs w:val="18"/>
          <w:i w:val="1"/>
          <w:iCs w:val="1"/>
          <w:color w:val="auto"/>
        </w:rPr>
        <w:t>(Section 902)</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We and the trustee may enter into supplemental indentures for other specified purposes and to make changes that would not materially adversely affect the interests of the holders of debt securities issued under the indenture, including the creation of any new series of debt securities, without the consent of all affected holders of those debt securities. </w:t>
      </w:r>
      <w:r>
        <w:rPr>
          <w:rFonts w:ascii="Arial" w:cs="Arial" w:eastAsia="Arial" w:hAnsi="Arial"/>
          <w:sz w:val="18"/>
          <w:szCs w:val="18"/>
          <w:i w:val="1"/>
          <w:iCs w:val="1"/>
          <w:color w:val="auto"/>
        </w:rPr>
        <w:t>(Section 901)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New York law will govern the indenture and the debt securities. </w:t>
      </w:r>
      <w:r>
        <w:rPr>
          <w:rFonts w:ascii="Arial" w:cs="Arial" w:eastAsia="Arial" w:hAnsi="Arial"/>
          <w:sz w:val="18"/>
          <w:szCs w:val="18"/>
          <w:i w:val="1"/>
          <w:iCs w:val="1"/>
          <w:color w:val="auto"/>
        </w:rPr>
        <w:t>(Section 112)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Bank of New York Mellon, as successor trustee to JPMorgan Chase Bank, serves as the trustee under the indenture. If we use a different trustee for any series of debt securities, we will inform you in a prospectus supplement. In the ordinary course of its business, The Bank of New York Mellon and its affiliates have engaged and may in the future engage in commercial and investment banking transactions with us.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description of our common stock is only a summary. We encourage you to read our Amended and Restated Certificate of Incorporation, which has been filed with the SEC and is incorporated by reference into this prospectus.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the date of this prospectus, we are authorized to issue 800,000,000 shares of common stock, par value $1.00 per share, and 10,000,000 shares of preferred stock, par value $1.00 per share. As of March 15, 2017, 174,780,038 shares of common stock were outstanding and no shares of preferred stock were outstanding. The number of shares of common stock outstanding does not include shares issuable upon exercise of outstanding awards under our equity compensation plans. The common stock is listed on The New York Stock Exchange under the symbol “NOC”.</w:t>
      </w:r>
    </w:p>
    <w:p>
      <w:pPr>
        <w:spacing w:after="0" w:line="17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Dividends may be paid on the common stock and on any class or series of stock entitled to participate with the common stock as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but only when and as declared by our board of directors and only subject to the rights of any then-outstanding series of our preferred stock.</w:t>
      </w:r>
    </w:p>
    <w:p>
      <w:pPr>
        <w:spacing w:after="0" w:line="1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per share on all matters submitted to a vote of stockholders and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voting rights for the election of directors.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If we liquidate, holders of common stock are entitled to receive all remaining assets available for distribution to stockholders after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our liabilities and the preferential rights of any preferred stock that may be outstanding at that time.</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Our outstanding common shares are fully paid and nonassessable. The holders of our common stock do not have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or redemption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Registrar and Transfer Agent</w:t>
      </w:r>
      <w:r>
        <w:rPr>
          <w:rFonts w:ascii="Arial" w:cs="Arial" w:eastAsia="Arial" w:hAnsi="Arial"/>
          <w:sz w:val="18"/>
          <w:szCs w:val="18"/>
          <w:color w:val="auto"/>
        </w:rPr>
        <w:t>. The registrar and transfer agent for our common stock is Computershare Investor Services.</w:t>
      </w:r>
    </w:p>
    <w:p>
      <w:pPr>
        <w:spacing w:after="0" w:line="22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Some Important Charter and Statutory Provisions</w:t>
      </w:r>
      <w:r>
        <w:rPr>
          <w:rFonts w:ascii="Arial" w:cs="Arial" w:eastAsia="Arial" w:hAnsi="Arial"/>
          <w:sz w:val="18"/>
          <w:szCs w:val="18"/>
          <w:color w:val="auto"/>
        </w:rPr>
        <w:t>. We are subject to the provisions of Section 203 of the Delaware General Corporation Law.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the statute prohibits a Delaware corporation which has a class of stock which is listed on a national stock exchange or which has 2,000 or more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the corporation’s board of directors approved either the business combination or the transaction that resulted in the stockholder becoming an interested stockholder, or if at least two-thirds of the outstanding shares not owned by that interested stockholder approve the business combination, or if,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in one or more of the following ways from time to time:</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effect the distribution of the securities from time to time in one or more transactions either:</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prices relating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an offering of offered securities will set forth the terms of such offering, including:</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we will receive from the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underwriting discounts and commissions or agency fees and other items constituting underwriters’ or agents’ compensation; and</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connection with underwritten offerings of the offered securities and in accordance with applicable law and industry practice, underwriters may over-allot or effect transactions that stabilize, maintain or otherwise affect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76" w:lineRule="exact"/>
        <w:rPr>
          <w:sz w:val="20"/>
          <w:szCs w:val="20"/>
          <w:color w:val="auto"/>
        </w:rPr>
      </w:pPr>
    </w:p>
    <w:p>
      <w:pPr>
        <w:ind w:left="900" w:right="2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transactions may be effected on the NYSE, in the over-the-counter market, or otherwise. Underwriters are not required to engage in any of these activities, or to continue such activities if commenced.</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a dealer is used in the sale, we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81" w:lineRule="exact"/>
        <w:rPr>
          <w:sz w:val="20"/>
          <w:szCs w:val="20"/>
          <w:color w:val="auto"/>
        </w:rPr>
      </w:pPr>
    </w:p>
    <w:p>
      <w:pPr>
        <w:jc w:val="both"/>
        <w:ind w:right="180" w:firstLine="456"/>
        <w:spacing w:after="0" w:line="257" w:lineRule="auto"/>
        <w:rPr>
          <w:sz w:val="20"/>
          <w:szCs w:val="20"/>
          <w:color w:val="auto"/>
        </w:rPr>
      </w:pPr>
      <w:r>
        <w:rPr>
          <w:rFonts w:ascii="Arial" w:cs="Arial" w:eastAsia="Arial" w:hAnsi="Arial"/>
          <w:sz w:val="18"/>
          <w:szCs w:val="18"/>
          <w:color w:val="auto"/>
        </w:rPr>
        <w:t>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 payable by us to such agent will be set forth, in the prospectus supplement relating to that offering. Unless otherwise indicated in such prospectus supplement, any such agent will be acting on a best efforts basis for the period of its appointment.</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Remarketing firms, underwriters, dealers, agents and other persons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series of the debt securities issued hereunder will be a new issue of securities, will have no prior trading market, and may or may not be listed on a national securities exchange. Any underwriters to whom we sell debt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Unless the applicable prospectus supplement indicates otherwise, Wilmer Cutler Pickering Hale and Dorr LLP, will issue an opinion about the validity of the senior debt securities and common stock. Underwriters, dealers or agents, who we will identify in a prospectus supplement may have their counsel opine about certain legal matters relating to the securities.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consolidated financial statements of Northrop Grumman Corporation and subsidiaries (the “Company”)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NORTHROP GRUMMAN CORPORATION</w:t>
      </w: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sets forth the fees and expenses payable by us in connection with the sale of the offered securities being registered hereby, other than underwriting discounts and commissions.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300" w:type="dxa"/>
            <w:vAlign w:val="bottom"/>
            <w:gridSpan w:val="2"/>
          </w:tcPr>
          <w:p>
            <w:pPr>
              <w:ind w:left="1040"/>
              <w:spacing w:after="0"/>
              <w:rPr>
                <w:sz w:val="20"/>
                <w:szCs w:val="20"/>
                <w:color w:val="auto"/>
              </w:rPr>
            </w:pPr>
            <w:r>
              <w:rPr>
                <w:rFonts w:ascii="Arial" w:cs="Arial" w:eastAsia="Arial" w:hAnsi="Arial"/>
                <w:sz w:val="14"/>
                <w:szCs w:val="14"/>
                <w:b w:val="1"/>
                <w:bCs w:val="1"/>
                <w:color w:val="auto"/>
              </w:rPr>
              <w:t>Amount to be paid</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Printing and engraving</w:t>
            </w: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Accounting services</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Legal fees of registrant’s counsel</w:t>
            </w: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trustee’s and depository’s fees and expenses</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Rating agency fees and expenses</w:t>
            </w: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Total</w:t>
            </w:r>
          </w:p>
        </w:tc>
        <w:tc>
          <w:tcPr>
            <w:tcW w:w="1580" w:type="dxa"/>
            <w:vAlign w:val="bottom"/>
          </w:tcPr>
          <w:p>
            <w:pPr>
              <w:ind w:left="10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in reliance upon Rules 456(b) and 457(r).</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fees and expenses are calculated based on the securities offered and the number of issuances and accordingly are not estimated at this time.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Section 145 of the General Corporation Law of the State of Delaware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settlements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In a derivative action, an action only by or in the right of the corporation, indemnification may be made only for expenses actually and reasonably incurred by directors and officers in connection with the defense or settlement of an action or suit, and only with respect to a matter as to which they shall have acted in good faith and in a manner they reasonably believed to be in or not opposed to the best interests of the corporation. No indemnification shall be made if such person shall have been adjudged liable to the corporation, unless and only to the extent that the court in which the action or suit was brought shall determine upon application that the defendant officers or directors are fairly and reasonably entitled to indemnity for such expenses despite such adjudication of liability.</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permitted by Section 145 of the DGCL, Article FIFTEENTH of Northrop Grumman’s Amended and Restated Certificate of Incorporation provides that a director of the Corporation shall not be personally liable to the Corporation or to its stockholders for monetary damages for breach of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DGCL, or (iv) for any transaction from which the director derives any improper personal benefit. If the DGCL is amended to authorize the further elimination or limitation of the liability of directors, then the liability of a director of the Corporation shall be eliminated or limited to the fullest extent permitted by the DGCL, as so amended.</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Article V of Northrop Grumman’s Amended and Restated Bylaws provides that the company will indemnify any person who was or is a party or is threatened to be made a party to any action, suit or proceeding, whether civil, criminal, administrative or investigative, by reason of the fact that he or she is or was a director, officer, employee, or agent of the company, or was serving at the request of the board of directors or an executive officer of the company as a director, officer, employee or agent of another corporation or of a partnership, joint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venture, trust or other enterprise, to the fullest extent permitted by the DGCL, as in effect from time to time, or by other applicable law as then in effect, against all expense, liability, and loss (including attorneys’ fees, costs and charges, judgments, fines, ERISA excise taxes or penalties, penalties and amounts paid or to be paid in settlement) actually and reasonably incurred or suffered by that person in connection therewith. Officers and directors additionally have the right to be advanced their expenses incurred in defending or preparing for such a proceeding in advance of its final disposition, subject to an acceptable undertaking by the officer or director to repay all amounts so advanced if it is ultimately determined that he or she is not entitled to be indemnified for those expenses, and provided that the board does not determine that the payment would violate any applicable law. Northrop Grumman is not obligated to make such advances in connection with a proceeding instituted by it against the officer or director. The Bylaws further state that the indemnification provided therein is not exclusive of any other rights to which the indemnified person may be entitled and that no amendment to or repeal of the Bylaws would abrogate rights with respect to acts or omissions which already occurred.</w:t>
      </w:r>
    </w:p>
    <w:p>
      <w:pPr>
        <w:spacing w:after="0" w:line="18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Northrop Grumman has entered into an agreement with each of its directors and certain of its officers indemnifying them to the fullest extent permitted by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Northrop Grumman has also purchased director and officer liability insurance applicable to its directors and officers.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foregoing represents a summary of the general effect of the DGCL, Northrop Grumman’s Amended and Restated Bylaws, Amended and Restated Certificate of Incorporation director and officer liability insurance coverage and the indemnification agreements for purposes of general description only.</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Northrop Grumman may also enter into indemnification agreements with underwriters providing that underwriters have to indemnify and hold harmless Northrop Grumman, its directors, each officer who signed the registration statement and any person who controls Northrop Grumman within the meaning of the Securities Act, from and against certain civil liabilities, including liabilities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list of exhibits filed herewith is contained in the index to exhibits that immediately precedes such exhibits and is incorporated herein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0" w:hanging="56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9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480" w:right="20" w:hanging="567"/>
        <w:spacing w:after="0" w:line="269" w:lineRule="auto"/>
        <w:tabs>
          <w:tab w:leader="none" w:pos="1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5580" w:right="40" w:hanging="4667"/>
        <w:spacing w:after="0" w:line="449" w:lineRule="auto"/>
        <w:tabs>
          <w:tab w:leader="none" w:pos="14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 II-3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567"/>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0"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86" w:lineRule="exact"/>
        <w:rPr>
          <w:rFonts w:ascii="Arial" w:cs="Arial" w:eastAsia="Arial" w:hAnsi="Arial"/>
          <w:sz w:val="18"/>
          <w:szCs w:val="18"/>
          <w:color w:val="auto"/>
        </w:rPr>
      </w:pPr>
    </w:p>
    <w:p>
      <w:pPr>
        <w:jc w:val="both"/>
        <w:ind w:left="1480" w:right="460" w:hanging="567"/>
        <w:spacing w:after="0" w:line="34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2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Falls Church, state of Virginia, on March 31,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Jennifer C. McGarey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Corporate Vice President and Secretary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the undersigned officers and directors of Northrop Grumman Corporation hereby severally constitute and appoint Sheila C. Cheston and Jennifer C. McGarey,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generally to do all such things in our name and behalf in our capacities as officers and directors to enable Northrop Grumman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(including post-effective amendments) thereto.</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15"/>
                <w:szCs w:val="15"/>
                <w:color w:val="auto"/>
              </w:rPr>
            </w:pPr>
          </w:p>
        </w:tc>
        <w:tc>
          <w:tcPr>
            <w:tcW w:w="554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Date</w:t>
            </w:r>
          </w:p>
        </w:tc>
      </w:tr>
      <w:tr>
        <w:trPr>
          <w:trHeight w:val="41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G. Bush</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Wesley G. Bush</w:t>
            </w:r>
          </w:p>
        </w:tc>
        <w:tc>
          <w:tcPr>
            <w:tcW w:w="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L. Bedingfield</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Corporate Vice President and Chief Financial Officer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Kenneth L. Bedingfield</w:t>
            </w:r>
          </w:p>
        </w:tc>
        <w:tc>
          <w:tcPr>
            <w:tcW w:w="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Hardesty</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Corporate Vice President, Controller and Chief</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Michael A. Hardesty</w:t>
            </w:r>
          </w:p>
        </w:tc>
        <w:tc>
          <w:tcPr>
            <w:tcW w:w="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Marianne C. Brown</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Marianne C. Brown</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H. Fazio</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Victor H. Fazio</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Felsinger</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Donald E. Felsinger</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Marie Fudge</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Ann Marie Fudge</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1660"/>
              <w:spacing w:after="0"/>
              <w:rPr>
                <w:sz w:val="20"/>
                <w:szCs w:val="20"/>
                <w:color w:val="auto"/>
              </w:rPr>
            </w:pPr>
            <w:r>
              <w:rPr>
                <w:rFonts w:ascii="Arial" w:cs="Arial" w:eastAsia="Arial" w:hAnsi="Arial"/>
                <w:sz w:val="18"/>
                <w:szCs w:val="18"/>
                <w:color w:val="auto"/>
              </w:rPr>
              <w:t>II-5</w:t>
            </w: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15"/>
                <w:szCs w:val="15"/>
                <w:color w:val="auto"/>
              </w:rPr>
            </w:pPr>
          </w:p>
        </w:tc>
        <w:tc>
          <w:tcPr>
            <w:tcW w:w="554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Date</w:t>
            </w:r>
          </w:p>
        </w:tc>
      </w:tr>
      <w:tr>
        <w:trPr>
          <w:trHeight w:val="41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S. Gordon</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Bruce S. Gordon</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 Hernandez</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William H. Hernandez</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Madeleine A. Kleiner</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Madeleine A. Kleiner</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 J. Krapek</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Karl J. Krapek</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 Myers</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Richard B. Myers</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Roughead</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Gary Roughead</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Schoewe</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Thomas M. Schoewe</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Turley</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James S. Turley</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Welsh, III</w:t>
            </w:r>
          </w:p>
        </w:tc>
        <w:tc>
          <w:tcPr>
            <w:tcW w:w="10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31, 2017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Mark A. Welsh, III</w:t>
            </w: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166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40" w:type="dxa"/>
            <w:vAlign w:val="bottom"/>
          </w:tcPr>
          <w:p>
            <w:pPr>
              <w:jc w:val="center"/>
              <w:ind w:right="1408"/>
              <w:spacing w:after="0" w:line="158" w:lineRule="exact"/>
              <w:rPr>
                <w:sz w:val="20"/>
                <w:szCs w:val="20"/>
                <w:color w:val="auto"/>
              </w:rPr>
            </w:pPr>
            <w:r>
              <w:rPr>
                <w:rFonts w:ascii="Arial" w:cs="Arial" w:eastAsia="Arial" w:hAnsi="Arial"/>
                <w:sz w:val="14"/>
                <w:szCs w:val="14"/>
                <w:b w:val="1"/>
                <w:bCs w:val="1"/>
                <w:color w:val="auto"/>
                <w:w w:val="98"/>
              </w:rPr>
              <w:t>Exhibit</w:t>
            </w:r>
          </w:p>
        </w:tc>
        <w:tc>
          <w:tcPr>
            <w:tcW w:w="36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2120" w:type="dxa"/>
            <w:vAlign w:val="bottom"/>
          </w:tcPr>
          <w:p>
            <w:pPr>
              <w:jc w:val="center"/>
              <w:ind w:left="1328"/>
              <w:spacing w:after="0" w:line="158" w:lineRule="exact"/>
              <w:rPr>
                <w:sz w:val="20"/>
                <w:szCs w:val="20"/>
                <w:color w:val="auto"/>
              </w:rPr>
            </w:pPr>
            <w:r>
              <w:rPr>
                <w:rFonts w:ascii="Arial" w:cs="Arial" w:eastAsia="Arial" w:hAnsi="Arial"/>
                <w:sz w:val="14"/>
                <w:szCs w:val="14"/>
                <w:b w:val="1"/>
                <w:bCs w:val="1"/>
                <w:color w:val="auto"/>
                <w:w w:val="97"/>
              </w:rPr>
              <w:t>Filed</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by</w:t>
            </w: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Date Filed with</w:t>
            </w:r>
          </w:p>
        </w:tc>
        <w:tc>
          <w:tcPr>
            <w:tcW w:w="680" w:type="dxa"/>
            <w:vAlign w:val="bottom"/>
          </w:tcPr>
          <w:p>
            <w:pPr>
              <w:jc w:val="center"/>
              <w:ind w:left="148"/>
              <w:spacing w:after="0" w:line="158" w:lineRule="exact"/>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91"/>
        </w:trPr>
        <w:tc>
          <w:tcPr>
            <w:tcW w:w="1940" w:type="dxa"/>
            <w:vAlign w:val="bottom"/>
          </w:tcPr>
          <w:p>
            <w:pPr>
              <w:jc w:val="center"/>
              <w:ind w:right="1388"/>
              <w:spacing w:after="0"/>
              <w:rPr>
                <w:sz w:val="20"/>
                <w:szCs w:val="20"/>
                <w:color w:val="auto"/>
              </w:rPr>
            </w:pPr>
            <w:r>
              <w:rPr>
                <w:rFonts w:ascii="Arial" w:cs="Arial" w:eastAsia="Arial" w:hAnsi="Arial"/>
                <w:sz w:val="14"/>
                <w:szCs w:val="14"/>
                <w:b w:val="1"/>
                <w:bCs w:val="1"/>
                <w:color w:val="auto"/>
                <w:w w:val="88"/>
              </w:rPr>
              <w:t>No.</w:t>
            </w:r>
          </w:p>
        </w:tc>
        <w:tc>
          <w:tcPr>
            <w:tcW w:w="3660" w:type="dxa"/>
            <w:vAlign w:val="bottom"/>
            <w:vMerge w:val="continue"/>
          </w:tcPr>
          <w:p>
            <w:pPr>
              <w:spacing w:after="0"/>
              <w:rPr>
                <w:sz w:val="16"/>
                <w:szCs w:val="16"/>
                <w:color w:val="auto"/>
              </w:rPr>
            </w:pPr>
          </w:p>
        </w:tc>
        <w:tc>
          <w:tcPr>
            <w:tcW w:w="2120" w:type="dxa"/>
            <w:vAlign w:val="bottom"/>
          </w:tcPr>
          <w:p>
            <w:pPr>
              <w:jc w:val="center"/>
              <w:ind w:left="1328"/>
              <w:spacing w:after="0"/>
              <w:rPr>
                <w:sz w:val="20"/>
                <w:szCs w:val="20"/>
                <w:color w:val="auto"/>
              </w:rPr>
            </w:pPr>
            <w:r>
              <w:rPr>
                <w:rFonts w:ascii="Arial" w:cs="Arial" w:eastAsia="Arial" w:hAnsi="Arial"/>
                <w:sz w:val="14"/>
                <w:szCs w:val="14"/>
                <w:b w:val="1"/>
                <w:bCs w:val="1"/>
                <w:color w:val="auto"/>
                <w:w w:val="94"/>
              </w:rPr>
              <w:t>Herewith</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66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SEC</w:t>
            </w:r>
          </w:p>
        </w:tc>
        <w:tc>
          <w:tcPr>
            <w:tcW w:w="680" w:type="dxa"/>
            <w:vAlign w:val="bottom"/>
          </w:tcPr>
          <w:p>
            <w:pPr>
              <w:jc w:val="center"/>
              <w:ind w:left="148"/>
              <w:spacing w:after="0"/>
              <w:rPr>
                <w:sz w:val="20"/>
                <w:szCs w:val="20"/>
                <w:color w:val="auto"/>
              </w:rPr>
            </w:pPr>
            <w:r>
              <w:rPr>
                <w:rFonts w:ascii="Arial" w:cs="Arial" w:eastAsia="Arial" w:hAnsi="Arial"/>
                <w:sz w:val="14"/>
                <w:szCs w:val="14"/>
                <w:b w:val="1"/>
                <w:bCs w:val="1"/>
                <w:color w:val="auto"/>
                <w:w w:val="97"/>
              </w:rPr>
              <w:t>No.</w:t>
            </w: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420"/>
          </w:cols>
          <w:pgMar w:left="240" w:top="459" w:right="239" w:bottom="1440" w:gutter="0" w:footer="0" w:header="0"/>
        </w:sectPr>
      </w:pPr>
    </w:p>
    <w:p>
      <w:pPr>
        <w:ind w:left="140"/>
        <w:spacing w:after="0"/>
        <w:rPr>
          <w:sz w:val="20"/>
          <w:szCs w:val="20"/>
          <w:color w:val="auto"/>
        </w:rPr>
      </w:pPr>
      <w:r>
        <w:rPr>
          <w:rFonts w:ascii="Arial" w:cs="Arial" w:eastAsia="Arial" w:hAnsi="Arial"/>
          <w:sz w:val="18"/>
          <w:szCs w:val="18"/>
          <w:color w:val="auto"/>
        </w:rPr>
        <w:t>1 (a) Form of Underwriting Agreement – Senior Debt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(b) Form of Underwriting Agreement – Common Stock</w:t>
      </w:r>
    </w:p>
    <w:p>
      <w:pPr>
        <w:spacing w:after="0" w:line="117" w:lineRule="exact"/>
        <w:rPr>
          <w:sz w:val="20"/>
          <w:szCs w:val="20"/>
          <w:color w:val="auto"/>
        </w:rPr>
      </w:pPr>
    </w:p>
    <w:p>
      <w:pPr>
        <w:ind w:left="580" w:right="100" w:hanging="442"/>
        <w:spacing w:after="0" w:line="277" w:lineRule="auto"/>
        <w:rPr>
          <w:sz w:val="20"/>
          <w:szCs w:val="20"/>
          <w:color w:val="auto"/>
        </w:rPr>
      </w:pPr>
      <w:r>
        <w:rPr>
          <w:rFonts w:ascii="Arial" w:cs="Arial" w:eastAsia="Arial" w:hAnsi="Arial"/>
          <w:sz w:val="18"/>
          <w:szCs w:val="18"/>
          <w:color w:val="auto"/>
        </w:rPr>
        <w:t>4 (a) Amended and Restated Certificate of Incorporation of Northrop Grumman Corporation dated May 29, 2012</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 (b) Amended and Restated Bylaws of Northrop Grumman Corporation dated December 17,</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2013</w:t>
      </w:r>
    </w:p>
    <w:p>
      <w:pPr>
        <w:spacing w:after="0" w:line="10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4 (c) Indenture dated as of November 21, 2001, between Northrop Grumman Corporation and</w:t>
      </w:r>
    </w:p>
    <w:p>
      <w:pPr>
        <w:spacing w:after="0" w:line="46" w:lineRule="exact"/>
        <w:rPr>
          <w:sz w:val="20"/>
          <w:szCs w:val="20"/>
          <w:color w:val="auto"/>
        </w:rPr>
      </w:pPr>
    </w:p>
    <w:p>
      <w:pPr>
        <w:ind w:left="580" w:right="440"/>
        <w:spacing w:after="0" w:line="261" w:lineRule="auto"/>
        <w:rPr>
          <w:sz w:val="20"/>
          <w:szCs w:val="20"/>
          <w:color w:val="auto"/>
        </w:rPr>
      </w:pPr>
      <w:r>
        <w:rPr>
          <w:rFonts w:ascii="Arial" w:cs="Arial" w:eastAsia="Arial" w:hAnsi="Arial"/>
          <w:sz w:val="18"/>
          <w:szCs w:val="18"/>
          <w:color w:val="auto"/>
        </w:rPr>
        <w:t>The Bank of New York Mellon (as successor trustee to JPMorgan Chase Bank), as trustee, relating to Senior Debt Securities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(d) Form of Senior Debt Security (1)</w:t>
      </w:r>
    </w:p>
    <w:p>
      <w:pPr>
        <w:spacing w:after="0" w:line="117" w:lineRule="exact"/>
        <w:rPr>
          <w:sz w:val="20"/>
          <w:szCs w:val="20"/>
          <w:color w:val="auto"/>
        </w:rPr>
      </w:pPr>
    </w:p>
    <w:p>
      <w:pPr>
        <w:ind w:left="580" w:right="20" w:hanging="442"/>
        <w:spacing w:after="0" w:line="264" w:lineRule="auto"/>
        <w:rPr>
          <w:sz w:val="20"/>
          <w:szCs w:val="20"/>
          <w:color w:val="auto"/>
        </w:rPr>
      </w:pPr>
      <w:r>
        <w:rPr>
          <w:rFonts w:ascii="Arial" w:cs="Arial" w:eastAsia="Arial" w:hAnsi="Arial"/>
          <w:sz w:val="18"/>
          <w:szCs w:val="18"/>
          <w:color w:val="auto"/>
        </w:rPr>
        <w:t>4 (e) First Supplemental Indenture dated as of July 30, 2009, between Northrop Grumman Corporation and The Bank of New York Mellon, as successor trustee, to Indenture dated as of November 21, 2001</w:t>
      </w:r>
    </w:p>
    <w:p>
      <w:pPr>
        <w:spacing w:after="0" w:line="73" w:lineRule="exact"/>
        <w:rPr>
          <w:sz w:val="20"/>
          <w:szCs w:val="20"/>
          <w:color w:val="auto"/>
        </w:rPr>
      </w:pPr>
    </w:p>
    <w:p>
      <w:pPr>
        <w:jc w:val="both"/>
        <w:ind w:left="580" w:right="420" w:hanging="422"/>
        <w:spacing w:after="0" w:line="264" w:lineRule="auto"/>
        <w:rPr>
          <w:sz w:val="20"/>
          <w:szCs w:val="20"/>
          <w:color w:val="auto"/>
        </w:rPr>
      </w:pPr>
      <w:r>
        <w:rPr>
          <w:rFonts w:ascii="Arial" w:cs="Arial" w:eastAsia="Arial" w:hAnsi="Arial"/>
          <w:sz w:val="18"/>
          <w:szCs w:val="18"/>
          <w:color w:val="auto"/>
        </w:rPr>
        <w:t>4 (f) Second Supplemental Indenture dated as of November 8, 2010, between Northrop Grumman Corporation and The Bank of New York Mellon, as successor trustee, to Indenture dated as of November 21, 2001</w:t>
      </w:r>
    </w:p>
    <w:p>
      <w:pPr>
        <w:spacing w:after="0" w:line="73" w:lineRule="exact"/>
        <w:rPr>
          <w:sz w:val="20"/>
          <w:szCs w:val="20"/>
          <w:color w:val="auto"/>
        </w:rPr>
      </w:pPr>
    </w:p>
    <w:p>
      <w:pPr>
        <w:jc w:val="both"/>
        <w:ind w:left="580" w:right="100" w:hanging="452"/>
        <w:spacing w:after="0" w:line="259" w:lineRule="auto"/>
        <w:rPr>
          <w:sz w:val="20"/>
          <w:szCs w:val="20"/>
          <w:color w:val="auto"/>
        </w:rPr>
      </w:pPr>
      <w:r>
        <w:rPr>
          <w:rFonts w:ascii="Arial" w:cs="Arial" w:eastAsia="Arial" w:hAnsi="Arial"/>
          <w:sz w:val="18"/>
          <w:szCs w:val="18"/>
          <w:color w:val="auto"/>
        </w:rPr>
        <w:t>4 (g) Third Supplemental Indenture dated as of March 30, 2011, by and among Titan II, Inc. (formerly known as Northrop Grumman Corporation), The Bank of New York Mellon, as successor trustee, and Titan Holdings II, L.P., to Indenture dated as of November 21, 2001</w:t>
      </w:r>
    </w:p>
    <w:p>
      <w:pPr>
        <w:spacing w:after="0" w:line="79" w:lineRule="exact"/>
        <w:rPr>
          <w:sz w:val="20"/>
          <w:szCs w:val="20"/>
          <w:color w:val="auto"/>
        </w:rPr>
      </w:pPr>
    </w:p>
    <w:p>
      <w:pPr>
        <w:ind w:left="580" w:right="300" w:hanging="452"/>
        <w:spacing w:after="0" w:line="259" w:lineRule="auto"/>
        <w:rPr>
          <w:sz w:val="20"/>
          <w:szCs w:val="20"/>
          <w:color w:val="auto"/>
        </w:rPr>
      </w:pPr>
      <w:r>
        <w:rPr>
          <w:rFonts w:ascii="Arial" w:cs="Arial" w:eastAsia="Arial" w:hAnsi="Arial"/>
          <w:sz w:val="18"/>
          <w:szCs w:val="18"/>
          <w:color w:val="auto"/>
        </w:rPr>
        <w:t>4 (h) Fourth Supplemental Indenture dated as of March 30, 2011, by and among Titan Holdings II, L.P., The Bank of New York Mellon, as successor trustee, and Northrop Grumman Corporation (formerly known as New P, Inc.), to Indenture, dated as of November 21, 2001</w:t>
      </w:r>
    </w:p>
    <w:p>
      <w:pPr>
        <w:spacing w:after="0" w:line="79" w:lineRule="exact"/>
        <w:rPr>
          <w:sz w:val="20"/>
          <w:szCs w:val="20"/>
          <w:color w:val="auto"/>
        </w:rPr>
      </w:pPr>
    </w:p>
    <w:p>
      <w:pPr>
        <w:ind w:left="580" w:right="20" w:hanging="412"/>
        <w:spacing w:after="0" w:line="264" w:lineRule="auto"/>
        <w:rPr>
          <w:sz w:val="20"/>
          <w:szCs w:val="20"/>
          <w:color w:val="auto"/>
        </w:rPr>
      </w:pPr>
      <w:r>
        <w:rPr>
          <w:rFonts w:ascii="Arial" w:cs="Arial" w:eastAsia="Arial" w:hAnsi="Arial"/>
          <w:sz w:val="18"/>
          <w:szCs w:val="18"/>
          <w:color w:val="auto"/>
        </w:rPr>
        <w:t>4 (i) Fifth Supplemental Indenture dated as of May 31, 2013, between Northrop Grumman Corporation and The Bank of New York Mellon, as successor trustee, to Indenture dated as of November 21, 2001</w:t>
      </w:r>
    </w:p>
    <w:p>
      <w:pPr>
        <w:spacing w:after="0" w:line="73" w:lineRule="exact"/>
        <w:rPr>
          <w:sz w:val="20"/>
          <w:szCs w:val="20"/>
          <w:color w:val="auto"/>
        </w:rPr>
      </w:pPr>
    </w:p>
    <w:p>
      <w:pPr>
        <w:ind w:left="580" w:right="200" w:hanging="412"/>
        <w:spacing w:after="0" w:line="286" w:lineRule="auto"/>
        <w:rPr>
          <w:sz w:val="20"/>
          <w:szCs w:val="20"/>
          <w:color w:val="auto"/>
        </w:rPr>
      </w:pPr>
      <w:r>
        <w:rPr>
          <w:rFonts w:ascii="Arial" w:cs="Arial" w:eastAsia="Arial" w:hAnsi="Arial"/>
          <w:sz w:val="17"/>
          <w:szCs w:val="17"/>
          <w:color w:val="auto"/>
        </w:rPr>
        <w:t>4 (j) Sixth Supplemental Indenture, dated as of February 6, 2015, between Northrop Grumman Corporation and The Bank of New York Mellon, as successor to JPMorgan Chase Bank, Trustee, to Indenture dated as of November 21, 2001</w:t>
      </w:r>
    </w:p>
    <w:p>
      <w:pPr>
        <w:spacing w:after="0" w:line="57" w:lineRule="exact"/>
        <w:rPr>
          <w:sz w:val="20"/>
          <w:szCs w:val="20"/>
          <w:color w:val="auto"/>
        </w:rPr>
      </w:pPr>
    </w:p>
    <w:p>
      <w:pPr>
        <w:ind w:left="580" w:right="200" w:hanging="452"/>
        <w:spacing w:after="0" w:line="286" w:lineRule="auto"/>
        <w:rPr>
          <w:sz w:val="20"/>
          <w:szCs w:val="20"/>
          <w:color w:val="auto"/>
        </w:rPr>
      </w:pPr>
      <w:r>
        <w:rPr>
          <w:rFonts w:ascii="Arial" w:cs="Arial" w:eastAsia="Arial" w:hAnsi="Arial"/>
          <w:sz w:val="17"/>
          <w:szCs w:val="17"/>
          <w:color w:val="auto"/>
        </w:rPr>
        <w:t>4 (k) Seventh Supplemental Indenture, dated as of December 1, 2016, between Northrop Grumman Corporation and The Bank of New York Mellon, as successor to JPMorgan Chase Bank, Trustee, to Indenture dated as of November 21, 2001</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 (a) Opinion of Wilmer Cutler Pickering Hale and Dorr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 (a) Computation of Ratio of Earnings to Fixed Charges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23 (a) Consent of Deloitte &amp;Touche LLP, an independent registered public accounting firm</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 (b) Consent of Wilmer Cutler Pickering Hale and Dorr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 (a) Power of Attorney – Northrop Grumman Corporation Directors</w:t>
      </w:r>
    </w:p>
    <w:p>
      <w:pPr>
        <w:spacing w:after="0" w:line="117" w:lineRule="exact"/>
        <w:rPr>
          <w:sz w:val="20"/>
          <w:szCs w:val="20"/>
          <w:color w:val="auto"/>
        </w:rPr>
      </w:pPr>
    </w:p>
    <w:p>
      <w:pPr>
        <w:ind w:left="580" w:right="100" w:hanging="532"/>
        <w:spacing w:after="0" w:line="277" w:lineRule="auto"/>
        <w:rPr>
          <w:sz w:val="20"/>
          <w:szCs w:val="20"/>
          <w:color w:val="auto"/>
        </w:rPr>
      </w:pPr>
      <w:r>
        <w:rPr>
          <w:rFonts w:ascii="Arial" w:cs="Arial" w:eastAsia="Arial" w:hAnsi="Arial"/>
          <w:sz w:val="18"/>
          <w:szCs w:val="18"/>
          <w:color w:val="auto"/>
        </w:rPr>
        <w:t>25 (a) Statement of Eligibility on Form T-1 of The Bank of New York Mellon to act as trustee under the Northrop Grumman Corporation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w w:val="99"/>
              </w:rPr>
              <w:t>10-Q</w:t>
            </w:r>
          </w:p>
        </w:tc>
        <w:tc>
          <w:tcPr>
            <w:tcW w:w="1640" w:type="dxa"/>
            <w:vAlign w:val="bottom"/>
          </w:tcPr>
          <w:p>
            <w:pPr>
              <w:ind w:left="60"/>
              <w:spacing w:after="0"/>
              <w:rPr>
                <w:sz w:val="20"/>
                <w:szCs w:val="20"/>
                <w:color w:val="auto"/>
              </w:rPr>
            </w:pPr>
            <w:r>
              <w:rPr>
                <w:rFonts w:ascii="Arial" w:cs="Arial" w:eastAsia="Arial" w:hAnsi="Arial"/>
                <w:sz w:val="18"/>
                <w:szCs w:val="18"/>
                <w:color w:val="auto"/>
              </w:rPr>
              <w:t>July 24, 2012</w:t>
            </w:r>
          </w:p>
        </w:tc>
        <w:tc>
          <w:tcPr>
            <w:tcW w:w="480" w:type="dxa"/>
            <w:vAlign w:val="bottom"/>
          </w:tcPr>
          <w:p>
            <w:pPr>
              <w:ind w:left="160"/>
              <w:spacing w:after="0"/>
              <w:rPr>
                <w:sz w:val="20"/>
                <w:szCs w:val="20"/>
                <w:color w:val="auto"/>
              </w:rPr>
            </w:pPr>
            <w:r>
              <w:rPr>
                <w:rFonts w:ascii="Arial" w:cs="Arial" w:eastAsia="Arial" w:hAnsi="Arial"/>
                <w:sz w:val="18"/>
                <w:szCs w:val="18"/>
                <w:color w:val="auto"/>
              </w:rPr>
              <w:t>3.1</w:t>
            </w:r>
          </w:p>
        </w:tc>
      </w:tr>
      <w:tr>
        <w:trPr>
          <w:trHeight w:val="54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w w:val="98"/>
              </w:rPr>
              <w:t>December 23, 2013</w:t>
            </w:r>
          </w:p>
        </w:tc>
        <w:tc>
          <w:tcPr>
            <w:tcW w:w="480" w:type="dxa"/>
            <w:vAlign w:val="bottom"/>
          </w:tcPr>
          <w:p>
            <w:pPr>
              <w:ind w:left="160"/>
              <w:spacing w:after="0"/>
              <w:rPr>
                <w:sz w:val="20"/>
                <w:szCs w:val="20"/>
                <w:color w:val="auto"/>
              </w:rPr>
            </w:pPr>
            <w:r>
              <w:rPr>
                <w:rFonts w:ascii="Arial" w:cs="Arial" w:eastAsia="Arial" w:hAnsi="Arial"/>
                <w:sz w:val="18"/>
                <w:szCs w:val="18"/>
                <w:color w:val="auto"/>
              </w:rPr>
              <w:t>3.1</w:t>
            </w:r>
          </w:p>
        </w:tc>
      </w:tr>
      <w:tr>
        <w:trPr>
          <w:trHeight w:val="54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Nov. 21, 2001</w:t>
            </w:r>
          </w:p>
        </w:tc>
        <w:tc>
          <w:tcPr>
            <w:tcW w:w="480" w:type="dxa"/>
            <w:vAlign w:val="bottom"/>
          </w:tcPr>
          <w:p>
            <w:pPr>
              <w:ind w:left="160"/>
              <w:spacing w:after="0"/>
              <w:rPr>
                <w:sz w:val="20"/>
                <w:szCs w:val="20"/>
                <w:color w:val="auto"/>
              </w:rPr>
            </w:pPr>
            <w:r>
              <w:rPr>
                <w:rFonts w:ascii="Arial" w:cs="Arial" w:eastAsia="Arial" w:hAnsi="Arial"/>
                <w:sz w:val="18"/>
                <w:szCs w:val="18"/>
                <w:color w:val="auto"/>
              </w:rPr>
              <w:t>4.1</w:t>
            </w:r>
          </w:p>
        </w:tc>
      </w:tr>
      <w:tr>
        <w:trPr>
          <w:trHeight w:val="108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July 30, 2009</w:t>
            </w:r>
          </w:p>
        </w:tc>
        <w:tc>
          <w:tcPr>
            <w:tcW w:w="480" w:type="dxa"/>
            <w:vAlign w:val="bottom"/>
          </w:tcPr>
          <w:p>
            <w:pPr>
              <w:ind w:left="160"/>
              <w:spacing w:after="0"/>
              <w:rPr>
                <w:sz w:val="20"/>
                <w:szCs w:val="20"/>
                <w:color w:val="auto"/>
              </w:rPr>
            </w:pPr>
            <w:r>
              <w:rPr>
                <w:rFonts w:ascii="Arial" w:cs="Arial" w:eastAsia="Arial" w:hAnsi="Arial"/>
                <w:sz w:val="18"/>
                <w:szCs w:val="18"/>
                <w:color w:val="auto"/>
                <w:w w:val="93"/>
              </w:rPr>
              <w:t>4(a)</w:t>
            </w:r>
          </w:p>
        </w:tc>
      </w:tr>
      <w:tr>
        <w:trPr>
          <w:trHeight w:val="75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Nov. 8, 2010</w:t>
            </w:r>
          </w:p>
        </w:tc>
        <w:tc>
          <w:tcPr>
            <w:tcW w:w="480" w:type="dxa"/>
            <w:vAlign w:val="bottom"/>
          </w:tcPr>
          <w:p>
            <w:pPr>
              <w:ind w:left="160"/>
              <w:spacing w:after="0"/>
              <w:rPr>
                <w:sz w:val="20"/>
                <w:szCs w:val="20"/>
                <w:color w:val="auto"/>
              </w:rPr>
            </w:pPr>
            <w:r>
              <w:rPr>
                <w:rFonts w:ascii="Arial" w:cs="Arial" w:eastAsia="Arial" w:hAnsi="Arial"/>
                <w:sz w:val="18"/>
                <w:szCs w:val="18"/>
                <w:color w:val="auto"/>
                <w:w w:val="93"/>
              </w:rPr>
              <w:t>4(a)</w:t>
            </w:r>
          </w:p>
        </w:tc>
      </w:tr>
      <w:tr>
        <w:trPr>
          <w:trHeight w:val="75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w w:val="99"/>
              </w:rPr>
              <w:t>10-Q</w:t>
            </w:r>
          </w:p>
        </w:tc>
        <w:tc>
          <w:tcPr>
            <w:tcW w:w="1640" w:type="dxa"/>
            <w:vAlign w:val="bottom"/>
          </w:tcPr>
          <w:p>
            <w:pPr>
              <w:ind w:left="60"/>
              <w:spacing w:after="0"/>
              <w:rPr>
                <w:sz w:val="20"/>
                <w:szCs w:val="20"/>
                <w:color w:val="auto"/>
              </w:rPr>
            </w:pPr>
            <w:r>
              <w:rPr>
                <w:rFonts w:ascii="Arial" w:cs="Arial" w:eastAsia="Arial" w:hAnsi="Arial"/>
                <w:sz w:val="18"/>
                <w:szCs w:val="18"/>
                <w:color w:val="auto"/>
              </w:rPr>
              <w:t>April 27, 2011</w:t>
            </w:r>
          </w:p>
        </w:tc>
        <w:tc>
          <w:tcPr>
            <w:tcW w:w="480" w:type="dxa"/>
            <w:vAlign w:val="bottom"/>
          </w:tcPr>
          <w:p>
            <w:pPr>
              <w:ind w:left="160"/>
              <w:spacing w:after="0"/>
              <w:rPr>
                <w:sz w:val="20"/>
                <w:szCs w:val="20"/>
                <w:color w:val="auto"/>
              </w:rPr>
            </w:pPr>
            <w:r>
              <w:rPr>
                <w:rFonts w:ascii="Arial" w:cs="Arial" w:eastAsia="Arial" w:hAnsi="Arial"/>
                <w:sz w:val="18"/>
                <w:szCs w:val="18"/>
                <w:color w:val="auto"/>
              </w:rPr>
              <w:t>4.9</w:t>
            </w:r>
          </w:p>
        </w:tc>
      </w:tr>
      <w:tr>
        <w:trPr>
          <w:trHeight w:val="972"/>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w w:val="99"/>
              </w:rPr>
              <w:t>10-Q</w:t>
            </w:r>
          </w:p>
        </w:tc>
        <w:tc>
          <w:tcPr>
            <w:tcW w:w="1640" w:type="dxa"/>
            <w:vAlign w:val="bottom"/>
          </w:tcPr>
          <w:p>
            <w:pPr>
              <w:ind w:left="60"/>
              <w:spacing w:after="0"/>
              <w:rPr>
                <w:sz w:val="20"/>
                <w:szCs w:val="20"/>
                <w:color w:val="auto"/>
              </w:rPr>
            </w:pPr>
            <w:r>
              <w:rPr>
                <w:rFonts w:ascii="Arial" w:cs="Arial" w:eastAsia="Arial" w:hAnsi="Arial"/>
                <w:sz w:val="18"/>
                <w:szCs w:val="18"/>
                <w:color w:val="auto"/>
              </w:rPr>
              <w:t>April 27, 2011</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4.10</w:t>
            </w:r>
          </w:p>
        </w:tc>
      </w:tr>
      <w:tr>
        <w:trPr>
          <w:trHeight w:val="972"/>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May 31, 2013</w:t>
            </w:r>
          </w:p>
        </w:tc>
        <w:tc>
          <w:tcPr>
            <w:tcW w:w="480" w:type="dxa"/>
            <w:vAlign w:val="bottom"/>
          </w:tcPr>
          <w:p>
            <w:pPr>
              <w:ind w:left="160"/>
              <w:spacing w:after="0"/>
              <w:rPr>
                <w:sz w:val="20"/>
                <w:szCs w:val="20"/>
                <w:color w:val="auto"/>
              </w:rPr>
            </w:pPr>
            <w:r>
              <w:rPr>
                <w:rFonts w:ascii="Arial" w:cs="Arial" w:eastAsia="Arial" w:hAnsi="Arial"/>
                <w:sz w:val="18"/>
                <w:szCs w:val="18"/>
                <w:color w:val="auto"/>
                <w:w w:val="93"/>
              </w:rPr>
              <w:t>4(a)</w:t>
            </w:r>
          </w:p>
        </w:tc>
      </w:tr>
      <w:tr>
        <w:trPr>
          <w:trHeight w:val="756"/>
        </w:trPr>
        <w:tc>
          <w:tcPr>
            <w:tcW w:w="36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February 6, 2015</w:t>
            </w:r>
          </w:p>
        </w:tc>
        <w:tc>
          <w:tcPr>
            <w:tcW w:w="480" w:type="dxa"/>
            <w:vAlign w:val="bottom"/>
          </w:tcPr>
          <w:p>
            <w:pPr>
              <w:ind w:left="160"/>
              <w:spacing w:after="0"/>
              <w:rPr>
                <w:sz w:val="20"/>
                <w:szCs w:val="20"/>
                <w:color w:val="auto"/>
              </w:rPr>
            </w:pPr>
            <w:r>
              <w:rPr>
                <w:rFonts w:ascii="Arial" w:cs="Arial" w:eastAsia="Arial" w:hAnsi="Arial"/>
                <w:sz w:val="18"/>
                <w:szCs w:val="18"/>
                <w:color w:val="auto"/>
              </w:rPr>
              <w:t>4.1</w:t>
            </w:r>
          </w:p>
        </w:tc>
      </w:tr>
      <w:tr>
        <w:trPr>
          <w:trHeight w:val="756"/>
        </w:trPr>
        <w:tc>
          <w:tcPr>
            <w:tcW w:w="36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8-K</w:t>
            </w:r>
          </w:p>
        </w:tc>
        <w:tc>
          <w:tcPr>
            <w:tcW w:w="1640" w:type="dxa"/>
            <w:vAlign w:val="bottom"/>
          </w:tcPr>
          <w:p>
            <w:pPr>
              <w:ind w:left="60"/>
              <w:spacing w:after="0"/>
              <w:rPr>
                <w:sz w:val="20"/>
                <w:szCs w:val="20"/>
                <w:color w:val="auto"/>
              </w:rPr>
            </w:pPr>
            <w:r>
              <w:rPr>
                <w:rFonts w:ascii="Arial" w:cs="Arial" w:eastAsia="Arial" w:hAnsi="Arial"/>
                <w:sz w:val="18"/>
                <w:szCs w:val="18"/>
                <w:color w:val="auto"/>
              </w:rPr>
              <w:t>December 1, 2016</w:t>
            </w:r>
          </w:p>
        </w:tc>
        <w:tc>
          <w:tcPr>
            <w:tcW w:w="480" w:type="dxa"/>
            <w:vAlign w:val="bottom"/>
          </w:tcPr>
          <w:p>
            <w:pPr>
              <w:ind w:left="160"/>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both"/>
        <w:ind w:left="900"/>
        <w:spacing w:after="0"/>
        <w:tabs>
          <w:tab w:leader="none" w:pos="1500" w:val="left"/>
          <w:tab w:leader="none" w:pos="3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10-K  January 30, 2017</w:t>
      </w:r>
      <w:r>
        <w:rPr>
          <w:sz w:val="20"/>
          <w:szCs w:val="20"/>
          <w:color w:val="auto"/>
        </w:rPr>
        <w:tab/>
      </w:r>
      <w:r>
        <w:rPr>
          <w:rFonts w:ascii="Arial" w:cs="Arial" w:eastAsia="Arial" w:hAnsi="Arial"/>
          <w:sz w:val="16"/>
          <w:szCs w:val="16"/>
          <w:color w:val="auto"/>
        </w:rPr>
        <w:t>12(a)</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40" w:hanging="789"/>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117" w:lineRule="exact"/>
        <w:rPr>
          <w:rFonts w:ascii="Arial" w:cs="Arial" w:eastAsia="Arial" w:hAnsi="Arial"/>
          <w:sz w:val="18"/>
          <w:szCs w:val="18"/>
          <w:color w:val="auto"/>
        </w:rPr>
      </w:pPr>
    </w:p>
    <w:p>
      <w:pPr>
        <w:spacing w:after="0"/>
        <w:tabs>
          <w:tab w:leader="none" w:pos="0" w:val="left"/>
        </w:tabs>
        <w:numPr>
          <w:ilvl w:val="0"/>
          <w:numId w:val="20"/>
        </w:numPr>
        <w:rPr>
          <w:rFonts w:ascii="Arial" w:cs="Arial" w:eastAsia="Arial" w:hAnsi="Arial"/>
          <w:sz w:val="18"/>
          <w:szCs w:val="18"/>
          <w:color w:val="auto"/>
        </w:rPr>
      </w:pPr>
    </w:p>
    <w:p>
      <w:pPr>
        <w:spacing w:after="0" w:line="413" w:lineRule="exact"/>
        <w:rPr>
          <w:sz w:val="20"/>
          <w:szCs w:val="20"/>
          <w:color w:val="auto"/>
        </w:rPr>
      </w:pPr>
    </w:p>
    <w:p>
      <w:pPr>
        <w:sectPr>
          <w:pgSz w:w="11900" w:h="16838" w:orient="portrait"/>
          <w:cols w:equalWidth="0" w:num="2">
            <w:col w:w="6960" w:space="300"/>
            <w:col w:w="4160"/>
          </w:cols>
          <w:pgMar w:left="240" w:top="459" w:right="239" w:bottom="1440" w:gutter="0" w:footer="0" w:header="0"/>
          <w:type w:val="continuous"/>
        </w:sect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be filed by amendment hereto or on a current report on Form 8-K to be incorporated herein by reference.</w:t>
      </w:r>
    </w:p>
    <w:p>
      <w:pPr>
        <w:spacing w:after="0" w:line="4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Exhibit 4(c) on pages 13-19.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Exhibit 5(a).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on pages II-5-II-6.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900" w:type="dxa"/>
            <w:vAlign w:val="bottom"/>
          </w:tcPr>
          <w:p>
            <w:pPr>
              <w:jc w:val="right"/>
              <w:spacing w:after="0"/>
              <w:rPr>
                <w:sz w:val="20"/>
                <w:szCs w:val="20"/>
                <w:color w:val="auto"/>
              </w:rPr>
            </w:pPr>
            <w:r>
              <w:rPr>
                <w:rFonts w:ascii="Arial" w:cs="Arial" w:eastAsia="Arial" w:hAnsi="Arial"/>
                <w:sz w:val="18"/>
                <w:szCs w:val="18"/>
                <w:b w:val="1"/>
                <w:bCs w:val="1"/>
                <w:color w:val="auto"/>
              </w:rPr>
              <w:t>Exhibit 5(a)</w:t>
            </w:r>
          </w:p>
        </w:tc>
      </w:tr>
      <w:tr>
        <w:trPr>
          <w:trHeight w:val="931"/>
        </w:trPr>
        <w:tc>
          <w:tcPr>
            <w:tcW w:w="6520" w:type="dxa"/>
            <w:vAlign w:val="bottom"/>
          </w:tcPr>
          <w:p>
            <w:pPr>
              <w:spacing w:after="0"/>
              <w:rPr>
                <w:sz w:val="20"/>
                <w:szCs w:val="20"/>
                <w:color w:val="auto"/>
              </w:rPr>
            </w:pPr>
            <w:r>
              <w:rPr>
                <w:rFonts w:ascii="Arial" w:cs="Arial" w:eastAsia="Arial" w:hAnsi="Arial"/>
                <w:sz w:val="18"/>
                <w:szCs w:val="18"/>
                <w:color w:val="auto"/>
              </w:rPr>
              <w:t>March 31, 2017</w:t>
            </w:r>
          </w:p>
        </w:tc>
        <w:tc>
          <w:tcPr>
            <w:tcW w:w="4900" w:type="dxa"/>
            <w:vAlign w:val="bottom"/>
          </w:tcPr>
          <w:p>
            <w:pPr>
              <w:jc w:val="right"/>
              <w:spacing w:after="0"/>
              <w:rPr>
                <w:sz w:val="20"/>
                <w:szCs w:val="20"/>
                <w:color w:val="auto"/>
              </w:rPr>
            </w:pPr>
            <w:r>
              <w:rPr>
                <w:rFonts w:ascii="Arial" w:cs="Arial" w:eastAsia="Arial" w:hAnsi="Arial"/>
                <w:sz w:val="18"/>
                <w:szCs w:val="18"/>
                <w:color w:val="auto"/>
              </w:rPr>
              <w:t>+1 202 663 6000 (t)</w:t>
            </w:r>
          </w:p>
        </w:tc>
      </w:tr>
      <w:tr>
        <w:trPr>
          <w:trHeight w:val="216"/>
        </w:trPr>
        <w:tc>
          <w:tcPr>
            <w:tcW w:w="652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Arial" w:cs="Arial" w:eastAsia="Arial" w:hAnsi="Arial"/>
                <w:sz w:val="18"/>
                <w:szCs w:val="18"/>
                <w:color w:val="auto"/>
              </w:rPr>
              <w:t>+1 202 663 6363 (f)</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Northrop Grumman Corporation</w:t>
            </w:r>
          </w:p>
        </w:tc>
        <w:tc>
          <w:tcPr>
            <w:tcW w:w="490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2980 Fairview Park Drive</w:t>
            </w:r>
          </w:p>
        </w:tc>
        <w:tc>
          <w:tcPr>
            <w:tcW w:w="490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Falls Church, Virginia 22042</w:t>
            </w:r>
          </w:p>
        </w:tc>
        <w:tc>
          <w:tcPr>
            <w:tcW w:w="4900" w:type="dxa"/>
            <w:vAlign w:val="bottom"/>
          </w:tcPr>
          <w:p>
            <w:pPr>
              <w:spacing w:after="0"/>
              <w:rPr>
                <w:sz w:val="20"/>
                <w:szCs w:val="20"/>
                <w:color w:val="auto"/>
              </w:rPr>
            </w:pPr>
          </w:p>
        </w:tc>
      </w:tr>
      <w:tr>
        <w:trPr>
          <w:trHeight w:val="473"/>
        </w:trPr>
        <w:tc>
          <w:tcPr>
            <w:tcW w:w="6520" w:type="dxa"/>
            <w:vAlign w:val="bottom"/>
          </w:tcPr>
          <w:p>
            <w:pPr>
              <w:spacing w:after="0"/>
              <w:rPr>
                <w:sz w:val="20"/>
                <w:szCs w:val="20"/>
                <w:color w:val="auto"/>
              </w:rPr>
            </w:pPr>
            <w:r>
              <w:rPr>
                <w:rFonts w:ascii="Arial" w:cs="Arial" w:eastAsia="Arial" w:hAnsi="Arial"/>
                <w:sz w:val="18"/>
                <w:szCs w:val="18"/>
                <w:color w:val="auto"/>
              </w:rPr>
              <w:t>Re:  Registration Statement on Form S-3</w:t>
            </w:r>
          </w:p>
        </w:tc>
        <w:tc>
          <w:tcPr>
            <w:tcW w:w="4900" w:type="dxa"/>
            <w:vAlign w:val="bottom"/>
          </w:tcPr>
          <w:p>
            <w:pPr>
              <w:spacing w:after="0"/>
              <w:rPr>
                <w:sz w:val="24"/>
                <w:szCs w:val="24"/>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color w:val="auto"/>
              </w:rPr>
              <w:t>Ladies and Gentlemen:</w:t>
            </w: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-1585595</wp:posOffset>
            </wp:positionV>
            <wp:extent cx="111506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5060" cy="154305"/>
                    </a:xfrm>
                    <a:prstGeom prst="rect">
                      <a:avLst/>
                    </a:prstGeom>
                    <a:noFill/>
                  </pic:spPr>
                </pic:pic>
              </a:graphicData>
            </a:graphic>
          </wp:anchor>
        </w:drawing>
      </w:r>
    </w:p>
    <w:p>
      <w:pPr>
        <w:spacing w:after="0" w:line="18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This opinion is furnished to you in connection with a Registration Statement on Form S-3 (the “Registration Statement”) filed by Northrop Grumman Corporation, a Delaware corporation (the “Company”), with the Securities and Exchange Commission (the “Commission”) under the Securities Act of 1933, as amended (the “Securities Act”), for the registration of the following securities of the Company (the “Securities”):</w:t>
      </w:r>
    </w:p>
    <w:p>
      <w:pPr>
        <w:spacing w:after="0" w:line="8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debt securities (the “Senior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 par value $1.00 per share (the “Common Stock”);</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of which may be issued from time to time on a delayed or continuous basis pursuant to Rule 415 under the Securities Act, as set forth in the Registration Statement, the prospectus contained therein (the “Prospectus”) and any amendments or supplements thereto.</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acting as counsel for the Company in connection with the filing of the Registration Statement. The Senior Debt Securities may be issued pursuant to the Indenture dated as of November 21, 2001, between the Company and The Bank of New York Mellon Trust Company, N.A., as trustee (as amended and/or supplemented from time to time, the “Indenture”), which has been duly qualified under the Trust Indenture Act of 1939, as amended (the “Trust Indenture Act”).</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have examined and relied upon signed copies of the Registration Statement as filed with the Commission, including the exhibits thereto. We have also examined and relied upon the Amended and Restated Certificate of Incorporation of the Company (as amended or restated from time to time, the “Certificate of Incorporation”), the Amended and Restated Bylaws of the Company (as amended or restated from time to time, the “Bylaws”), minutes of meetings of the stockholders and the Board of Directors of the Company as provided to us by the Company and such other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66675</wp:posOffset>
            </wp:positionV>
            <wp:extent cx="610616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06160" cy="3175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63195"/>
                    </a:xfrm>
                    <a:prstGeom prst="rect">
                      <a:avLst/>
                    </a:prstGeom>
                    <a:noFill/>
                  </pic:spPr>
                </pic:pic>
              </a:graphicData>
            </a:graphic>
          </wp:anchor>
        </w:drawing>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capacity of all signatories to such documents.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relied as to certain matters on information obtained from public officials and officers of the Company, and we have assumed that (i) one or more prospectus supplements will have been prepared and filed with the Commission describing the Securities offered thereby; (ii) all Securities will be issued and sold in compliance with applicable federal and state securities laws and in the manner stated in the Registration Statement, the Prospectus, and the applicable prospectus supplement; (iii) a definitive purchase, underwriting or similar agreement (a “Purchase Agreement”) with respect to any Securities offered will be duly authorized, executed and delivered by all parties thereto other than the Company; (iv) any Securities issuable upon conversion, exchange or exercise of any Security being offered will be duly authorized, created and, if appropriate, reserved for issuance upon such conversion, exchange or exercise; (v) with respect to shares of Common Stock offered, there will be sufficient shares of Common Stock authorized under the Certificate of Incorporation and not otherwise reserved for issuance; and (vi) the Company is, and shall remain, validly existing as a corporation and in good standing under the laws of the State of Delaware.</w:t>
      </w:r>
    </w:p>
    <w:p>
      <w:pPr>
        <w:spacing w:after="0" w:line="18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 execution and delivery by the Company of the Indenture and the Securities, and the performance by the Company of its obligations thereunder, do not and will not violate, conflict with or constitute a default under (i) any agreement or instrument to which the Company or any of its properties is then subject, (ii) any law, rule, or regulation to which the Company or any of its properties is then subject or (iii) any judicial or regulatory order or decree of any governmental authority.</w:t>
      </w:r>
    </w:p>
    <w:p>
      <w:pPr>
        <w:spacing w:after="0" w:line="18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have also assumed that there will not have occurred, prior to the date of issuance of the Securities, any change in law affecting the validity or enforceability of such Securities and that at the time of the issuance and sale of the Securities, the Board of Directors of the Company</w:t>
      </w:r>
    </w:p>
    <w:p>
      <w:pPr>
        <w:sectPr>
          <w:pgSz w:w="11900" w:h="16838" w:orient="portrait"/>
          <w:cols w:equalWidth="0" w:num="1">
            <w:col w:w="11400"/>
          </w:cols>
          <w:pgMar w:left="240" w:top="638"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63195"/>
                    </a:xfrm>
                    <a:prstGeom prst="rect">
                      <a:avLst/>
                    </a:prstGeom>
                    <a:noFill/>
                  </pic:spPr>
                </pic:pic>
              </a:graphicData>
            </a:graphic>
          </wp:anchor>
        </w:drawing>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 any committee thereof acting pursuant to authority properly delegated to such committee by the Board of Directors) shall not have taken any action to rescind or otherwise reduce its prior authorization of the issuance of the Securities.</w:t>
      </w:r>
    </w:p>
    <w:p>
      <w:pPr>
        <w:spacing w:after="0" w:line="170" w:lineRule="exact"/>
        <w:rPr>
          <w:sz w:val="20"/>
          <w:szCs w:val="20"/>
          <w:color w:val="auto"/>
        </w:rPr>
      </w:pPr>
    </w:p>
    <w:p>
      <w:pPr>
        <w:ind w:right="480" w:firstLine="456"/>
        <w:spacing w:after="0" w:line="288" w:lineRule="auto"/>
        <w:rPr>
          <w:sz w:val="20"/>
          <w:szCs w:val="20"/>
          <w:color w:val="auto"/>
        </w:rPr>
      </w:pPr>
      <w:r>
        <w:rPr>
          <w:rFonts w:ascii="Arial" w:cs="Arial" w:eastAsia="Arial" w:hAnsi="Arial"/>
          <w:sz w:val="16"/>
          <w:szCs w:val="16"/>
          <w:color w:val="auto"/>
        </w:rPr>
        <w:t>Our opinions below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w:t>
      </w:r>
    </w:p>
    <w:p>
      <w:pPr>
        <w:ind w:right="60" w:firstLine="8"/>
        <w:spacing w:after="0" w:line="252"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equitable principles.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express no opinion herein as to any provision of any agreement (i) that may be deemed to or construed to waive any right of the Company,</w:t>
      </w:r>
    </w:p>
    <w:p>
      <w:pPr>
        <w:spacing w:after="0" w:line="46" w:lineRule="exact"/>
        <w:rPr>
          <w:sz w:val="20"/>
          <w:szCs w:val="20"/>
          <w:color w:val="auto"/>
        </w:rPr>
      </w:pPr>
    </w:p>
    <w:p>
      <w:pPr>
        <w:ind w:firstLine="8"/>
        <w:spacing w:after="0" w:line="281"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which provides that the terms of any agreement may not be waived or modified except in writing,</w:t>
      </w:r>
    </w:p>
    <w:p>
      <w:pPr>
        <w:spacing w:after="0" w:line="2" w:lineRule="exact"/>
        <w:rPr>
          <w:rFonts w:ascii="Arial" w:cs="Arial" w:eastAsia="Arial" w:hAnsi="Arial"/>
          <w:sz w:val="16"/>
          <w:szCs w:val="16"/>
          <w:color w:val="auto"/>
        </w:rPr>
      </w:pPr>
    </w:p>
    <w:p>
      <w:pPr>
        <w:ind w:right="880" w:firstLine="8"/>
        <w:spacing w:after="0" w:line="261" w:lineRule="auto"/>
        <w:tabs>
          <w:tab w:leader="none" w:pos="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purporting to indemnify any person against his, her or its own negligence or intentional misconduct, (viii) requiring the payment of penalties, consequential damages or liquidated damages or (ix) relating to choice of law or consent to jurisdiction.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right="120" w:firstLine="464"/>
        <w:spacing w:after="0" w:line="257" w:lineRule="auto"/>
        <w:tabs>
          <w:tab w:leader="none" w:pos="7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Senior Debt Securities, when (i) specifically authorized for issuance by proper action of the Company’s Board of Directors or an authorized committee thereof (the “Authorizing Resolutions”), (ii) the terms of the Senior Debt Securities and of their issuance and sale have been duly established in conformity with the Indenture and the Authorizing Resolutions, (iii) such Senior Debt Securities have been duly executed and authenticated in accordance with the Indenture and issued and sold as contemplated by the Registration Statement, the Prospectus and the applicable prospectus supplement, and (v) the</w:t>
      </w:r>
    </w:p>
    <w:p>
      <w:pPr>
        <w:sectPr>
          <w:pgSz w:w="11900" w:h="16838" w:orient="portrait"/>
          <w:cols w:equalWidth="0" w:num="1">
            <w:col w:w="11420"/>
          </w:cols>
          <w:pgMar w:left="240" w:top="63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63195"/>
                    </a:xfrm>
                    <a:prstGeom prst="rect">
                      <a:avLst/>
                    </a:prstGeom>
                    <a:noFill/>
                  </pic:spPr>
                </pic:pic>
              </a:graphicData>
            </a:graphic>
          </wp:anchor>
        </w:drawing>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Company has received the consideration provided for in the Authorizing Resolutions and the applicable Purchase Agreement, such Senior Debt Securities will constitute valid and binding obligations of the Company enforceable against the Company in accordance with their terms.</w:t>
      </w:r>
    </w:p>
    <w:p>
      <w:pPr>
        <w:spacing w:after="0" w:line="147" w:lineRule="exact"/>
        <w:rPr>
          <w:sz w:val="20"/>
          <w:szCs w:val="20"/>
          <w:color w:val="auto"/>
        </w:rPr>
      </w:pPr>
    </w:p>
    <w:p>
      <w:pPr>
        <w:ind w:firstLine="464"/>
        <w:spacing w:after="0" w:line="276" w:lineRule="auto"/>
        <w:tabs>
          <w:tab w:leader="none" w:pos="7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 respect to the Common Stock, when (i) specifically authorized for issuance by Authorizing Resolutions, (ii) the terms of the issuance and sale of the Common Stock have been duly established in conformity with the Certificate of Incorporation and Bylaws, (iii) the shares of Common Stock have been issued and sold as contemplated by the Registration Statement, the Prospectus and the applicable prospectus supplement, and (iv) the Company has received the consideration provided for in the Authorizing Resolutions and the applicable Purchase Agreement and such consideration per share is not less than the par value per share of the Common Stock, the Common Stock will be validly issued, fully paid and non-assessable.</w:t>
      </w:r>
    </w:p>
    <w:p>
      <w:pPr>
        <w:spacing w:after="0" w:line="173"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Erika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Erika L. Robinson, a Partner</w:t>
      </w:r>
    </w:p>
    <w:p>
      <w:pPr>
        <w:sectPr>
          <w:pgSz w:w="11900" w:h="16838" w:orient="portrait"/>
          <w:cols w:equalWidth="0" w:num="1">
            <w:col w:w="11400"/>
          </w:cols>
          <w:pgMar w:left="240" w:top="638"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reports dated January 30, 2017, relating to the consolidated financial statements of Northrop Grumman Corporation and subsidiaries, and the effectiveness of Northrop Grumman Corporation and subsidiaries’ internal control over financial reporting, appearing in the Annual Report on Form 10-K of Northrop Grumman Corporation for the year ended December 31, 2016, and to the reference to us under the heading “Experts” in the Prospectus, which is part of this Registration Statement.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2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3"/>
          </w:tcPr>
          <w:p>
            <w:pPr>
              <w:jc w:val="center"/>
              <w:ind w:left="350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8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57"/>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5"/>
              </w:rPr>
              <w:t>New York</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4"/>
              </w:rPr>
              <w:t>if not a U.S. national bank)</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2"/>
              </w:rPr>
              <w:t>225 Liberty Street, New York, N.Y.</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10286</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7840" w:type="dxa"/>
            <w:vAlign w:val="bottom"/>
            <w:gridSpan w:val="3"/>
          </w:tcPr>
          <w:p>
            <w:pPr>
              <w:jc w:val="center"/>
              <w:ind w:left="3520"/>
              <w:spacing w:after="0"/>
              <w:rPr>
                <w:sz w:val="20"/>
                <w:szCs w:val="20"/>
                <w:color w:val="auto"/>
              </w:rPr>
            </w:pPr>
            <w:r>
              <w:rPr>
                <w:rFonts w:ascii="Arial" w:cs="Arial" w:eastAsia="Arial" w:hAnsi="Arial"/>
                <w:sz w:val="18"/>
                <w:szCs w:val="18"/>
                <w:b w:val="1"/>
                <w:bCs w:val="1"/>
                <w:color w:val="auto"/>
                <w:w w:val="94"/>
              </w:rPr>
              <w:t>Northrup Grumman Corporation</w:t>
            </w:r>
          </w:p>
        </w:tc>
        <w:tc>
          <w:tcPr>
            <w:tcW w:w="3580" w:type="dxa"/>
            <w:vAlign w:val="bottom"/>
          </w:tcPr>
          <w:p>
            <w:pPr>
              <w:spacing w:after="0"/>
              <w:rPr>
                <w:sz w:val="24"/>
                <w:szCs w:val="24"/>
                <w:color w:val="auto"/>
              </w:rPr>
            </w:pPr>
          </w:p>
        </w:tc>
      </w:tr>
      <w:tr>
        <w:trPr>
          <w:trHeight w:val="186"/>
        </w:trPr>
        <w:tc>
          <w:tcPr>
            <w:tcW w:w="7840" w:type="dxa"/>
            <w:vAlign w:val="bottom"/>
            <w:gridSpan w:val="3"/>
          </w:tcPr>
          <w:p>
            <w:pPr>
              <w:jc w:val="center"/>
              <w:ind w:left="350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8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70"/>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80-0640649</w:t>
            </w:r>
          </w:p>
        </w:tc>
      </w:tr>
      <w:tr>
        <w:trPr>
          <w:trHeight w:val="149"/>
        </w:trPr>
        <w:tc>
          <w:tcPr>
            <w:tcW w:w="784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3"/>
              </w:rPr>
              <w:t>2980 Fairview Park DriveFalls Church, Virginia</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22042</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Senior Debt Securities</w:t>
            </w:r>
          </w:p>
        </w:tc>
        <w:tc>
          <w:tcPr>
            <w:tcW w:w="358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8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67"/>
        </w:trPr>
        <w:tc>
          <w:tcPr>
            <w:tcW w:w="360" w:type="dxa"/>
            <w:vAlign w:val="bottom"/>
          </w:tcPr>
          <w:p>
            <w:pPr>
              <w:spacing w:after="0"/>
              <w:rPr>
                <w:sz w:val="20"/>
                <w:szCs w:val="20"/>
                <w:color w:val="auto"/>
              </w:rPr>
            </w:pPr>
            <w:r>
              <w:rPr>
                <w:rFonts w:ascii="Arial" w:cs="Arial" w:eastAsia="Arial" w:hAnsi="Arial"/>
                <w:sz w:val="14"/>
                <w:szCs w:val="14"/>
                <w:color w:val="auto"/>
                <w:w w:val="90"/>
              </w:rPr>
              <w:t>Name</w:t>
            </w:r>
          </w:p>
        </w:tc>
        <w:tc>
          <w:tcPr>
            <w:tcW w:w="4140" w:type="dxa"/>
            <w:vAlign w:val="bottom"/>
          </w:tcPr>
          <w:p>
            <w:pPr>
              <w:spacing w:after="0"/>
              <w:rPr>
                <w:sz w:val="14"/>
                <w:szCs w:val="14"/>
                <w:color w:val="auto"/>
              </w:rPr>
            </w:pPr>
          </w:p>
        </w:tc>
        <w:tc>
          <w:tcPr>
            <w:tcW w:w="4280" w:type="dxa"/>
            <w:vAlign w:val="bottom"/>
            <w:gridSpan w:val="3"/>
          </w:tcPr>
          <w:p>
            <w:pPr>
              <w:ind w:left="132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gridSpan w:val="2"/>
          </w:tcPr>
          <w:p>
            <w:pPr>
              <w:spacing w:after="0" w:line="195" w:lineRule="exact"/>
              <w:rPr>
                <w:sz w:val="20"/>
                <w:szCs w:val="20"/>
                <w:color w:val="auto"/>
              </w:rPr>
            </w:pPr>
            <w:r>
              <w:rPr>
                <w:rFonts w:ascii="Arial" w:cs="Arial" w:eastAsia="Arial" w:hAnsi="Arial"/>
                <w:sz w:val="18"/>
                <w:szCs w:val="18"/>
                <w:color w:val="auto"/>
              </w:rPr>
              <w:t>Superintendent of the Department of</w:t>
            </w:r>
          </w:p>
        </w:tc>
        <w:tc>
          <w:tcPr>
            <w:tcW w:w="1320" w:type="dxa"/>
            <w:vAlign w:val="bottom"/>
            <w:vMerge w:val="continue"/>
          </w:tcPr>
          <w:p>
            <w:pPr>
              <w:spacing w:after="0"/>
              <w:rPr>
                <w:sz w:val="16"/>
                <w:szCs w:val="16"/>
                <w:color w:val="auto"/>
              </w:rPr>
            </w:pPr>
          </w:p>
        </w:tc>
        <w:tc>
          <w:tcPr>
            <w:tcW w:w="2960" w:type="dxa"/>
            <w:vAlign w:val="bottom"/>
            <w:gridSpan w:val="2"/>
          </w:tcPr>
          <w:p>
            <w:pPr>
              <w:spacing w:after="0" w:line="195" w:lineRule="exact"/>
              <w:rPr>
                <w:sz w:val="20"/>
                <w:szCs w:val="20"/>
                <w:color w:val="auto"/>
              </w:rPr>
            </w:pPr>
            <w:r>
              <w:rPr>
                <w:rFonts w:ascii="Arial" w:cs="Arial" w:eastAsia="Arial" w:hAnsi="Arial"/>
                <w:sz w:val="18"/>
                <w:szCs w:val="18"/>
                <w:color w:val="auto"/>
              </w:rPr>
              <w:t>One State Street, New York, N.Y.</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Financial Services of the State of New York</w:t>
            </w: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w w:val="99"/>
              </w:rPr>
              <w:t>10004-1417, and Albany, N.Y. 12223</w:t>
            </w:r>
          </w:p>
        </w:tc>
        <w:tc>
          <w:tcPr>
            <w:tcW w:w="0" w:type="dxa"/>
            <w:vAlign w:val="bottom"/>
          </w:tcPr>
          <w:p>
            <w:pPr>
              <w:spacing w:after="0"/>
              <w:rPr>
                <w:sz w:val="1"/>
                <w:szCs w:val="1"/>
                <w:color w:val="auto"/>
              </w:rPr>
            </w:pPr>
          </w:p>
        </w:tc>
      </w:tr>
      <w:tr>
        <w:trPr>
          <w:trHeight w:val="338"/>
        </w:trPr>
        <w:tc>
          <w:tcPr>
            <w:tcW w:w="450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w w:val="91"/>
              </w:rPr>
              <w:t>33 Liberty Street, New York, N.Y. 10045</w:t>
            </w: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rPr>
              <w:t>550 17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c>
          <w:tcPr>
            <w:tcW w:w="0" w:type="dxa"/>
            <w:vAlign w:val="bottom"/>
          </w:tcPr>
          <w:p>
            <w:pPr>
              <w:spacing w:after="0"/>
              <w:rPr>
                <w:sz w:val="1"/>
                <w:szCs w:val="1"/>
                <w:color w:val="auto"/>
              </w:rPr>
            </w:pPr>
          </w:p>
        </w:tc>
      </w:tr>
      <w:tr>
        <w:trPr>
          <w:trHeight w:val="244"/>
        </w:trPr>
        <w:tc>
          <w:tcPr>
            <w:tcW w:w="45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r>
        <w:trPr>
          <w:trHeight w:val="310"/>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rPr>
              <w:t>100 Broad Street</w:t>
            </w:r>
          </w:p>
        </w:tc>
        <w:tc>
          <w:tcPr>
            <w:tcW w:w="0" w:type="dxa"/>
            <w:vAlign w:val="bottom"/>
          </w:tcPr>
          <w:p>
            <w:pPr>
              <w:spacing w:after="0"/>
              <w:rPr>
                <w:sz w:val="1"/>
                <w:szCs w:val="1"/>
                <w:color w:val="auto"/>
              </w:rPr>
            </w:pPr>
          </w:p>
        </w:tc>
      </w:tr>
      <w:tr>
        <w:trPr>
          <w:trHeight w:val="244"/>
        </w:trPr>
        <w:tc>
          <w:tcPr>
            <w:tcW w:w="4500" w:type="dxa"/>
            <w:vAlign w:val="bottom"/>
            <w:gridSpan w:val="2"/>
          </w:tcPr>
          <w:p>
            <w:pPr>
              <w:spacing w:after="0"/>
              <w:rPr>
                <w:sz w:val="20"/>
                <w:szCs w:val="20"/>
                <w:color w:val="auto"/>
              </w:rPr>
            </w:pPr>
            <w:r>
              <w:rPr>
                <w:rFonts w:ascii="Arial" w:cs="Arial" w:eastAsia="Arial" w:hAnsi="Arial"/>
                <w:sz w:val="18"/>
                <w:szCs w:val="18"/>
                <w:color w:val="auto"/>
              </w:rPr>
              <w:t>The Clearing House Association L.L.C.</w:t>
            </w:r>
          </w:p>
        </w:tc>
        <w:tc>
          <w:tcPr>
            <w:tcW w:w="4280" w:type="dxa"/>
            <w:vAlign w:val="bottom"/>
            <w:gridSpan w:val="3"/>
          </w:tcPr>
          <w:p>
            <w:pPr>
              <w:ind w:left="1320"/>
              <w:spacing w:after="0"/>
              <w:rPr>
                <w:sz w:val="20"/>
                <w:szCs w:val="20"/>
                <w:color w:val="auto"/>
              </w:rPr>
            </w:pPr>
            <w:r>
              <w:rPr>
                <w:rFonts w:ascii="Arial" w:cs="Arial" w:eastAsia="Arial" w:hAnsi="Arial"/>
                <w:sz w:val="18"/>
                <w:szCs w:val="18"/>
                <w:color w:val="auto"/>
              </w:rPr>
              <w:t>New York, N.Y. 10004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92" w:hanging="446"/>
        <w:spacing w:after="0"/>
        <w:tabs>
          <w:tab w:leader="none" w:pos="8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Yes.</w:t>
      </w:r>
    </w:p>
    <w:p>
      <w:pPr>
        <w:spacing w:after="0" w:line="370"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hanging="446"/>
        <w:spacing w:after="0" w:line="276" w:lineRule="auto"/>
        <w:tabs>
          <w:tab w:leader="none" w:pos="8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5" w:lineRule="exact"/>
        <w:rPr>
          <w:rFonts w:ascii="Arial" w:cs="Arial" w:eastAsia="Arial" w:hAnsi="Arial"/>
          <w:sz w:val="17"/>
          <w:szCs w:val="17"/>
          <w:color w:val="auto"/>
        </w:rPr>
      </w:pPr>
    </w:p>
    <w:p>
      <w:pPr>
        <w:ind w:left="5652" w:hanging="96"/>
        <w:spacing w:after="0"/>
        <w:tabs>
          <w:tab w:leader="none" w:pos="56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35" w:name="page36"/>
    <w:bookmarkEnd w:id="35"/>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existing By-laws of the Trustee (Exhibit 4 to Form T-1 filed with Registration Statement No. 333-207042).</w:t>
      </w:r>
    </w:p>
    <w:p>
      <w:pPr>
        <w:spacing w:after="0" w:line="131" w:lineRule="exact"/>
        <w:rPr>
          <w:sz w:val="20"/>
          <w:szCs w:val="20"/>
          <w:color w:val="auto"/>
        </w:rPr>
      </w:pPr>
    </w:p>
    <w:p>
      <w:pPr>
        <w:ind w:left="446" w:hanging="446"/>
        <w:spacing w:after="0"/>
        <w:tabs>
          <w:tab w:leader="none" w:pos="4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333-188382).</w:t>
      </w:r>
    </w:p>
    <w:p>
      <w:pPr>
        <w:spacing w:after="0" w:line="153" w:lineRule="exact"/>
        <w:rPr>
          <w:rFonts w:ascii="Arial" w:cs="Arial" w:eastAsia="Arial" w:hAnsi="Arial"/>
          <w:sz w:val="16"/>
          <w:szCs w:val="16"/>
          <w:color w:val="auto"/>
        </w:rPr>
      </w:pPr>
    </w:p>
    <w:p>
      <w:pPr>
        <w:ind w:left="446" w:hanging="446"/>
        <w:spacing w:after="0"/>
        <w:tabs>
          <w:tab w:leader="none" w:pos="4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Woodland Park, and State of New Jersey, on the 20th day of March,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Laurence J. O’Brien</w:t>
      </w:r>
    </w:p>
    <w:p>
      <w:pPr>
        <w:spacing w:after="0" w:line="9"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40"/>
          </w:cols>
          <w:pgMar w:left="240" w:top="274"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225 Liberty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 member of the Federal Reserve System, at the close of business December 31, 2016, published in accordance with a call made by the Federal Reserve Bank of this District pursuant to the provisions of the Federal Reserve Act.</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240" w:type="dxa"/>
            <w:vAlign w:val="bottom"/>
            <w:gridSpan w:val="3"/>
          </w:tcPr>
          <w:p>
            <w:pPr>
              <w:ind w:left="520"/>
              <w:spacing w:after="0"/>
              <w:rPr>
                <w:sz w:val="20"/>
                <w:szCs w:val="20"/>
                <w:color w:val="auto"/>
              </w:rPr>
            </w:pPr>
            <w:r>
              <w:rPr>
                <w:rFonts w:ascii="Arial" w:cs="Arial" w:eastAsia="Arial" w:hAnsi="Arial"/>
                <w:sz w:val="14"/>
                <w:szCs w:val="14"/>
                <w:color w:val="auto"/>
                <w:w w:val="95"/>
              </w:rPr>
              <w:t>Dollar amounts in thousands</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69,260,000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39,852,000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68,602,000</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Federal funds sold and securities purchased under agreements to</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resell:</w:t>
            </w: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700"/>
              <w:spacing w:after="0" w:line="201" w:lineRule="exact"/>
              <w:rPr>
                <w:sz w:val="20"/>
                <w:szCs w:val="20"/>
                <w:color w:val="auto"/>
              </w:rPr>
            </w:pPr>
            <w:r>
              <w:rPr>
                <w:rFonts w:ascii="Arial" w:cs="Arial" w:eastAsia="Arial" w:hAnsi="Arial"/>
                <w:sz w:val="18"/>
                <w:szCs w:val="18"/>
                <w:color w:val="auto"/>
              </w:rPr>
              <w:t>Securities purchased under agreements to</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resell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14,616,000</w:t>
            </w: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Loans and leases held for sale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33,868,000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143,000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Trading assets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3,439,000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7"/>
              </w:rPr>
              <w:t>Investments in unconsolidated subsidiaries and associated companies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6,244,000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257,576,000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Deposits: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110,284,000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69,903,000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102,533,000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94,661,000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980" w:type="dxa"/>
            <w:vAlign w:val="bottom"/>
          </w:tcPr>
          <w:p>
            <w:pPr>
              <w:jc w:val="right"/>
              <w:spacing w:after="0"/>
              <w:rPr>
                <w:sz w:val="20"/>
                <w:szCs w:val="20"/>
                <w:color w:val="auto"/>
              </w:rPr>
            </w:pPr>
            <w:r>
              <w:rPr>
                <w:rFonts w:ascii="Arial" w:cs="Arial" w:eastAsia="Arial" w:hAnsi="Arial"/>
                <w:sz w:val="18"/>
                <w:szCs w:val="18"/>
                <w:color w:val="auto"/>
              </w:rPr>
              <w:t>152,000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3,747,000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980" w:type="dxa"/>
            <w:vAlign w:val="bottom"/>
          </w:tcPr>
          <w:p>
            <w:pPr>
              <w:jc w:val="right"/>
              <w:spacing w:after="0"/>
              <w:rPr>
                <w:sz w:val="20"/>
                <w:szCs w:val="20"/>
                <w:color w:val="auto"/>
              </w:rPr>
            </w:pPr>
            <w:r>
              <w:rPr>
                <w:rFonts w:ascii="Arial" w:cs="Arial" w:eastAsia="Arial" w:hAnsi="Arial"/>
                <w:sz w:val="18"/>
                <w:szCs w:val="18"/>
                <w:color w:val="auto"/>
              </w:rPr>
              <w:t>7,066,000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233,178,000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1,135,000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8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24,398,000</w:t>
            </w:r>
          </w:p>
        </w:tc>
        <w:tc>
          <w:tcPr>
            <w:tcW w:w="0" w:type="dxa"/>
            <w:vAlign w:val="bottom"/>
          </w:tcPr>
          <w:p>
            <w:pPr>
              <w:spacing w:after="0"/>
              <w:rPr>
                <w:sz w:val="1"/>
                <w:szCs w:val="1"/>
                <w:color w:val="auto"/>
              </w:rPr>
            </w:pPr>
          </w:p>
        </w:tc>
      </w:tr>
      <w:tr>
        <w:trPr>
          <w:trHeight w:val="223"/>
        </w:trPr>
        <w:tc>
          <w:tcPr>
            <w:tcW w:w="1038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257,576,000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39" w:name="page40"/>
    <w:bookmarkEnd w:id="3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Thomas P. Gibbons,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-121920</wp:posOffset>
            </wp:positionV>
            <wp:extent cx="197485"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485" cy="428625"/>
                    </a:xfrm>
                    <a:prstGeom prst="rect">
                      <a:avLst/>
                    </a:prstGeom>
                    <a:noFill/>
                  </pic:spPr>
                </pic:pic>
              </a:graphicData>
            </a:graphic>
          </wp:anchor>
        </w:drawing>
      </w:r>
    </w:p>
    <w:p>
      <w:pPr>
        <w:spacing w:after="0" w:line="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7"/>
          <w:szCs w:val="17"/>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lvl w:ilvl="1">
      <w:lvlJc w:val="left"/>
      <w:lvlText w:val="(%2)"/>
      <w:numFmt w:val="lowerRoman"/>
      <w:start w:val="1"/>
    </w:lvl>
  </w:abstractNum>
  <w:abstractNum w:abstractNumId="15">
    <w:nsid w:val="4353D0CD"/>
    <w:multiLevelType w:val="hybridMultilevel"/>
    <w:lvl w:ilvl="0">
      <w:lvlJc w:val="left"/>
      <w:lvlText w:val="(%1)"/>
      <w:numFmt w:val="lowerRoman"/>
      <w:start w:val="3"/>
    </w:lvl>
  </w:abstractNum>
  <w:abstractNum w:abstractNumId="16">
    <w:nsid w:val="B03E0C6"/>
    <w:multiLevelType w:val="hybridMultilevel"/>
    <w:lvl w:ilvl="0">
      <w:lvlJc w:val="left"/>
      <w:lvlText w:val="(%1)"/>
      <w:numFmt w:val="decimal"/>
      <w:start w:val="2"/>
    </w:lvl>
    <w:lvl w:ilvl="1">
      <w:lvlJc w:val="left"/>
      <w:lvlText w:val="(%2)"/>
      <w:numFmt w:val="lowerRoman"/>
      <w:start w:val="1"/>
    </w:lvl>
  </w:abstractNum>
  <w:abstractNum w:abstractNumId="17">
    <w:nsid w:val="189A769B"/>
    <w:multiLevelType w:val="hybridMultilevel"/>
    <w:lvl w:ilvl="0">
      <w:lvlJc w:val="left"/>
      <w:lvlText w:val="%1"/>
      <w:numFmt w:val="decimal"/>
      <w:start w:val="1"/>
    </w:lvl>
    <w:lvl w:ilvl="1">
      <w:lvlJc w:val="left"/>
      <w:lvlText w:val="(%2)"/>
      <w:numFmt w:val="lowerRoman"/>
      <w:start w:val="2"/>
    </w:lvl>
  </w:abstractNum>
  <w:abstractNum w:abstractNumId="18">
    <w:nsid w:val="54E49EB4"/>
    <w:multiLevelType w:val="hybridMultilevel"/>
    <w:lvl w:ilvl="0">
      <w:lvlJc w:val="left"/>
      <w:lvlText w:val="(%1)"/>
      <w:numFmt w:val="decimal"/>
      <w:start w:val="6"/>
    </w:lvl>
    <w:lvl w:ilvl="1">
      <w:lvlJc w:val="left"/>
      <w:lvlText w:val="(%2)"/>
      <w:numFmt w:val="lowerRoman"/>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Roman"/>
      <w:start w:val="2"/>
    </w:lvl>
  </w:abstractNum>
  <w:abstractNum w:abstractNumId="25">
    <w:nsid w:val="1E7FF521"/>
    <w:multiLevelType w:val="hybridMultilevel"/>
    <w:lvl w:ilvl="0">
      <w:lvlJc w:val="left"/>
      <w:lvlText w:val="(%1)"/>
      <w:numFmt w:val="lowerRoman"/>
      <w:start w:val="7"/>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decimal"/>
      <w:start w:val="2"/>
    </w:lvl>
  </w:abstractNum>
  <w:abstractNum w:abstractNumId="32">
    <w:nsid w:val="614FD4A1"/>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3">
    <w:nsid w:val="419AC241"/>
    <w:multiLevelType w:val="hybridMultilevel"/>
    <w:lvl w:ilvl="0">
      <w:lvlJc w:val="left"/>
      <w:lvlText w:val="%1."/>
      <w:numFmt w:val="decimal"/>
      <w:start w:val="4"/>
    </w:lvl>
  </w:abstractNum>
  <w:abstractNum w:abstractNumId="34">
    <w:nsid w:val="5577F8E1"/>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2019-12-06T15:19:03Z</dcterms:created>
  <dcterms:modified xsi:type="dcterms:W3CDTF">2019-12-06T15:19:03Z</dcterms:modified>
</cp:coreProperties>
</file>