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840"/>
        <w:spacing w:after="0"/>
        <w:tabs>
          <w:tab w:leader="none" w:pos="47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Pursuant to Section 13 or 15(d) of the</w:t>
      </w:r>
    </w:p>
    <w:p>
      <w:pPr>
        <w:ind w:left="24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Date of Report (Date of earliest event reported) April 16, 1994</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Northrop Corporation</w:t>
      </w:r>
    </w:p>
    <w:p>
      <w:pPr>
        <w:spacing w:after="0" w:line="4"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099"/>
          </w:cols>
          <w:pgMar w:left="360" w:top="649" w:right="1440" w:bottom="1440" w:gutter="0" w:footer="0" w:header="0"/>
        </w:sectPr>
      </w:pPr>
    </w:p>
    <w:p>
      <w:pPr>
        <w:spacing w:after="0" w:line="218"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1-3229</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95-1055798</w:t>
      </w:r>
    </w:p>
    <w:p>
      <w:pPr>
        <w:jc w:val="center"/>
        <w:ind w:right="219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3">
            <w:col w:w="2940" w:space="640"/>
            <w:col w:w="1280" w:space="720"/>
            <w:col w:w="4519"/>
          </w:cols>
          <w:pgMar w:left="360" w:top="649" w:right="1440" w:bottom="1440" w:gutter="0" w:footer="0" w:header="0"/>
          <w:type w:val="continuous"/>
        </w:sectPr>
      </w:pPr>
    </w:p>
    <w:p>
      <w:pPr>
        <w:spacing w:after="0" w:line="1"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1840 Century Park East</w:t>
      </w:r>
    </w:p>
    <w:p>
      <w:pPr>
        <w:ind w:left="740"/>
        <w:spacing w:after="0" w:line="238" w:lineRule="auto"/>
        <w:rPr>
          <w:sz w:val="20"/>
          <w:szCs w:val="20"/>
          <w:color w:val="auto"/>
        </w:rPr>
      </w:pPr>
      <w:r>
        <w:rPr>
          <w:rFonts w:ascii="Courier New" w:cs="Courier New" w:eastAsia="Courier New" w:hAnsi="Courier New"/>
          <w:sz w:val="18"/>
          <w:szCs w:val="18"/>
          <w:color w:val="auto"/>
        </w:rPr>
        <w:t>Los Angeles, California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90067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380" w:space="720"/>
            <w:col w:w="3999"/>
          </w:cols>
          <w:pgMar w:left="360" w:top="649" w:right="1440" w:bottom="1440" w:gutter="0" w:footer="0" w:header="0"/>
          <w:type w:val="continuous"/>
        </w:sectPr>
      </w:pPr>
    </w:p>
    <w:p>
      <w:pPr>
        <w:spacing w:after="0" w:line="226"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(310) 553-6262</w:t>
      </w:r>
    </w:p>
    <w:p>
      <w:pPr>
        <w:spacing w:after="0" w:line="200" w:lineRule="exact"/>
        <w:rPr>
          <w:sz w:val="24"/>
          <w:szCs w:val="24"/>
          <w:color w:val="auto"/>
        </w:rPr>
      </w:pPr>
    </w:p>
    <w:p>
      <w:pPr>
        <w:sectPr>
          <w:pgSz w:w="11900" w:h="16838" w:orient="portrait"/>
          <w:cols w:equalWidth="0" w:num="2">
            <w:col w:w="5360" w:space="220"/>
            <w:col w:w="4519"/>
          </w:cols>
          <w:pgMar w:left="360" w:top="649" w:right="1440" w:bottom="1440" w:gutter="0" w:footer="0" w:header="0"/>
          <w:type w:val="continuous"/>
        </w:sectPr>
      </w:pPr>
    </w:p>
    <w:p>
      <w:pPr>
        <w:spacing w:after="0" w:line="22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099"/>
          </w:cols>
          <w:pgMar w:left="360" w:top="649" w:right="1440" w:bottom="1440" w:gutter="0" w:footer="0" w:header="0"/>
          <w:type w:val="continuous"/>
        </w:sectPr>
      </w:pPr>
    </w:p>
    <w:bookmarkStart w:id="1" w:name="page2"/>
    <w:bookmarkEnd w:id="1"/>
    <w:p>
      <w:pPr>
        <w:ind w:left="1" w:right="1779"/>
        <w:spacing w:after="0" w:line="236" w:lineRule="auto"/>
        <w:rPr>
          <w:sz w:val="20"/>
          <w:szCs w:val="20"/>
          <w:color w:val="auto"/>
        </w:rPr>
      </w:pPr>
      <w:r>
        <w:rPr>
          <w:rFonts w:ascii="Courier New" w:cs="Courier New" w:eastAsia="Courier New" w:hAnsi="Courier New"/>
          <w:sz w:val="18"/>
          <w:szCs w:val="18"/>
          <w:color w:val="auto"/>
        </w:rPr>
        <w:t>Item 2. Acquisition or Disposition of Assets. This report is qualified in its entirety by reference to the documents described herein and attached as exhibits hereto, which are incorporated herein by this reference.</w:t>
      </w:r>
    </w:p>
    <w:p>
      <w:pPr>
        <w:spacing w:after="0" w:line="209" w:lineRule="exact"/>
        <w:rPr>
          <w:sz w:val="20"/>
          <w:szCs w:val="20"/>
          <w:color w:val="auto"/>
        </w:rPr>
      </w:pPr>
    </w:p>
    <w:p>
      <w:pPr>
        <w:ind w:left="1" w:right="1879" w:firstLine="527"/>
        <w:spacing w:after="0" w:line="269" w:lineRule="auto"/>
        <w:rPr>
          <w:sz w:val="20"/>
          <w:szCs w:val="20"/>
          <w:color w:val="auto"/>
        </w:rPr>
      </w:pPr>
      <w:r>
        <w:rPr>
          <w:rFonts w:ascii="Courier New" w:cs="Courier New" w:eastAsia="Courier New" w:hAnsi="Courier New"/>
          <w:sz w:val="16"/>
          <w:szCs w:val="16"/>
          <w:color w:val="auto"/>
        </w:rPr>
        <w:t>The registrant did not acquire assets. On April 3, 1994, Northrop Corporation ("Northrop"), a Delaware Corporation, Northrop Acquisition, Inc., a Delaware Corporation and a wholly owned subsidiary of Northrop Corporation, and Grumman Corporation ("Grumman" or "the Company"), a New York Corporation, entered into an Agreement and Plan of Merger ("the Merger") providing for a merger of Northrop Acquisition, Inc. into Grumman. As a result of the Merger, Grumman would be the surviving corporation and a wholly owned subsidiary of Northrop. A copy of the Agreement and Plan of Merger is attached hereto as Exhibit A. In connection with the Merger, Northrop Acquisition, Inc. offered to purchase all of the outstanding shares of Grumman common stock, par value $1.00 per share, and associated rights (the "Shares") pursuant to a tender offer (the "Offer") for all outstanding Shares at $62.00 per Share in cash (the "Offer Consideration"). In connection with the Merger, untendered Shares other than Shares held in treasury by Grumman or by any of Grumman's subsidiaries, Shares owned by Northrop or its susidiaries and Shares held by shareholders who properly exercise their dissenters' rights under New York law, would be converted into the right to receive the Offer Consideration.</w:t>
      </w:r>
    </w:p>
    <w:p>
      <w:pPr>
        <w:spacing w:after="0" w:line="396" w:lineRule="exact"/>
        <w:rPr>
          <w:sz w:val="20"/>
          <w:szCs w:val="20"/>
          <w:color w:val="auto"/>
        </w:rPr>
      </w:pPr>
    </w:p>
    <w:p>
      <w:pPr>
        <w:ind w:left="1" w:right="1879" w:firstLine="527"/>
        <w:spacing w:after="0" w:line="268" w:lineRule="auto"/>
        <w:rPr>
          <w:sz w:val="20"/>
          <w:szCs w:val="20"/>
          <w:color w:val="auto"/>
        </w:rPr>
      </w:pPr>
      <w:r>
        <w:rPr>
          <w:rFonts w:ascii="Courier New" w:cs="Courier New" w:eastAsia="Courier New" w:hAnsi="Courier New"/>
          <w:sz w:val="16"/>
          <w:szCs w:val="16"/>
          <w:color w:val="auto"/>
        </w:rPr>
        <w:t>On April 16, 1994, Northrop Acquisition, Inc., accepted for purchase all Shares validly tendered pursuant to the Offer made pursuant to the Offer to Purchase dated March 14, 1994 (the "Offer to Purchase"), and the Supplement thereto dated April 5, 1994 (the "Supplement"), copies of which are Exhibits</w:t>
      </w:r>
    </w:p>
    <w:p>
      <w:pPr>
        <w:spacing w:after="0" w:line="1" w:lineRule="exact"/>
        <w:rPr>
          <w:sz w:val="20"/>
          <w:szCs w:val="20"/>
          <w:color w:val="auto"/>
        </w:rPr>
      </w:pPr>
    </w:p>
    <w:p>
      <w:pPr>
        <w:ind w:left="1" w:right="1999" w:hanging="1"/>
        <w:spacing w:after="0" w:line="237" w:lineRule="auto"/>
        <w:tabs>
          <w:tab w:leader="none" w:pos="42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(C), respectively, as a result of which Northrop Acquisition, Inc. holds at least 93.4% of the outstanding Shares on a fully diluted basis. A Special Meeting of Shareholders of Grumman is scheduled for May 18, 1994, at which the stockholders (including Northrop Acquisition, Inc.) will consider and vote on the Agreement and Plan of Merger. It is expected that the Merger will be consummated on or about May 18, 1994.</w:t>
      </w:r>
    </w:p>
    <w:p>
      <w:pPr>
        <w:spacing w:after="0" w:line="210" w:lineRule="exact"/>
        <w:rPr>
          <w:sz w:val="20"/>
          <w:szCs w:val="20"/>
          <w:color w:val="auto"/>
        </w:rPr>
      </w:pPr>
    </w:p>
    <w:p>
      <w:pPr>
        <w:ind w:left="1" w:right="1879" w:firstLine="527"/>
        <w:spacing w:after="0" w:line="237" w:lineRule="auto"/>
        <w:rPr>
          <w:sz w:val="20"/>
          <w:szCs w:val="20"/>
          <w:color w:val="auto"/>
        </w:rPr>
      </w:pPr>
      <w:r>
        <w:rPr>
          <w:rFonts w:ascii="Courier New" w:cs="Courier New" w:eastAsia="Courier New" w:hAnsi="Courier New"/>
          <w:sz w:val="18"/>
          <w:szCs w:val="18"/>
          <w:color w:val="auto"/>
        </w:rPr>
        <w:t>The total amount of funds required by Northrop Acquisition, Inc. to purchase Shares pursuant to the Offer and to complete the Merger is approximately $2.17 billion. Such amount represents $62 per Common Share paid in the Offer and to be paid in the Merger for the outstanding Shares.</w:t>
      </w:r>
    </w:p>
    <w:p>
      <w:pPr>
        <w:spacing w:after="0" w:line="207" w:lineRule="exact"/>
        <w:rPr>
          <w:sz w:val="20"/>
          <w:szCs w:val="20"/>
          <w:color w:val="auto"/>
        </w:rPr>
      </w:pPr>
    </w:p>
    <w:p>
      <w:pPr>
        <w:ind w:left="1" w:right="1779" w:firstLine="527"/>
        <w:spacing w:after="0" w:line="237" w:lineRule="auto"/>
        <w:rPr>
          <w:sz w:val="20"/>
          <w:szCs w:val="20"/>
          <w:color w:val="auto"/>
        </w:rPr>
      </w:pPr>
      <w:r>
        <w:rPr>
          <w:rFonts w:ascii="Courier New" w:cs="Courier New" w:eastAsia="Courier New" w:hAnsi="Courier New"/>
          <w:sz w:val="18"/>
          <w:szCs w:val="18"/>
          <w:color w:val="auto"/>
        </w:rPr>
        <w:t>The Offer and the Merger are being financed with approximately $2.8 billion of borrowings, (i) $2.2 billion under a term loan credit facility (the "Term Loan") and (ii) an additional amount under a $600 million revolving credit facility for the purpose of replacing Northrop's current line of credit, pursuant to the Credit Agreement between Northrop and The Chase Manhattan Bank and Chemical Bank, as co-agents, and a syndicate of commercial banks. The financing for the Offer and the Merger is more fully described in Section 12, "Source and Amount of Funds" of the Offer to Purchase and in Section 3, "Source and Amount of Funds" of the Supplement.</w:t>
      </w:r>
    </w:p>
    <w:p>
      <w:pPr>
        <w:spacing w:after="0" w:line="214" w:lineRule="exact"/>
        <w:rPr>
          <w:sz w:val="20"/>
          <w:szCs w:val="20"/>
          <w:color w:val="auto"/>
        </w:rPr>
      </w:pPr>
    </w:p>
    <w:p>
      <w:pPr>
        <w:ind w:left="1" w:right="1779" w:firstLine="527"/>
        <w:spacing w:after="0" w:line="237" w:lineRule="auto"/>
        <w:rPr>
          <w:sz w:val="20"/>
          <w:szCs w:val="20"/>
          <w:color w:val="auto"/>
        </w:rPr>
      </w:pPr>
      <w:r>
        <w:rPr>
          <w:rFonts w:ascii="Courier New" w:cs="Courier New" w:eastAsia="Courier New" w:hAnsi="Courier New"/>
          <w:sz w:val="18"/>
          <w:szCs w:val="18"/>
          <w:color w:val="auto"/>
        </w:rPr>
        <w:t>Grumman Corporation was organized in 1929 under the name Grumman Aircraft Engineering Corporation. The activities of Grumman Corporation and its subsidiaries include: (a) the design and production of military aircraft, space systems and commercial aircraft components and subassemblies, as well as the modernization or conversion of previously completed aircraft; (b) the design, manufacture and</w:t>
      </w:r>
    </w:p>
    <w:p>
      <w:pPr>
        <w:spacing w:after="0" w:line="204" w:lineRule="exact"/>
        <w:rPr>
          <w:sz w:val="20"/>
          <w:szCs w:val="20"/>
          <w:color w:val="auto"/>
        </w:rPr>
      </w:pPr>
    </w:p>
    <w:p>
      <w:pPr>
        <w:ind w:left="3901"/>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000"/>
          </w:cols>
          <w:pgMar w:left="459" w:top="723" w:right="1440" w:bottom="1440" w:gutter="0" w:footer="0" w:header="0"/>
        </w:sectPr>
      </w:pPr>
    </w:p>
    <w:bookmarkStart w:id="2" w:name="page3"/>
    <w:bookmarkEnd w:id="2"/>
    <w:p>
      <w:pPr>
        <w:ind w:right="1879"/>
        <w:spacing w:after="0" w:line="271" w:lineRule="auto"/>
        <w:rPr>
          <w:sz w:val="20"/>
          <w:szCs w:val="20"/>
          <w:color w:val="auto"/>
        </w:rPr>
      </w:pPr>
      <w:r>
        <w:rPr>
          <w:rFonts w:ascii="Courier New" w:cs="Courier New" w:eastAsia="Courier New" w:hAnsi="Courier New"/>
          <w:sz w:val="16"/>
          <w:szCs w:val="16"/>
          <w:color w:val="auto"/>
        </w:rPr>
        <w:t>integration of sophisticated electronics for aircraft, computerized test equipment and other defense related products, such as airborne surveillance systems; and (c) electronic data processing services for affiliates and other customers as well as real estate and leasing services. Grumman's activities also include technical services that help ready the space shuttle for flight, providing space station program support, servicing and maintaining flight simulators and trainers, providing support for Grumman aircraft; and the fabrication of vehicles for the U.S. Postal Service. Northrop does not currently intend to use Grumman property and assets for other purposes.</w:t>
      </w:r>
    </w:p>
    <w:p>
      <w:pPr>
        <w:spacing w:after="0" w:line="184"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Production contracts with the U.S. Government relating to the aerospace industry have included the F-14 "Tomcat" fighter, the A-6 "Intruder" attack aircraft, the EA-6B "Prowler" tactical jamming system, the E-2C "Hawkeye" early warning aircraft, and the C-2A "Greyhound" carrier on-board delivery system, of which, only the E-2C is currently in production.</w:t>
      </w:r>
    </w:p>
    <w:p>
      <w:pPr>
        <w:spacing w:after="0" w:line="18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Grumman is teamed with Gruppo Agusta of Italy to compete for a program to replace the U.S. Air Force/U.S. Navy primary training aircraft called JPATS - the Joint Primary Aircraft Training System. Seven teams are competing for the work. A winner is to be selected in 1995.</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Grumman is under contract to provide aircraft components and major subassemblies to other manufacturers. These contracts include the center wing section for the Boeing 767 jetliner, nacelles and thrust reversers for the Gulfstream IV and Fokker aircraft, transcowls for General Electric CF6-80C2 engines, C-17 control surfaces, and composite spoilers and inboard flaps for the new Boeing 777 airliner.</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1985, the U.S. Air Force awarded Grumman a $657 million contract for development of the Joint Surveillance Target Attack Radar System, known as "Joint STARS". This developmental phase concluded in 1993 with the delivery of the first two Joint STARS prototype E-8A aircraft to the Air Force. In November 1990, Grumman received a $523 million follow-on contract for further full-scale development; this included the acquisition of a third Joint STARS aircraft, product improvement and logistics support. This follow-on contract, currently worth $684 million, is scheduled for completion in 1995. Following government approval for five low rate initial production aircraft, the U.S. Air Force has authorized full funding of $415 million for two initial aircraft. The E-8C is the production configuration of Joint STARS and incorporates additional work stations and other system improvements. Grumman is pursuing opportunities with NATO. According to present plans, a total of 19 production E-8C aircraft will be delivered to the Air Force beginning in 1995.</w:t>
      </w:r>
    </w:p>
    <w:p>
      <w:pPr>
        <w:spacing w:after="0" w:line="38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Grumman's data systems business designs, develops, operates and supports computer systems for scientific and management information. Its services include systems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999"/>
          </w:cols>
          <w:pgMar w:left="460" w:top="723" w:right="1440" w:bottom="1440" w:gutter="0" w:footer="0" w:header="0"/>
        </w:sectPr>
      </w:pPr>
    </w:p>
    <w:bookmarkStart w:id="3" w:name="page4"/>
    <w:bookmarkEnd w:id="3"/>
    <w:p>
      <w:pPr>
        <w:ind w:right="1779"/>
        <w:spacing w:after="0" w:line="237" w:lineRule="auto"/>
        <w:rPr>
          <w:sz w:val="20"/>
          <w:szCs w:val="20"/>
          <w:color w:val="auto"/>
        </w:rPr>
      </w:pPr>
      <w:r>
        <w:rPr>
          <w:rFonts w:ascii="Courier New" w:cs="Courier New" w:eastAsia="Courier New" w:hAnsi="Courier New"/>
          <w:sz w:val="18"/>
          <w:szCs w:val="18"/>
          <w:color w:val="auto"/>
        </w:rPr>
        <w:t>integration, systems service, technical and professional services, information conversion services and training; its customers and potential customers include agencies of federal, state and local governments including among others: the U,S. Navy and Marine Corps, the Air Force, NASA, the Defense Logistics Agency and the Internal Revenue Service.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a subcontractor, under Lockheed's Shuttle Processing Contract with NASA for management and support to the space Shuttle launch processing operation, in such areas as instrumentation, measurement and calibration. The current contract, which began in October 1983, was extended to September 1995. There is one remaining three year option period which ends in September 1998. The Company is a prime contractor on the Information Systems Contract which was awarded in October 1992. This is a five year contract which extends through December 1997. This contract requires contractor support for all institutional computing capability at Johnson Space Center, Houston, Texas.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1986, the Company was awarded a contract to build 99,150 Long Life Vehicles for the U.S. Postal Service over a six year period; deliveries commenced in April 1987. In September 1991, the Company negotiated an agreement for a follow-on contract with the U.S. Postal Service to produce an additional 43,505 Long Life Vehicles of which 4,723 and 19,881 were delivered in 1992 and 1993, respectively. The combination of the original contract and the follow-on contract will result in unit deliveries to the U.S. Postal Service totalling 142,655 at the conclusion of the program.</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999"/>
          </w:cols>
          <w:pgMar w:left="460" w:top="72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0"/>
          <w:szCs w:val="20"/>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The following consolidated financial statements of Grumman are filed as part of this report: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Report of Independent Public Accountants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Consolidated Balance Sheet - December 31, 1993 and 1992</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Consolidated Statement of Income - Years ended December 31, 1993, 1992</w:t>
      </w:r>
    </w:p>
    <w:p>
      <w:pPr>
        <w:spacing w:after="0" w:line="238" w:lineRule="auto"/>
        <w:rPr>
          <w:sz w:val="20"/>
          <w:szCs w:val="20"/>
          <w:color w:val="auto"/>
        </w:rPr>
      </w:pPr>
      <w:r>
        <w:rPr>
          <w:rFonts w:ascii="Courier New" w:cs="Courier New" w:eastAsia="Courier New" w:hAnsi="Courier New"/>
          <w:sz w:val="18"/>
          <w:szCs w:val="18"/>
          <w:color w:val="auto"/>
        </w:rPr>
        <w:t>and 1991</w:t>
      </w:r>
    </w:p>
    <w:p>
      <w:pPr>
        <w:spacing w:after="0" w:line="207"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Consolidated Statement of Common Shareholders' Equity - Years ended December 31, 1993, 1992 and 1991</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Consolidated Statements of Cash Flows - Years ended December 31, 1993, 1992 and 1991</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REPORT OF INDEPENDENT PUBLIC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 and Board of Directors of Grumman Corporation: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 of Grumman Corporation (a New York corporation) and subsidiaries as of December 31, 1993 and 1992, and the related consolidated statements of income, common shareholders' equity and cash flows for each of the three years in the period ended December 31, 1993. These financial statements are the responsibility of the Company's management. Our responsibility is to express an opinion on these financial statements based on our audits.</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879" w:firstLine="211"/>
        <w:spacing w:after="0" w:line="273"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financial position of Grumman Corporation and subsidiaries as of December 31, 1993 and 1992, and the results of their operations and their cash flows for each of the three years in the period ended December 31, 1993, in conformity with generally accepted accounting principles.</w:t>
      </w:r>
    </w:p>
    <w:p>
      <w:pPr>
        <w:spacing w:after="0" w:line="185" w:lineRule="exact"/>
        <w:rPr>
          <w:sz w:val="20"/>
          <w:szCs w:val="20"/>
          <w:color w:val="auto"/>
        </w:rPr>
      </w:pPr>
    </w:p>
    <w:p>
      <w:pPr>
        <w:ind w:right="2319" w:firstLine="211"/>
        <w:spacing w:after="0" w:line="279" w:lineRule="auto"/>
        <w:rPr>
          <w:sz w:val="20"/>
          <w:szCs w:val="20"/>
          <w:color w:val="auto"/>
        </w:rPr>
      </w:pPr>
      <w:r>
        <w:rPr>
          <w:rFonts w:ascii="Courier New" w:cs="Courier New" w:eastAsia="Courier New" w:hAnsi="Courier New"/>
          <w:sz w:val="16"/>
          <w:szCs w:val="16"/>
          <w:color w:val="auto"/>
        </w:rPr>
        <w:t>As discussed in Notes 6 and 11 to the consolidated financial statements, effective January 1, 1992, the company changed its method of accounting for income taxes and for postretirement benefits other than pensions.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ANDERSEN &amp;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20, 1994</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GRUMMAN CORPORATION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CONSOLIDATED BALANCE SHEET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120" w:type="dxa"/>
            <w:vAlign w:val="bottom"/>
          </w:tcPr>
          <w:p>
            <w:pPr>
              <w:spacing w:after="0"/>
              <w:rPr>
                <w:sz w:val="17"/>
                <w:szCs w:val="17"/>
                <w:color w:val="auto"/>
              </w:rPr>
            </w:pPr>
          </w:p>
        </w:tc>
        <w:tc>
          <w:tcPr>
            <w:tcW w:w="2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1993</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612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ASSETS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346,090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299,077</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Marketable securities (at cost, approximating market)..</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18,034</w:t>
            </w:r>
          </w:p>
        </w:tc>
        <w:tc>
          <w:tcPr>
            <w:tcW w:w="1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518,731</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534,260</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Inventories, less progress payments....................</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499,436</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612,424</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Prepaid expenses.......................................</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40,992</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41,280</w:t>
            </w:r>
          </w:p>
        </w:tc>
      </w:tr>
      <w:tr>
        <w:trPr>
          <w:trHeight w:val="203"/>
        </w:trPr>
        <w:tc>
          <w:tcPr>
            <w:tcW w:w="612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1,423,283</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1,487,041</w:t>
            </w:r>
          </w:p>
        </w:tc>
      </w:tr>
      <w:tr>
        <w:trPr>
          <w:trHeight w:val="203"/>
        </w:trPr>
        <w:tc>
          <w:tcPr>
            <w:tcW w:w="612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Property, plant and equipment, less accumulated deprecia-</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tion....................................................</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372,723</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399,421</w:t>
            </w:r>
          </w:p>
        </w:tc>
      </w:tr>
      <w:tr>
        <w:trPr>
          <w:trHeight w:val="203"/>
        </w:trPr>
        <w:tc>
          <w:tcPr>
            <w:tcW w:w="612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assets: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120,028</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94,856</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Long-term receivables..................................</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6,009</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9,079</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Investments............................................</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52,505</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28,678</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49,901</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69,941</w:t>
            </w:r>
          </w:p>
        </w:tc>
      </w:tr>
      <w:tr>
        <w:trPr>
          <w:trHeight w:val="203"/>
        </w:trPr>
        <w:tc>
          <w:tcPr>
            <w:tcW w:w="612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228,443</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202,554</w:t>
            </w:r>
          </w:p>
        </w:tc>
      </w:tr>
      <w:tr>
        <w:trPr>
          <w:trHeight w:val="203"/>
        </w:trPr>
        <w:tc>
          <w:tcPr>
            <w:tcW w:w="612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$2,024,449</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$2,089,016</w:t>
            </w:r>
          </w:p>
        </w:tc>
      </w:tr>
      <w:tr>
        <w:trPr>
          <w:trHeight w:val="203"/>
        </w:trPr>
        <w:tc>
          <w:tcPr>
            <w:tcW w:w="6120" w:type="dxa"/>
            <w:vAlign w:val="bottom"/>
          </w:tcPr>
          <w:p>
            <w:pPr>
              <w:spacing w:after="0"/>
              <w:rPr>
                <w:sz w:val="17"/>
                <w:szCs w:val="17"/>
                <w:color w:val="auto"/>
              </w:rPr>
            </w:pPr>
          </w:p>
        </w:tc>
        <w:tc>
          <w:tcPr>
            <w:tcW w:w="2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61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LIABILITIES AND SHAREHOLDERS' EQUITY</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Short-term debt........................................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6,571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83,399</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Accounts payable.......................................</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147,576</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128,610</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Wages and benefits payable.............................</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90,229</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95,519</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taxes...........................................</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88,932</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145,353</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Advances and deposits..................................</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95,340</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30,251</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89,699</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127,902</w:t>
            </w:r>
          </w:p>
        </w:tc>
      </w:tr>
      <w:tr>
        <w:trPr>
          <w:trHeight w:val="203"/>
        </w:trPr>
        <w:tc>
          <w:tcPr>
            <w:tcW w:w="612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518,347</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611,034</w:t>
            </w:r>
          </w:p>
        </w:tc>
      </w:tr>
      <w:tr>
        <w:trPr>
          <w:trHeight w:val="203"/>
        </w:trPr>
        <w:tc>
          <w:tcPr>
            <w:tcW w:w="612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Long-term debt...........................................</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243,106</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355,244</w:t>
            </w:r>
          </w:p>
        </w:tc>
      </w:tr>
      <w:tr>
        <w:trPr>
          <w:trHeight w:val="203"/>
        </w:trPr>
        <w:tc>
          <w:tcPr>
            <w:tcW w:w="612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Accrued retirement benefits..............................</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304,752</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306,500</w:t>
            </w:r>
          </w:p>
        </w:tc>
      </w:tr>
      <w:tr>
        <w:trPr>
          <w:trHeight w:val="203"/>
        </w:trPr>
        <w:tc>
          <w:tcPr>
            <w:tcW w:w="612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Restructuring reserve....................................</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85,000</w:t>
            </w:r>
          </w:p>
        </w:tc>
        <w:tc>
          <w:tcPr>
            <w:tcW w:w="1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 liabilities........................................</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37,191</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23,348</w:t>
            </w:r>
          </w:p>
        </w:tc>
      </w:tr>
      <w:tr>
        <w:trPr>
          <w:trHeight w:val="203"/>
        </w:trPr>
        <w:tc>
          <w:tcPr>
            <w:tcW w:w="612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stock--$1.00 par value, authorized 80,000 shares;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outstanding 34,049 and 33,519 shares (net of treasury</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stock)..................................................</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344,589</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321,038</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Retained earnings........................................</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491,464</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471,852</w:t>
            </w:r>
          </w:p>
        </w:tc>
      </w:tr>
      <w:tr>
        <w:trPr>
          <w:trHeight w:val="203"/>
        </w:trPr>
        <w:tc>
          <w:tcPr>
            <w:tcW w:w="612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$2,024,449</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$2,089,016</w:t>
            </w:r>
          </w:p>
        </w:tc>
      </w:tr>
      <w:tr>
        <w:trPr>
          <w:trHeight w:val="203"/>
        </w:trPr>
        <w:tc>
          <w:tcPr>
            <w:tcW w:w="612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these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GRUMMAN CORPORATION AND SUBSIDIARIES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gridSpan w:val="5"/>
          </w:tcPr>
          <w:p>
            <w:pPr>
              <w:jc w:val="right"/>
              <w:ind w:right="652"/>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4700" w:type="dxa"/>
            <w:vAlign w:val="bottom"/>
          </w:tcPr>
          <w:p>
            <w:pPr>
              <w:spacing w:after="0"/>
              <w:rPr>
                <w:sz w:val="17"/>
                <w:szCs w:val="17"/>
                <w:color w:val="auto"/>
              </w:rPr>
            </w:pPr>
          </w:p>
        </w:tc>
        <w:tc>
          <w:tcPr>
            <w:tcW w:w="36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1993</w:t>
            </w:r>
          </w:p>
        </w:tc>
        <w:tc>
          <w:tcPr>
            <w:tcW w:w="16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1992</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470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3640" w:type="dxa"/>
            <w:vAlign w:val="bottom"/>
            <w:gridSpan w:val="6"/>
          </w:tcPr>
          <w:p>
            <w:pPr>
              <w:ind w:left="40"/>
              <w:spacing w:after="0" w:line="203" w:lineRule="exact"/>
              <w:rPr>
                <w:sz w:val="20"/>
                <w:szCs w:val="20"/>
                <w:color w:val="auto"/>
              </w:rPr>
            </w:pPr>
            <w:r>
              <w:rPr>
                <w:rFonts w:ascii="Courier New" w:cs="Courier New" w:eastAsia="Courier New" w:hAnsi="Courier New"/>
                <w:sz w:val="18"/>
                <w:szCs w:val="18"/>
                <w:color w:val="auto"/>
              </w:rPr>
              <w:t>($ IN THOUSANDS EXCEPT PER SHARE</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DATA)</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Sales......................................</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$3,224,535</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$3,492,075</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$3,963,492</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Other income...............................</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24,589</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11,875</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10,359</w:t>
            </w:r>
          </w:p>
        </w:tc>
      </w:tr>
      <w:tr>
        <w:trPr>
          <w:trHeight w:val="203"/>
        </w:trPr>
        <w:tc>
          <w:tcPr>
            <w:tcW w:w="470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sales and other income............</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3,249,124</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3,503,950</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3,973,851</w:t>
            </w:r>
          </w:p>
        </w:tc>
      </w:tr>
      <w:tr>
        <w:trPr>
          <w:trHeight w:val="203"/>
        </w:trPr>
        <w:tc>
          <w:tcPr>
            <w:tcW w:w="470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Cost of sales..............................</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2,929,987</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3,189,035</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3,620,895</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Restructuring charge.......................</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85,000</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Loss on Tracor Aviation Inc. settlement....</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46,500</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Selling, administrative and other..........</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115,928</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113,289</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124,049</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Interest...................................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31,702</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55,065</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85,236</w:t>
            </w:r>
          </w:p>
        </w:tc>
      </w:tr>
      <w:tr>
        <w:trPr>
          <w:trHeight w:val="203"/>
        </w:trPr>
        <w:tc>
          <w:tcPr>
            <w:tcW w:w="470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3,162,617</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3,357,389</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3,876,680</w:t>
            </w:r>
          </w:p>
        </w:tc>
      </w:tr>
      <w:tr>
        <w:trPr>
          <w:trHeight w:val="203"/>
        </w:trPr>
        <w:tc>
          <w:tcPr>
            <w:tcW w:w="470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before income taxes..................</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86,507</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146,561</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97,171</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Provision for federal income taxes..........</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21,000</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26,700</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70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65,507</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119,861</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95,171</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(loss) from discontinued operations..</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(6,700)</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(45,035)</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 to accrual</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9"/>
              </w:rPr>
              <w:t>method of accounting for postretirement</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benefits...................................</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(198,000)</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 (loss).......................</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58,807</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(123,174)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99,337</w:t>
            </w:r>
          </w:p>
        </w:tc>
      </w:tr>
      <w:tr>
        <w:trPr>
          <w:trHeight w:val="203"/>
        </w:trPr>
        <w:tc>
          <w:tcPr>
            <w:tcW w:w="470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Primary earnings per common share: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Income from continuing operations..........</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Income (loss) from discontinued operations.</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Cumulative effect of accounting change.....</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(5.88)</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 (loss).......................</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w:t>
            </w:r>
          </w:p>
        </w:tc>
      </w:tr>
      <w:tr>
        <w:trPr>
          <w:trHeight w:val="203"/>
        </w:trPr>
        <w:tc>
          <w:tcPr>
            <w:tcW w:w="470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these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7" w:name="page8"/>
    <w:bookmarkEnd w:id="7"/>
    <w:p>
      <w:pPr>
        <w:ind w:left="2320"/>
        <w:spacing w:after="0"/>
        <w:rPr>
          <w:sz w:val="20"/>
          <w:szCs w:val="20"/>
          <w:color w:val="auto"/>
        </w:rPr>
      </w:pPr>
      <w:r>
        <w:rPr>
          <w:rFonts w:ascii="Courier New" w:cs="Courier New" w:eastAsia="Courier New" w:hAnsi="Courier New"/>
          <w:sz w:val="18"/>
          <w:szCs w:val="18"/>
          <w:color w:val="auto"/>
        </w:rPr>
        <w:t>GRUMMAN CORPORATION AND SUBSIDIARIES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CONSOLIDATED STATEMENT OF COMMON SHAREHOLDERS' EQUITY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8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YEAR 1993</w:t>
            </w:r>
          </w:p>
        </w:tc>
        <w:tc>
          <w:tcPr>
            <w:tcW w:w="60" w:type="dxa"/>
            <w:vAlign w:val="bottom"/>
          </w:tcPr>
          <w:p>
            <w:pPr>
              <w:spacing w:after="0"/>
              <w:rPr>
                <w:sz w:val="17"/>
                <w:szCs w:val="17"/>
                <w:color w:val="auto"/>
              </w:rPr>
            </w:pPr>
          </w:p>
        </w:tc>
        <w:tc>
          <w:tcPr>
            <w:tcW w:w="18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YEAR 1992</w:t>
            </w:r>
          </w:p>
        </w:tc>
        <w:tc>
          <w:tcPr>
            <w:tcW w:w="18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YEAR 1991</w:t>
            </w:r>
          </w:p>
        </w:tc>
      </w:tr>
      <w:tr>
        <w:trPr>
          <w:trHeight w:val="203"/>
        </w:trPr>
        <w:tc>
          <w:tcPr>
            <w:tcW w:w="2740" w:type="dxa"/>
            <w:vAlign w:val="bottom"/>
          </w:tcPr>
          <w:p>
            <w:pPr>
              <w:spacing w:after="0"/>
              <w:rPr>
                <w:sz w:val="17"/>
                <w:szCs w:val="17"/>
                <w:color w:val="auto"/>
              </w:rPr>
            </w:pPr>
          </w:p>
        </w:tc>
        <w:tc>
          <w:tcPr>
            <w:tcW w:w="18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60" w:type="dxa"/>
            <w:vAlign w:val="bottom"/>
          </w:tcPr>
          <w:p>
            <w:pPr>
              <w:spacing w:after="0"/>
              <w:rPr>
                <w:sz w:val="17"/>
                <w:szCs w:val="17"/>
                <w:color w:val="auto"/>
              </w:rPr>
            </w:pPr>
          </w:p>
        </w:tc>
        <w:tc>
          <w:tcPr>
            <w:tcW w:w="18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1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AMOUNT</w:t>
            </w:r>
          </w:p>
        </w:tc>
        <w:tc>
          <w:tcPr>
            <w:tcW w:w="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AMOUNT</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SHARES</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AMOUNT</w:t>
            </w:r>
          </w:p>
        </w:tc>
      </w:tr>
      <w:tr>
        <w:trPr>
          <w:trHeight w:val="203"/>
        </w:trPr>
        <w:tc>
          <w:tcPr>
            <w:tcW w:w="2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380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  ------  --------</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Balance beginning of</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year..................</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33,790</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$337,896</w:t>
            </w:r>
          </w:p>
        </w:tc>
        <w:tc>
          <w:tcPr>
            <w:tcW w:w="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33,512</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$337,737</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33,019</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$313,916</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Conversion of</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convertible</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subordinated</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debentures............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1,392</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48,352</w:t>
            </w:r>
          </w:p>
        </w:tc>
        <w:tc>
          <w:tcPr>
            <w:tcW w:w="60" w:type="dxa"/>
            <w:vAlign w:val="bottom"/>
          </w:tcPr>
          <w:p>
            <w:pPr>
              <w:spacing w:after="0"/>
              <w:rPr>
                <w:sz w:val="17"/>
                <w:szCs w:val="17"/>
                <w:color w:val="auto"/>
              </w:rPr>
            </w:pPr>
          </w:p>
        </w:tc>
        <w:tc>
          <w:tcPr>
            <w:tcW w:w="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Conversion of preferred</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stock.................</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Exercise of stock</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options and awards--</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of (forfeitures)..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605</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22,935</w:t>
            </w:r>
          </w:p>
        </w:tc>
        <w:tc>
          <w:tcPr>
            <w:tcW w:w="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4,014</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492</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7,149</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Majority interest in</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contributed to</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joint venture.........</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0" w:type="dxa"/>
            <w:vAlign w:val="bottom"/>
          </w:tcPr>
          <w:p>
            <w:pPr>
              <w:spacing w:after="0"/>
              <w:rPr>
                <w:sz w:val="17"/>
                <w:szCs w:val="17"/>
                <w:color w:val="auto"/>
              </w:rPr>
            </w:pPr>
          </w:p>
        </w:tc>
        <w:tc>
          <w:tcPr>
            <w:tcW w:w="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(3,891)</w:t>
            </w: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16,666</w:t>
            </w:r>
          </w:p>
        </w:tc>
      </w:tr>
      <w:tr>
        <w:trPr>
          <w:trHeight w:val="203"/>
        </w:trPr>
        <w:tc>
          <w:tcPr>
            <w:tcW w:w="2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476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  ------  --------  ------  --------</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Balance end of year....</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35,787</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409,183</w:t>
            </w:r>
          </w:p>
        </w:tc>
        <w:tc>
          <w:tcPr>
            <w:tcW w:w="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33,790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337,896</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33,512</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337,737</w:t>
            </w:r>
          </w:p>
        </w:tc>
      </w:tr>
      <w:tr>
        <w:trPr>
          <w:trHeight w:val="203"/>
        </w:trPr>
        <w:tc>
          <w:tcPr>
            <w:tcW w:w="2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380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  ------  --------</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Balance beginning of</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year..................</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271</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4,415</w:t>
            </w:r>
          </w:p>
        </w:tc>
        <w:tc>
          <w:tcPr>
            <w:tcW w:w="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3,998</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221</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3,529</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repurchase</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program...............</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1,361</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49,931</w:t>
            </w:r>
          </w:p>
        </w:tc>
        <w:tc>
          <w:tcPr>
            <w:tcW w:w="60" w:type="dxa"/>
            <w:vAlign w:val="bottom"/>
          </w:tcPr>
          <w:p>
            <w:pPr>
              <w:spacing w:after="0"/>
              <w:rPr>
                <w:sz w:val="17"/>
                <w:szCs w:val="17"/>
                <w:color w:val="auto"/>
              </w:rPr>
            </w:pPr>
          </w:p>
        </w:tc>
        <w:tc>
          <w:tcPr>
            <w:tcW w:w="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Reinstated (issued)</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under various plans--</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2,848</w:t>
            </w:r>
          </w:p>
        </w:tc>
        <w:tc>
          <w:tcPr>
            <w:tcW w:w="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417</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26</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469</w:t>
            </w:r>
          </w:p>
        </w:tc>
      </w:tr>
      <w:tr>
        <w:trPr>
          <w:trHeight w:val="203"/>
        </w:trPr>
        <w:tc>
          <w:tcPr>
            <w:tcW w:w="2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476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  ------  --------  ------  --------</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Balance end of year....</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1,738</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57,194</w:t>
            </w:r>
          </w:p>
        </w:tc>
        <w:tc>
          <w:tcPr>
            <w:tcW w:w="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4,415</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247</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3,998</w:t>
            </w:r>
          </w:p>
        </w:tc>
      </w:tr>
      <w:tr>
        <w:trPr>
          <w:trHeight w:val="203"/>
        </w:trPr>
        <w:tc>
          <w:tcPr>
            <w:tcW w:w="2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380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  ------  --------</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Restricted stock:</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Balance beginning of</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year..................</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1,613</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12,443</w:t>
            </w:r>
          </w:p>
        </w:tc>
        <w:tc>
          <w:tcPr>
            <w:tcW w:w="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15,025</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1,360</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13,377</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Awards (forfeitures)-</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(566)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1,490</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444</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6,462</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and</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vesting...............</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(4,477)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(4,814)</w:t>
            </w:r>
          </w:p>
        </w:tc>
      </w:tr>
      <w:tr>
        <w:trPr>
          <w:trHeight w:val="203"/>
        </w:trPr>
        <w:tc>
          <w:tcPr>
            <w:tcW w:w="2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476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  ------  --------  ------  --------</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Balance end of year....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1,294*</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7,400</w:t>
            </w:r>
          </w:p>
        </w:tc>
        <w:tc>
          <w:tcPr>
            <w:tcW w:w="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12,443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1,651*</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15,025</w:t>
            </w:r>
          </w:p>
        </w:tc>
      </w:tr>
      <w:tr>
        <w:trPr>
          <w:trHeight w:val="203"/>
        </w:trPr>
        <w:tc>
          <w:tcPr>
            <w:tcW w:w="2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380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  ------  --------</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34,049</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$344,589</w:t>
            </w:r>
          </w:p>
        </w:tc>
        <w:tc>
          <w:tcPr>
            <w:tcW w:w="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33,519</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$321,038</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33,265</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$318,714</w:t>
            </w:r>
          </w:p>
        </w:tc>
      </w:tr>
      <w:tr>
        <w:trPr>
          <w:trHeight w:val="203"/>
        </w:trPr>
        <w:tc>
          <w:tcPr>
            <w:tcW w:w="2740" w:type="dxa"/>
            <w:vAlign w:val="bottom"/>
          </w:tcPr>
          <w:p>
            <w:pPr>
              <w:spacing w:after="0"/>
              <w:rPr>
                <w:sz w:val="17"/>
                <w:szCs w:val="17"/>
                <w:color w:val="auto"/>
              </w:rPr>
            </w:pPr>
          </w:p>
        </w:tc>
        <w:tc>
          <w:tcPr>
            <w:tcW w:w="5600" w:type="dxa"/>
            <w:vAlign w:val="bottom"/>
            <w:gridSpan w:val="7"/>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  ========  ======  ========  ======  ========</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Balance beginning of</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year..................</w:t>
            </w:r>
          </w:p>
        </w:tc>
        <w:tc>
          <w:tcPr>
            <w:tcW w:w="84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$471,852</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$632,998</w:t>
            </w:r>
          </w:p>
        </w:tc>
        <w:tc>
          <w:tcPr>
            <w:tcW w:w="84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$570,504</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84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58,807</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(123,174)</w:t>
            </w:r>
          </w:p>
        </w:tc>
        <w:tc>
          <w:tcPr>
            <w:tcW w:w="84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99,337</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dividends:</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(per share:</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1993, $1.15; 1992</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5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and 1991, $1.00)......</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(38,690)</w:t>
            </w:r>
          </w:p>
        </w:tc>
        <w:tc>
          <w:tcPr>
            <w:tcW w:w="8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(33,496)</w:t>
            </w:r>
          </w:p>
        </w:tc>
        <w:tc>
          <w:tcPr>
            <w:tcW w:w="8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(33,220)</w:t>
            </w:r>
          </w:p>
        </w:tc>
      </w:tr>
      <w:tr>
        <w:trPr>
          <w:trHeight w:val="203"/>
        </w:trPr>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Preferred............</w:t>
            </w:r>
          </w:p>
        </w:tc>
        <w:tc>
          <w:tcPr>
            <w:tcW w:w="8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(2,515)</w:t>
            </w:r>
          </w:p>
        </w:tc>
        <w:tc>
          <w:tcPr>
            <w:tcW w:w="8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(3,623)</w:t>
            </w:r>
          </w:p>
        </w:tc>
      </w:tr>
      <w:tr>
        <w:trPr>
          <w:trHeight w:val="203"/>
        </w:trPr>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Redemption costs.....</w:t>
            </w:r>
          </w:p>
        </w:tc>
        <w:tc>
          <w:tcPr>
            <w:tcW w:w="840" w:type="dxa"/>
            <w:vAlign w:val="bottom"/>
          </w:tcPr>
          <w:p>
            <w:pPr>
              <w:spacing w:after="0"/>
              <w:rPr>
                <w:sz w:val="17"/>
                <w:szCs w:val="17"/>
                <w:color w:val="auto"/>
              </w:rPr>
            </w:pP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(505)</w:t>
            </w:r>
          </w:p>
        </w:tc>
        <w:tc>
          <w:tcPr>
            <w:tcW w:w="8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(1,961)</w:t>
            </w:r>
          </w:p>
        </w:tc>
        <w:tc>
          <w:tcPr>
            <w:tcW w:w="84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84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Balance end of year....</w:t>
            </w:r>
          </w:p>
        </w:tc>
        <w:tc>
          <w:tcPr>
            <w:tcW w:w="84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$491,464</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$471,852</w:t>
            </w:r>
          </w:p>
        </w:tc>
        <w:tc>
          <w:tcPr>
            <w:tcW w:w="84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$632,998</w:t>
            </w:r>
          </w:p>
        </w:tc>
      </w:tr>
      <w:tr>
        <w:trPr>
          <w:trHeight w:val="203"/>
        </w:trPr>
        <w:tc>
          <w:tcPr>
            <w:tcW w:w="2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84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left="320" w:right="2099" w:hanging="312"/>
        <w:spacing w:after="0" w:line="536" w:lineRule="auto"/>
        <w:tabs>
          <w:tab w:leader="none" w:pos="21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are shown for information only and are included in common stock. The accompanying notes are an integral part of these financial statements.</w:t>
      </w:r>
    </w:p>
    <w:p>
      <w:pPr>
        <w:ind w:left="4120"/>
        <w:spacing w:after="0" w:line="234" w:lineRule="auto"/>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565"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GRUMMAN CORPORATION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CONSOLIDATED STATEMENT OF CASH FLOWS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4900" w:type="dxa"/>
            <w:vAlign w:val="bottom"/>
          </w:tcPr>
          <w:p>
            <w:pPr>
              <w:spacing w:after="0"/>
              <w:rPr>
                <w:sz w:val="17"/>
                <w:szCs w:val="17"/>
                <w:color w:val="auto"/>
              </w:rPr>
            </w:pPr>
          </w:p>
        </w:tc>
        <w:tc>
          <w:tcPr>
            <w:tcW w:w="344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1993</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1992</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49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income (loss)...........................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58,807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$(123,174)</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99,337</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Items affecting cash from operations: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Depreciation and amortization...............</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73,835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82,127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94,274</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change in accounting</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 postretirement benefits................</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85,000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Loss on Tracor Aviation Inc. settlement.....</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46,500</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Release of tax reserves.....................</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(23,500)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(30,700)</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Decrease/(increase) in: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Accounts receivable and marketable</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79,391</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13,126</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Inventories................................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112,988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147,817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142,811</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Prepaid expenses...........................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38,660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(9,930)</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Increase/(decrease) in: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payable, wages and benefits.......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13,676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(68,585)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(52,399)</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(49,231)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65,947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(11,409)</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(32,362)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26,886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56,155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(10,902)</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34,869</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68,317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4,126</w:t>
            </w:r>
          </w:p>
        </w:tc>
      </w:tr>
      <w:tr>
        <w:trPr>
          <w:trHeight w:val="203"/>
        </w:trPr>
        <w:tc>
          <w:tcPr>
            <w:tcW w:w="49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322,251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514,804</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280,334</w:t>
            </w:r>
          </w:p>
        </w:tc>
      </w:tr>
      <w:tr>
        <w:trPr>
          <w:trHeight w:val="203"/>
        </w:trPr>
        <w:tc>
          <w:tcPr>
            <w:tcW w:w="49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(44,585)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(39,054)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(54,847)</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Proceeds from sale of capital assets........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3,882</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2,361</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6,385</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Decrease (increase) in investments..........</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(25,562)</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4,237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(1,486)</w:t>
            </w:r>
          </w:p>
        </w:tc>
      </w:tr>
      <w:tr>
        <w:trPr>
          <w:trHeight w:val="203"/>
        </w:trPr>
        <w:tc>
          <w:tcPr>
            <w:tcW w:w="49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(66,265)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(32,456)</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(49,948)</w:t>
            </w:r>
          </w:p>
        </w:tc>
      </w:tr>
      <w:tr>
        <w:trPr>
          <w:trHeight w:val="203"/>
        </w:trPr>
        <w:tc>
          <w:tcPr>
            <w:tcW w:w="49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Decrease in short-term debt.................</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(17,000)</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Proceeds from long-term debt................</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75,000</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Repayment of long-term debt.................</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(141,119)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(283,372)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(118,023)</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Redemption of preferred stock...............</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(34,321)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Dividends paid..............................</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(38,690)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(36,011)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(36,843)</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Repurchase of common stock..................</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(49,931)</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Exercise of stock options...................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20,767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(3,015)</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received on formation of joint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venture....................................</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49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cash required by financing activities...</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(208,973)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(355,295)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(79,886)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cash and cash equivalents for</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period...................................</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47,013</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127,053</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150,500</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Cash and cash equivalents-January 1,..........</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299,077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172,024</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21,524</w:t>
            </w:r>
          </w:p>
        </w:tc>
      </w:tr>
      <w:tr>
        <w:trPr>
          <w:trHeight w:val="203"/>
        </w:trPr>
        <w:tc>
          <w:tcPr>
            <w:tcW w:w="49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Cash and cash equivalents-December 31,........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346,090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$ 299,077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$ 172,024</w:t>
            </w:r>
          </w:p>
        </w:tc>
      </w:tr>
      <w:tr>
        <w:trPr>
          <w:trHeight w:val="203"/>
        </w:trPr>
        <w:tc>
          <w:tcPr>
            <w:tcW w:w="49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these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9" w:name="page10"/>
    <w:bookmarkEnd w:id="9"/>
    <w:p>
      <w:pPr>
        <w:jc w:val="center"/>
        <w:ind w:right="1779"/>
        <w:spacing w:after="0"/>
        <w:rPr>
          <w:sz w:val="20"/>
          <w:szCs w:val="20"/>
          <w:color w:val="auto"/>
        </w:rPr>
      </w:pPr>
      <w:r>
        <w:rPr>
          <w:rFonts w:ascii="Courier New" w:cs="Courier New" w:eastAsia="Courier New" w:hAnsi="Courier New"/>
          <w:sz w:val="18"/>
          <w:szCs w:val="18"/>
          <w:color w:val="auto"/>
        </w:rPr>
        <w:t>GRUMMAN CORPORATION AND SUBSIDIARIES</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1--SUMMARY OF SIGNIFICANT ACCOUNTING POLICIES: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Principles of consolidation</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The consolidated financial statements include the accounts of the company and all subsidiaries. All intercompany balances and transactions have been eliminated.</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Inventoried costs relating to both long-term government and commercial contracts and programs are stated at the actual production cost. General and administrative expenses allocable to aerospace fixed-price type contracts are included in inventory, whereas such expenses for non-aerospace activities are expensed as incurred. The costs attributed to units delivered under both long-term government and commercial contracts and programs are based on the estimated average costs of all units expected to be produced in a lot or contract. In accordance with industry practice, inventories include amounts relating to contracts and programs having long production cycles, portions of which are not expected to be realized within one year.</w:t>
      </w:r>
    </w:p>
    <w:p>
      <w:pPr>
        <w:spacing w:after="0" w:line="215"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Inventories of raw materials, purchased parts and supplies are carried at the lower of cost or realizable values. Inventories are based on average cost and/or first-in, first-out methods.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Sales under fixed-price production contracts are recorded at the time of delivery. Sales, including fees earned, under cost-reimbursement and research, development, test and evaluation contracts are recorded as costs are incurred.</w:t>
      </w:r>
    </w:p>
    <w:p>
      <w:pPr>
        <w:spacing w:after="0" w:line="17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Certain contracts contain cost and/or performance incentives. Such incentives are included in sales at the time actual performance can be related to the target and the earned amount can be reasonably determined. Accordingly, earnings recorded in one period may include adjustments related to sales recorded in a prior period. Losses on contracts are recorded when they become known.</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1879" w:firstLine="211"/>
        <w:spacing w:after="0" w:line="279" w:lineRule="auto"/>
        <w:rPr>
          <w:sz w:val="20"/>
          <w:szCs w:val="20"/>
          <w:color w:val="auto"/>
        </w:rPr>
      </w:pPr>
      <w:r>
        <w:rPr>
          <w:rFonts w:ascii="Courier New" w:cs="Courier New" w:eastAsia="Courier New" w:hAnsi="Courier New"/>
          <w:sz w:val="16"/>
          <w:szCs w:val="16"/>
          <w:color w:val="auto"/>
        </w:rPr>
        <w:t>The company uses a declining-balance method of depreciation for substantially all of its plant and equipment. Leasehold improvements are amortized over the terms of the leases or their estimated useful lives, whichever is shorter.</w:t>
      </w:r>
    </w:p>
    <w:p>
      <w:pPr>
        <w:spacing w:after="0" w:line="178" w:lineRule="exact"/>
        <w:rPr>
          <w:sz w:val="20"/>
          <w:szCs w:val="20"/>
          <w:color w:val="auto"/>
        </w:rPr>
      </w:pPr>
    </w:p>
    <w:p>
      <w:pPr>
        <w:ind w:right="1879" w:firstLine="211"/>
        <w:spacing w:after="0" w:line="279" w:lineRule="auto"/>
        <w:rPr>
          <w:sz w:val="20"/>
          <w:szCs w:val="20"/>
          <w:color w:val="auto"/>
        </w:rPr>
      </w:pPr>
      <w:r>
        <w:rPr>
          <w:rFonts w:ascii="Courier New" w:cs="Courier New" w:eastAsia="Courier New" w:hAnsi="Courier New"/>
          <w:sz w:val="16"/>
          <w:szCs w:val="16"/>
          <w:color w:val="auto"/>
        </w:rPr>
        <w:t>Upon sale or retirement of plant and equipment, the related cost and accumulated depreciation are removed from the accounts, and any gain or loss is reflected currently. Maintenance and repair costs are expensed as incurred.</w:t>
      </w: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Intangibles</w:t>
      </w:r>
    </w:p>
    <w:p>
      <w:pPr>
        <w:spacing w:after="0" w:line="207"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The excess of cost over the net assets of acquired companies at December 31, 1993 and 1992, was $3.6 and $3.7 million, respectively. These amounts are included in Non-Current Assets--Other, and are being amortized over 40 years.</w:t>
      </w: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Cash equivalents</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It is the company's policy to treat securities which are readily convertible to known amounts of cash with original maturities of three months or less as cash equivalents. The carrying value of such items, which is at cost, approximates fair value because of the short maturity of those instruments.</w:t>
      </w:r>
    </w:p>
    <w:p>
      <w:pPr>
        <w:spacing w:after="0" w:line="17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Cash flow supplemental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1993</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1992</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5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Cash paid during the year for:</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Interest (net of amount capitalized)...........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$39,058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$57,543</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$87,884</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Federal income taxes...........................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97,800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w:t>
            </w:r>
          </w:p>
        </w:tc>
      </w:tr>
      <w:tr>
        <w:trPr>
          <w:trHeight w:val="608"/>
        </w:trPr>
        <w:tc>
          <w:tcPr>
            <w:tcW w:w="5220" w:type="dxa"/>
            <w:vAlign w:val="bottom"/>
          </w:tcPr>
          <w:p>
            <w:pPr>
              <w:jc w:val="right"/>
              <w:ind w:right="1552"/>
              <w:spacing w:after="0"/>
              <w:rPr>
                <w:sz w:val="20"/>
                <w:szCs w:val="20"/>
                <w:color w:val="auto"/>
              </w:rPr>
            </w:pPr>
            <w:r>
              <w:rPr>
                <w:rFonts w:ascii="Courier New" w:cs="Courier New" w:eastAsia="Courier New" w:hAnsi="Courier New"/>
                <w:sz w:val="18"/>
                <w:szCs w:val="18"/>
                <w:color w:val="auto"/>
              </w:rPr>
              <w:t>9</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717" w:right="1440" w:bottom="0" w:gutter="0" w:footer="0" w:header="0"/>
        </w:sectPr>
      </w:pPr>
    </w:p>
    <w:bookmarkStart w:id="10" w:name="page11"/>
    <w:bookmarkEnd w:id="10"/>
    <w:p>
      <w:pPr>
        <w:ind w:left="2320"/>
        <w:spacing w:after="0"/>
        <w:rPr>
          <w:sz w:val="20"/>
          <w:szCs w:val="20"/>
          <w:color w:val="auto"/>
        </w:rPr>
      </w:pPr>
      <w:r>
        <w:rPr>
          <w:rFonts w:ascii="Courier New" w:cs="Courier New" w:eastAsia="Courier New" w:hAnsi="Courier New"/>
          <w:sz w:val="18"/>
          <w:szCs w:val="18"/>
          <w:color w:val="auto"/>
        </w:rPr>
        <w:t>GRUMMAN CORPORATION AND SUBSIDIARIES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Financial instruments</w:t>
      </w:r>
    </w:p>
    <w:p>
      <w:pPr>
        <w:spacing w:after="0" w:line="207"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During 1993, the company initiated a Common Stock Repurchase Program to purchase up to $100 million of the company's outstanding common stock. As a hedge of the company's cost, the company entered</w:t>
      </w:r>
    </w:p>
    <w:p>
      <w:pPr>
        <w:spacing w:after="0" w:line="6"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into a series of equity put warrants whereby the company may be obligated to repurchase 750,000 shares, if put to the company, at expiration date. These equity put warrants will expire during the period August through October 1994.</w:t>
      </w:r>
    </w:p>
    <w:p>
      <w:pPr>
        <w:spacing w:after="0" w:line="17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Also during 1993, the company invested approximately $25 million in a limited partnership which invests in repurchase and reverse repurchase agreements backed by highly rated securities. At December 31, 1993, the value of the partnership's underlying net assets approximated the company's investment which is being accounted for using the equity method.</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Research and development costs associated with government programs up to a negotiated ceiling are charged to inventory and are recorded in cost of sales when products are delivered or services performed. Costs in excess of ceiling and expenditures for commercial projects are charged against income in the year incurred. Total expenditures for research and development, bid and proposal efforts were, in millions, $122.5 in 1993, $132.8 in 1992 and $127.5 in 1991.</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Earnings per common share</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Primary earnings per share are determined after deducting preferred stock dividends and are based on the weighted average number of outstanding common shares and common stock equivalents.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Reclassification</w:t>
      </w:r>
    </w:p>
    <w:p>
      <w:pPr>
        <w:spacing w:after="0" w:line="207"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Certain prior-year amounts have been reclassified to conform to 1993 classifications.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2--RESTRUCTURING AND DISCONTINUED OPERATIONS: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order to become more competitive in the changing defense market, the company recorded in the fourth quarter of 1993 an $85 million restructuring provision. In connection with the consolidation of its facilities, the company anticipates reducing its total floor space approximately 30 percent by 1997. The restructuring charge provides for equipment and inventory write-offs of approximately $60 million and plant closing costs of approximately $25 million.</w:t>
      </w:r>
    </w:p>
    <w:p>
      <w:pPr>
        <w:spacing w:after="0" w:line="211"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During 1993, the company settled a lawsuit relating to its previously discontinued solar panel business and recorded a loss of $9.9 million before an income tax benefit of $3.2 million.</w:t>
      </w:r>
    </w:p>
    <w:p>
      <w:pPr>
        <w:spacing w:after="0" w:line="20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Operating results for Paumanock Insurance Company Ltd. for the years ended December 31, 1992 and 1991, were reported in the income statement under the caption "Income (loss) from discontinued operations" and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840" w:type="dxa"/>
            <w:vAlign w:val="bottom"/>
          </w:tcPr>
          <w:p>
            <w:pPr>
              <w:spacing w:after="0"/>
              <w:rPr>
                <w:sz w:val="17"/>
                <w:szCs w:val="17"/>
                <w:color w:val="auto"/>
              </w:rPr>
            </w:pPr>
          </w:p>
        </w:tc>
        <w:tc>
          <w:tcPr>
            <w:tcW w:w="1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1992</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584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40" w:type="dxa"/>
            <w:vAlign w:val="bottom"/>
          </w:tcPr>
          <w:p>
            <w:pPr>
              <w:spacing w:after="0"/>
              <w:rPr>
                <w:sz w:val="20"/>
                <w:szCs w:val="20"/>
                <w:color w:val="auto"/>
              </w:rPr>
            </w:pPr>
            <w:r>
              <w:rPr>
                <w:rFonts w:ascii="Courier New" w:cs="Courier New" w:eastAsia="Courier New" w:hAnsi="Courier New"/>
                <w:sz w:val="18"/>
                <w:szCs w:val="18"/>
                <w:color w:val="auto"/>
                <w:w w:val="97"/>
              </w:rPr>
              <w:t>Sales..................................................</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$113,944</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$64,055</w:t>
            </w:r>
          </w:p>
        </w:tc>
      </w:tr>
      <w:tr>
        <w:trPr>
          <w:trHeight w:val="203"/>
        </w:trPr>
        <w:tc>
          <w:tcPr>
            <w:tcW w:w="58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Income (loss) before income taxes......................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(54,035)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6,266</w:t>
            </w:r>
          </w:p>
        </w:tc>
      </w:tr>
      <w:tr>
        <w:trPr>
          <w:trHeight w:val="203"/>
        </w:trPr>
        <w:tc>
          <w:tcPr>
            <w:tcW w:w="58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Income taxes...........................................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2,100</w:t>
            </w:r>
          </w:p>
        </w:tc>
      </w:tr>
      <w:tr>
        <w:trPr>
          <w:trHeight w:val="203"/>
        </w:trPr>
        <w:tc>
          <w:tcPr>
            <w:tcW w:w="58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Net income (loss)......................................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(45,035)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4,166</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December 31, 1992, the net book value of the insurance company's assets and liabilities was $11.1 million and is included in other non-current assets. This business was sold in the first quarter of 1993 at an amount that approximated the company's carrying value.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59" w:gutter="0" w:footer="0" w:header="0"/>
        </w:sectPr>
      </w:pPr>
    </w:p>
    <w:bookmarkStart w:id="11" w:name="page12"/>
    <w:bookmarkEnd w:id="11"/>
    <w:p>
      <w:pPr>
        <w:ind w:left="2320"/>
        <w:spacing w:after="0"/>
        <w:rPr>
          <w:sz w:val="20"/>
          <w:szCs w:val="20"/>
          <w:color w:val="auto"/>
        </w:rPr>
      </w:pPr>
      <w:r>
        <w:rPr>
          <w:rFonts w:ascii="Courier New" w:cs="Courier New" w:eastAsia="Courier New" w:hAnsi="Courier New"/>
          <w:sz w:val="18"/>
          <w:szCs w:val="18"/>
          <w:color w:val="auto"/>
        </w:rPr>
        <w:t>GRUMMAN CORPORATION AND SUBSIDIARIES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3--ACCOUNTS RECEIVABLE: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Courier New" w:cs="Courier New" w:eastAsia="Courier New" w:hAnsi="Courier New"/>
                <w:sz w:val="18"/>
                <w:szCs w:val="18"/>
                <w:color w:val="auto"/>
              </w:rPr>
              <w:t>Receivables at December 31 are summarized as follows:</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6260" w:type="dxa"/>
            <w:vAlign w:val="bottom"/>
          </w:tcPr>
          <w:p>
            <w:pPr>
              <w:spacing w:after="0"/>
              <w:rPr>
                <w:sz w:val="24"/>
                <w:szCs w:val="24"/>
                <w:color w:val="auto"/>
              </w:rPr>
            </w:pP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1993</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6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60" w:type="dxa"/>
            <w:vAlign w:val="bottom"/>
          </w:tcPr>
          <w:p>
            <w:pPr>
              <w:ind w:left="420"/>
              <w:spacing w:after="0"/>
              <w:rPr>
                <w:sz w:val="20"/>
                <w:szCs w:val="20"/>
                <w:color w:val="auto"/>
              </w:rPr>
            </w:pPr>
            <w:r>
              <w:rPr>
                <w:rFonts w:ascii="Courier New" w:cs="Courier New" w:eastAsia="Courier New" w:hAnsi="Courier New"/>
                <w:sz w:val="18"/>
                <w:szCs w:val="18"/>
                <w:color w:val="auto"/>
              </w:rPr>
              <w:t>Billed:</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7"/>
              </w:rPr>
              <w:t>U.S. government......................................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$121,394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$110,873</w:t>
            </w:r>
          </w:p>
        </w:tc>
      </w:tr>
      <w:tr>
        <w:trPr>
          <w:trHeight w:val="203"/>
        </w:trPr>
        <w:tc>
          <w:tcPr>
            <w:tcW w:w="6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7"/>
              </w:rPr>
              <w:t>Commercial...........................................</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59,027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46,017</w:t>
            </w:r>
          </w:p>
        </w:tc>
      </w:tr>
      <w:tr>
        <w:trPr>
          <w:trHeight w:val="203"/>
        </w:trPr>
        <w:tc>
          <w:tcPr>
            <w:tcW w:w="6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180,421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156,890</w:t>
            </w:r>
          </w:p>
        </w:tc>
      </w:tr>
      <w:tr>
        <w:trPr>
          <w:trHeight w:val="203"/>
        </w:trPr>
        <w:tc>
          <w:tcPr>
            <w:tcW w:w="6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Unbilled costs and accrued profits:</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7"/>
              </w:rPr>
              <w:t>U.S. government......................................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320,370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337,306</w:t>
            </w:r>
          </w:p>
        </w:tc>
      </w:tr>
      <w:tr>
        <w:trPr>
          <w:trHeight w:val="203"/>
        </w:trPr>
        <w:tc>
          <w:tcPr>
            <w:tcW w:w="6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7"/>
              </w:rPr>
              <w:t>Commercial...........................................</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17,940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40,064</w:t>
            </w:r>
          </w:p>
        </w:tc>
      </w:tr>
      <w:tr>
        <w:trPr>
          <w:trHeight w:val="203"/>
        </w:trPr>
        <w:tc>
          <w:tcPr>
            <w:tcW w:w="6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338,310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377,370</w:t>
            </w:r>
          </w:p>
        </w:tc>
      </w:tr>
      <w:tr>
        <w:trPr>
          <w:trHeight w:val="203"/>
        </w:trPr>
        <w:tc>
          <w:tcPr>
            <w:tcW w:w="6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$518,731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$534,260</w:t>
            </w:r>
          </w:p>
        </w:tc>
      </w:tr>
      <w:tr>
        <w:trPr>
          <w:trHeight w:val="203"/>
        </w:trPr>
        <w:tc>
          <w:tcPr>
            <w:tcW w:w="6260" w:type="dxa"/>
            <w:vAlign w:val="bottom"/>
          </w:tcPr>
          <w:p>
            <w:pPr>
              <w:spacing w:after="0"/>
              <w:rPr>
                <w:sz w:val="17"/>
                <w:szCs w:val="17"/>
                <w:color w:val="auto"/>
              </w:rPr>
            </w:pP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Unbilled costs and accrued profits represent revenue earned but not billed to the customer at year-end. At December 31, 1993, approximately $166.7 million of claims and accruals, a portion of which is subject to negotiation, is not expected to be realized before December 31, 1994.</w:t>
      </w:r>
    </w:p>
    <w:p>
      <w:pPr>
        <w:spacing w:after="0" w:line="207"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In June of 1991, the company submitted a request to the U. S. Air Force for an equitable adjustment of the price of a contract involving the F-111A/E &amp; EF-111A Avionics Modernization Program, based on late and inadequate government-furnished software and other property and other failures to comply with contract requirements by the government. The request, as amended in May of 1993, was in the amount of $62.5 million. On August 26, 1993, the Contracting Officer issued what purports to be a decision under the Contract Disputes Act denying the preponderance of the price increase requested and concluding that the Air Force is entitled to recover a net amount of $5.5 million on the basis of alleged company failures to comply with the terms of the contract. The company believes there is little or no support for the Contracting Officer's</w:t>
      </w:r>
    </w:p>
    <w:tbl>
      <w:tblPr>
        <w:tblLayout w:type="fixed"/>
        <w:tblInd w:w="0" w:type="dxa"/>
        <w:tblCellMar>
          <w:top w:w="0" w:type="dxa"/>
          <w:left w:w="0" w:type="dxa"/>
          <w:bottom w:w="0" w:type="dxa"/>
          <w:right w:w="0" w:type="dxa"/>
        </w:tblCellMar>
      </w:tblPr>
      <w:tr>
        <w:trPr>
          <w:trHeight w:val="200"/>
        </w:trPr>
        <w:tc>
          <w:tcPr>
            <w:tcW w:w="7220" w:type="dxa"/>
            <w:vAlign w:val="bottom"/>
            <w:gridSpan w:val="2"/>
          </w:tcPr>
          <w:p>
            <w:pPr>
              <w:spacing w:after="0" w:line="200" w:lineRule="exact"/>
              <w:rPr>
                <w:sz w:val="20"/>
                <w:szCs w:val="20"/>
                <w:color w:val="auto"/>
              </w:rPr>
            </w:pPr>
            <w:r>
              <w:rPr>
                <w:rFonts w:ascii="Courier New" w:cs="Courier New" w:eastAsia="Courier New" w:hAnsi="Courier New"/>
                <w:sz w:val="18"/>
                <w:szCs w:val="18"/>
                <w:color w:val="auto"/>
                <w:w w:val="98"/>
              </w:rPr>
              <w:t>decision and that the amounts of revenue recognized pursuant to this</w:t>
            </w:r>
          </w:p>
        </w:tc>
        <w:tc>
          <w:tcPr>
            <w:tcW w:w="1120" w:type="dxa"/>
            <w:vAlign w:val="bottom"/>
          </w:tcPr>
          <w:p>
            <w:pPr>
              <w:jc w:val="right"/>
              <w:ind w:right="132"/>
              <w:spacing w:after="0" w:line="200" w:lineRule="exact"/>
              <w:rPr>
                <w:sz w:val="20"/>
                <w:szCs w:val="20"/>
                <w:color w:val="auto"/>
              </w:rPr>
            </w:pPr>
            <w:r>
              <w:rPr>
                <w:rFonts w:ascii="Courier New" w:cs="Courier New" w:eastAsia="Courier New" w:hAnsi="Courier New"/>
                <w:sz w:val="18"/>
                <w:szCs w:val="18"/>
                <w:color w:val="auto"/>
              </w:rPr>
              <w:t>contract</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are appropriate as of December 31, 1993.</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NOTE 4--INVENTORIES:</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6180" w:type="dxa"/>
            <w:vAlign w:val="bottom"/>
          </w:tcPr>
          <w:p>
            <w:pPr>
              <w:ind w:left="220"/>
              <w:spacing w:after="0"/>
              <w:rPr>
                <w:sz w:val="20"/>
                <w:szCs w:val="20"/>
                <w:color w:val="auto"/>
              </w:rPr>
            </w:pPr>
            <w:r>
              <w:rPr>
                <w:rFonts w:ascii="Courier New" w:cs="Courier New" w:eastAsia="Courier New" w:hAnsi="Courier New"/>
                <w:sz w:val="18"/>
                <w:szCs w:val="18"/>
                <w:color w:val="auto"/>
              </w:rPr>
              <w:t>Inventories at December 31 consist of the following:</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10"/>
        </w:trPr>
        <w:tc>
          <w:tcPr>
            <w:tcW w:w="6180" w:type="dxa"/>
            <w:vAlign w:val="bottom"/>
          </w:tcPr>
          <w:p>
            <w:pPr>
              <w:spacing w:after="0"/>
              <w:rPr>
                <w:sz w:val="24"/>
                <w:szCs w:val="24"/>
                <w:color w:val="auto"/>
              </w:rPr>
            </w:pPr>
          </w:p>
        </w:tc>
        <w:tc>
          <w:tcPr>
            <w:tcW w:w="1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1993</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61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ind w:left="640"/>
              <w:spacing w:after="0"/>
              <w:rPr>
                <w:sz w:val="20"/>
                <w:szCs w:val="20"/>
                <w:color w:val="auto"/>
              </w:rPr>
            </w:pPr>
            <w:r>
              <w:rPr>
                <w:rFonts w:ascii="Courier New" w:cs="Courier New" w:eastAsia="Courier New" w:hAnsi="Courier New"/>
                <w:sz w:val="18"/>
                <w:szCs w:val="18"/>
                <w:color w:val="auto"/>
              </w:rPr>
              <w:t>Work in process--long-term contracts:</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6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Production costs..................................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$ 951,837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$1,140,212</w:t>
            </w:r>
          </w:p>
        </w:tc>
      </w:tr>
      <w:tr>
        <w:trPr>
          <w:trHeight w:val="203"/>
        </w:trPr>
        <w:tc>
          <w:tcPr>
            <w:tcW w:w="6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and administrative expenses...............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120,491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110,316</w:t>
            </w:r>
          </w:p>
        </w:tc>
      </w:tr>
      <w:tr>
        <w:trPr>
          <w:trHeight w:val="203"/>
        </w:trPr>
        <w:tc>
          <w:tcPr>
            <w:tcW w:w="6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Work in process--other..............................</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9,595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13,664</w:t>
            </w:r>
          </w:p>
        </w:tc>
      </w:tr>
      <w:tr>
        <w:trPr>
          <w:trHeight w:val="203"/>
        </w:trPr>
        <w:tc>
          <w:tcPr>
            <w:tcW w:w="6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Raw materials, purchased parts and supplies.........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82,158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134,261</w:t>
            </w:r>
          </w:p>
        </w:tc>
      </w:tr>
      <w:tr>
        <w:trPr>
          <w:trHeight w:val="203"/>
        </w:trPr>
        <w:tc>
          <w:tcPr>
            <w:tcW w:w="61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1,164,081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1,398,453</w:t>
            </w:r>
          </w:p>
        </w:tc>
      </w:tr>
      <w:tr>
        <w:trPr>
          <w:trHeight w:val="203"/>
        </w:trPr>
        <w:tc>
          <w:tcPr>
            <w:tcW w:w="6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Less related progress payments......................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664,645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786,029</w:t>
            </w:r>
          </w:p>
        </w:tc>
      </w:tr>
      <w:tr>
        <w:trPr>
          <w:trHeight w:val="203"/>
        </w:trPr>
        <w:tc>
          <w:tcPr>
            <w:tcW w:w="61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$ 499,436</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612,424</w:t>
            </w:r>
          </w:p>
        </w:tc>
      </w:tr>
      <w:tr>
        <w:trPr>
          <w:trHeight w:val="203"/>
        </w:trPr>
        <w:tc>
          <w:tcPr>
            <w:tcW w:w="61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834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w w:val="99"/>
              </w:rPr>
              <w:t>Under the contractual arrangements by which progress payments are received,</w:t>
            </w:r>
          </w:p>
        </w:tc>
      </w:tr>
      <w:tr>
        <w:trPr>
          <w:trHeight w:val="203"/>
        </w:trPr>
        <w:tc>
          <w:tcPr>
            <w:tcW w:w="7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government has a security interest in the inventories identified</w:t>
            </w:r>
          </w:p>
        </w:tc>
        <w:tc>
          <w:tcPr>
            <w:tcW w:w="1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with</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related contracts.</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20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aggregate amounts of selling, general and administrative expenses incurred during 1993, 1992 and 1991 were, in millions, $375.0, $350.1 and $349.3 respectively.</w:t>
      </w:r>
    </w:p>
    <w:p>
      <w:pPr>
        <w:sectPr>
          <w:pgSz w:w="11900" w:h="16838" w:orient="portrait"/>
          <w:cols w:equalWidth="0" w:num="1">
            <w:col w:w="10219"/>
          </w:cols>
          <w:pgMar w:left="240" w:top="717" w:right="1440" w:bottom="0" w:gutter="0" w:footer="0" w:header="0"/>
        </w:sectPr>
      </w:pPr>
    </w:p>
    <w:bookmarkStart w:id="12" w:name="page13"/>
    <w:bookmarkEnd w:id="12"/>
    <w:p>
      <w:pPr>
        <w:ind w:left="2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344" w:right="1440" w:bottom="1440" w:gutter="0" w:footer="0" w:header="0"/>
        </w:sectPr>
      </w:pPr>
    </w:p>
    <w:bookmarkStart w:id="13" w:name="page14"/>
    <w:bookmarkEnd w:id="13"/>
    <w:p>
      <w:pPr>
        <w:ind w:left="2320"/>
        <w:spacing w:after="0"/>
        <w:rPr>
          <w:sz w:val="20"/>
          <w:szCs w:val="20"/>
          <w:color w:val="auto"/>
        </w:rPr>
      </w:pPr>
      <w:r>
        <w:rPr>
          <w:rFonts w:ascii="Courier New" w:cs="Courier New" w:eastAsia="Courier New" w:hAnsi="Courier New"/>
          <w:sz w:val="18"/>
          <w:szCs w:val="18"/>
          <w:color w:val="auto"/>
        </w:rPr>
        <w:t>GRUMMAN CORPORATION AND SUBSIDIARIES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gridSpan w:val="3"/>
          </w:tcPr>
          <w:p>
            <w:pPr>
              <w:jc w:val="right"/>
              <w:ind w:right="292"/>
              <w:spacing w:after="0"/>
              <w:rPr>
                <w:sz w:val="20"/>
                <w:szCs w:val="20"/>
                <w:color w:val="auto"/>
              </w:rPr>
            </w:pPr>
            <w:r>
              <w:rPr>
                <w:rFonts w:ascii="Courier New" w:cs="Courier New" w:eastAsia="Courier New" w:hAnsi="Courier New"/>
                <w:sz w:val="18"/>
                <w:szCs w:val="18"/>
                <w:color w:val="auto"/>
              </w:rPr>
              <w:t>NOTES TO CONSOLIDATED FINANCIAL STATEMENTS--(CONTINUED)</w:t>
            </w:r>
          </w:p>
        </w:tc>
        <w:tc>
          <w:tcPr>
            <w:tcW w:w="1000" w:type="dxa"/>
            <w:vAlign w:val="bottom"/>
          </w:tcPr>
          <w:p>
            <w:pPr>
              <w:spacing w:after="0"/>
              <w:rPr>
                <w:sz w:val="17"/>
                <w:szCs w:val="17"/>
                <w:color w:val="auto"/>
              </w:rPr>
            </w:pPr>
          </w:p>
        </w:tc>
      </w:tr>
      <w:tr>
        <w:trPr>
          <w:trHeight w:val="608"/>
        </w:trPr>
        <w:tc>
          <w:tcPr>
            <w:tcW w:w="6280" w:type="dxa"/>
            <w:vAlign w:val="bottom"/>
          </w:tcPr>
          <w:p>
            <w:pPr>
              <w:spacing w:after="0"/>
              <w:rPr>
                <w:sz w:val="20"/>
                <w:szCs w:val="20"/>
                <w:color w:val="auto"/>
              </w:rPr>
            </w:pPr>
            <w:r>
              <w:rPr>
                <w:rFonts w:ascii="Courier New" w:cs="Courier New" w:eastAsia="Courier New" w:hAnsi="Courier New"/>
                <w:sz w:val="18"/>
                <w:szCs w:val="18"/>
                <w:color w:val="auto"/>
              </w:rPr>
              <w:t>NOTE 5--PROPERTY, PLANT AND EQUIPMENT:</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744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rPr>
              <w:t>Property, plant and equipment at December 31 (at cost) consist of:</w:t>
            </w:r>
          </w:p>
        </w:tc>
        <w:tc>
          <w:tcPr>
            <w:tcW w:w="1000" w:type="dxa"/>
            <w:vAlign w:val="bottom"/>
          </w:tcPr>
          <w:p>
            <w:pPr>
              <w:spacing w:after="0"/>
              <w:rPr>
                <w:sz w:val="24"/>
                <w:szCs w:val="24"/>
                <w:color w:val="auto"/>
              </w:rPr>
            </w:pPr>
          </w:p>
        </w:tc>
      </w:tr>
      <w:tr>
        <w:trPr>
          <w:trHeight w:val="810"/>
        </w:trPr>
        <w:tc>
          <w:tcPr>
            <w:tcW w:w="6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1993</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628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ind w:left="640"/>
              <w:spacing w:after="0"/>
              <w:rPr>
                <w:sz w:val="20"/>
                <w:szCs w:val="20"/>
                <w:color w:val="auto"/>
              </w:rPr>
            </w:pPr>
            <w:r>
              <w:rPr>
                <w:rFonts w:ascii="Courier New" w:cs="Courier New" w:eastAsia="Courier New" w:hAnsi="Courier New"/>
                <w:sz w:val="18"/>
                <w:szCs w:val="18"/>
                <w:color w:val="auto"/>
                <w:w w:val="98"/>
              </w:rPr>
              <w:t>Land.................................................</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11,954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11,474</w:t>
            </w:r>
          </w:p>
        </w:tc>
      </w:tr>
      <w:tr>
        <w:trPr>
          <w:trHeight w:val="203"/>
        </w:trPr>
        <w:tc>
          <w:tcPr>
            <w:tcW w:w="6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Buildings............................................</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316,029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310,747</w:t>
            </w:r>
          </w:p>
        </w:tc>
      </w:tr>
      <w:tr>
        <w:trPr>
          <w:trHeight w:val="203"/>
        </w:trPr>
        <w:tc>
          <w:tcPr>
            <w:tcW w:w="6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Machinery and equipment..............................</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967,773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963,395</w:t>
            </w:r>
          </w:p>
        </w:tc>
      </w:tr>
      <w:tr>
        <w:trPr>
          <w:trHeight w:val="203"/>
        </w:trPr>
        <w:tc>
          <w:tcPr>
            <w:tcW w:w="6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Leasehold improvements...............................</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51,437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51,829</w:t>
            </w:r>
          </w:p>
        </w:tc>
      </w:tr>
      <w:tr>
        <w:trPr>
          <w:trHeight w:val="203"/>
        </w:trPr>
        <w:tc>
          <w:tcPr>
            <w:tcW w:w="6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Construction in progress.............................</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12,897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8,782</w:t>
            </w:r>
          </w:p>
        </w:tc>
      </w:tr>
      <w:tr>
        <w:trPr>
          <w:trHeight w:val="203"/>
        </w:trPr>
        <w:tc>
          <w:tcPr>
            <w:tcW w:w="628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1,360,090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1,346,227</w:t>
            </w:r>
          </w:p>
        </w:tc>
      </w:tr>
      <w:tr>
        <w:trPr>
          <w:trHeight w:val="203"/>
        </w:trPr>
        <w:tc>
          <w:tcPr>
            <w:tcW w:w="6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Less accumulated depreciation and amortization.......</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987,367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946,806</w:t>
            </w:r>
          </w:p>
        </w:tc>
      </w:tr>
      <w:tr>
        <w:trPr>
          <w:trHeight w:val="203"/>
        </w:trPr>
        <w:tc>
          <w:tcPr>
            <w:tcW w:w="628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372,723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$ 399,421</w:t>
            </w:r>
          </w:p>
        </w:tc>
      </w:tr>
      <w:tr>
        <w:trPr>
          <w:trHeight w:val="203"/>
        </w:trPr>
        <w:tc>
          <w:tcPr>
            <w:tcW w:w="628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For the years 1993, 1992 and 1991, interest costs of $.9, $.5 and $1.8 million were capitalized, respectively, relating to construction in progress.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6--INCOME TAXES: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provision for federal income taxes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1993</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1992</w:t>
            </w:r>
          </w:p>
        </w:tc>
        <w:tc>
          <w:tcPr>
            <w:tcW w:w="200" w:type="dxa"/>
            <w:vAlign w:val="bottom"/>
          </w:tcPr>
          <w:p>
            <w:pPr>
              <w:spacing w:after="0"/>
              <w:rPr>
                <w:sz w:val="17"/>
                <w:szCs w:val="17"/>
                <w:color w:val="auto"/>
              </w:rPr>
            </w:pP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4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w w:val="99"/>
              </w:rPr>
              <w:t>Current....................................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101,400</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$ 27,600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8,600</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Deferred...................................</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(83,900)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(9,900)</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w:t>
            </w:r>
          </w:p>
        </w:tc>
      </w:tr>
      <w:tr>
        <w:trPr>
          <w:trHeight w:val="203"/>
        </w:trPr>
        <w:tc>
          <w:tcPr>
            <w:tcW w:w="4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$ 17,700*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4,100</w:t>
            </w:r>
          </w:p>
        </w:tc>
      </w:tr>
      <w:tr>
        <w:trPr>
          <w:trHeight w:val="203"/>
        </w:trPr>
        <w:tc>
          <w:tcPr>
            <w:tcW w:w="4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220" w:right="2099" w:hanging="212"/>
        <w:spacing w:after="0" w:line="236"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a tax benefit of $102 million relating to the cumulative effect of the change to the accrual method of accounting for postretirement health benefits.</w:t>
      </w:r>
    </w:p>
    <w:p>
      <w:pPr>
        <w:spacing w:after="0" w:line="209" w:lineRule="exact"/>
        <w:rPr>
          <w:sz w:val="20"/>
          <w:szCs w:val="20"/>
          <w:color w:val="auto"/>
        </w:rPr>
      </w:pPr>
    </w:p>
    <w:p>
      <w:pPr>
        <w:ind w:right="1779" w:firstLine="211"/>
        <w:spacing w:after="0" w:line="236" w:lineRule="auto"/>
        <w:rPr>
          <w:sz w:val="20"/>
          <w:szCs w:val="20"/>
          <w:color w:val="auto"/>
        </w:rPr>
      </w:pPr>
      <w:r>
        <w:rPr>
          <w:rFonts w:ascii="Courier New" w:cs="Courier New" w:eastAsia="Courier New" w:hAnsi="Courier New"/>
          <w:sz w:val="18"/>
          <w:szCs w:val="18"/>
          <w:color w:val="auto"/>
        </w:rPr>
        <w:t>A reconciliation between the provision for federal income taxes (substantially all domestic) and the amount computed at the statutory federal income tax rate is as follows:</w:t>
      </w:r>
    </w:p>
    <w:p>
      <w:pPr>
        <w:spacing w:after="0" w:line="200" w:lineRule="exact"/>
        <w:rPr>
          <w:sz w:val="20"/>
          <w:szCs w:val="20"/>
          <w:color w:val="auto"/>
        </w:rPr>
      </w:pP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1993</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1992</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4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Provision computed at the statutory rate of</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(1993--35%; 1992 and 1991--34%)...........</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26,710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$ 31,459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$ 35,169</w:t>
            </w:r>
          </w:p>
        </w:tc>
      </w:tr>
      <w:tr>
        <w:trPr>
          <w:trHeight w:val="203"/>
        </w:trPr>
        <w:tc>
          <w:tcPr>
            <w:tcW w:w="4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Research and other tax credits realized....</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(30,799)</w:t>
            </w:r>
          </w:p>
        </w:tc>
      </w:tr>
      <w:tr>
        <w:trPr>
          <w:trHeight w:val="203"/>
        </w:trPr>
        <w:tc>
          <w:tcPr>
            <w:tcW w:w="4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Valuation allowance........................</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(9,372)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9,372</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FAS 109 adjustment and other...............</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w:t>
            </w:r>
          </w:p>
        </w:tc>
      </w:tr>
      <w:tr>
        <w:trPr>
          <w:trHeight w:val="203"/>
        </w:trPr>
        <w:tc>
          <w:tcPr>
            <w:tcW w:w="4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17,500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$ 17,700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4,100</w:t>
            </w:r>
          </w:p>
        </w:tc>
      </w:tr>
      <w:tr>
        <w:trPr>
          <w:trHeight w:val="203"/>
        </w:trPr>
        <w:tc>
          <w:tcPr>
            <w:tcW w:w="4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The provision for deferred federal income taxes consisted of the following:</w:t>
      </w:r>
    </w:p>
    <w:p>
      <w:pPr>
        <w:spacing w:after="0" w:line="200" w:lineRule="exact"/>
        <w:rPr>
          <w:sz w:val="20"/>
          <w:szCs w:val="20"/>
          <w:color w:val="auto"/>
        </w:rPr>
      </w:pP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1993</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1992</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46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w w:val="99"/>
              </w:rPr>
              <w:t>Contract tax accounting methods............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$(40,013)</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$ 16,208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(4,692)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Accelerated depreciation...................</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Capitalized costs..........................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(6,285)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Gain from investment.......................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(17,150)</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Restructuring charge.......................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Employee benefits and all other--net.......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(14,723)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9,979</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Discontinued operations....................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0" w:gutter="0" w:footer="0" w:header="0"/>
        </w:sectPr>
      </w:pPr>
    </w:p>
    <w:bookmarkStart w:id="14" w:name="page15"/>
    <w:bookmarkEnd w:id="14"/>
    <w:p>
      <w:pPr>
        <w:spacing w:after="0" w:line="1" w:lineRule="exact"/>
        <w:rPr>
          <w:sz w:val="20"/>
          <w:szCs w:val="20"/>
          <w:color w:val="auto"/>
        </w:rPr>
      </w:pPr>
    </w:p>
    <w:tbl>
      <w:tblPr>
        <w:tblLayout w:type="fixed"/>
        <w:tblInd w:w="418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$(83,900)</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(9,900)</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 (4,500)</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019"/>
          </w:cols>
          <w:pgMar w:left="1440" w:top="136" w:right="1440" w:bottom="1440" w:gutter="0" w:footer="0" w:header="0"/>
        </w:sectPr>
      </w:pPr>
    </w:p>
    <w:bookmarkStart w:id="15" w:name="page16"/>
    <w:bookmarkEnd w:id="15"/>
    <w:p>
      <w:pPr>
        <w:ind w:left="2320"/>
        <w:spacing w:after="0"/>
        <w:rPr>
          <w:sz w:val="20"/>
          <w:szCs w:val="20"/>
          <w:color w:val="auto"/>
        </w:rPr>
      </w:pPr>
      <w:r>
        <w:rPr>
          <w:rFonts w:ascii="Courier New" w:cs="Courier New" w:eastAsia="Courier New" w:hAnsi="Courier New"/>
          <w:sz w:val="18"/>
          <w:szCs w:val="18"/>
          <w:color w:val="auto"/>
        </w:rPr>
        <w:t>GRUMMAN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The current liability for income taxes shown in the accompanying financial statements includes current deferred income taxes of $42.7 and $62.4 million as of December 31, 1993 and 1992, respectively.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Deferred tax liabilities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420" w:type="dxa"/>
            <w:vAlign w:val="bottom"/>
          </w:tcPr>
          <w:p>
            <w:pPr>
              <w:spacing w:after="0"/>
              <w:rPr>
                <w:sz w:val="17"/>
                <w:szCs w:val="17"/>
                <w:color w:val="auto"/>
              </w:rPr>
            </w:pPr>
          </w:p>
        </w:tc>
        <w:tc>
          <w:tcPr>
            <w:tcW w:w="22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1993</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54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20" w:type="dxa"/>
            <w:vAlign w:val="bottom"/>
          </w:tcPr>
          <w:p>
            <w:pPr>
              <w:jc w:val="right"/>
              <w:spacing w:after="0"/>
              <w:rPr>
                <w:sz w:val="20"/>
                <w:szCs w:val="20"/>
                <w:color w:val="auto"/>
              </w:rPr>
            </w:pPr>
            <w:r>
              <w:rPr>
                <w:rFonts w:ascii="Courier New" w:cs="Courier New" w:eastAsia="Courier New" w:hAnsi="Courier New"/>
                <w:sz w:val="18"/>
                <w:szCs w:val="18"/>
                <w:color w:val="auto"/>
                <w:w w:val="97"/>
              </w:rPr>
              <w:t>Contract tax accounting............................</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86,910</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96,159</w:t>
            </w:r>
          </w:p>
        </w:tc>
      </w:tr>
      <w:tr>
        <w:trPr>
          <w:trHeight w:val="203"/>
        </w:trPr>
        <w:tc>
          <w:tcPr>
            <w:tcW w:w="5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Excess tax over book depreciation..................</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30,337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31,856</w:t>
            </w:r>
          </w:p>
        </w:tc>
      </w:tr>
      <w:tr>
        <w:trPr>
          <w:trHeight w:val="203"/>
        </w:trPr>
        <w:tc>
          <w:tcPr>
            <w:tcW w:w="54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Gross deferred tax liabilities...................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117,247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128,015</w:t>
            </w:r>
          </w:p>
        </w:tc>
      </w:tr>
      <w:tr>
        <w:trPr>
          <w:trHeight w:val="203"/>
        </w:trPr>
        <w:tc>
          <w:tcPr>
            <w:tcW w:w="54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Restructuring charge...............................</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Retiree benefit plans..............................</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(106,673)</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(104,203)</w:t>
            </w:r>
          </w:p>
        </w:tc>
      </w:tr>
      <w:tr>
        <w:trPr>
          <w:trHeight w:val="203"/>
        </w:trPr>
        <w:tc>
          <w:tcPr>
            <w:tcW w:w="5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Capitalized costs..................................</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(17,307)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(14,886)</w:t>
            </w:r>
          </w:p>
        </w:tc>
      </w:tr>
      <w:tr>
        <w:trPr>
          <w:trHeight w:val="203"/>
        </w:trPr>
        <w:tc>
          <w:tcPr>
            <w:tcW w:w="5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Employee benefits and other........................</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(23,411)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(32,398)</w:t>
            </w:r>
          </w:p>
        </w:tc>
      </w:tr>
      <w:tr>
        <w:trPr>
          <w:trHeight w:val="203"/>
        </w:trPr>
        <w:tc>
          <w:tcPr>
            <w:tcW w:w="5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Gain from investment...............................</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(17,150)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Discontinued operations............................</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(18,372)</w:t>
            </w:r>
          </w:p>
        </w:tc>
      </w:tr>
      <w:tr>
        <w:trPr>
          <w:trHeight w:val="203"/>
        </w:trPr>
        <w:tc>
          <w:tcPr>
            <w:tcW w:w="54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Gross deferred tax assets........................</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(194,541)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(169,859)</w:t>
            </w:r>
          </w:p>
        </w:tc>
      </w:tr>
      <w:tr>
        <w:trPr>
          <w:trHeight w:val="203"/>
        </w:trPr>
        <w:tc>
          <w:tcPr>
            <w:tcW w:w="54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Valuation allowance................................</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9,372</w:t>
            </w:r>
          </w:p>
        </w:tc>
      </w:tr>
      <w:tr>
        <w:trPr>
          <w:trHeight w:val="203"/>
        </w:trPr>
        <w:tc>
          <w:tcPr>
            <w:tcW w:w="5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deferred tax asset...........................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(77,294)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(32,472)</w:t>
            </w:r>
          </w:p>
        </w:tc>
      </w:tr>
      <w:tr>
        <w:trPr>
          <w:trHeight w:val="203"/>
        </w:trPr>
        <w:tc>
          <w:tcPr>
            <w:tcW w:w="54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The net change in the valuation allowance for deferred tax assets was a decrease of $9.4 million as a result of the utilization of the loss incurred on the sale of the reinsurance business.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Effective January 1, 1992, the company began using the liability method as prescribed in Financial Accounting Standard No. 109 which was issued in February 1992. Under FAS 109, deferred tax assets and liabilities are measured at the tax rate that, under existing law, will be in effect when temporary differences between financial and tax reporting turn around.</w:t>
      </w:r>
    </w:p>
    <w:p>
      <w:pPr>
        <w:spacing w:after="0" w:line="209"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State taxes on income are included in general and administrative expenses, and amounted to, in millions, $29.6 in 1993, $16.7 in 1992 and $11.3 in 1991.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7--STOCK OPTIONS AND INCENTIVE PLANS: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1981 Stock Option Plan provided for the granting, at any time before April 30, 1991, of options to purchase not more than 2,500,000 shares of the company's stock. The 1990 Stock Option Plan provides for the granting, at any time before April 30, 2000, of options to purchase not more than 1,500,000 shares of the company's stock. The 1992 Long Term Incentive Plan provides for grants of awards not to exceed 1,750,000 shares. The stock option purchase prices in these three plans are not less than the fair market value at dates of grant.</w:t>
      </w:r>
    </w:p>
    <w:p>
      <w:pPr>
        <w:spacing w:after="0" w:line="212"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plans include an option surrender provision which allows the holders to surrender some or all of their options and receive the value of the appreciation of the shares in common stock.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6" w:name="page17"/>
    <w:bookmarkEnd w:id="16"/>
    <w:p>
      <w:pPr>
        <w:ind w:left="2320"/>
        <w:spacing w:after="0"/>
        <w:rPr>
          <w:sz w:val="20"/>
          <w:szCs w:val="20"/>
          <w:color w:val="auto"/>
        </w:rPr>
      </w:pPr>
      <w:r>
        <w:rPr>
          <w:rFonts w:ascii="Courier New" w:cs="Courier New" w:eastAsia="Courier New" w:hAnsi="Courier New"/>
          <w:sz w:val="18"/>
          <w:szCs w:val="18"/>
          <w:color w:val="auto"/>
        </w:rPr>
        <w:t>GRUMMAN CORPORATION AND SUBSIDIARIES</w:t>
      </w:r>
    </w:p>
    <w:p>
      <w:pPr>
        <w:spacing w:after="0" w:line="201"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OPTIONS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8"/>
              </w:rPr>
              <w:t>AVAILABLE FOR</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OUTSTANDING</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FUTURE GRANT</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DECEMBER 31</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GRANTED</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EXERCISED</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SURRENDERED FORFEITED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DECEMBER 31</w:t>
            </w:r>
          </w:p>
        </w:tc>
      </w:tr>
      <w:tr>
        <w:trPr>
          <w:trHeight w:val="203"/>
        </w:trPr>
        <w:tc>
          <w:tcPr>
            <w:tcW w:w="25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1993....................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1,584,667</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547,700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137,758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1,618,641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54,609</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1,374,784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1992....................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2,847,975</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11,150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493,200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131,200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1,457,472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 PRICE PER SHARE</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1993....................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$14.19-39.13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$29.19-39.13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$14.94-32.13</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1992....................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$14.19-32.13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$18.69-21.06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$14.25-21.56</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2100" w:firstLine="211"/>
        <w:spacing w:after="0" w:line="236" w:lineRule="auto"/>
        <w:rPr>
          <w:sz w:val="20"/>
          <w:szCs w:val="20"/>
          <w:color w:val="auto"/>
        </w:rPr>
      </w:pPr>
      <w:r>
        <w:rPr>
          <w:rFonts w:ascii="Courier New" w:cs="Courier New" w:eastAsia="Courier New" w:hAnsi="Courier New"/>
          <w:sz w:val="18"/>
          <w:szCs w:val="18"/>
          <w:color w:val="auto"/>
        </w:rPr>
        <w:t>In exchange for the options surrendered in 1993 and 1992, 514,358 and 103,040 shares were issued, having an aggregate market value of $17.6 and $2.3 million, respectively.</w:t>
      </w:r>
    </w:p>
    <w:p>
      <w:pPr>
        <w:spacing w:after="0" w:line="209" w:lineRule="exact"/>
        <w:rPr>
          <w:sz w:val="20"/>
          <w:szCs w:val="20"/>
          <w:color w:val="auto"/>
        </w:rPr>
      </w:pPr>
    </w:p>
    <w:p>
      <w:pPr>
        <w:ind w:right="2100" w:firstLine="211"/>
        <w:spacing w:after="0" w:line="271" w:lineRule="auto"/>
        <w:rPr>
          <w:sz w:val="20"/>
          <w:szCs w:val="20"/>
          <w:color w:val="auto"/>
        </w:rPr>
      </w:pPr>
      <w:r>
        <w:rPr>
          <w:rFonts w:ascii="Courier New" w:cs="Courier New" w:eastAsia="Courier New" w:hAnsi="Courier New"/>
          <w:sz w:val="16"/>
          <w:szCs w:val="16"/>
          <w:color w:val="auto"/>
        </w:rPr>
        <w:t>Restricted Stock Award Plans provide for granting to employees, at any time before January 1, 1998, not more than 3,750,000 shares of common stock. At December 31, 1993, 1,063,130 shares were still available for future awards. The cost of shares awarded under these plans is being amortized over 10 years for awards made prior to April 1989 and seven years thereafter, the periods after which all restrictions will have lapsed. In 1993, 1992 and 1991, $3.2, $4.1 and $4.8 million, respectively, have been charged against income for these awards.</w:t>
      </w:r>
    </w:p>
    <w:p>
      <w:pPr>
        <w:spacing w:after="0" w:line="188" w:lineRule="exact"/>
        <w:rPr>
          <w:sz w:val="20"/>
          <w:szCs w:val="20"/>
          <w:color w:val="auto"/>
        </w:rPr>
      </w:pPr>
    </w:p>
    <w:p>
      <w:pPr>
        <w:ind w:right="2100" w:firstLine="211"/>
        <w:spacing w:after="0" w:line="271" w:lineRule="auto"/>
        <w:rPr>
          <w:sz w:val="20"/>
          <w:szCs w:val="20"/>
          <w:color w:val="auto"/>
        </w:rPr>
      </w:pPr>
      <w:r>
        <w:rPr>
          <w:rFonts w:ascii="Courier New" w:cs="Courier New" w:eastAsia="Courier New" w:hAnsi="Courier New"/>
          <w:sz w:val="16"/>
          <w:szCs w:val="16"/>
          <w:color w:val="auto"/>
        </w:rPr>
        <w:t>The 1992 Long Term Incentive Plan provides for granting up to 1,750,000 shares in the form of stock options, performance shares and restricted stock. To date three awards have been made totalling 428,650 performance shares, which are earned over a three-year period; and, $4.4 million and $1.4 million of compensation expense has been recorded for 1993 and 1992, respectively. Options for 495,500 shares have been granted under this plan. Both the performance shares and the options granted under this plan are included in the above table.</w:t>
      </w:r>
    </w:p>
    <w:p>
      <w:pPr>
        <w:spacing w:after="0" w:line="188" w:lineRule="exact"/>
        <w:rPr>
          <w:sz w:val="20"/>
          <w:szCs w:val="20"/>
          <w:color w:val="auto"/>
        </w:rPr>
      </w:pPr>
    </w:p>
    <w:p>
      <w:pPr>
        <w:ind w:right="2220" w:firstLine="211"/>
        <w:spacing w:after="0" w:line="236" w:lineRule="auto"/>
        <w:rPr>
          <w:sz w:val="20"/>
          <w:szCs w:val="20"/>
          <w:color w:val="auto"/>
        </w:rPr>
      </w:pPr>
      <w:r>
        <w:rPr>
          <w:rFonts w:ascii="Courier New" w:cs="Courier New" w:eastAsia="Courier New" w:hAnsi="Courier New"/>
          <w:sz w:val="18"/>
          <w:szCs w:val="18"/>
          <w:color w:val="auto"/>
        </w:rPr>
        <w:t>In addition, officers and key employees of the company and its subsidiaries have received awards under a Management Incentive Plan totalling, in millions, $7.0 in 1993, $6.8 in 1992 and $5.8 in 1991.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8--LONG-TERM DEBT:</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Long-term</w:t>
            </w:r>
          </w:p>
        </w:tc>
        <w:tc>
          <w:tcPr>
            <w:tcW w:w="71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debt, net of current maturities, at December 31 is as follows:</w:t>
            </w:r>
          </w:p>
        </w:tc>
      </w:tr>
      <w:tr>
        <w:trPr>
          <w:trHeight w:val="810"/>
        </w:trPr>
        <w:tc>
          <w:tcPr>
            <w:tcW w:w="10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1993</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10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Notes</w:t>
            </w:r>
          </w:p>
        </w:tc>
        <w:tc>
          <w:tcPr>
            <w:tcW w:w="5260" w:type="dxa"/>
            <w:vAlign w:val="bottom"/>
          </w:tcPr>
          <w:p>
            <w:pPr>
              <w:jc w:val="right"/>
              <w:spacing w:after="0"/>
              <w:rPr>
                <w:sz w:val="20"/>
                <w:szCs w:val="20"/>
                <w:color w:val="auto"/>
              </w:rPr>
            </w:pPr>
            <w:r>
              <w:rPr>
                <w:rFonts w:ascii="Courier New" w:cs="Courier New" w:eastAsia="Courier New" w:hAnsi="Courier New"/>
                <w:sz w:val="18"/>
                <w:szCs w:val="18"/>
                <w:color w:val="auto"/>
                <w:w w:val="98"/>
              </w:rPr>
              <w:t>due 1999, 10 3/8%................................</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$200,000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$200,000</w:t>
            </w:r>
          </w:p>
        </w:tc>
      </w:tr>
      <w:tr>
        <w:trPr>
          <w:trHeight w:val="203"/>
        </w:trPr>
        <w:tc>
          <w:tcPr>
            <w:tcW w:w="6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Convertible subordinated debentures due 2009, 9 1/4%...</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6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Sinking fund debentures due 2011, 10 1/2%..............</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55,605</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Notes</w:t>
            </w:r>
          </w:p>
        </w:tc>
        <w:tc>
          <w:tcPr>
            <w:tcW w:w="5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mortgages at rates from 5 3/4% to 12 7/8%</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with</w:t>
            </w:r>
          </w:p>
        </w:tc>
        <w:tc>
          <w:tcPr>
            <w:tcW w:w="5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maturities through 2001..........................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43,106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49,639</w:t>
            </w:r>
          </w:p>
        </w:tc>
      </w:tr>
      <w:tr>
        <w:trPr>
          <w:trHeight w:val="203"/>
        </w:trPr>
        <w:tc>
          <w:tcPr>
            <w:tcW w:w="10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$243,106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$355,244</w:t>
            </w:r>
          </w:p>
        </w:tc>
      </w:tr>
      <w:tr>
        <w:trPr>
          <w:trHeight w:val="203"/>
        </w:trPr>
        <w:tc>
          <w:tcPr>
            <w:tcW w:w="10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9" w:lineRule="exact"/>
        <w:rPr>
          <w:sz w:val="20"/>
          <w:szCs w:val="20"/>
          <w:color w:val="auto"/>
        </w:rPr>
      </w:pPr>
    </w:p>
    <w:p>
      <w:pPr>
        <w:ind w:right="2100" w:firstLine="211"/>
        <w:spacing w:after="0" w:line="237" w:lineRule="auto"/>
        <w:rPr>
          <w:sz w:val="20"/>
          <w:szCs w:val="20"/>
          <w:color w:val="auto"/>
        </w:rPr>
      </w:pPr>
      <w:r>
        <w:rPr>
          <w:rFonts w:ascii="Courier New" w:cs="Courier New" w:eastAsia="Courier New" w:hAnsi="Courier New"/>
          <w:sz w:val="18"/>
          <w:szCs w:val="18"/>
          <w:color w:val="auto"/>
        </w:rPr>
        <w:t>The fair value of the company's long-term debt is estimated based on the quoted market prices for the same or similar issues or on the current rates offered to the corporation for debt of the same remaining maturities. Long-term debt at December 31, 1993, in the opinion of management has a fair value of $262.3 million.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440"/>
          </w:cols>
          <w:pgMar w:left="240" w:top="717" w:right="1219" w:bottom="1440" w:gutter="0" w:footer="0" w:header="0"/>
        </w:sectPr>
      </w:pPr>
    </w:p>
    <w:bookmarkStart w:id="17" w:name="page18"/>
    <w:bookmarkEnd w:id="17"/>
    <w:p>
      <w:pPr>
        <w:ind w:left="2320"/>
        <w:spacing w:after="0"/>
        <w:rPr>
          <w:sz w:val="20"/>
          <w:szCs w:val="20"/>
          <w:color w:val="auto"/>
        </w:rPr>
      </w:pPr>
      <w:r>
        <w:rPr>
          <w:rFonts w:ascii="Courier New" w:cs="Courier New" w:eastAsia="Courier New" w:hAnsi="Courier New"/>
          <w:sz w:val="18"/>
          <w:szCs w:val="18"/>
          <w:color w:val="auto"/>
        </w:rPr>
        <w:t>GRUMMAN CORPORATION AND SUBSIDIARIES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Long-term debt maturing in each of the next five years is as follows, in millions: 1994, $6.6; 1995, $7.3; 1996, $8.1; 1997, $8.3; 1998, $9.5.</w:t>
      </w:r>
    </w:p>
    <w:p>
      <w:pPr>
        <w:spacing w:after="0" w:line="20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company is party to a Restated Credit Agreement with various banks under which it may borrow up to $200 million. Additionally, the banks have provided a short-term credit facility which provides an additional $100 million through March 31, 1994. On February 25, 1996, the Restated Credit Agreement will terminate and any outstanding advances must be repaid to the banks. Any outstanding advances under the short-term credit facility must be repaid at termination. Interest on borrowings under this agreement will be based on a three level scale related to the company's current credit rating ranging from either Citibank's Base Rate up to .25 percent over that rate or .50 to 1.25 percent over the applicable Eurodollar Rate. There is a commitment fee associated with both agreements that is also based on the company's credit rating ranging from .25 to .50 percent on the Restated Credit Agreement and from .20 to .50 percent on the short term agreement.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Repayment of borrowings under all of the loan agreements is guaranteed by the company's major subsidiaries. The agreements contain, among other things, provisions regarding maintenance of working capital, net worth and the payment of cash dividends on common stock. The company's working capital and net worth are substantially in excess of the minimum requirements, and the amount available for the payment of cash dividends at December 31, 1993, was $36 million.</w:t>
      </w:r>
    </w:p>
    <w:p>
      <w:pPr>
        <w:spacing w:after="0" w:line="211" w:lineRule="exact"/>
        <w:rPr>
          <w:sz w:val="20"/>
          <w:szCs w:val="20"/>
          <w:color w:val="auto"/>
        </w:rPr>
      </w:pPr>
    </w:p>
    <w:p>
      <w:pPr>
        <w:ind w:right="1879" w:firstLine="211"/>
        <w:spacing w:after="0" w:line="279" w:lineRule="auto"/>
        <w:rPr>
          <w:sz w:val="20"/>
          <w:szCs w:val="20"/>
          <w:color w:val="auto"/>
        </w:rPr>
      </w:pPr>
      <w:r>
        <w:rPr>
          <w:rFonts w:ascii="Courier New" w:cs="Courier New" w:eastAsia="Courier New" w:hAnsi="Courier New"/>
          <w:sz w:val="16"/>
          <w:szCs w:val="16"/>
          <w:color w:val="auto"/>
        </w:rPr>
        <w:t>The $75 million 9.50 percent notes which were due February 15, 1996, were included in short-term debt at December 31, 1992, and were redeemed on February 17, 1993, at 100 percent of face value, together with accrued interest.</w:t>
      </w:r>
    </w:p>
    <w:p>
      <w:pPr>
        <w:spacing w:after="0" w:line="178"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9.25 percent convertible subordinated debentures due August 15, 2009, were convertible at any time prior to maturity into common stock at $34.75 per share. This issue of debentures was called by the company July 7, 1993, at a price of 101.85 percent of face value plus accrued interest. The 10.50 percent sinking fund debentures due February 15, 2011, were called by the company on April 20, 1993, at a price of 107 percent of face value plus accrued interest.</w:t>
      </w:r>
    </w:p>
    <w:p>
      <w:pPr>
        <w:spacing w:after="0" w:line="18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10.375 percent notes due January 1, 1999, will be redeemable at any time on or after January 1, 1996, after written notice, as a whole or in part at 100 percent of principal amount thereof, together with accrued interest. Upon the occurrence of a designated event (primarily a change in equity ownership, a merger with another company or a two- thirds turnover of the board of directors), the holders of the notes may require the company to repurchase their notes at 100 percent of the principal amount.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9--PREFERRED STOCK: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is authorized to issue 10 million shares of $1.00 par value preferred stock, none of which is issued and outstanding at December 31, 1993. In July 1992, the remaining outstanding 1,192,249 shares of $2.80 cumulative preferred stock were redeemed at $25.867 per share.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Each share of the $.80 convertible preferred stock was convertible into 2.2</w:t>
      </w:r>
    </w:p>
    <w:p>
      <w:pPr>
        <w:spacing w:after="0" w:line="238" w:lineRule="auto"/>
        <w:rPr>
          <w:sz w:val="20"/>
          <w:szCs w:val="20"/>
          <w:color w:val="auto"/>
        </w:rPr>
      </w:pPr>
      <w:r>
        <w:rPr>
          <w:rFonts w:ascii="Courier New" w:cs="Courier New" w:eastAsia="Courier New" w:hAnsi="Courier New"/>
          <w:sz w:val="18"/>
          <w:szCs w:val="18"/>
          <w:color w:val="auto"/>
        </w:rPr>
        <w:t>shares of the company's common stock. In November 1992 the company exercised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right to call this issue of stock. Those holders who did not convert their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holdings to common stock by November 25, 1992, received a cash payment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$14.43 per share plus accrued dividends to that date. Preferred stock converted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into common stock during 1992 and 1991 were 2,888 shares and 454 shares,</w:t>
      </w:r>
    </w:p>
    <w:p>
      <w:pPr>
        <w:spacing w:after="0" w:line="238" w:lineRule="auto"/>
        <w:rPr>
          <w:sz w:val="20"/>
          <w:szCs w:val="20"/>
          <w:color w:val="auto"/>
        </w:rPr>
      </w:pPr>
      <w:r>
        <w:rPr>
          <w:rFonts w:ascii="Courier New" w:cs="Courier New" w:eastAsia="Courier New" w:hAnsi="Courier New"/>
          <w:sz w:val="18"/>
          <w:szCs w:val="18"/>
          <w:color w:val="auto"/>
        </w:rPr>
        <w:t>respectively.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18" w:name="page19"/>
    <w:bookmarkEnd w:id="18"/>
    <w:p>
      <w:pPr>
        <w:ind w:left="2320"/>
        <w:spacing w:after="0"/>
        <w:rPr>
          <w:sz w:val="20"/>
          <w:szCs w:val="20"/>
          <w:color w:val="auto"/>
        </w:rPr>
      </w:pPr>
      <w:r>
        <w:rPr>
          <w:rFonts w:ascii="Courier New" w:cs="Courier New" w:eastAsia="Courier New" w:hAnsi="Courier New"/>
          <w:sz w:val="18"/>
          <w:szCs w:val="18"/>
          <w:color w:val="auto"/>
        </w:rPr>
        <w:t>GRUMMAN CORPORATION AND SUBSIDIARIES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10--RETIREMENT PLANS: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Grumman has noncontributory defined benefit plans covering approximately 85 percent of its employees and some defined contribution plans covering others. Benefits under the defined benefit plans are based on employees' years of service and career average compensation.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Statement of Financial Accounting Standard (FAS) No. 87, Employers' Accounting for Pensions, effective for fiscal years beginning after December 15, 1986, established a methodology for calculating periodic pension costs for defined benefit pension plans based on the projected unit credit actuarial method.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tables set forth the status of the company's pension plans: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860" w:type="dxa"/>
            <w:vAlign w:val="bottom"/>
          </w:tcPr>
          <w:p>
            <w:pPr>
              <w:spacing w:after="0"/>
              <w:rPr>
                <w:sz w:val="17"/>
                <w:szCs w:val="17"/>
                <w:color w:val="auto"/>
              </w:rPr>
            </w:pPr>
          </w:p>
        </w:tc>
        <w:tc>
          <w:tcPr>
            <w:tcW w:w="24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1993</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58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Actuarial present value of benefit obligations: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Vested...............................................</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2,619,958</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$2,140,407</w:t>
            </w: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Nonvested............................................</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233,482</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199,334</w:t>
            </w:r>
          </w:p>
        </w:tc>
      </w:tr>
      <w:tr>
        <w:trPr>
          <w:trHeight w:val="203"/>
        </w:trPr>
        <w:tc>
          <w:tcPr>
            <w:tcW w:w="58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Accumulated benefit obligation.......................</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2,853,440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2,339,741</w:t>
            </w: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Effect of projected future salary increases..........</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138,778</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156,833</w:t>
            </w:r>
          </w:p>
        </w:tc>
      </w:tr>
      <w:tr>
        <w:trPr>
          <w:trHeight w:val="203"/>
        </w:trPr>
        <w:tc>
          <w:tcPr>
            <w:tcW w:w="58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Projected benefit obligation for services rendered to</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2,992,218</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2,496,574</w:t>
            </w: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Plan assets at fair value..............................</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2,871,620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2,771,642</w:t>
            </w:r>
          </w:p>
        </w:tc>
      </w:tr>
      <w:tr>
        <w:trPr>
          <w:trHeight w:val="203"/>
        </w:trPr>
        <w:tc>
          <w:tcPr>
            <w:tcW w:w="58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Projected benefit obligations (in excess of)/less than</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plan assets...........................................</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(120,598)</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275,068</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Items not yet recognized in earnings: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Unamortized net (asset)..............................</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(187,182)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(207,112)</w:t>
            </w: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net loss/(gain).............................</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326,734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(93,339)</w:t>
            </w:r>
          </w:p>
        </w:tc>
      </w:tr>
      <w:tr>
        <w:trPr>
          <w:trHeight w:val="203"/>
        </w:trPr>
        <w:tc>
          <w:tcPr>
            <w:tcW w:w="58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Accrued pension (liability)/prepaid expense............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18,954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(25,383)</w:t>
            </w:r>
          </w:p>
        </w:tc>
      </w:tr>
      <w:tr>
        <w:trPr>
          <w:trHeight w:val="203"/>
        </w:trPr>
        <w:tc>
          <w:tcPr>
            <w:tcW w:w="58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Periodic pension cost for 1993, 1992 and 1991 is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1993</w:t>
            </w:r>
          </w:p>
        </w:tc>
        <w:tc>
          <w:tcPr>
            <w:tcW w:w="160" w:type="dxa"/>
            <w:vAlign w:val="bottom"/>
          </w:tcPr>
          <w:p>
            <w:pPr>
              <w:spacing w:after="0"/>
              <w:rPr>
                <w:sz w:val="17"/>
                <w:szCs w:val="17"/>
                <w:color w:val="auto"/>
              </w:rPr>
            </w:pP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1992</w:t>
            </w:r>
          </w:p>
        </w:tc>
        <w:tc>
          <w:tcPr>
            <w:tcW w:w="160" w:type="dxa"/>
            <w:vAlign w:val="bottom"/>
          </w:tcPr>
          <w:p>
            <w:pPr>
              <w:spacing w:after="0"/>
              <w:rPr>
                <w:sz w:val="17"/>
                <w:szCs w:val="17"/>
                <w:color w:val="auto"/>
              </w:rPr>
            </w:pPr>
          </w:p>
        </w:tc>
        <w:tc>
          <w:tcPr>
            <w:tcW w:w="9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49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jc w:val="right"/>
              <w:ind w:right="2492"/>
              <w:spacing w:after="0"/>
              <w:rPr>
                <w:sz w:val="20"/>
                <w:szCs w:val="20"/>
                <w:color w:val="auto"/>
              </w:rPr>
            </w:pPr>
            <w:r>
              <w:rPr>
                <w:rFonts w:ascii="Courier New" w:cs="Courier New" w:eastAsia="Courier New" w:hAnsi="Courier New"/>
                <w:sz w:val="18"/>
                <w:szCs w:val="18"/>
                <w:color w:val="auto"/>
                <w:w w:val="96"/>
              </w:rPr>
              <w:t>Defined benefit plans: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Service cost-benefits earned during period..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54,993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61,918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61,135</w:t>
            </w:r>
          </w:p>
        </w:tc>
      </w:tr>
      <w:tr>
        <w:trPr>
          <w:trHeight w:val="203"/>
        </w:trPr>
        <w:tc>
          <w:tcPr>
            <w:tcW w:w="4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cost on projected benefit obliga-</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tion.......................................</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209,062</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198,841</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186,767</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Actual return on assets.....................</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(186,573)</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(149,733)</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(486,778)</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amortization and deferral...............</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(49,992)</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(67,693)</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284,757</w:t>
            </w:r>
          </w:p>
        </w:tc>
      </w:tr>
      <w:tr>
        <w:trPr>
          <w:trHeight w:val="203"/>
        </w:trPr>
        <w:tc>
          <w:tcPr>
            <w:tcW w:w="49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27,490</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43,333</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45,881</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Defined contribution plans, etc...............</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11,737</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10,740</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9,260</w:t>
            </w:r>
          </w:p>
        </w:tc>
      </w:tr>
      <w:tr>
        <w:trPr>
          <w:trHeight w:val="203"/>
        </w:trPr>
        <w:tc>
          <w:tcPr>
            <w:tcW w:w="49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pension expense*........................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39,227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54,073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55,141</w:t>
            </w:r>
          </w:p>
        </w:tc>
      </w:tr>
      <w:tr>
        <w:trPr>
          <w:trHeight w:val="203"/>
        </w:trPr>
        <w:tc>
          <w:tcPr>
            <w:tcW w:w="49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Contributions to pension plans................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77,892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92,227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88,507</w:t>
            </w:r>
          </w:p>
        </w:tc>
      </w:tr>
      <w:tr>
        <w:trPr>
          <w:trHeight w:val="203"/>
        </w:trPr>
        <w:tc>
          <w:tcPr>
            <w:tcW w:w="49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*Since government procurement regulations permit the recovery of pension expense only to the extent contributions are made to the pension plans and the company's business is predominantly with the government, the difference between plan contributions and the calculated amount per FAS No. 87 is recorded in a deferred asset account, as this difference will be expensed in the future as costs are funded. The company's consolidated statement of income therefore includes the total FAS No. 87 pension cost and a comparable amount of revenue. Costs and liabilities associated with the pension enhancement program where 1,900 employees accepted enhanced pensions as an incentive to retire during the period April 2 through October 31, 1990, are included above and are being</w:t>
      </w:r>
    </w:p>
    <w:p>
      <w:pPr>
        <w:sectPr>
          <w:pgSz w:w="11900" w:h="16838" w:orient="portrait"/>
          <w:cols w:equalWidth="0" w:num="1">
            <w:col w:w="10219"/>
          </w:cols>
          <w:pgMar w:left="240" w:top="717"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funded over a ten-year period which began in 1991.</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142" w:right="1440" w:bottom="1440" w:gutter="0" w:footer="0" w:header="0"/>
          <w:type w:val="continuous"/>
        </w:sectPr>
      </w:pPr>
    </w:p>
    <w:bookmarkStart w:id="20" w:name="page21"/>
    <w:bookmarkEnd w:id="20"/>
    <w:p>
      <w:pPr>
        <w:ind w:left="2320"/>
        <w:spacing w:after="0"/>
        <w:rPr>
          <w:sz w:val="20"/>
          <w:szCs w:val="20"/>
          <w:color w:val="auto"/>
        </w:rPr>
      </w:pPr>
      <w:r>
        <w:rPr>
          <w:rFonts w:ascii="Courier New" w:cs="Courier New" w:eastAsia="Courier New" w:hAnsi="Courier New"/>
          <w:sz w:val="18"/>
          <w:szCs w:val="18"/>
          <w:color w:val="auto"/>
        </w:rPr>
        <w:t>GRUMMAN CORPORATION AND SUBSIDIARIES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NOTES TO CONSOLIDATED FINANCIAL STATEMENTS--(CONTINUED)</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786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Assumptions used in determining the actuarial present value of benefit</w:t>
            </w:r>
          </w:p>
        </w:tc>
        <w:tc>
          <w:tcPr>
            <w:tcW w:w="580" w:type="dxa"/>
            <w:vAlign w:val="bottom"/>
          </w:tcPr>
          <w:p>
            <w:pPr>
              <w:spacing w:after="0"/>
              <w:rPr>
                <w:sz w:val="24"/>
                <w:szCs w:val="24"/>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obligations as</w:t>
            </w:r>
          </w:p>
        </w:tc>
        <w:tc>
          <w:tcPr>
            <w:tcW w:w="5680" w:type="dxa"/>
            <w:vAlign w:val="bottom"/>
          </w:tcPr>
          <w:p>
            <w:pPr>
              <w:jc w:val="right"/>
              <w:ind w:right="3432"/>
              <w:spacing w:after="0" w:line="203" w:lineRule="exact"/>
              <w:rPr>
                <w:sz w:val="20"/>
                <w:szCs w:val="20"/>
                <w:color w:val="auto"/>
              </w:rPr>
            </w:pPr>
            <w:r>
              <w:rPr>
                <w:rFonts w:ascii="Courier New" w:cs="Courier New" w:eastAsia="Courier New" w:hAnsi="Courier New"/>
                <w:sz w:val="18"/>
                <w:szCs w:val="18"/>
                <w:color w:val="auto"/>
                <w:w w:val="99"/>
              </w:rPr>
              <w:t>of December 31 were:</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810"/>
        </w:trPr>
        <w:tc>
          <w:tcPr>
            <w:tcW w:w="15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1993</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154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Discount</w:t>
            </w:r>
          </w:p>
        </w:tc>
        <w:tc>
          <w:tcPr>
            <w:tcW w:w="5680" w:type="dxa"/>
            <w:vAlign w:val="bottom"/>
          </w:tcPr>
          <w:p>
            <w:pPr>
              <w:jc w:val="right"/>
              <w:spacing w:after="0"/>
              <w:rPr>
                <w:sz w:val="20"/>
                <w:szCs w:val="20"/>
                <w:color w:val="auto"/>
              </w:rPr>
            </w:pPr>
            <w:r>
              <w:rPr>
                <w:rFonts w:ascii="Courier New" w:cs="Courier New" w:eastAsia="Courier New" w:hAnsi="Courier New"/>
                <w:sz w:val="18"/>
                <w:szCs w:val="18"/>
                <w:color w:val="auto"/>
                <w:w w:val="98"/>
              </w:rPr>
              <w:t>rate.................................................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7.50%</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w w:val="96"/>
              </w:rPr>
              <w:t>8.50%</w:t>
            </w:r>
          </w:p>
        </w:tc>
      </w:tr>
      <w:tr>
        <w:trPr>
          <w:trHeight w:val="203"/>
        </w:trPr>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Rate of increase in compensation levels.......................</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3.50%</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5.00%</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Expected</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long-term rate of return on assets...................</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8.50%</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8.75%</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discount rate was reduced from 8.50 percent to 7.50 percent and the expected rate of return from 8.75 percent to 8.50 percent in recognition of declining interest rates. These are the primary reasons that plan assets shifted from being greater than the projected benefit obligations at December 31, 1992 to being $120.6 million less than the projected benefit obligation at December 31, 1993.</w:t>
      </w:r>
    </w:p>
    <w:p>
      <w:pPr>
        <w:spacing w:after="0" w:line="210" w:lineRule="exact"/>
        <w:rPr>
          <w:sz w:val="20"/>
          <w:szCs w:val="20"/>
          <w:color w:val="auto"/>
        </w:rPr>
      </w:pPr>
    </w:p>
    <w:p>
      <w:pPr>
        <w:ind w:right="1879" w:firstLine="211"/>
        <w:spacing w:after="0" w:line="275" w:lineRule="auto"/>
        <w:rPr>
          <w:sz w:val="20"/>
          <w:szCs w:val="20"/>
          <w:color w:val="auto"/>
        </w:rPr>
      </w:pPr>
      <w:r>
        <w:rPr>
          <w:rFonts w:ascii="Courier New" w:cs="Courier New" w:eastAsia="Courier New" w:hAnsi="Courier New"/>
          <w:sz w:val="16"/>
          <w:szCs w:val="16"/>
          <w:color w:val="auto"/>
        </w:rPr>
        <w:t>For the years 1992 and 1991, the assumptions used in determining the net periodic pension expense and the actuarial present value of benefit obligations were a discount rate of 8.75 percent, a compensation increase rate of 6.00 percent, and an expected long-term rate of return on assets of 8.75 percent.</w:t>
      </w:r>
    </w:p>
    <w:p>
      <w:pPr>
        <w:spacing w:after="0" w:line="18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Approximately 37 percent of the retirement plans' assets are invested in diversified corporate stock, 32 percent in U.S. government securities, 10 percent in corporate fixed income securities, 4 percent in real estate investments and 17 percent in short-term investments. In the event the company terminates its major plan, the U.S. government may claim a share of the remaining excess assets after the accumulated benefits have been satisfied. The company's objectives are to make contributions to the plan that satisfy the ERISA funding requirements and to utilize realistic actuarial assumptions based on long-term trends.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11--POSTRETIREMENT HEALTH AND POSTEMPLOYMENT BENEFITS: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Approximately 75 percent of the company's employees employed at year-end may become eligible for certain retiree health care benefits. The length of time the benefit is available is directly related to years of service. Retiree contributions depend on length of service and Medicare status.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Financial Accounting Standard (FAS) No. 106, "Employers' Accounting for Postretirement Benefits Other Than Pensions," requires accrual accounting for retiree medical benefits. The company adopted FAS No. 106 effective January 1, 1992, and elected to immediately expense the $300 million transition obligation upon adoption. To date the company has not prefunded this liability but has taken steps to establish an acceptable funding vehicle with funding to commence in 1994.</w:t>
      </w:r>
    </w:p>
    <w:p>
      <w:pPr>
        <w:spacing w:after="0" w:line="211"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The 1993 and 1992 net periodic postretirement benefit cost by component is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1993</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3380" w:type="dxa"/>
            <w:vAlign w:val="bottom"/>
          </w:tcPr>
          <w:p>
            <w:pPr>
              <w:spacing w:after="0"/>
              <w:rPr>
                <w:sz w:val="17"/>
                <w:szCs w:val="17"/>
                <w:color w:val="auto"/>
              </w:rPr>
            </w:pPr>
          </w:p>
        </w:tc>
        <w:tc>
          <w:tcPr>
            <w:tcW w:w="3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4"/>
                <w:szCs w:val="14"/>
                <w:color w:val="auto"/>
                <w:w w:val="71"/>
              </w:rPr>
              <w:t>Service cost............................................</w:t>
            </w:r>
          </w:p>
        </w:tc>
        <w:tc>
          <w:tcPr>
            <w:tcW w:w="27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2,591</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$ 3,350</w:t>
            </w:r>
          </w:p>
        </w:tc>
      </w:tr>
      <w:tr>
        <w:trPr>
          <w:trHeight w:val="203"/>
        </w:trPr>
        <w:tc>
          <w:tcPr>
            <w:tcW w:w="6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cost...........................................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20,310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25,150</w:t>
            </w:r>
          </w:p>
        </w:tc>
      </w:tr>
      <w:tr>
        <w:trPr>
          <w:trHeight w:val="203"/>
        </w:trPr>
        <w:tc>
          <w:tcPr>
            <w:tcW w:w="6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Amortization of net gain................................</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(1,904)</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3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20,997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$28,500</w:t>
            </w:r>
          </w:p>
        </w:tc>
      </w:tr>
      <w:tr>
        <w:trPr>
          <w:trHeight w:val="203"/>
        </w:trPr>
        <w:tc>
          <w:tcPr>
            <w:tcW w:w="3380" w:type="dxa"/>
            <w:vAlign w:val="bottom"/>
          </w:tcPr>
          <w:p>
            <w:pPr>
              <w:spacing w:after="0"/>
              <w:rPr>
                <w:sz w:val="17"/>
                <w:szCs w:val="17"/>
                <w:color w:val="auto"/>
              </w:rPr>
            </w:pPr>
          </w:p>
        </w:tc>
        <w:tc>
          <w:tcPr>
            <w:tcW w:w="3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380" w:type="dxa"/>
            <w:vAlign w:val="bottom"/>
          </w:tcPr>
          <w:p>
            <w:pPr>
              <w:spacing w:after="0"/>
              <w:rPr>
                <w:sz w:val="24"/>
                <w:szCs w:val="24"/>
                <w:color w:val="auto"/>
              </w:rPr>
            </w:pPr>
          </w:p>
        </w:tc>
        <w:tc>
          <w:tcPr>
            <w:tcW w:w="2720" w:type="dxa"/>
            <w:vAlign w:val="bottom"/>
          </w:tcPr>
          <w:p>
            <w:pPr>
              <w:jc w:val="right"/>
              <w:ind w:right="2432"/>
              <w:spacing w:after="0"/>
              <w:rPr>
                <w:sz w:val="20"/>
                <w:szCs w:val="20"/>
                <w:color w:val="auto"/>
              </w:rPr>
            </w:pPr>
            <w:r>
              <w:rPr>
                <w:rFonts w:ascii="Courier New" w:cs="Courier New" w:eastAsia="Courier New" w:hAnsi="Courier New"/>
                <w:sz w:val="18"/>
                <w:szCs w:val="18"/>
                <w:color w:val="auto"/>
                <w:w w:val="83"/>
              </w:rPr>
              <w:t>17</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1" w:name="page22"/>
    <w:bookmarkEnd w:id="21"/>
    <w:p>
      <w:pPr>
        <w:ind w:left="2320"/>
        <w:spacing w:after="0"/>
        <w:rPr>
          <w:sz w:val="20"/>
          <w:szCs w:val="20"/>
          <w:color w:val="auto"/>
        </w:rPr>
      </w:pPr>
      <w:r>
        <w:rPr>
          <w:rFonts w:ascii="Courier New" w:cs="Courier New" w:eastAsia="Courier New" w:hAnsi="Courier New"/>
          <w:sz w:val="18"/>
          <w:szCs w:val="18"/>
          <w:color w:val="auto"/>
        </w:rPr>
        <w:t>GRUMMAN CORPORATION AND SUBSIDIARIES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funded status and breakdown of the postretirement benefits are as</w:t>
      </w:r>
    </w:p>
    <w:tbl>
      <w:tblPr>
        <w:tblLayout w:type="fixed"/>
        <w:tblInd w:w="0" w:type="dxa"/>
        <w:tblCellMar>
          <w:top w:w="0" w:type="dxa"/>
          <w:left w:w="0" w:type="dxa"/>
          <w:bottom w:w="0" w:type="dxa"/>
          <w:right w:w="0" w:type="dxa"/>
        </w:tblCellMar>
      </w:tblPr>
      <w:tr>
        <w:trPr>
          <w:trHeight w:val="203"/>
        </w:trPr>
        <w:tc>
          <w:tcPr>
            <w:tcW w:w="6480" w:type="dxa"/>
            <w:vAlign w:val="bottom"/>
          </w:tcPr>
          <w:p>
            <w:pPr>
              <w:jc w:val="right"/>
              <w:ind w:right="5532"/>
              <w:spacing w:after="0" w:line="203" w:lineRule="exact"/>
              <w:rPr>
                <w:sz w:val="20"/>
                <w:szCs w:val="20"/>
                <w:color w:val="auto"/>
              </w:rPr>
            </w:pPr>
            <w:r>
              <w:rPr>
                <w:rFonts w:ascii="Courier New" w:cs="Courier New" w:eastAsia="Courier New" w:hAnsi="Courier New"/>
                <w:sz w:val="18"/>
                <w:szCs w:val="18"/>
                <w:color w:val="auto"/>
                <w:w w:val="97"/>
              </w:rPr>
              <w:t>follows:</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6480" w:type="dxa"/>
            <w:vAlign w:val="bottom"/>
          </w:tcPr>
          <w:p>
            <w:pPr>
              <w:spacing w:after="0"/>
              <w:rPr>
                <w:sz w:val="24"/>
                <w:szCs w:val="24"/>
                <w:color w:val="auto"/>
              </w:rPr>
            </w:pPr>
          </w:p>
        </w:tc>
        <w:tc>
          <w:tcPr>
            <w:tcW w:w="1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480" w:type="dxa"/>
            <w:vAlign w:val="bottom"/>
          </w:tcPr>
          <w:p>
            <w:pPr>
              <w:spacing w:after="0"/>
              <w:rPr>
                <w:sz w:val="17"/>
                <w:szCs w:val="17"/>
                <w:color w:val="auto"/>
              </w:rPr>
            </w:pP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1993</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6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jc w:val="right"/>
              <w:ind w:right="2492"/>
              <w:spacing w:after="0"/>
              <w:rPr>
                <w:sz w:val="20"/>
                <w:szCs w:val="20"/>
                <w:color w:val="auto"/>
              </w:rPr>
            </w:pPr>
            <w:r>
              <w:rPr>
                <w:rFonts w:ascii="Courier New" w:cs="Courier New" w:eastAsia="Courier New" w:hAnsi="Courier New"/>
                <w:sz w:val="18"/>
                <w:szCs w:val="18"/>
                <w:color w:val="auto"/>
              </w:rPr>
              <w:t>Accumulated benefit obligation:</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Active employees.....................................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$ 96,681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$136,700</w:t>
            </w:r>
          </w:p>
        </w:tc>
      </w:tr>
      <w:tr>
        <w:trPr>
          <w:trHeight w:val="203"/>
        </w:trPr>
        <w:tc>
          <w:tcPr>
            <w:tcW w:w="6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Retirees.............................................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155,325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169,800</w:t>
            </w:r>
          </w:p>
        </w:tc>
      </w:tr>
      <w:tr>
        <w:trPr>
          <w:trHeight w:val="203"/>
        </w:trPr>
        <w:tc>
          <w:tcPr>
            <w:tcW w:w="6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Accumulated benefit obligation.....................</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252,006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306,500</w:t>
            </w:r>
          </w:p>
        </w:tc>
      </w:tr>
      <w:tr>
        <w:trPr>
          <w:trHeight w:val="203"/>
        </w:trPr>
        <w:tc>
          <w:tcPr>
            <w:tcW w:w="6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Unrecognized gain....................................</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52,746</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Accrued postretirement benefit cost....................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$304,752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$306,500</w:t>
            </w:r>
          </w:p>
        </w:tc>
      </w:tr>
      <w:tr>
        <w:trPr>
          <w:trHeight w:val="203"/>
        </w:trPr>
        <w:tc>
          <w:tcPr>
            <w:tcW w:w="6480" w:type="dxa"/>
            <w:vAlign w:val="bottom"/>
          </w:tcPr>
          <w:p>
            <w:pPr>
              <w:spacing w:after="0"/>
              <w:rPr>
                <w:sz w:val="17"/>
                <w:szCs w:val="17"/>
                <w:color w:val="auto"/>
              </w:rPr>
            </w:pP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9" w:lineRule="exact"/>
        <w:rPr>
          <w:sz w:val="20"/>
          <w:szCs w:val="20"/>
          <w:color w:val="auto"/>
        </w:rPr>
      </w:pPr>
    </w:p>
    <w:p>
      <w:pPr>
        <w:ind w:right="2319" w:firstLine="211"/>
        <w:spacing w:after="0" w:line="268" w:lineRule="auto"/>
        <w:rPr>
          <w:sz w:val="20"/>
          <w:szCs w:val="20"/>
          <w:color w:val="auto"/>
        </w:rPr>
      </w:pPr>
      <w:r>
        <w:rPr>
          <w:rFonts w:ascii="Courier New" w:cs="Courier New" w:eastAsia="Courier New" w:hAnsi="Courier New"/>
          <w:sz w:val="16"/>
          <w:szCs w:val="16"/>
          <w:color w:val="auto"/>
        </w:rPr>
        <w:t>The health care trend rates used by the company as of December 31, 1993, were: 1993, 14 percent; 1994 and 1995, 12.50 percent; 1996-1998, inclusive,</w:t>
      </w:r>
    </w:p>
    <w:p>
      <w:pPr>
        <w:ind w:right="1999"/>
        <w:spacing w:after="0" w:line="275" w:lineRule="auto"/>
        <w:rPr>
          <w:sz w:val="20"/>
          <w:szCs w:val="20"/>
          <w:color w:val="auto"/>
        </w:rPr>
      </w:pPr>
      <w:r>
        <w:rPr>
          <w:rFonts w:ascii="Courier New" w:cs="Courier New" w:eastAsia="Courier New" w:hAnsi="Courier New"/>
          <w:sz w:val="16"/>
          <w:szCs w:val="16"/>
          <w:color w:val="auto"/>
        </w:rPr>
        <w:t>9.50 percent; as of December 31, 1992, they were: 1992, 12 percent; 1993-1995, inclusive, 14 percent; 1996-1998, inclusive, 12 percent. The trend thereafter is zero due to the company's announcement that these costs will be capped at 1998 levels and all increases thereafter will be borne by the retirees.</w:t>
      </w:r>
    </w:p>
    <w:p>
      <w:pPr>
        <w:spacing w:after="0" w:line="182"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combination of fewer employees, lower health care claim cost experience, and changes in actuarial assumptions has had the effect of reducing the accumulated benefit obligation by approximately $54.7 million.</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1993 valuation used a 7.50 percent discount rate. The effect of a one percentage point increase in the assumed health care cost trend rates on the accumulated benefit obligation would be an increase of $6.7 million at December 31, 1993. The net periodic postretirement cost for 1993 would increase by $1.3 million.</w:t>
      </w:r>
    </w:p>
    <w:p>
      <w:pPr>
        <w:spacing w:after="0" w:line="209"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Prior to adoption of this standard, postretirement medical benefits were accounted for on a pay-as-you-go basis. The cost of providing these benefits net of retiree contributions amounted to $21.3 million in 1991.</w:t>
      </w:r>
    </w:p>
    <w:p>
      <w:pPr>
        <w:spacing w:after="0" w:line="209"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In 1994, FAS No. 112, "Employers' Accounting for Postemployment Benefits," becomes mandatory. It requires postemployment benefits to be accounted for on an accrual basis. The company's present accounting policies provide for the accrual of the major components of these costs and adoption of this standard will not have a material impact on the company's financial statements.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12--COMMITMENTS AND CONTINGENCIES:</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Rental expense for all operating leases amounted to, in millions, $67.1, $72.8 and $75.8 for 1993, 1992 and 1991, respectively. Minimum rental commitments under long-term noncancellable operating leases total $234.2 million which is payable as follows: 1994, $39.9; 1995, $34.6; 1996, $28.6; 1997, $23.8; 1998, $21.4; and $85.9 million in later years.</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On January 28, 1993, a jury sitting in the United States District Court for the District of Massachusetts returned a verdict against Grumman Systems Support Corporation (GSSC), a subsidiary of Grumman Data Systems Corporation (GDSC), which in turn is a wholly-owned subsidiary of the company, in an action brought against GSSC by Data General Corporation (DG) for copyright infringement and misappropriation of trade secrets. Judgment against GSSC was entered in the United States District Court for the District of Massachusetts in the amount of $52.4 million. Immediately after the entry of judgment DG brought a post-trial motion seeking to join GDSC as a party defendant on a theory of vicarious liability. The motion was denied and DG then commenced a separate action in the Federal District Court for the District of Massachusetts, Wooster Div. to enforce the judgment obtained against GDSC, which action is still pending. GSSC has filed an appeal with the Federal Court of Appeals for the First Circuit which was heard 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59" w:gutter="0" w:footer="0" w:header="0"/>
        </w:sectPr>
      </w:pPr>
    </w:p>
    <w:bookmarkStart w:id="22" w:name="page23"/>
    <w:bookmarkEnd w:id="22"/>
    <w:p>
      <w:pPr>
        <w:ind w:left="2320"/>
        <w:spacing w:after="0"/>
        <w:rPr>
          <w:sz w:val="20"/>
          <w:szCs w:val="20"/>
          <w:color w:val="auto"/>
        </w:rPr>
      </w:pPr>
      <w:r>
        <w:rPr>
          <w:rFonts w:ascii="Courier New" w:cs="Courier New" w:eastAsia="Courier New" w:hAnsi="Courier New"/>
          <w:sz w:val="18"/>
          <w:szCs w:val="18"/>
          <w:color w:val="auto"/>
        </w:rPr>
        <w:t>GRUMMAN CORPORATION AND SUBSIDIARIES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jc w:val="both"/>
        <w:ind w:right="2199"/>
        <w:spacing w:after="0" w:line="237" w:lineRule="auto"/>
        <w:rPr>
          <w:sz w:val="20"/>
          <w:szCs w:val="20"/>
          <w:color w:val="auto"/>
        </w:rPr>
      </w:pPr>
      <w:r>
        <w:rPr>
          <w:rFonts w:ascii="Courier New" w:cs="Courier New" w:eastAsia="Courier New" w:hAnsi="Courier New"/>
          <w:sz w:val="18"/>
          <w:szCs w:val="18"/>
          <w:color w:val="auto"/>
        </w:rPr>
        <w:t>December 8, 1993. While GSSC's ultimate liability in the disposition of this matter continues to be difficult to estimate, it is management's belief that the outcome is not likely to have a material adverse effect on the company's financial position.</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Three shareholder derivative actions, which are described as brought on behalf of the company, have been filed in the New York State Supreme Court for New York County. The actions name certain of the company's current and former directors as defendants, and name the company as "nominal defendant." The actions ask that damages and other unspecified relief be awarded to the company for the individual defendants' alleged breach of their fiduciary obligations primarily in relation to the subject matter of a long-running federal investigation known as "Operation Upwind." The matters referred to in these actions have been and continue to be acted upon by the company's Board as part of its own ongoing investigation. Motions for summary judgment which seek to dismiss the complaints have been filed on behalf of the defendant directors and the company in two of the three actions. No response to the complaint in the third action has been filed.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Currently, there are five waste disposal sites where the company has been named either as a potentially responsible party or an owner/operator of the site by a cognizant governmental agency for the cleanup of hazardous materials previously placed there either directly or through an agent and where the cost of remediation or settlement could reasonably exceed $100 thousand in amount. It is unknown at this time what the company's share of these remediation efforts may be but it is not expected to have a material adverse effect on the company's financial position.</w:t>
      </w:r>
    </w:p>
    <w:p>
      <w:pPr>
        <w:spacing w:after="0" w:line="212" w:lineRule="exact"/>
        <w:rPr>
          <w:sz w:val="20"/>
          <w:szCs w:val="20"/>
          <w:color w:val="auto"/>
        </w:rPr>
      </w:pPr>
    </w:p>
    <w:p>
      <w:pPr>
        <w:ind w:right="1879" w:firstLine="211"/>
        <w:spacing w:after="0" w:line="279" w:lineRule="auto"/>
        <w:rPr>
          <w:sz w:val="20"/>
          <w:szCs w:val="20"/>
          <w:color w:val="auto"/>
        </w:rPr>
      </w:pPr>
      <w:r>
        <w:rPr>
          <w:rFonts w:ascii="Courier New" w:cs="Courier New" w:eastAsia="Courier New" w:hAnsi="Courier New"/>
          <w:sz w:val="16"/>
          <w:szCs w:val="16"/>
          <w:color w:val="auto"/>
        </w:rPr>
        <w:t>Other pending litigation relating to matters that are in the ordinary course of the company's business activities, including environmental matters, is not expected to have a material adverse effect on the company's financial position.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13--SEGMENT INFORMATION:</w:t>
      </w:r>
    </w:p>
    <w:p>
      <w:pPr>
        <w:spacing w:after="0" w:line="207"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The company's operations are classified into four business segments as follows:</w:t>
      </w:r>
    </w:p>
    <w:p>
      <w:pPr>
        <w:spacing w:after="0" w:line="208"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"Aerospace"--Includes the design and production of military aircraft, space systems and commercial aircraft components and subassemblies, as well as the modernization or conversion of previously completed aircraft.</w:t>
      </w:r>
    </w:p>
    <w:p>
      <w:pPr>
        <w:spacing w:after="0" w:line="209"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"Electronics systems"--Includes the design, manufacture and integration of sophisticated electronics for aircraft, computerized test equipment and other defense related products, such as airborne surveillance systems.</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"Information and other services"--Includes electronic data processing services for affiliates and other customers as well as real estate and leasing services. It also includes technical services that help ready the space shuttle for flight, provide space station program support, service and maintain flight simulators and trainers and support Grumman aircraft.</w:t>
      </w:r>
    </w:p>
    <w:p>
      <w:pPr>
        <w:spacing w:after="0" w:line="209"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"Special purpose vehicles"--Includes fabrication of long life vehicles for the U.S. Postal Service, and aluminum truck bodies. Sales to the U.S. government and its agencies (including sales to foreign governments through foreign military sales contracts with U.S. government agencies) for the years 1993, 1992, and 1991 amounted to $2.8, $3.2 and $3.6 billion, respectively.</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23" w:name="page24"/>
    <w:bookmarkEnd w:id="23"/>
    <w:p>
      <w:pPr>
        <w:ind w:left="2320"/>
        <w:spacing w:after="0"/>
        <w:rPr>
          <w:sz w:val="20"/>
          <w:szCs w:val="20"/>
          <w:color w:val="auto"/>
        </w:rPr>
      </w:pPr>
      <w:r>
        <w:rPr>
          <w:rFonts w:ascii="Courier New" w:cs="Courier New" w:eastAsia="Courier New" w:hAnsi="Courier New"/>
          <w:sz w:val="18"/>
          <w:szCs w:val="18"/>
          <w:color w:val="auto"/>
        </w:rPr>
        <w:t>GRUMMAN CORPORATION AND SUBSIDIARIES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6380" w:type="dxa"/>
            <w:vAlign w:val="bottom"/>
            <w:gridSpan w:val="2"/>
          </w:tcPr>
          <w:p>
            <w:pPr>
              <w:jc w:val="right"/>
              <w:ind w:right="612"/>
              <w:spacing w:after="0"/>
              <w:rPr>
                <w:sz w:val="20"/>
                <w:szCs w:val="20"/>
                <w:color w:val="auto"/>
              </w:rPr>
            </w:pPr>
            <w:r>
              <w:rPr>
                <w:rFonts w:ascii="Courier New" w:cs="Courier New" w:eastAsia="Courier New" w:hAnsi="Courier New"/>
                <w:sz w:val="18"/>
                <w:szCs w:val="18"/>
                <w:color w:val="auto"/>
                <w:w w:val="97"/>
              </w:rPr>
              <w:t>A summary of export sales by geographic areas follows:</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5420" w:type="dxa"/>
            <w:vAlign w:val="bottom"/>
          </w:tcPr>
          <w:p>
            <w:pPr>
              <w:spacing w:after="0"/>
              <w:rPr>
                <w:sz w:val="24"/>
                <w:szCs w:val="24"/>
                <w:color w:val="auto"/>
              </w:rPr>
            </w:pPr>
          </w:p>
        </w:tc>
        <w:tc>
          <w:tcPr>
            <w:tcW w:w="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1993</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1992</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5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405"/>
        </w:trPr>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w w:val="98"/>
              </w:rPr>
              <w:t>Far East..........................................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$205,843</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$141,782</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$240,106</w:t>
            </w:r>
          </w:p>
        </w:tc>
      </w:tr>
      <w:tr>
        <w:trPr>
          <w:trHeight w:val="203"/>
        </w:trPr>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Middle East.......................................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87,899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21,248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23,130</w:t>
            </w:r>
          </w:p>
        </w:tc>
      </w:tr>
      <w:tr>
        <w:trPr>
          <w:trHeight w:val="203"/>
        </w:trPr>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Europe............................................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74,990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70,806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60,862</w:t>
            </w:r>
          </w:p>
        </w:tc>
      </w:tr>
      <w:tr>
        <w:trPr>
          <w:trHeight w:val="203"/>
        </w:trPr>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Western Hemisphere................................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9,949</w:t>
            </w:r>
          </w:p>
        </w:tc>
      </w:tr>
      <w:tr>
        <w:trPr>
          <w:trHeight w:val="203"/>
        </w:trPr>
        <w:tc>
          <w:tcPr>
            <w:tcW w:w="5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5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$374,452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$238,314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$334,047</w:t>
            </w:r>
          </w:p>
        </w:tc>
      </w:tr>
      <w:tr>
        <w:trPr>
          <w:trHeight w:val="203"/>
        </w:trPr>
        <w:tc>
          <w:tcPr>
            <w:tcW w:w="5420" w:type="dxa"/>
            <w:vAlign w:val="bottom"/>
          </w:tcPr>
          <w:p>
            <w:pPr>
              <w:spacing w:after="0"/>
              <w:rPr>
                <w:sz w:val="17"/>
                <w:szCs w:val="17"/>
                <w:color w:val="auto"/>
              </w:rPr>
            </w:pPr>
          </w:p>
        </w:tc>
        <w:tc>
          <w:tcPr>
            <w:tcW w:w="2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r>
    </w:tbl>
    <w:p>
      <w:pPr>
        <w:spacing w:after="0" w:line="200" w:lineRule="exact"/>
        <w:rPr>
          <w:sz w:val="20"/>
          <w:szCs w:val="20"/>
          <w:color w:val="auto"/>
        </w:rPr>
      </w:pPr>
    </w:p>
    <w:p>
      <w:pPr>
        <w:spacing w:after="0" w:line="209"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Information about the company's operations in its different industry segments for the past three years is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DEPRECIATION</w:t>
            </w:r>
          </w:p>
        </w:tc>
        <w:tc>
          <w:tcPr>
            <w:tcW w:w="16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OPERATING</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IDENTIFIABLE</w:t>
            </w:r>
          </w:p>
        </w:tc>
        <w:tc>
          <w:tcPr>
            <w:tcW w:w="14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AND</w:t>
            </w:r>
          </w:p>
        </w:tc>
        <w:tc>
          <w:tcPr>
            <w:tcW w:w="16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CAPITAL</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SALES</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INCOME (LOSS)</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ASSETS</w:t>
            </w:r>
          </w:p>
        </w:tc>
        <w:tc>
          <w:tcPr>
            <w:tcW w:w="3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AMORTIZATION EXPENDITURES</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72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 ------------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Aerospace...............</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$1,965,066</w:t>
            </w:r>
          </w:p>
        </w:tc>
        <w:tc>
          <w:tcPr>
            <w:tcW w:w="14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$ 55,533*</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$1,150,003</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$48,881</w:t>
            </w:r>
          </w:p>
        </w:tc>
        <w:tc>
          <w:tcPr>
            <w:tcW w:w="16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$29,337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Electronics systems.....</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635,684</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2,659*</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298,680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10,309</w:t>
            </w:r>
          </w:p>
        </w:tc>
        <w:tc>
          <w:tcPr>
            <w:tcW w:w="16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8,768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Information and other</w:t>
            </w: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services...............</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657,396</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28,070*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294,224</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9,391</w:t>
            </w:r>
          </w:p>
        </w:tc>
        <w:tc>
          <w:tcPr>
            <w:tcW w:w="16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4,850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 purpose vehi-</w:t>
            </w: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cles...................</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367,405</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26,367</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93,121</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3,870</w:t>
            </w:r>
          </w:p>
        </w:tc>
        <w:tc>
          <w:tcPr>
            <w:tcW w:w="16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1,386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items and</w:t>
            </w: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eliminations...........</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(376,427)</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5,580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188,421</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1,384</w:t>
            </w:r>
          </w:p>
        </w:tc>
        <w:tc>
          <w:tcPr>
            <w:tcW w:w="16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244</w:t>
            </w:r>
          </w:p>
        </w:tc>
      </w:tr>
      <w:tr>
        <w:trPr>
          <w:trHeight w:val="203"/>
        </w:trPr>
        <w:tc>
          <w:tcPr>
            <w:tcW w:w="258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Consolidated............</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$3,249,124</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118,209*</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$2,024,449</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$73,835</w:t>
            </w:r>
          </w:p>
        </w:tc>
        <w:tc>
          <w:tcPr>
            <w:tcW w:w="16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$44,585</w:t>
            </w:r>
          </w:p>
        </w:tc>
      </w:tr>
      <w:tr>
        <w:trPr>
          <w:trHeight w:val="203"/>
        </w:trPr>
        <w:tc>
          <w:tcPr>
            <w:tcW w:w="258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Interest expense........</w:t>
            </w:r>
          </w:p>
        </w:tc>
        <w:tc>
          <w:tcPr>
            <w:tcW w:w="1280" w:type="dxa"/>
            <w:vAlign w:val="bottom"/>
          </w:tcPr>
          <w:p>
            <w:pPr>
              <w:spacing w:after="0"/>
              <w:rPr>
                <w:sz w:val="17"/>
                <w:szCs w:val="17"/>
                <w:color w:val="auto"/>
              </w:rPr>
            </w:pP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31,702</w:t>
            </w: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w:t>
            </w: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before fed-</w:t>
            </w: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eral income taxes......</w:t>
            </w:r>
          </w:p>
        </w:tc>
        <w:tc>
          <w:tcPr>
            <w:tcW w:w="1280" w:type="dxa"/>
            <w:vAlign w:val="bottom"/>
          </w:tcPr>
          <w:p>
            <w:pPr>
              <w:spacing w:after="0"/>
              <w:rPr>
                <w:sz w:val="17"/>
                <w:szCs w:val="17"/>
                <w:color w:val="auto"/>
              </w:rPr>
            </w:pP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$ 86,507</w:t>
            </w: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bl>
    <w:p>
      <w:pPr>
        <w:spacing w:after="0" w:line="4" w:lineRule="exact"/>
        <w:rPr>
          <w:sz w:val="20"/>
          <w:szCs w:val="20"/>
          <w:color w:val="auto"/>
        </w:rPr>
      </w:pPr>
    </w:p>
    <w:p>
      <w:pPr>
        <w:ind w:left="220" w:right="2099" w:hanging="212"/>
        <w:spacing w:after="0" w:line="236"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an $85 million restructuring charge as follows, in millions: Aerospace, $73; Electronics systems, $9 and Information and other services, $3.</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1992</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Aerospace...............</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$2,339,799</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$134,476</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$1,151,506</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$54,855</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$22,819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Electronics systems.....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610,850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13,715</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317,111</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11,245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9,705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Information and other</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services...............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593,152</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28,189</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290,826</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10,236</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 purpose vehi-</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cles...................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343,350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27,646</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74,334</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4,026</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1,251</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items and</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eliminations...........</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(383,201)</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255,239</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1,765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Consolidated............</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$3,503,950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201,626</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$2,089,016</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$82,127</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$39,054</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Interest expense........</w:t>
            </w:r>
          </w:p>
        </w:tc>
        <w:tc>
          <w:tcPr>
            <w:tcW w:w="13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55,065</w:t>
            </w: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before</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federal income taxes...</w:t>
            </w:r>
          </w:p>
        </w:tc>
        <w:tc>
          <w:tcPr>
            <w:tcW w:w="13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$146,561</w:t>
            </w: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1991</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Aerospace...............</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$2,895,794</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$119,753**</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$1,323,650</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$64,308</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$30,932</w:t>
            </w:r>
          </w:p>
        </w:tc>
      </w:tr>
    </w:tbl>
    <w:p>
      <w:pPr>
        <w:sectPr>
          <w:pgSz w:w="11900" w:h="16838" w:orient="portrait"/>
          <w:cols w:equalWidth="0" w:num="1">
            <w:col w:w="10219"/>
          </w:cols>
          <w:pgMar w:left="240" w:top="717" w:right="1440"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Electronics systems.....</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505,395</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13,855</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325,546</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11,121</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12,705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Information and other</w:t>
            </w: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services...............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622,314</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31,555</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352,001</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13,022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8,544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 purpose vehi-</w:t>
            </w: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cles...................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366,072</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21,165</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99,053</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4,185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items and</w:t>
            </w: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eliminations...........</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(415,724)</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(3,921)</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142,166</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1,638</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Consolidated............</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$3,973,851</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182,407</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$2,242,416</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$94,274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$54,847</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Interest expense........</w:t>
            </w:r>
          </w:p>
        </w:tc>
        <w:tc>
          <w:tcPr>
            <w:tcW w:w="13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85,236</w:t>
            </w: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w:t>
            </w: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before</w:t>
            </w: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federal income taxes...</w:t>
            </w:r>
          </w:p>
        </w:tc>
        <w:tc>
          <w:tcPr>
            <w:tcW w:w="13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$ 97,171</w:t>
            </w: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left="320" w:right="261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$46.5 million charge arising from the settlement of claims against Tracor Aviation Inc.</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36" w:right="1440" w:bottom="1440" w:gutter="0" w:footer="0" w:header="0"/>
        </w:sectPr>
      </w:pPr>
    </w:p>
    <w:bookmarkStart w:id="25" w:name="page26"/>
    <w:bookmarkEnd w:id="25"/>
    <w:p>
      <w:pPr>
        <w:ind w:left="520"/>
        <w:spacing w:after="0"/>
        <w:rPr>
          <w:sz w:val="20"/>
          <w:szCs w:val="20"/>
          <w:color w:val="auto"/>
        </w:rPr>
      </w:pPr>
      <w:r>
        <w:rPr>
          <w:rFonts w:ascii="Courier New" w:cs="Courier New" w:eastAsia="Courier New" w:hAnsi="Courier New"/>
          <w:sz w:val="18"/>
          <w:szCs w:val="18"/>
          <w:color w:val="auto"/>
        </w:rPr>
        <w:t>(b) Pro Forma financial information.</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Because it is impractical at this time, the pro forma financial information required by Article 11 of Regulation S-X in connection with the acquisition of assets being reported on this Form 8-K is not included herein. Such pro forma financial information will be filed as soon as practicable, but no later than 60 days after the date this report must be filed.</w:t>
      </w:r>
    </w:p>
    <w:p>
      <w:pPr>
        <w:spacing w:after="0" w:line="179" w:lineRule="exact"/>
        <w:rPr>
          <w:sz w:val="20"/>
          <w:szCs w:val="20"/>
          <w:color w:val="auto"/>
        </w:rPr>
      </w:pPr>
    </w:p>
    <w:p>
      <w:pPr>
        <w:ind w:left="1060" w:hanging="53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following are filed as exhibits to this report:</w:t>
      </w:r>
    </w:p>
    <w:p>
      <w:pPr>
        <w:spacing w:after="0" w:line="207" w:lineRule="exact"/>
        <w:rPr>
          <w:sz w:val="20"/>
          <w:szCs w:val="20"/>
          <w:color w:val="auto"/>
        </w:rPr>
      </w:pPr>
    </w:p>
    <w:p>
      <w:pPr>
        <w:ind w:left="1580" w:right="1879" w:hanging="528"/>
        <w:spacing w:after="0" w:line="275" w:lineRule="auto"/>
        <w:tabs>
          <w:tab w:leader="none" w:pos="15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and Plan of Merger, dated as of April 3, 1994, among Northrop Corporation, Northrop Acquisition, Inc. and Grumman Corporation (incorporated by reference to Amendment No. 7 to Northrop Acquisition Inc. Schedule 14D-1 filed April 5, 1994).</w:t>
      </w:r>
    </w:p>
    <w:p>
      <w:pPr>
        <w:spacing w:after="0" w:line="182" w:lineRule="exact"/>
        <w:rPr>
          <w:rFonts w:ascii="Courier New" w:cs="Courier New" w:eastAsia="Courier New" w:hAnsi="Courier New"/>
          <w:sz w:val="16"/>
          <w:szCs w:val="16"/>
          <w:color w:val="auto"/>
        </w:rPr>
      </w:pPr>
    </w:p>
    <w:p>
      <w:pPr>
        <w:ind w:left="1580" w:right="1999" w:hanging="528"/>
        <w:spacing w:after="0" w:line="268" w:lineRule="auto"/>
        <w:tabs>
          <w:tab w:leader="none" w:pos="15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 to Purchase for Cash all Outstanding Shares of Common Stock of Grumman Corporation at $60 Net Per Share by Northrop Acquisition, Inc., a wholly owned subsidiary of Northrop Corporation, dated March 14, 1994 (incorporated by reference to Northrop Acquisition, Inc. Schedule 14D-1 filed</w:t>
      </w: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March 14, 1994).</w:t>
      </w:r>
    </w:p>
    <w:p>
      <w:pPr>
        <w:spacing w:after="0" w:line="207" w:lineRule="exact"/>
        <w:rPr>
          <w:rFonts w:ascii="Courier New" w:cs="Courier New" w:eastAsia="Courier New" w:hAnsi="Courier New"/>
          <w:sz w:val="16"/>
          <w:szCs w:val="16"/>
          <w:color w:val="auto"/>
        </w:rPr>
      </w:pPr>
    </w:p>
    <w:p>
      <w:pPr>
        <w:ind w:left="1580" w:right="1779" w:hanging="528"/>
        <w:spacing w:after="0" w:line="275" w:lineRule="auto"/>
        <w:tabs>
          <w:tab w:leader="none" w:pos="15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 to Offer to Purchase for Cash All Outstanding Shares of Common Stock of Grumman Corporation, at $62 Net Per Share by (incorporated by reference to Amendment No. 7 to Northrop Acquisition Inc. Schedule 14D-1 filed April 5, 1994).</w:t>
      </w:r>
    </w:p>
    <w:p>
      <w:pPr>
        <w:spacing w:after="0" w:line="176" w:lineRule="exact"/>
        <w:rPr>
          <w:rFonts w:ascii="Courier New" w:cs="Courier New" w:eastAsia="Courier New" w:hAnsi="Courier New"/>
          <w:sz w:val="16"/>
          <w:szCs w:val="16"/>
          <w:color w:val="auto"/>
        </w:rPr>
      </w:pPr>
    </w:p>
    <w:p>
      <w:pPr>
        <w:ind w:left="1580" w:hanging="528"/>
        <w:spacing w:after="0"/>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Auditor's Consent dated May 2, 1994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9999"/>
          </w:cols>
          <w:pgMar w:left="46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 1994</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NORTHROP CORPORATION</w:t>
      </w:r>
    </w:p>
    <w:p>
      <w:pPr>
        <w:spacing w:after="0" w:line="200" w:lineRule="exact"/>
        <w:rPr>
          <w:sz w:val="20"/>
          <w:szCs w:val="20"/>
          <w:color w:val="auto"/>
        </w:rPr>
      </w:pPr>
    </w:p>
    <w:p>
      <w:pPr>
        <w:sectPr>
          <w:pgSz w:w="11900" w:h="16838" w:orient="portrait"/>
          <w:cols w:equalWidth="0" w:num="3">
            <w:col w:w="640" w:space="200"/>
            <w:col w:w="2760" w:space="720"/>
            <w:col w:w="5679"/>
          </w:cols>
          <w:pgMar w:left="460" w:top="71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Sheila M. Gibbons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Secretary</w:t>
      </w:r>
    </w:p>
    <w:p>
      <w:pPr>
        <w:spacing w:after="0" w:line="200" w:lineRule="exact"/>
        <w:rPr>
          <w:sz w:val="20"/>
          <w:szCs w:val="20"/>
          <w:color w:val="auto"/>
        </w:rPr>
      </w:pPr>
    </w:p>
    <w:p>
      <w:pPr>
        <w:sectPr>
          <w:pgSz w:w="11900" w:h="16838" w:orient="portrait"/>
          <w:cols w:equalWidth="0" w:num="2">
            <w:col w:w="4640" w:space="0"/>
            <w:col w:w="5359"/>
          </w:cols>
          <w:pgMar w:left="460" w:top="717" w:right="1440" w:bottom="1440" w:gutter="0" w:footer="0" w:header="0"/>
          <w:type w:val="continuous"/>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999"/>
          </w:cols>
          <w:pgMar w:left="460" w:top="717" w:right="1440" w:bottom="1440" w:gutter="0" w:footer="0" w:header="0"/>
          <w:type w:val="continuous"/>
        </w:sectPr>
      </w:pPr>
    </w:p>
    <w:bookmarkStart w:id="26" w:name="page27"/>
    <w:bookmarkEnd w:id="26"/>
    <w:p>
      <w:pPr>
        <w:jc w:val="center"/>
        <w:ind w:right="1879"/>
        <w:spacing w:after="0"/>
        <w:rPr>
          <w:sz w:val="20"/>
          <w:szCs w:val="20"/>
          <w:color w:val="auto"/>
        </w:rPr>
      </w:pPr>
      <w:r>
        <w:rPr>
          <w:rFonts w:ascii="Courier New" w:cs="Courier New" w:eastAsia="Courier New" w:hAnsi="Courier New"/>
          <w:sz w:val="18"/>
          <w:szCs w:val="18"/>
          <w:color w:val="auto"/>
        </w:rPr>
        <w:t>EXHIBIT 99.(c)(D)</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inclusion in this Northrop Corporation Report on Form 8-K dated May 2, 1994, of our report to the board of directors and shareholders of Grumman Corporation dated January 20, 1994 on the consolidated financial statements of Grumman Corporation and subsidiaries included in or incorporated by reference in Grumman Corporation's Annual report on Form 10-K for the year ended December 31, 1993. It should be noted that we have not audited any financial statements of Grumman Corporation subsequent to December 31, 1993, or performed any audit procedures subsequent to the date of our report.</w:t>
      </w: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ARTHUR ANDERSEN &amp; CO.</w:t>
      </w:r>
    </w:p>
    <w:p>
      <w:pPr>
        <w:jc w:val="right"/>
        <w:ind w:right="1779"/>
        <w:spacing w:after="0" w:line="238" w:lineRule="auto"/>
        <w:rPr>
          <w:sz w:val="20"/>
          <w:szCs w:val="20"/>
          <w:color w:val="auto"/>
        </w:rPr>
      </w:pPr>
      <w:r>
        <w:rPr>
          <w:rFonts w:ascii="Courier New" w:cs="Courier New" w:eastAsia="Courier New" w:hAnsi="Courier New"/>
          <w:sz w:val="18"/>
          <w:szCs w:val="18"/>
          <w:color w:val="auto"/>
        </w:rPr>
        <w:t>ARTHUR ANDERSON &amp;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May 2, 1994</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2019-12-12T06:10:08Z</dcterms:created>
  <dcterms:modified xsi:type="dcterms:W3CDTF">2019-12-12T06:10:08Z</dcterms:modified>
</cp:coreProperties>
</file>