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11-K</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FINAL ANNUAL REPORT PURSUANT TO SECTION 15(d) OF THE SECURITIES EXCHANGE ACT OF 1934</w:t>
      </w:r>
    </w:p>
    <w:p>
      <w:pPr>
        <w:spacing w:after="0" w:line="17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For the period from January 1, 2004 to December 10, 2004</w:t>
      </w:r>
    </w:p>
    <w:p>
      <w:pPr>
        <w:spacing w:after="0" w:line="158"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15(d) OF THE SECURITIES EXCHANGE ACT OF 1934</w:t>
      </w:r>
    </w:p>
    <w:p>
      <w:pPr>
        <w:spacing w:after="0" w:line="165" w:lineRule="exact"/>
        <w:rPr>
          <w:sz w:val="24"/>
          <w:szCs w:val="24"/>
          <w:color w:val="auto"/>
        </w:rPr>
      </w:pPr>
    </w:p>
    <w:p>
      <w:pPr>
        <w:ind w:left="3700"/>
        <w:spacing w:after="0"/>
        <w:tabs>
          <w:tab w:leader="none" w:pos="6740" w:val="left"/>
          <w:tab w:leader="none" w:pos="7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3814445</wp:posOffset>
            </wp:positionH>
            <wp:positionV relativeFrom="paragraph">
              <wp:posOffset>-10160</wp:posOffset>
            </wp:positionV>
            <wp:extent cx="1040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38"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Commission file number: 1-12385</w:t>
      </w:r>
    </w:p>
    <w:p>
      <w:pPr>
        <w:spacing w:after="0" w:line="164"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139"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NORTHROP GRUMMAN SPACE &amp; MISSION</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SYSTEMS CORP. SAVINGS PLAN</w:t>
      </w:r>
    </w:p>
    <w:p>
      <w:pPr>
        <w:spacing w:after="0" w:line="134"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39"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NORTHROP GRUMMAN CORPORATION</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1840 Century Park East</w:t>
      </w:r>
    </w:p>
    <w:p>
      <w:pPr>
        <w:jc w:val="center"/>
        <w:ind w:right="-339"/>
        <w:spacing w:after="0"/>
        <w:rPr>
          <w:sz w:val="20"/>
          <w:szCs w:val="20"/>
          <w:color w:val="auto"/>
        </w:rPr>
      </w:pPr>
      <w:r>
        <w:rPr>
          <w:rFonts w:ascii="Arial" w:cs="Arial" w:eastAsia="Arial" w:hAnsi="Arial"/>
          <w:sz w:val="22"/>
          <w:szCs w:val="22"/>
          <w:b w:val="1"/>
          <w:bCs w:val="1"/>
          <w:color w:val="auto"/>
        </w:rPr>
        <w:t>Los Angeles, California 90067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80"/>
          </w:cols>
          <w:pgMar w:left="240" w:top="230" w:right="5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719"/>
        <w:spacing w:after="0" w:line="324" w:lineRule="auto"/>
        <w:rPr>
          <w:sz w:val="20"/>
          <w:szCs w:val="20"/>
          <w:color w:val="auto"/>
        </w:rPr>
      </w:pPr>
      <w:r>
        <w:rPr>
          <w:rFonts w:ascii="Arial" w:cs="Arial" w:eastAsia="Arial" w:hAnsi="Arial"/>
          <w:sz w:val="37"/>
          <w:szCs w:val="37"/>
          <w:b w:val="1"/>
          <w:bCs w:val="1"/>
          <w:i w:val="1"/>
          <w:iCs w:val="1"/>
          <w:color w:val="auto"/>
        </w:rPr>
        <w:t>Northrop Grumman Space &amp; Mission Systems Corp. Savings Plan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Statements as of December 10, 2004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December 31, 2003 and for the Period from</w:t>
      </w:r>
    </w:p>
    <w:p>
      <w:pPr>
        <w:spacing w:after="0" w:line="230" w:lineRule="auto"/>
        <w:rPr>
          <w:sz w:val="20"/>
          <w:szCs w:val="20"/>
          <w:color w:val="auto"/>
        </w:rPr>
      </w:pPr>
      <w:r>
        <w:rPr>
          <w:rFonts w:ascii="Arial" w:cs="Arial" w:eastAsia="Arial" w:hAnsi="Arial"/>
          <w:sz w:val="22"/>
          <w:szCs w:val="22"/>
          <w:i w:val="1"/>
          <w:iCs w:val="1"/>
          <w:color w:val="auto"/>
        </w:rPr>
        <w:t>January 1, 2004 to December 10, 2004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Report of Independent Registered Public 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SPACE &amp; MISSION SYSTEMS CORP.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8"/>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REPORT OF INDEPENDENT REGISTERED PUBLIC ACCOUNTING FIRM</w:t>
              </w:r>
            </w:hyperlink>
          </w:p>
        </w:tc>
        <w:tc>
          <w:tcPr>
            <w:tcW w:w="540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89"/>
        </w:trPr>
        <w:tc>
          <w:tcPr>
            <w:tcW w:w="6020" w:type="dxa"/>
            <w:vAlign w:val="bottom"/>
            <w:tcBorders>
              <w:bottom w:val="single" w:sz="8" w:color="0000EE"/>
            </w:tcBorders>
            <w:gridSpan w:val="8"/>
            <w:vMerge w:val="continue"/>
          </w:tcPr>
          <w:p>
            <w:pPr>
              <w:spacing w:after="0"/>
              <w:rPr>
                <w:sz w:val="15"/>
                <w:szCs w:val="15"/>
                <w:color w:val="auto"/>
              </w:rPr>
            </w:pPr>
          </w:p>
        </w:tc>
        <w:tc>
          <w:tcPr>
            <w:tcW w:w="540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3"/>
        </w:trPr>
        <w:tc>
          <w:tcPr>
            <w:tcW w:w="602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55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Statements of Net Assets Available for Plan Benefits as of December 10, 2004</w:t>
              </w:r>
            </w:hyperlink>
          </w:p>
        </w:tc>
        <w:tc>
          <w:tcPr>
            <w:tcW w:w="2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December 31, 2003</w:t>
              </w:r>
            </w:hyperlink>
          </w:p>
        </w:tc>
        <w:tc>
          <w:tcPr>
            <w:tcW w:w="3900" w:type="dxa"/>
            <w:vAlign w:val="bottom"/>
            <w:gridSpan w:val="5"/>
          </w:tcPr>
          <w:p>
            <w:pPr>
              <w:spacing w:after="0"/>
              <w:rPr>
                <w:sz w:val="17"/>
                <w:szCs w:val="17"/>
                <w:color w:val="auto"/>
              </w:rPr>
            </w:pPr>
          </w:p>
        </w:tc>
        <w:tc>
          <w:tcPr>
            <w:tcW w:w="5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49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Statement of Changes in Net Assets Available for Plan Benefits for the</w:t>
              </w:r>
            </w:hyperlink>
          </w:p>
        </w:tc>
        <w:tc>
          <w:tcPr>
            <w:tcW w:w="820" w:type="dxa"/>
            <w:vAlign w:val="bottom"/>
            <w:gridSpan w:val="2"/>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Period from January 1, 2004 to December 10, 2004</w:t>
              </w:r>
            </w:hyperlink>
          </w:p>
        </w:tc>
        <w:tc>
          <w:tcPr>
            <w:tcW w:w="5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580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54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Administrative Committee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Space &amp; Mission Systems Corp. Savings Plan</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statements of net assets available for plan benefits of the Northrop Grumman Space &amp; Mission Systems Corp. Savings Plan (the “Plan”) as of December 10, 2004 and December 31, 2003, and the related statement of changes in net assets available for plan benefits for the period from January 1, 2004 to December 10, 2004. These financial statements are the responsibility of the Plan’s management. Our responsibility is to express an opinion on these financial statements based on our audits.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plan benefits of the Plan as of December 10, 2004 and December 31, 2003, and the changes in net assets available for plan benefits for the period from January 1, 2004 to December 10, 2004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financial statements, on December 10, 2004, the Plan was merged into the Northrop Grumman Savings Plan.</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8, 2005</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SPACE &amp; MISSION SYSTEMS CORP.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PLAN BENEFITS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10, 2004 AND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 10, 2004</w:t>
            </w:r>
          </w:p>
        </w:tc>
        <w:tc>
          <w:tcPr>
            <w:tcW w:w="108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Northrop Grumman Corporation Stock Fund</w:t>
            </w:r>
          </w:p>
        </w:tc>
        <w:tc>
          <w:tcPr>
            <w:tcW w:w="30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792,971,640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Guaranteed investment contracts</w:t>
            </w: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558,722,107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Registered investment companies</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594,772,072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Common trust funds</w:t>
            </w: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766,689,973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Self-directed brokerage accounts</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Participant loans</w:t>
            </w:r>
          </w:p>
        </w:tc>
        <w:tc>
          <w:tcPr>
            <w:tcW w:w="2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34,947,171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investments</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2,785,294,059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Employer contribution receivable</w:t>
            </w: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1,756,082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 receivable</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Due from brokers for securities sold</w:t>
            </w: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2,789,029,906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30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2,789,029,906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3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82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320" w:type="dxa"/>
            <w:vAlign w:val="bottom"/>
          </w:tcPr>
          <w:p>
            <w:pPr>
              <w:jc w:val="right"/>
              <w:ind w:right="1292"/>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-557530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-557530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-557530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-557530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-557530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SPACE &amp; MISSION SYSTEMS CORP. SAVINGS PLAN</w:t>
      </w:r>
    </w:p>
    <w:p>
      <w:pPr>
        <w:spacing w:after="0" w:line="171" w:lineRule="exact"/>
        <w:rPr>
          <w:sz w:val="20"/>
          <w:szCs w:val="20"/>
          <w:color w:val="auto"/>
        </w:rPr>
      </w:pPr>
    </w:p>
    <w:p>
      <w:pPr>
        <w:ind w:right="4880"/>
        <w:spacing w:after="0" w:line="328" w:lineRule="auto"/>
        <w:rPr>
          <w:sz w:val="20"/>
          <w:szCs w:val="20"/>
          <w:color w:val="auto"/>
        </w:rPr>
      </w:pPr>
      <w:r>
        <w:rPr>
          <w:rFonts w:ascii="Arial" w:cs="Arial" w:eastAsia="Arial" w:hAnsi="Arial"/>
          <w:sz w:val="16"/>
          <w:szCs w:val="16"/>
          <w:b w:val="1"/>
          <w:bCs w:val="1"/>
          <w:color w:val="auto"/>
        </w:rPr>
        <w:t>STATEMENT OF CHANGES IN NET ASSETS AVAILABLE FOR PLAN BENEFITS FOR THE PERIOD FROM JANUARY 1, 2004 TO DECEMBER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5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38,716,829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244,816,054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285,518,202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CONTRIBUTIONS:</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Employer</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40,445,377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Rollovers</w:t>
            </w: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16,412,337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contributions</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188,306,093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9"/>
              </w:rPr>
              <w:t>(470,665,021)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(826,543)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deductions</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(471,491,564)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TRANSFERS OUT DUE TO PLAN MERGER (NOTE 1)</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(2,791,362,637)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(2,789,029,906)</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period</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2,789,029,906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period</w:t>
            </w:r>
          </w:p>
        </w:tc>
        <w:tc>
          <w:tcPr>
            <w:tcW w:w="5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000" w:type="dxa"/>
            <w:vAlign w:val="bottom"/>
            <w:gridSpan w:val="2"/>
            <w:vMerge w:val="continue"/>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180" w:type="dxa"/>
            <w:vAlign w:val="bottom"/>
          </w:tcPr>
          <w:p>
            <w:pPr>
              <w:jc w:val="right"/>
              <w:ind w:right="43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-557530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-557530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SPACE &amp; MISSION SYSTEMS CORP.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2004 TO DECEMBER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63"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Northrop Grumman Space &amp; Mission Systems Corp. Savings Plan (the “Plan”), provides only general information. Participants should refer to the Plan document for a more complete description of the Plan’s provisions. The Plan is subject to the Employee Retirement Income Security Act of 1974, as amended (“ERISA”).</w:t>
      </w:r>
    </w:p>
    <w:p>
      <w:pPr>
        <w:spacing w:after="0" w:line="126"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Effective December 10, 2004 (“Merger Date”), the Plan was merged into the Northrop Grumman Savings Plan (“NGSP”), a tax-qualified defined contribution plan sponsored by Northrop Grumman Corporation. This merger (“Plan Merger”) was duly authorized by Northrop Grumman Space &amp; Mission Systems Corp. (the “Company”) as part of its efforts to consolidate various defined contribution plans acquired through business combinations. As a result, 100 percent of net assets available for Plan benefits were transferred to the NGSP at the Merger Date. The Plan’s investments were either transferred in-kind or were liquidated prior to their transfer to the NGSP based on the individual elections of the Plan’s participants. If no alternative election was made by a participant, the Plan’s Sponsor initiated either an in-kind transfer or liquidation of such investments in accordance with the details of the Plan’s advance communication with Plan participants.</w:t>
      </w:r>
    </w:p>
    <w:p>
      <w:pPr>
        <w:spacing w:after="0" w:line="104"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Plan is a qualified profit-sharing and employee stock ownership plan sponsored by the Company. The Plan was initially established on January 1, 1968 and has since been amended numerous times. The Plan covers substantially all domestic employees of the Company who have been employed for at least one month. Putnam Investment Company served as Trustee of the Plan and held the Plan’s assets through the Merger Date.</w:t>
      </w:r>
    </w:p>
    <w:p>
      <w:pPr>
        <w:spacing w:after="0" w:line="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Participant Contributions</w:t>
      </w:r>
    </w:p>
    <w:p>
      <w:pPr>
        <w:spacing w:after="0" w:line="163"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Plan allows eligible, non-highly compensated employees to contribute up to 97 percent of qualifying compensation and eligible, highly compensated employees to contribute up to 20 percent of qualifying compensation on a pre-tax basis by way of payroll withholding. Such contributions are made in increments of 1 percent of qualifying compensation. Participants may also elect to contribute, in increments of 1 percent, up to 10 percent of qualifying compensation on an after-tax basis. Contributions are subject to certain limitations imposed by the Internal Revenue Code of 1986, as amended (the “1986 Code”).</w:t>
      </w:r>
    </w:p>
    <w:p>
      <w:pPr>
        <w:spacing w:after="0" w:line="129" w:lineRule="exact"/>
        <w:rPr>
          <w:rFonts w:ascii="Arial" w:cs="Arial" w:eastAsia="Arial" w:hAnsi="Arial"/>
          <w:sz w:val="18"/>
          <w:szCs w:val="18"/>
          <w:b w:val="1"/>
          <w:bCs w:val="1"/>
          <w:color w:val="auto"/>
        </w:rPr>
      </w:pPr>
    </w:p>
    <w:p>
      <w:pPr>
        <w:ind w:left="460"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Participants determine the funds in which to invest their contributions. Employee contributions may be invested, in multiples of 1 percent, in one or more of the investment funds offered by the Plan, including the Northrop Grumman Stock Fund. Fund elections may be changed at any time.</w:t>
      </w:r>
    </w:p>
    <w:p>
      <w:pPr>
        <w:spacing w:after="0" w:line="6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Employer Contributions</w:t>
      </w:r>
    </w:p>
    <w:p>
      <w:pPr>
        <w:spacing w:after="0" w:line="164"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Company contributes to the Plan an amount equal to 100 percent of each participant’s before-tax contributions to a maximum of 3 percent of each participant’s qualifying compensation.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Company matching contributions to the Plan are made in cash and allocated by participants at their election among any investment options offered by the Plan. Participants immediately vest in the Company matching contributions.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Withdrawals and Distributions</w:t>
      </w:r>
    </w:p>
    <w:p>
      <w:pPr>
        <w:spacing w:after="0" w:line="164" w:lineRule="exact"/>
        <w:rPr>
          <w:sz w:val="20"/>
          <w:szCs w:val="20"/>
          <w:color w:val="auto"/>
        </w:rPr>
      </w:pPr>
    </w:p>
    <w:p>
      <w:pPr>
        <w:jc w:val="both"/>
        <w:ind w:left="460" w:right="120"/>
        <w:spacing w:after="0" w:line="266" w:lineRule="auto"/>
        <w:rPr>
          <w:sz w:val="20"/>
          <w:szCs w:val="20"/>
          <w:color w:val="auto"/>
        </w:rPr>
      </w:pPr>
      <w:r>
        <w:rPr>
          <w:rFonts w:ascii="Arial" w:cs="Arial" w:eastAsia="Arial" w:hAnsi="Arial"/>
          <w:sz w:val="15"/>
          <w:szCs w:val="15"/>
          <w:color w:val="auto"/>
        </w:rPr>
        <w:t xml:space="preserve">A participant may withdraw all or a portion of his or her before-tax contributions, net of any loan balances outstanding, for any reason after reaching age 59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or prior to reaching age 59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in the case of hardship (as described in the Plan document). Upon termination of employment, a participant may elect to receive his or her account, less the unpaid balance of any loan outstanding, in a single sum, except a participant whose account balance exceeds $5,000 may defer his or her payments until he or she reaches age 70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Participants receive the value of their Northrop Grumman shares in cash unless they elect to receive shares. If a participant elects to defer payment of his or her account, the undistributed account balance remains invested in the Plan.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 Loans</w:t>
      </w:r>
    </w:p>
    <w:p>
      <w:pPr>
        <w:spacing w:after="0" w:line="164"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Participants can borrow from $1,000 to $50,000 (in increments of $100) of their pre-tax contributions, but such borrowings in the aggregate cannot exceed 50 percent of a participant’s total account balance. The interest rate is fixed (prime rate at the end of the last business day of the preceding quarter plus 1 percent). Repayments are made from payroll deduction (for active employees) or personal check or direct debit (for former employees or employees on leave of absence). The repayment period cannot be less than one year or more than five years.</w:t>
      </w:r>
    </w:p>
    <w:p>
      <w:pPr>
        <w:spacing w:after="0" w:line="9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63"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color w:val="auto"/>
        </w:rPr>
        <w:t>— The accompanying financial statements have been prepared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w:t>
      </w:r>
    </w:p>
    <w:p>
      <w:pPr>
        <w:spacing w:after="0" w:line="118"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management to make estimates and assumptions that affect the reported amounts of assets, liabilities and changes therein, and disclosure of contingent assets and liabilities. Actual results could differ from those estimates.</w:t>
      </w:r>
    </w:p>
    <w:p>
      <w:pPr>
        <w:spacing w:after="0" w:line="126" w:lineRule="exact"/>
        <w:rPr>
          <w:rFonts w:ascii="Arial" w:cs="Arial" w:eastAsia="Arial" w:hAnsi="Arial"/>
          <w:sz w:val="18"/>
          <w:szCs w:val="18"/>
          <w:b w:val="1"/>
          <w:bCs w:val="1"/>
          <w:color w:val="auto"/>
        </w:rPr>
      </w:pPr>
    </w:p>
    <w:p>
      <w:pPr>
        <w:ind w:left="460" w:right="14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Risk and Uncertainties </w:t>
      </w:r>
      <w:r>
        <w:rPr>
          <w:rFonts w:ascii="Arial" w:cs="Arial" w:eastAsia="Arial" w:hAnsi="Arial"/>
          <w:sz w:val="16"/>
          <w:szCs w:val="16"/>
          <w:color w:val="auto"/>
        </w:rPr>
        <w:t>— The Plan invests in various securities, including U.S. Government securities, corporate debt instruments and corporate stocks.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securities, in general, are normally exposed to various risks, such as interest rate, credit and overall market volatility. Due to the ongoing level of risk associated with investment securities, changes in the values of investment securities may occur in the near term, which could materially affect the amounts reported in the statements of net assets available for plan benefits.</w:t>
      </w:r>
    </w:p>
    <w:p>
      <w:pPr>
        <w:spacing w:after="0" w:line="99"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Valuation and Income Recognition </w:t>
      </w:r>
      <w:r>
        <w:rPr>
          <w:rFonts w:ascii="Arial" w:cs="Arial" w:eastAsia="Arial" w:hAnsi="Arial"/>
          <w:sz w:val="18"/>
          <w:szCs w:val="18"/>
          <w:color w:val="auto"/>
        </w:rPr>
        <w:t>— The Plan’s investments, other than guaranteed investment contracts, are stated at fair value.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common and preferred stock are valued at the last reported sales price of the stock on the last business day of the plan year. The shares of registered investment companies are valued at quoted market prices that represent the net asset values of shares held by the Plan at year end. Investments in common trust funds are valued based on the redemption price of units owned by the Plan, which is based on the current fair value of the fund’s underlying assets. Fair values for securities are based on information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spacing w:after="0" w:line="298" w:lineRule="auto"/>
        <w:rPr>
          <w:sz w:val="20"/>
          <w:szCs w:val="20"/>
          <w:color w:val="auto"/>
        </w:rPr>
      </w:pPr>
      <w:r>
        <w:rPr>
          <w:rFonts w:ascii="Arial" w:cs="Arial" w:eastAsia="Arial" w:hAnsi="Arial"/>
          <w:sz w:val="16"/>
          <w:szCs w:val="16"/>
          <w:color w:val="auto"/>
        </w:rPr>
        <w:t>financial publications of general circulation, statistical and valuation services, records of security exchanges, appraisals by qualified persons, transactions and bona fide offers in assets of the type in question and other information customarily used in the valuation of assets or if market values are not available, at their fair values as provided to the Trustee by the party with authority to trade in such securities (investment managers, the Plan’s Investment Committee, or, in the case of participant-directed brokerage accounts, the participant’s broker, as applicable).</w:t>
      </w:r>
    </w:p>
    <w:p>
      <w:pPr>
        <w:spacing w:after="0" w:line="9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Guaranteed investment contracts held by the Plan are considered to be fully benefit-responsive and therefore are recorded at contract value. Contract value represents contributions made under the contract, plus interest at the contract rate, less withdrawals and contract administrative expenses. Contract value approximates fair value.</w:t>
      </w:r>
    </w:p>
    <w:p>
      <w:pPr>
        <w:spacing w:after="0" w:line="12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Plan entered into other contracts in order to manage the market risk and return of certain securities held by the Plan. These contracts generally modify the investment characteristics of certain underlying securities to achieve investment results similar to those of guaranteed investment contracts. Each of these contracts and their related underlying assets are referred to as a Synthetic Investment Contract (“SIC”) and are recorded at contract value. All separate accounts and SICs have a guaranteed return of principal.</w:t>
      </w:r>
    </w:p>
    <w:p>
      <w:pPr>
        <w:spacing w:after="0" w:line="130"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All securities and cash or cash equivalents are quoted in the local currency and then converted into U.S. dollars using the appropriate exchange rate obtained by the Trustee.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the assets of the funds, or on any gain resulting from the sale or other disposition of such assets, or on the earnings of the funds, are apportioned among the participants whose interests in the Plan are affected, and the share of such taxes apportioned to each such person is charged against his or her account in the Plan.</w:t>
      </w:r>
    </w:p>
    <w:p>
      <w:pPr>
        <w:spacing w:after="0" w:line="105"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Trustee relies on the prices provided by pricing sources or the investment managers, Investment Committee or participant’s broker as a certification as to value in performing any valuations or calculations required of the Trustee.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loans are valued at their outstanding balances, which approximate fair value.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 Administrative expenses of the Plan are paid by either the Plan or the Plan’s sponsor as provided in the Plan document.</w:t>
      </w:r>
    </w:p>
    <w:p>
      <w:pPr>
        <w:spacing w:after="0" w:line="1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64"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During the period from January 1, 2004 to December 10, 2004, the Plan’s investments (including investments purchased, sold, and those held during the period) appreciated in fair value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Northrop Grumman Corporation Stock Fund</w:t>
            </w:r>
          </w:p>
        </w:tc>
        <w:tc>
          <w:tcPr>
            <w:tcW w:w="5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126,056,335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Common trust funds</w:t>
            </w: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4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48,799,015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Participant-directed brokerage accounts</w:t>
            </w:r>
          </w:p>
        </w:tc>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818,644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w:t>
            </w:r>
          </w:p>
        </w:tc>
        <w:tc>
          <w:tcPr>
            <w:tcW w:w="5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244,816,054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4900" w:type="dxa"/>
            <w:vAlign w:val="bottom"/>
            <w:vMerge w:val="restart"/>
          </w:tcPr>
          <w:p>
            <w:pPr>
              <w:jc w:val="right"/>
              <w:ind w:right="375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participant-directed brokerage account investments are held in the Harris Direct Securities Account.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Guaranteed investment contracts owned by the Plan consisted of the following at contract value: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300" w:type="dxa"/>
            <w:vAlign w:val="bottom"/>
            <w:gridSpan w:val="3"/>
          </w:tcPr>
          <w:p>
            <w:pPr>
              <w:ind w:left="1700"/>
              <w:spacing w:after="0"/>
              <w:rPr>
                <w:sz w:val="20"/>
                <w:szCs w:val="20"/>
                <w:color w:val="auto"/>
              </w:rPr>
            </w:pPr>
            <w:r>
              <w:rPr>
                <w:rFonts w:ascii="Arial" w:cs="Arial" w:eastAsia="Arial" w:hAnsi="Arial"/>
                <w:sz w:val="18"/>
                <w:szCs w:val="18"/>
                <w:b w:val="1"/>
                <w:bCs w:val="1"/>
                <w:color w:val="auto"/>
                <w:w w:val="97"/>
              </w:rPr>
              <w:t>December 10, 2004</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8"/>
              </w:rPr>
              <w:t>(Immediately prior</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300" w:type="dxa"/>
            <w:vAlign w:val="bottom"/>
            <w:gridSpan w:val="3"/>
          </w:tcPr>
          <w:p>
            <w:pPr>
              <w:ind w:left="1700"/>
              <w:spacing w:after="0"/>
              <w:rPr>
                <w:sz w:val="20"/>
                <w:szCs w:val="20"/>
                <w:color w:val="auto"/>
              </w:rPr>
            </w:pPr>
            <w:r>
              <w:rPr>
                <w:rFonts w:ascii="Arial" w:cs="Arial" w:eastAsia="Arial" w:hAnsi="Arial"/>
                <w:sz w:val="18"/>
                <w:szCs w:val="18"/>
                <w:b w:val="1"/>
                <w:bCs w:val="1"/>
                <w:color w:val="auto"/>
                <w:w w:val="96"/>
              </w:rPr>
              <w:t>to the Plan Merger)</w:t>
            </w:r>
          </w:p>
        </w:tc>
        <w:tc>
          <w:tcPr>
            <w:tcW w:w="2580" w:type="dxa"/>
            <w:vAlign w:val="bottom"/>
            <w:gridSpan w:val="3"/>
          </w:tcPr>
          <w:p>
            <w:pPr>
              <w:ind w:left="980"/>
              <w:spacing w:after="0"/>
              <w:rPr>
                <w:sz w:val="20"/>
                <w:szCs w:val="20"/>
                <w:color w:val="auto"/>
              </w:rPr>
            </w:pPr>
            <w:r>
              <w:rPr>
                <w:rFonts w:ascii="Arial" w:cs="Arial" w:eastAsia="Arial" w:hAnsi="Arial"/>
                <w:sz w:val="18"/>
                <w:szCs w:val="18"/>
                <w:b w:val="1"/>
                <w:bCs w:val="1"/>
                <w:color w:val="auto"/>
                <w:w w:val="97"/>
              </w:rPr>
              <w:t>December 31, 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Account Assets</w:t>
            </w:r>
          </w:p>
        </w:tc>
        <w:tc>
          <w:tcPr>
            <w:tcW w:w="21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10,988,558</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Separate Account Assets</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15,974,823</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24,102,612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Synthetic Investment Contracts (SICs)</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510,036,071</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498,460,297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underlying assets related to the SICs was $521,905,859 as of December 10, 2004 immediately prior to the Plan Merger and</w:t>
      </w:r>
    </w:p>
    <w:p>
      <w:pPr>
        <w:spacing w:after="0" w:line="38"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$517,811,966 as of December 31, 2003. The fair value of SICs held by the Plan approximated their contract value as of December 10, 2004 immediately prior to the Plan Merger and December 31, 2003, respectively. The weighted average yield (excluding administrative expenses) for all investment contracts was 4.46% and 4.41% at December 10, 2004, immediately prior to the Plan Merger and December 31, 2003, respectively. The crediting interest rate for all investment contracts was 4.46% at December 10, 2004, immediately prior to the Plan Merger and 4.41% at December 31, 2003. Crediting interest rates were reset on a quarterly basis. Resets were determined based upon the market-to-book ratio, along with the yield and duration of the underlying investments.</w:t>
      </w:r>
    </w:p>
    <w:p>
      <w:pPr>
        <w:spacing w:after="0" w:line="135"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fair value of individual investments that represent 5 percent or more of the Plan’s net assets as of December 10, 2004 and December 31, 2003 are as follows: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100" w:type="dxa"/>
            <w:vAlign w:val="bottom"/>
            <w:gridSpan w:val="3"/>
          </w:tcPr>
          <w:p>
            <w:pPr>
              <w:ind w:left="1520"/>
              <w:spacing w:after="0"/>
              <w:rPr>
                <w:sz w:val="20"/>
                <w:szCs w:val="20"/>
                <w:color w:val="auto"/>
              </w:rPr>
            </w:pPr>
            <w:r>
              <w:rPr>
                <w:rFonts w:ascii="Arial" w:cs="Arial" w:eastAsia="Arial" w:hAnsi="Arial"/>
                <w:sz w:val="18"/>
                <w:szCs w:val="18"/>
                <w:b w:val="1"/>
                <w:bCs w:val="1"/>
                <w:color w:val="auto"/>
                <w:w w:val="96"/>
              </w:rPr>
              <w:t>December 10, 2004</w:t>
            </w:r>
          </w:p>
        </w:tc>
        <w:tc>
          <w:tcPr>
            <w:tcW w:w="2540" w:type="dxa"/>
            <w:vAlign w:val="bottom"/>
            <w:gridSpan w:val="3"/>
          </w:tcPr>
          <w:p>
            <w:pPr>
              <w:ind w:left="940"/>
              <w:spacing w:after="0"/>
              <w:rPr>
                <w:sz w:val="20"/>
                <w:szCs w:val="20"/>
                <w:color w:val="auto"/>
              </w:rPr>
            </w:pPr>
            <w:r>
              <w:rPr>
                <w:rFonts w:ascii="Arial" w:cs="Arial" w:eastAsia="Arial" w:hAnsi="Arial"/>
                <w:sz w:val="18"/>
                <w:szCs w:val="18"/>
                <w:b w:val="1"/>
                <w:bCs w:val="1"/>
                <w:color w:val="auto"/>
                <w:w w:val="97"/>
              </w:rPr>
              <w:t>December 31, 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Northrop Grumman Corporation Stock Fund</w:t>
            </w:r>
          </w:p>
        </w:tc>
        <w:tc>
          <w:tcPr>
            <w:tcW w:w="22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792,971,640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INVESCO Stable Value Fund</w:t>
            </w:r>
          </w:p>
        </w:tc>
        <w:tc>
          <w:tcPr>
            <w:tcW w:w="22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558,722,107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Putnam S&amp;P 500 Index Fund</w:t>
            </w:r>
          </w:p>
        </w:tc>
        <w:tc>
          <w:tcPr>
            <w:tcW w:w="22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539,263,527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PIMCO Total Return Fund</w:t>
            </w:r>
          </w:p>
        </w:tc>
        <w:tc>
          <w:tcPr>
            <w:tcW w:w="22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138,244,732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Putnam Small Company Equity Portfolio</w:t>
            </w:r>
          </w:p>
        </w:tc>
        <w:tc>
          <w:tcPr>
            <w:tcW w:w="22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151,853,980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NON-PARTICIPANT DIRECTED INVESTMENTS</w:t>
      </w:r>
    </w:p>
    <w:p>
      <w:pPr>
        <w:spacing w:after="0" w:line="163"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Northrop Grumman Employee Stock Ownership Plan (“ESOP”) and non-ESOP funds held within the Plan include certain non-participant directed investments attributable to matching contributions made by TRW Inc., the former plan sponsor, prior to December 11, 2002. Those matching contributions were not eligible to be transferred from the ESOP and non-ESOP funds except under special circumstances and were therefore non-participant directed investments. Effective October 1, 2003, the plan was amended to permit participant directed transfer of those investments upon completion of three years of Plan participation.</w:t>
      </w:r>
    </w:p>
    <w:p>
      <w:pPr>
        <w:spacing w:after="0" w:line="129"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Non-participant directed investments at fair value were $12,982,276 and $12,693,991 as of December 10, 2004, immediately prior to the Plan Merger, and December 31, 2003, respectively.</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164"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Party-in-interest transactions include the purchase and sale of investments managed by Putnam affiliates related to the Plan’s Trustee; transactions involving Northrop Grumman Corporation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common stock and payments made to the Company for certain Plan administrative costs. The Plan held 13,765,266 and 8,294,682 shares of Northrop Grumman common stock at December 10, 2004, immediately prior to the Plan Merger, and December 31, 2003, respectively. The Plan received dividends of $10,278,365 from its investment in Northrop Grumman Corporation common stock during the period January 1, to December 10, 2004.</w:t>
      </w:r>
    </w:p>
    <w:p>
      <w:pPr>
        <w:spacing w:after="0" w:line="9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Putnam affiliates managed $791,139,798 and $874,317,504 of Plan assets as of December 10, 2004 immediately prior to the Plan Merger and December 31, 2003, respectively. The Plan paid $59,598 to the Trustee in fees during the period January 1, to December 10, 2004. In Plan management’s opinion, fees paid during the year for services rendered by parties-in-interest were based upon customary and reasonable rates for such services.</w:t>
      </w:r>
    </w:p>
    <w:p>
      <w:pPr>
        <w:spacing w:after="0" w:line="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 STATUS</w:t>
      </w:r>
    </w:p>
    <w:p>
      <w:pPr>
        <w:spacing w:after="0" w:line="163"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Plan obtained its latest determination letter dated July 21, 2003, in which the Internal Revenue Service determined that the Plan terms at the time of the determination letter application were in compliance with applicable sections of the 1986 Code and, therefore, the related trust is exempt from taxation. The Plan has been amended since receiving the determination letter. Although the amendments have not yet been filed for a favorable determination letter, management will make any changes necessary to maintain the Plan’s qualified status. However, management believes that the Plan and related trust are currently designed and operated in compliance with the applicable requirements of the 1986 Code. Therefore, no provision for income taxes has been included in the Plan’s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1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NORTHROP GRUMMAN SPACE &amp; MISSION SYSTEMS CORP.</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SAVINGS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6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H</w:t>
            </w:r>
            <w:r>
              <w:rPr>
                <w:rFonts w:ascii="Arial" w:cs="Arial" w:eastAsia="Arial" w:hAnsi="Arial"/>
                <w:sz w:val="14"/>
                <w:szCs w:val="14"/>
                <w:color w:val="auto"/>
              </w:rPr>
              <w:t>ATELEY</w:t>
            </w:r>
          </w:p>
        </w:tc>
      </w:tr>
      <w:tr>
        <w:trPr>
          <w:trHeight w:val="158"/>
        </w:trPr>
        <w:tc>
          <w:tcPr>
            <w:tcW w:w="6400" w:type="dxa"/>
            <w:vAlign w:val="bottom"/>
          </w:tcPr>
          <w:p>
            <w:pPr>
              <w:spacing w:after="0" w:line="157" w:lineRule="exact"/>
              <w:rPr>
                <w:sz w:val="20"/>
                <w:szCs w:val="20"/>
                <w:color w:val="auto"/>
              </w:rPr>
            </w:pPr>
            <w:r>
              <w:rPr>
                <w:rFonts w:ascii="Arial" w:cs="Arial" w:eastAsia="Arial" w:hAnsi="Arial"/>
                <w:sz w:val="18"/>
                <w:szCs w:val="18"/>
                <w:color w:val="auto"/>
              </w:rPr>
              <w:t>Dated: June 8, 2005</w:t>
            </w:r>
          </w:p>
        </w:tc>
        <w:tc>
          <w:tcPr>
            <w:tcW w:w="5020" w:type="dxa"/>
            <w:vAlign w:val="bottom"/>
          </w:tcPr>
          <w:p>
            <w:pPr>
              <w:ind w:left="2040"/>
              <w:spacing w:after="0" w:line="157" w:lineRule="exact"/>
              <w:rPr>
                <w:sz w:val="20"/>
                <w:szCs w:val="20"/>
                <w:color w:val="auto"/>
              </w:rPr>
            </w:pPr>
            <w:r>
              <w:rPr>
                <w:rFonts w:ascii="Arial" w:cs="Arial" w:eastAsia="Arial" w:hAnsi="Arial"/>
                <w:sz w:val="14"/>
                <w:szCs w:val="14"/>
                <w:b w:val="1"/>
                <w:bCs w:val="1"/>
                <w:color w:val="auto"/>
              </w:rPr>
              <w:t>J. Michael Hateley</w:t>
            </w:r>
          </w:p>
        </w:tc>
      </w:tr>
      <w:tr>
        <w:trPr>
          <w:trHeight w:val="174"/>
        </w:trPr>
        <w:tc>
          <w:tcPr>
            <w:tcW w:w="6400" w:type="dxa"/>
            <w:vAlign w:val="bottom"/>
          </w:tcPr>
          <w:p>
            <w:pPr>
              <w:spacing w:after="0"/>
              <w:rPr>
                <w:sz w:val="15"/>
                <w:szCs w:val="15"/>
                <w:color w:val="auto"/>
              </w:rPr>
            </w:pPr>
          </w:p>
        </w:tc>
        <w:tc>
          <w:tcPr>
            <w:tcW w:w="5020" w:type="dxa"/>
            <w:vAlign w:val="bottom"/>
          </w:tcPr>
          <w:p>
            <w:pPr>
              <w:ind w:left="1460"/>
              <w:spacing w:after="0"/>
              <w:rPr>
                <w:sz w:val="20"/>
                <w:szCs w:val="20"/>
                <w:color w:val="auto"/>
              </w:rPr>
            </w:pPr>
            <w:r>
              <w:rPr>
                <w:rFonts w:ascii="Arial" w:cs="Arial" w:eastAsia="Arial" w:hAnsi="Arial"/>
                <w:sz w:val="14"/>
                <w:szCs w:val="14"/>
                <w:b w:val="1"/>
                <w:bCs w:val="1"/>
                <w:color w:val="auto"/>
              </w:rPr>
              <w:t>Chairman, Administrative Committee</w:t>
            </w:r>
          </w:p>
        </w:tc>
      </w:tr>
    </w:tbl>
    <w:p>
      <w:pPr>
        <w:sectPr>
          <w:pgSz w:w="11900" w:h="16838" w:orient="portrait"/>
          <w:cols w:equalWidth="0" w:num="1">
            <w:col w:w="11420"/>
          </w:cols>
          <w:pgMar w:left="240" w:top="45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333-103429 of Northrop Grumman Corporation on Form S-8 of our report dated June 8, 2005 (which expresses an unqualified opinion and includes an explanatory paragraph relating to the Plan’s merger into the Northrop Grumman Savings Plan), appearing in this Annual Report on Form 11-K of the Northrop Grumman Space &amp; Mission Systems Corp. Savings Plan for the period from January 1, 2004 to December 10, 2004.</w:t>
      </w:r>
    </w:p>
    <w:p>
      <w:pPr>
        <w:spacing w:after="0" w:line="13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8, 2005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2019-12-15T04:36:49Z</dcterms:created>
  <dcterms:modified xsi:type="dcterms:W3CDTF">2019-12-15T04:36:49Z</dcterms:modified>
</cp:coreProperties>
</file>