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94" w:lineRule="exact"/>
        <w:rPr>
          <w:sz w:val="24"/>
          <w:szCs w:val="24"/>
          <w:color w:val="auto"/>
        </w:rPr>
      </w:pPr>
    </w:p>
    <w:p>
      <w:pPr>
        <w:ind w:left="1900"/>
        <w:spacing w:after="0"/>
        <w:rPr>
          <w:sz w:val="20"/>
          <w:szCs w:val="20"/>
          <w:color w:val="auto"/>
        </w:rPr>
      </w:pPr>
      <w:r>
        <w:rPr>
          <w:rFonts w:ascii="Times New Roman" w:cs="Times New Roman" w:eastAsia="Times New Roman" w:hAnsi="Times New Roman"/>
          <w:sz w:val="32"/>
          <w:szCs w:val="32"/>
          <w:b w:val="1"/>
          <w:bCs w:val="1"/>
          <w:color w:val="auto"/>
        </w:rPr>
        <w:t>______________________________________________</w:t>
      </w:r>
    </w:p>
    <w:p>
      <w:pPr>
        <w:spacing w:after="0" w:line="7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61"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9"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25"/>
          <w:szCs w:val="25"/>
          <w:b w:val="1"/>
          <w:bCs w:val="1"/>
          <w:color w:val="auto"/>
        </w:rPr>
        <w:t>____________________</w:t>
      </w:r>
    </w:p>
    <w:p>
      <w:pPr>
        <w:spacing w:after="0" w:line="99"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32"/>
          <w:szCs w:val="32"/>
          <w:b w:val="1"/>
          <w:bCs w:val="1"/>
          <w:color w:val="auto"/>
        </w:rPr>
        <w:t>FORM 11-K</w:t>
      </w:r>
    </w:p>
    <w:p>
      <w:pPr>
        <w:spacing w:after="0" w:line="96"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5"/>
          <w:szCs w:val="25"/>
          <w:b w:val="1"/>
          <w:bCs w:val="1"/>
          <w:color w:val="auto"/>
        </w:rPr>
        <w:t>____________________</w:t>
      </w:r>
    </w:p>
    <w:p>
      <w:pPr>
        <w:spacing w:after="0" w:line="1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52" w:lineRule="exact"/>
        <w:rPr>
          <w:sz w:val="24"/>
          <w:szCs w:val="24"/>
          <w:color w:val="auto"/>
        </w:rPr>
      </w:pPr>
    </w:p>
    <w:p>
      <w:pPr>
        <w:ind w:left="3920" w:right="999" w:hanging="3714"/>
        <w:spacing w:after="0" w:line="380" w:lineRule="auto"/>
        <w:tabs>
          <w:tab w:leader="none" w:pos="883"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15(d) OF THE SECURITIES EXCHANGE ACT OF 1934 For the fiscal year ended December 31, 2025</w:t>
      </w:r>
    </w:p>
    <w:p>
      <w:pPr>
        <w:spacing w:after="0" w:line="20" w:lineRule="exact"/>
        <w:rPr>
          <w:sz w:val="24"/>
          <w:szCs w:val="24"/>
          <w:color w:val="auto"/>
        </w:rPr>
      </w:pPr>
    </w:p>
    <w:p>
      <w:pPr>
        <w:ind w:left="548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52" w:lineRule="exact"/>
        <w:rPr>
          <w:sz w:val="24"/>
          <w:szCs w:val="24"/>
          <w:color w:val="auto"/>
        </w:rPr>
      </w:pPr>
    </w:p>
    <w:p>
      <w:pPr>
        <w:ind w:left="880" w:hanging="674"/>
        <w:spacing w:after="0"/>
        <w:tabs>
          <w:tab w:leader="none" w:pos="8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15(d) OF THE SECURITIES EXCHANGE ACT OF 1934</w:t>
      </w:r>
    </w:p>
    <w:p>
      <w:pPr>
        <w:spacing w:after="0" w:line="90" w:lineRule="exact"/>
        <w:rPr>
          <w:sz w:val="24"/>
          <w:szCs w:val="24"/>
          <w:color w:val="auto"/>
        </w:rPr>
      </w:pPr>
    </w:p>
    <w:p>
      <w:pPr>
        <w:ind w:left="3760"/>
        <w:spacing w:after="0"/>
        <w:tabs>
          <w:tab w:leader="none" w:pos="6700" w:val="left"/>
          <w:tab w:leader="none" w:pos="74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3890645</wp:posOffset>
            </wp:positionH>
            <wp:positionV relativeFrom="paragraph">
              <wp:posOffset>-5080</wp:posOffset>
            </wp:positionV>
            <wp:extent cx="8375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37565" cy="8255"/>
                    </a:xfrm>
                    <a:prstGeom prst="rect">
                      <a:avLst/>
                    </a:prstGeom>
                    <a:noFill/>
                  </pic:spPr>
                </pic:pic>
              </a:graphicData>
            </a:graphic>
          </wp:anchor>
        </w:drawing>
      </w:r>
    </w:p>
    <w:p>
      <w:pPr>
        <w:spacing w:after="0" w:line="151"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Commission file number: 1-16411</w:t>
      </w:r>
    </w:p>
    <w:p>
      <w:pPr>
        <w:spacing w:after="0" w:line="337" w:lineRule="exact"/>
        <w:rPr>
          <w:sz w:val="24"/>
          <w:szCs w:val="24"/>
          <w:color w:val="auto"/>
        </w:rPr>
      </w:pPr>
    </w:p>
    <w:p>
      <w:pPr>
        <w:ind w:left="680" w:hanging="654"/>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title of the plan and address of the plan, if different from that of the issuer named below:</w:t>
      </w:r>
    </w:p>
    <w:p>
      <w:pPr>
        <w:spacing w:after="0" w:line="261" w:lineRule="exact"/>
        <w:rPr>
          <w:rFonts w:ascii="Times New Roman" w:cs="Times New Roman" w:eastAsia="Times New Roman" w:hAnsi="Times New Roman"/>
          <w:sz w:val="18"/>
          <w:szCs w:val="18"/>
          <w:color w:val="auto"/>
        </w:rPr>
      </w:pPr>
    </w:p>
    <w:p>
      <w:pPr>
        <w:ind w:left="3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NORTHROP GRUMMAN SAVINGS PLAN</w:t>
      </w:r>
    </w:p>
    <w:p>
      <w:pPr>
        <w:spacing w:after="0" w:line="337" w:lineRule="exact"/>
        <w:rPr>
          <w:rFonts w:ascii="Times New Roman" w:cs="Times New Roman" w:eastAsia="Times New Roman" w:hAnsi="Times New Roman"/>
          <w:sz w:val="18"/>
          <w:szCs w:val="18"/>
          <w:color w:val="auto"/>
        </w:rPr>
      </w:pPr>
    </w:p>
    <w:p>
      <w:pPr>
        <w:ind w:left="680" w:hanging="654"/>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 of the securities held pursuant to the plan and the address of its principal executive office:</w:t>
      </w: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2980 Fairview Park Drive</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Falls Church, Virginia 22042</w:t>
      </w:r>
    </w:p>
    <w:p>
      <w:pPr>
        <w:spacing w:after="0" w:line="9" w:lineRule="exact"/>
        <w:rPr>
          <w:sz w:val="24"/>
          <w:szCs w:val="24"/>
          <w:color w:val="auto"/>
        </w:rPr>
      </w:pPr>
    </w:p>
    <w:p>
      <w:pPr>
        <w:ind w:left="1740"/>
        <w:spacing w:after="0"/>
        <w:rPr>
          <w:sz w:val="20"/>
          <w:szCs w:val="20"/>
          <w:color w:val="auto"/>
        </w:rPr>
      </w:pPr>
      <w:r>
        <w:rPr>
          <w:rFonts w:ascii="Times New Roman" w:cs="Times New Roman" w:eastAsia="Times New Roman" w:hAnsi="Times New Roman"/>
          <w:sz w:val="32"/>
          <w:szCs w:val="32"/>
          <w:b w:val="1"/>
          <w:bCs w:val="1"/>
          <w:color w:val="auto"/>
        </w:rPr>
        <w:t>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688340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43"/>
          <w:szCs w:val="43"/>
          <w:b w:val="1"/>
          <w:bCs w:val="1"/>
          <w:color w:val="auto"/>
        </w:rPr>
        <w:t>Northrop Grumman Savings Plan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Financial Statements as of December 31, 2025 and 2024,</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and for the Year Ended December 31, 2025,</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Supplemental Schedule as of December 31, 2025,</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and 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822960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74"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0"/>
          <w:szCs w:val="20"/>
          <w:b w:val="1"/>
          <w:bCs w:val="1"/>
          <w:color w:val="auto"/>
        </w:rPr>
        <w:t>NORTHROP GRUMMAN SAVINGS PLAN</w:t>
      </w:r>
    </w:p>
    <w:p>
      <w:pPr>
        <w:spacing w:after="0" w:line="1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32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REPORT OF INDEPENDENT REGISTERED PUBLIC ACCOUNTING FIRM</w:t>
            </w:r>
          </w:p>
        </w:tc>
        <w:tc>
          <w:tcPr>
            <w:tcW w:w="1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9320" w:type="dxa"/>
            <w:vAlign w:val="bottom"/>
            <w:gridSpan w:val="8"/>
            <w:vMerge w:val="continue"/>
          </w:tcPr>
          <w:p>
            <w:pPr>
              <w:spacing w:after="0"/>
              <w:rPr>
                <w:sz w:val="16"/>
                <w:szCs w:val="16"/>
                <w:color w:val="auto"/>
              </w:rPr>
            </w:pPr>
          </w:p>
        </w:tc>
        <w:tc>
          <w:tcPr>
            <w:tcW w:w="1900" w:type="dxa"/>
            <w:vAlign w:val="bottom"/>
            <w:gridSpan w:val="4"/>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502"/>
        </w:trPr>
        <w:tc>
          <w:tcPr>
            <w:tcW w:w="20" w:type="dxa"/>
            <w:vAlign w:val="bottom"/>
          </w:tcPr>
          <w:p>
            <w:pPr>
              <w:spacing w:after="0"/>
              <w:rPr>
                <w:sz w:val="24"/>
                <w:szCs w:val="24"/>
                <w:color w:val="auto"/>
              </w:rPr>
            </w:pPr>
          </w:p>
        </w:tc>
        <w:tc>
          <w:tcPr>
            <w:tcW w:w="616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3160" w:type="dxa"/>
            <w:vAlign w:val="bottom"/>
            <w:gridSpan w:val="3"/>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00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0000FF"/>
                <w:w w:val="99"/>
              </w:rPr>
              <w:t>Statements of Net Assets Available for Benefits as of December 31, 2025 and 2024</w:t>
            </w:r>
          </w:p>
        </w:tc>
        <w:tc>
          <w:tcPr>
            <w:tcW w:w="3320" w:type="dxa"/>
            <w:vAlign w:val="bottom"/>
            <w:gridSpan w:val="4"/>
          </w:tcPr>
          <w:p>
            <w:pPr>
              <w:spacing w:after="0"/>
              <w:rPr>
                <w:sz w:val="16"/>
                <w:szCs w:val="16"/>
                <w:color w:val="auto"/>
              </w:rPr>
            </w:pPr>
          </w:p>
        </w:tc>
        <w:tc>
          <w:tcPr>
            <w:tcW w:w="1900" w:type="dxa"/>
            <w:vAlign w:val="bottom"/>
            <w:gridSpan w:val="4"/>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8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0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9"/>
              </w:rPr>
              <w:t>Statement of Changes in Net Assets Available for Benefits for the Year Ended December 31, 2025</w:t>
            </w:r>
          </w:p>
        </w:tc>
        <w:tc>
          <w:tcPr>
            <w:tcW w:w="2240" w:type="dxa"/>
            <w:vAlign w:val="bottom"/>
            <w:gridSpan w:val="2"/>
          </w:tcPr>
          <w:p>
            <w:pPr>
              <w:spacing w:after="0"/>
              <w:rPr>
                <w:sz w:val="18"/>
                <w:szCs w:val="18"/>
                <w:color w:val="auto"/>
              </w:rPr>
            </w:pPr>
          </w:p>
        </w:tc>
        <w:tc>
          <w:tcPr>
            <w:tcW w:w="1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8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1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9"/>
              </w:rPr>
              <w:t>Notes to Financial Statements</w:t>
            </w:r>
          </w:p>
        </w:tc>
        <w:tc>
          <w:tcPr>
            <w:tcW w:w="4920" w:type="dxa"/>
            <w:vAlign w:val="bottom"/>
            <w:gridSpan w:val="3"/>
          </w:tcPr>
          <w:p>
            <w:pPr>
              <w:spacing w:after="0"/>
              <w:rPr>
                <w:sz w:val="18"/>
                <w:szCs w:val="18"/>
                <w:color w:val="auto"/>
              </w:rPr>
            </w:pPr>
          </w:p>
        </w:tc>
        <w:tc>
          <w:tcPr>
            <w:tcW w:w="2240" w:type="dxa"/>
            <w:vAlign w:val="bottom"/>
            <w:gridSpan w:val="2"/>
          </w:tcPr>
          <w:p>
            <w:pPr>
              <w:spacing w:after="0"/>
              <w:rPr>
                <w:sz w:val="18"/>
                <w:szCs w:val="18"/>
                <w:color w:val="auto"/>
              </w:rPr>
            </w:pPr>
          </w:p>
        </w:tc>
        <w:tc>
          <w:tcPr>
            <w:tcW w:w="1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5660" w:type="dxa"/>
            <w:vAlign w:val="bottom"/>
            <w:gridSpan w:val="4"/>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2"/>
        </w:trPr>
        <w:tc>
          <w:tcPr>
            <w:tcW w:w="20" w:type="dxa"/>
            <w:vAlign w:val="bottom"/>
          </w:tcPr>
          <w:p>
            <w:pPr>
              <w:spacing w:after="0"/>
              <w:rPr>
                <w:sz w:val="24"/>
                <w:szCs w:val="24"/>
                <w:color w:val="auto"/>
              </w:rPr>
            </w:pPr>
          </w:p>
        </w:tc>
        <w:tc>
          <w:tcPr>
            <w:tcW w:w="932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SUPPLEMENTAL SCHEDULE</w:t>
            </w: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9320" w:type="dxa"/>
            <w:vAlign w:val="bottom"/>
            <w:gridSpan w:val="8"/>
          </w:tcPr>
          <w:p>
            <w:pPr>
              <w:spacing w:after="0" w:line="194" w:lineRule="exact"/>
              <w:rPr>
                <w:sz w:val="20"/>
                <w:szCs w:val="20"/>
                <w:color w:val="auto"/>
              </w:rPr>
            </w:pPr>
            <w:r>
              <w:rPr>
                <w:rFonts w:ascii="Times New Roman" w:cs="Times New Roman" w:eastAsia="Times New Roman" w:hAnsi="Times New Roman"/>
                <w:sz w:val="18"/>
                <w:szCs w:val="18"/>
                <w:color w:val="0000FF"/>
              </w:rPr>
              <w:t>Form 5500, Schedule H, Part IV, Line 4i, Schedule of Assets (Held at End of Year) as of December 31, 2025</w:t>
            </w:r>
          </w:p>
        </w:tc>
        <w:tc>
          <w:tcPr>
            <w:tcW w:w="1880" w:type="dxa"/>
            <w:vAlign w:val="bottom"/>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0000FF"/>
              </w:rPr>
              <w:t>13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782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b w:val="1"/>
                <w:bCs w:val="1"/>
                <w:color w:val="0000FF"/>
              </w:rPr>
              <w:t>SIGNATURE</w:t>
            </w:r>
          </w:p>
        </w:tc>
        <w:tc>
          <w:tcPr>
            <w:tcW w:w="15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920" w:type="dxa"/>
            <w:vAlign w:val="bottom"/>
            <w:gridSpan w:val="6"/>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932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0000FF"/>
              </w:rPr>
              <w:t>EXHIBIT INDEX</w:t>
            </w: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2"/>
        </w:trPr>
        <w:tc>
          <w:tcPr>
            <w:tcW w:w="20" w:type="dxa"/>
            <w:vAlign w:val="bottom"/>
            <w:tcBorders>
              <w:bottom w:val="single" w:sz="8" w:color="9A9A9A"/>
            </w:tcBorders>
          </w:tcPr>
          <w:p>
            <w:pPr>
              <w:spacing w:after="0"/>
              <w:rPr>
                <w:sz w:val="24"/>
                <w:szCs w:val="24"/>
                <w:color w:val="auto"/>
              </w:rPr>
            </w:pPr>
          </w:p>
        </w:tc>
        <w:tc>
          <w:tcPr>
            <w:tcW w:w="1060" w:type="dxa"/>
            <w:vAlign w:val="bottom"/>
            <w:tcBorders>
              <w:top w:val="single" w:sz="8" w:color="0000FF"/>
              <w:bottom w:val="single" w:sz="8" w:color="9A9A9A"/>
            </w:tcBorders>
          </w:tcPr>
          <w:p>
            <w:pPr>
              <w:spacing w:after="0"/>
              <w:rPr>
                <w:sz w:val="24"/>
                <w:szCs w:val="24"/>
                <w:color w:val="auto"/>
              </w:rPr>
            </w:pPr>
          </w:p>
        </w:tc>
        <w:tc>
          <w:tcPr>
            <w:tcW w:w="340" w:type="dxa"/>
            <w:vAlign w:val="bottom"/>
            <w:tcBorders>
              <w:top w:val="single" w:sz="8" w:color="0000FF"/>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38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5"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Plan Participants and Plan Administrator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Northrop Grumman Savings Plan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statements of net assets available for benefits of Northrop Grumman Savings Plan (the “Plan”) as of December 31, 2025 and 2024, the related statement of changes in net assets available for benefits for the year ended December 31, 2025, and the related notes (collectively referred to as the “financial statements”). In our opinion, the financial statements present fairly, in all material respects, the net assets available for benefits of the Plan as of December 31, 2025 and 2024, and the changes in net assets available for benefits for the year ended December 31, 2025, in conformity with accounting principles generally accepted in the United States of America.</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on Supplemental Schedule</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supplemental schedule of assets (held at end of year) as of December 31, 2025 has been subjected to audit procedures performed in conjunction with the audit of the Plan's financial statements. The supplemental schedule is the responsibility of the Plan's management. Our audit procedures included determining whether the supplemental schedule reconciles to the financial statements or the underlying accounting and other records, as applicable, and performing procedures to test the completeness and accuracy of the information presented in the supplemental schedule. In forming our opinion on the supplemental schedule, we evaluated whether the supplemental schedule, including its form and content, is presented in compliance with the Department of Labor's Rules and Regulations for Reporting and Disclosure under the Employee Retirement Income Security Act of 1974. In our opinion, such schedule is fairly stated, in all material respects, in relation to the financial statements as a whole.</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w:t>
      </w:r>
      <w:r>
        <w:rPr>
          <w:rFonts w:ascii="Times New Roman" w:cs="Times New Roman" w:eastAsia="Times New Roman" w:hAnsi="Times New Roman"/>
          <w:sz w:val="18"/>
          <w:szCs w:val="18"/>
          <w:color w:val="auto"/>
        </w:rPr>
        <w:t>]</w:t>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McLean, VA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11, 2026</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auditor of the Plan since at least 1994; however, an earlier year could not be reliably determined.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4" w:name="page5"/>
    <w:bookmarkEnd w:id="4"/>
    <w:p>
      <w:pPr>
        <w:ind w:left="20"/>
        <w:spacing w:after="0"/>
        <w:rPr>
          <w:sz w:val="20"/>
          <w:szCs w:val="20"/>
          <w:color w:val="auto"/>
        </w:rPr>
      </w:pPr>
      <w:r>
        <w:rPr>
          <w:rFonts w:ascii="Times New Roman" w:cs="Times New Roman" w:eastAsia="Times New Roman" w:hAnsi="Times New Roman"/>
          <w:sz w:val="20"/>
          <w:szCs w:val="20"/>
          <w:b w:val="1"/>
          <w:bCs w:val="1"/>
          <w:color w:val="auto"/>
        </w:rPr>
        <w:t>NORTHROP GRUMMAN SAVINGS PLAN</w:t>
      </w:r>
    </w:p>
    <w:p>
      <w:pPr>
        <w:spacing w:after="0" w:line="2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STATEMENTS OF NET ASSETS AVAILABLE FOR BENEFITS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4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December 31</w:t>
            </w:r>
          </w:p>
        </w:tc>
        <w:tc>
          <w:tcPr>
            <w:tcW w:w="1320" w:type="dxa"/>
            <w:vAlign w:val="bottom"/>
            <w:tcBorders>
              <w:bottom w:val="single" w:sz="8" w:color="auto"/>
            </w:tcBorders>
          </w:tcPr>
          <w:p>
            <w:pPr>
              <w:spacing w:after="0"/>
              <w:rPr>
                <w:sz w:val="20"/>
                <w:szCs w:val="20"/>
                <w:color w:val="auto"/>
              </w:rPr>
            </w:pPr>
          </w:p>
        </w:tc>
      </w:tr>
      <w:tr>
        <w:trPr>
          <w:trHeight w:val="223"/>
        </w:trPr>
        <w:tc>
          <w:tcPr>
            <w:tcW w:w="7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5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9"/>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5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7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Plan interest in Northrop Grumman Defined Contribution Plans Master Trust (Note 3)</w:t>
            </w:r>
          </w:p>
        </w:tc>
        <w:tc>
          <w:tcPr>
            <w:tcW w:w="5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39,301,997</w:t>
            </w:r>
          </w:p>
        </w:tc>
        <w:tc>
          <w:tcPr>
            <w:tcW w:w="7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35,040,516</w:t>
            </w:r>
          </w:p>
        </w:tc>
      </w:tr>
      <w:tr>
        <w:trPr>
          <w:trHeight w:val="229"/>
        </w:trPr>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 in BrokerageLink account—at fair value</w:t>
            </w:r>
          </w:p>
        </w:tc>
        <w:tc>
          <w:tcPr>
            <w:tcW w:w="560" w:type="dxa"/>
            <w:vAlign w:val="bottom"/>
          </w:tcPr>
          <w:p>
            <w:pPr>
              <w:spacing w:after="0"/>
              <w:rPr>
                <w:sz w:val="19"/>
                <w:szCs w:val="19"/>
                <w:color w:val="auto"/>
              </w:rPr>
            </w:pP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4,641,343</w:t>
            </w:r>
          </w:p>
        </w:tc>
        <w:tc>
          <w:tcPr>
            <w:tcW w:w="7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4,024,861</w:t>
            </w:r>
          </w:p>
        </w:tc>
      </w:tr>
      <w:tr>
        <w:trPr>
          <w:trHeight w:val="229"/>
        </w:trPr>
        <w:tc>
          <w:tcPr>
            <w:tcW w:w="71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Short-term investment fund—at fair value</w:t>
            </w:r>
          </w:p>
        </w:tc>
        <w:tc>
          <w:tcPr>
            <w:tcW w:w="5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143</w:t>
            </w:r>
          </w:p>
        </w:tc>
        <w:tc>
          <w:tcPr>
            <w:tcW w:w="7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w:t>
            </w:r>
          </w:p>
        </w:tc>
      </w:tr>
      <w:tr>
        <w:trPr>
          <w:trHeight w:val="223"/>
        </w:trPr>
        <w:tc>
          <w:tcPr>
            <w:tcW w:w="71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Total investments</w:t>
            </w:r>
          </w:p>
        </w:tc>
        <w:tc>
          <w:tcPr>
            <w:tcW w:w="5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43,943,483</w:t>
            </w:r>
          </w:p>
        </w:tc>
        <w:tc>
          <w:tcPr>
            <w:tcW w:w="7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39,066,279</w:t>
            </w:r>
          </w:p>
        </w:tc>
      </w:tr>
      <w:tr>
        <w:trPr>
          <w:trHeight w:val="223"/>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w:t>
            </w:r>
          </w:p>
        </w:tc>
        <w:tc>
          <w:tcPr>
            <w:tcW w:w="5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Notes receivable from participants</w:t>
            </w:r>
          </w:p>
        </w:tc>
        <w:tc>
          <w:tcPr>
            <w:tcW w:w="560" w:type="dxa"/>
            <w:vAlign w:val="bottom"/>
          </w:tcPr>
          <w:p>
            <w:pPr>
              <w:spacing w:after="0"/>
              <w:rPr>
                <w:sz w:val="19"/>
                <w:szCs w:val="19"/>
                <w:color w:val="auto"/>
              </w:rPr>
            </w:pP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339,104</w:t>
            </w:r>
          </w:p>
        </w:tc>
        <w:tc>
          <w:tcPr>
            <w:tcW w:w="7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329,923</w:t>
            </w:r>
          </w:p>
        </w:tc>
      </w:tr>
      <w:tr>
        <w:trPr>
          <w:trHeight w:val="229"/>
        </w:trPr>
        <w:tc>
          <w:tcPr>
            <w:tcW w:w="7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Employer contributions</w:t>
            </w:r>
          </w:p>
        </w:tc>
        <w:tc>
          <w:tcPr>
            <w:tcW w:w="56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74,657</w:t>
            </w:r>
          </w:p>
        </w:tc>
        <w:tc>
          <w:tcPr>
            <w:tcW w:w="7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77,567</w:t>
            </w:r>
          </w:p>
        </w:tc>
      </w:tr>
      <w:tr>
        <w:trPr>
          <w:trHeight w:val="230"/>
        </w:trPr>
        <w:tc>
          <w:tcPr>
            <w:tcW w:w="71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Participant contributions</w:t>
            </w:r>
          </w:p>
        </w:tc>
        <w:tc>
          <w:tcPr>
            <w:tcW w:w="5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71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receivables</w:t>
            </w:r>
          </w:p>
        </w:tc>
        <w:tc>
          <w:tcPr>
            <w:tcW w:w="5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413,761</w:t>
            </w:r>
          </w:p>
        </w:tc>
        <w:tc>
          <w:tcPr>
            <w:tcW w:w="7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407,498</w:t>
            </w:r>
          </w:p>
        </w:tc>
      </w:tr>
      <w:tr>
        <w:trPr>
          <w:trHeight w:val="223"/>
        </w:trPr>
        <w:tc>
          <w:tcPr>
            <w:tcW w:w="7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5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44,357,244</w:t>
            </w:r>
          </w:p>
        </w:tc>
        <w:tc>
          <w:tcPr>
            <w:tcW w:w="7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39,473,777</w:t>
            </w:r>
          </w:p>
        </w:tc>
      </w:tr>
      <w:tr>
        <w:trPr>
          <w:trHeight w:val="223"/>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5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71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5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2,059</w:t>
            </w:r>
          </w:p>
        </w:tc>
        <w:tc>
          <w:tcPr>
            <w:tcW w:w="7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1,923</w:t>
            </w:r>
          </w:p>
        </w:tc>
      </w:tr>
      <w:tr>
        <w:trPr>
          <w:trHeight w:val="230"/>
        </w:trPr>
        <w:tc>
          <w:tcPr>
            <w:tcW w:w="7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assets available for benefits</w:t>
            </w:r>
          </w:p>
        </w:tc>
        <w:tc>
          <w:tcPr>
            <w:tcW w:w="5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44,355,185</w:t>
            </w:r>
          </w:p>
        </w:tc>
        <w:tc>
          <w:tcPr>
            <w:tcW w:w="7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39,471,854</w:t>
            </w: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0" w:right="339" w:bottom="1440" w:gutter="0" w:footer="0" w:header="0"/>
        </w:sectPr>
      </w:pPr>
    </w:p>
    <w:bookmarkStart w:id="5" w:name="page6"/>
    <w:bookmarkEnd w:id="5"/>
    <w:p>
      <w:pPr>
        <w:ind w:left="20"/>
        <w:spacing w:after="0"/>
        <w:rPr>
          <w:sz w:val="20"/>
          <w:szCs w:val="20"/>
          <w:color w:val="auto"/>
        </w:rPr>
      </w:pPr>
      <w:r>
        <w:rPr>
          <w:rFonts w:ascii="Times New Roman" w:cs="Times New Roman" w:eastAsia="Times New Roman" w:hAnsi="Times New Roman"/>
          <w:sz w:val="20"/>
          <w:szCs w:val="20"/>
          <w:b w:val="1"/>
          <w:bCs w:val="1"/>
          <w:color w:val="auto"/>
        </w:rPr>
        <w:t>NORTHROP GRUMMAN SAVINGS PLAN</w:t>
      </w:r>
    </w:p>
    <w:p>
      <w:pPr>
        <w:spacing w:after="0" w:line="1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STATEMENT OF CHANGES IN NET ASSETS AVAILABLE FOR BENEFITS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6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82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238"/>
        </w:trPr>
        <w:tc>
          <w:tcPr>
            <w:tcW w:w="7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8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23"/>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Additions:</w:t>
            </w:r>
          </w:p>
        </w:tc>
        <w:tc>
          <w:tcPr>
            <w:tcW w:w="18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r>
      <w:tr>
        <w:trPr>
          <w:trHeight w:val="229"/>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180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30"/>
        </w:trPr>
        <w:tc>
          <w:tcPr>
            <w:tcW w:w="7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Plan interest in the Northrop Grumman Defined Contribution Plans Master Trust</w:t>
            </w:r>
          </w:p>
        </w:tc>
        <w:tc>
          <w:tcPr>
            <w:tcW w:w="18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5,952,669</w:t>
            </w:r>
          </w:p>
        </w:tc>
      </w:tr>
      <w:tr>
        <w:trPr>
          <w:trHeight w:val="229"/>
        </w:trPr>
        <w:tc>
          <w:tcPr>
            <w:tcW w:w="7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investments:</w:t>
            </w:r>
          </w:p>
        </w:tc>
        <w:tc>
          <w:tcPr>
            <w:tcW w:w="180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30"/>
        </w:trPr>
        <w:tc>
          <w:tcPr>
            <w:tcW w:w="76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Net appreciation in fair value of other investments</w:t>
            </w:r>
          </w:p>
        </w:tc>
        <w:tc>
          <w:tcPr>
            <w:tcW w:w="18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515,172</w:t>
            </w:r>
          </w:p>
        </w:tc>
      </w:tr>
      <w:tr>
        <w:trPr>
          <w:trHeight w:val="229"/>
        </w:trPr>
        <w:tc>
          <w:tcPr>
            <w:tcW w:w="76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Dividends</w:t>
            </w:r>
          </w:p>
        </w:tc>
        <w:tc>
          <w:tcPr>
            <w:tcW w:w="18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104,944</w:t>
            </w:r>
          </w:p>
        </w:tc>
      </w:tr>
      <w:tr>
        <w:trPr>
          <w:trHeight w:val="229"/>
        </w:trPr>
        <w:tc>
          <w:tcPr>
            <w:tcW w:w="762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Interest</w:t>
            </w:r>
          </w:p>
        </w:tc>
        <w:tc>
          <w:tcPr>
            <w:tcW w:w="180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30,138</w:t>
            </w:r>
          </w:p>
        </w:tc>
      </w:tr>
      <w:tr>
        <w:trPr>
          <w:trHeight w:val="223"/>
        </w:trPr>
        <w:tc>
          <w:tcPr>
            <w:tcW w:w="76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Total investment income</w:t>
            </w:r>
          </w:p>
        </w:tc>
        <w:tc>
          <w:tcPr>
            <w:tcW w:w="18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6,602,923</w:t>
            </w:r>
          </w:p>
        </w:tc>
      </w:tr>
      <w:tr>
        <w:trPr>
          <w:trHeight w:val="223"/>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on notes receivable from participants</w:t>
            </w:r>
          </w:p>
        </w:tc>
        <w:tc>
          <w:tcPr>
            <w:tcW w:w="18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24,742</w:t>
            </w:r>
          </w:p>
        </w:tc>
      </w:tr>
      <w:tr>
        <w:trPr>
          <w:trHeight w:val="230"/>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Contributions:</w:t>
            </w:r>
          </w:p>
        </w:tc>
        <w:tc>
          <w:tcPr>
            <w:tcW w:w="180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29"/>
        </w:trPr>
        <w:tc>
          <w:tcPr>
            <w:tcW w:w="7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Participant contributions</w:t>
            </w:r>
          </w:p>
        </w:tc>
        <w:tc>
          <w:tcPr>
            <w:tcW w:w="18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1,415,870</w:t>
            </w:r>
          </w:p>
        </w:tc>
      </w:tr>
      <w:tr>
        <w:trPr>
          <w:trHeight w:val="230"/>
        </w:trPr>
        <w:tc>
          <w:tcPr>
            <w:tcW w:w="7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Employer contributions</w:t>
            </w:r>
          </w:p>
        </w:tc>
        <w:tc>
          <w:tcPr>
            <w:tcW w:w="18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664,002</w:t>
            </w:r>
          </w:p>
        </w:tc>
      </w:tr>
      <w:tr>
        <w:trPr>
          <w:trHeight w:val="229"/>
        </w:trPr>
        <w:tc>
          <w:tcPr>
            <w:tcW w:w="762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Rollover contributions</w:t>
            </w:r>
          </w:p>
        </w:tc>
        <w:tc>
          <w:tcPr>
            <w:tcW w:w="180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139,573</w:t>
            </w:r>
          </w:p>
        </w:tc>
      </w:tr>
      <w:tr>
        <w:trPr>
          <w:trHeight w:val="223"/>
        </w:trPr>
        <w:tc>
          <w:tcPr>
            <w:tcW w:w="76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Total contributions</w:t>
            </w:r>
          </w:p>
        </w:tc>
        <w:tc>
          <w:tcPr>
            <w:tcW w:w="18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2,219,445</w:t>
            </w:r>
          </w:p>
        </w:tc>
      </w:tr>
      <w:tr>
        <w:trPr>
          <w:trHeight w:val="223"/>
        </w:trPr>
        <w:tc>
          <w:tcPr>
            <w:tcW w:w="762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additions</w:t>
            </w:r>
          </w:p>
        </w:tc>
        <w:tc>
          <w:tcPr>
            <w:tcW w:w="180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8,847,110</w:t>
            </w:r>
          </w:p>
        </w:tc>
      </w:tr>
      <w:tr>
        <w:trPr>
          <w:trHeight w:val="223"/>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Deductions:</w:t>
            </w:r>
          </w:p>
        </w:tc>
        <w:tc>
          <w:tcPr>
            <w:tcW w:w="180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29"/>
        </w:trPr>
        <w:tc>
          <w:tcPr>
            <w:tcW w:w="7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Benefits paid to participants</w:t>
            </w:r>
          </w:p>
        </w:tc>
        <w:tc>
          <w:tcPr>
            <w:tcW w:w="18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3,950,883</w:t>
            </w:r>
          </w:p>
        </w:tc>
      </w:tr>
      <w:tr>
        <w:trPr>
          <w:trHeight w:val="230"/>
        </w:trPr>
        <w:tc>
          <w:tcPr>
            <w:tcW w:w="76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Expenses</w:t>
            </w:r>
          </w:p>
        </w:tc>
        <w:tc>
          <w:tcPr>
            <w:tcW w:w="18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12,896</w:t>
            </w:r>
          </w:p>
        </w:tc>
      </w:tr>
      <w:tr>
        <w:trPr>
          <w:trHeight w:val="223"/>
        </w:trPr>
        <w:tc>
          <w:tcPr>
            <w:tcW w:w="762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deductions</w:t>
            </w:r>
          </w:p>
        </w:tc>
        <w:tc>
          <w:tcPr>
            <w:tcW w:w="180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3,963,779</w:t>
            </w:r>
          </w:p>
        </w:tc>
      </w:tr>
      <w:tr>
        <w:trPr>
          <w:trHeight w:val="223"/>
        </w:trPr>
        <w:tc>
          <w:tcPr>
            <w:tcW w:w="7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Increase in net assets</w:t>
            </w:r>
          </w:p>
        </w:tc>
        <w:tc>
          <w:tcPr>
            <w:tcW w:w="18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4,883,331</w:t>
            </w:r>
          </w:p>
        </w:tc>
      </w:tr>
      <w:tr>
        <w:trPr>
          <w:trHeight w:val="223"/>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assets available for benefits</w:t>
            </w:r>
          </w:p>
        </w:tc>
        <w:tc>
          <w:tcPr>
            <w:tcW w:w="18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r>
      <w:tr>
        <w:trPr>
          <w:trHeight w:val="230"/>
        </w:trPr>
        <w:tc>
          <w:tcPr>
            <w:tcW w:w="7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Beginning of year</w:t>
            </w:r>
          </w:p>
        </w:tc>
        <w:tc>
          <w:tcPr>
            <w:tcW w:w="18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39,471,854</w:t>
            </w:r>
          </w:p>
        </w:tc>
      </w:tr>
      <w:tr>
        <w:trPr>
          <w:trHeight w:val="237"/>
        </w:trPr>
        <w:tc>
          <w:tcPr>
            <w:tcW w:w="762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End of year</w:t>
            </w:r>
          </w:p>
        </w:tc>
        <w:tc>
          <w:tcPr>
            <w:tcW w:w="18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44,355,185</w:t>
            </w: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0"/>
          <w:szCs w:val="20"/>
          <w:b w:val="1"/>
          <w:bCs w:val="1"/>
          <w:color w:val="auto"/>
        </w:rPr>
        <w:t>NORTHROP GRUMMAN SAVINGS PLAN</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THE PLAN</w:t>
      </w:r>
    </w:p>
    <w:p>
      <w:pPr>
        <w:spacing w:after="0" w:line="108"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following description of the Northrop Grumman Savings Plan (the “Plan”) provides only general information. Participants should refer to the Plan document for a more complete description of the Plan’s provisions.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31"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The Plan is a qualified profit-sharing and stock bonus plan that includes an employee stock ownership plan sponsored by Northrop Grumman Corporation (the “Company” or “Plan sponsor”). The Plan was established February 1, 1962.</w:t>
      </w:r>
    </w:p>
    <w:p>
      <w:pPr>
        <w:spacing w:after="0" w:line="4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Plan's Benefit Plans Administrative and Investment Committees control and manage the operation of the Plan. State Street Bank and Trust Company (“State Street” or the “Trustee”) serves as Trustee of the Plan. The Plan is subject to the provisions of the Employee Retirement Income Security Act of 1974, as amended (“ERISA”).</w:t>
      </w:r>
    </w:p>
    <w:p>
      <w:pPr>
        <w:spacing w:after="0" w:line="5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Plan investments are participant directed. The Plan holds an interest in the Northrop Grumman Defined Contribution Plans Master Trust (the “DC Master Trust”). It also holds investments in a short-term investment fund at the Trustee, and participant-directed brokerage accounts held in the Fidelity Brokerage Services LLC BrokerageLink Account (“BrokerageLink Account”).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Eligibility</w:t>
      </w:r>
    </w:p>
    <w:p>
      <w:pPr>
        <w:spacing w:after="0" w:line="3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Plan covers substantially all hourly and salaried employees of the Company who are at least 18 years old, are citizens or residents of the United States of America (“U.S.”), are not covered under another plan, and whose pay is determined in accordance with the U.S Internal Revenue Code of 1986, as amended (the “Code”) and processed on a U.S. payroll system of the Company.</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Contributions</w:t>
      </w:r>
    </w:p>
    <w:p>
      <w:pPr>
        <w:spacing w:after="0" w:line="3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Participant contributions are subject to certain limitations imposed by the Code. Contributions can be made on a tax-deferred (pre-tax) basis, after-tax basis or to a Roth 401(k) on an after-tax basis, or a combination thereof through payroll withholdings. Participants may also rollover benefit payments from certain pension plans sponsored by the Company and other qualified plans into the Plan. Active participants may change the percentage of their contributions. First time eligible employees (newly hired, rehired, and certain transfers) are automatically enrolled into the Plan approximately 45 days after the date of hire, rehire, or transfer unless an alternative election is made. Contributions for those automatically enrolled in the Plan increase by one percent each year up to a maximum percentage specified by the Plan sponsor and relate to pre-tax and Roth 401(k) contributions only.</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For employees hired before April 1, 2016, the employer’s matching contributions are generally as follows:</w:t>
            </w:r>
          </w:p>
        </w:tc>
        <w:tc>
          <w:tcPr>
            <w:tcW w:w="2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Employee Contribution</w:t>
            </w:r>
          </w:p>
        </w:tc>
        <w:tc>
          <w:tcPr>
            <w:tcW w:w="2500" w:type="dxa"/>
            <w:vAlign w:val="bottom"/>
          </w:tcPr>
          <w:p>
            <w:pPr>
              <w:jc w:val="right"/>
              <w:ind w:right="630"/>
              <w:spacing w:after="0" w:line="202" w:lineRule="exact"/>
              <w:rPr>
                <w:sz w:val="20"/>
                <w:szCs w:val="20"/>
                <w:color w:val="auto"/>
              </w:rPr>
            </w:pPr>
            <w:r>
              <w:rPr>
                <w:rFonts w:ascii="Times New Roman" w:cs="Times New Roman" w:eastAsia="Times New Roman" w:hAnsi="Times New Roman"/>
                <w:sz w:val="18"/>
                <w:szCs w:val="18"/>
                <w:color w:val="auto"/>
              </w:rPr>
              <w:t>Employer</w:t>
            </w:r>
          </w:p>
        </w:tc>
        <w:tc>
          <w:tcPr>
            <w:tcW w:w="0" w:type="dxa"/>
            <w:vAlign w:val="bottom"/>
          </w:tcPr>
          <w:p>
            <w:pPr>
              <w:spacing w:after="0"/>
              <w:rPr>
                <w:sz w:val="1"/>
                <w:szCs w:val="1"/>
                <w:color w:val="auto"/>
              </w:rPr>
            </w:pPr>
          </w:p>
        </w:tc>
      </w:tr>
      <w:tr>
        <w:trPr>
          <w:trHeight w:val="243"/>
        </w:trPr>
        <w:tc>
          <w:tcPr>
            <w:tcW w:w="8740" w:type="dxa"/>
            <w:vAlign w:val="bottom"/>
            <w:tcBorders>
              <w:bottom w:val="single" w:sz="8" w:color="auto"/>
            </w:tcBorders>
            <w:vMerge w:val="continue"/>
          </w:tcPr>
          <w:p>
            <w:pPr>
              <w:spacing w:after="0"/>
              <w:rPr>
                <w:sz w:val="21"/>
                <w:szCs w:val="21"/>
                <w:color w:val="auto"/>
              </w:rPr>
            </w:pPr>
          </w:p>
        </w:tc>
        <w:tc>
          <w:tcPr>
            <w:tcW w:w="250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Match</w:t>
            </w:r>
          </w:p>
        </w:tc>
        <w:tc>
          <w:tcPr>
            <w:tcW w:w="0" w:type="dxa"/>
            <w:vAlign w:val="bottom"/>
          </w:tcPr>
          <w:p>
            <w:pPr>
              <w:spacing w:after="0"/>
              <w:rPr>
                <w:sz w:val="1"/>
                <w:szCs w:val="1"/>
                <w:color w:val="auto"/>
              </w:rPr>
            </w:pPr>
          </w:p>
        </w:tc>
      </w:tr>
      <w:tr>
        <w:trPr>
          <w:trHeight w:val="223"/>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2% of eligible compensation</w:t>
            </w: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30"/>
        </w:trPr>
        <w:tc>
          <w:tcPr>
            <w:tcW w:w="8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Next 2% of eligible compensation</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30"/>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Next 4% of eligible compensation</w:t>
            </w: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30"/>
        </w:trPr>
        <w:tc>
          <w:tcPr>
            <w:tcW w:w="8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Contributions over 8%</w:t>
            </w:r>
          </w:p>
        </w:tc>
        <w:tc>
          <w:tcPr>
            <w:tcW w:w="25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Certain employees hired or rehired between July 1, 2008 and April 1, 2016, and who meet the applicable Plan requirements, are also eligible to receive an additional employer contribution known as a Retirement Account Contribution ("RAC"). The RAC contribution is generally made annually in the first quarter of the following year. Generally, participants must be employed by the Company on the last day of the plan year to be eligible to receive the RAC contribution. For the year ended December 31, 2025, the Company made a $49.3 million RAC contribution which was remitted to the Plan in March 2026. The amount is generally determined as a percentage of eligible compensation in accordance with the following table:</w:t>
      </w:r>
    </w:p>
    <w:tbl>
      <w:tblPr>
        <w:tblLayout w:type="fixed"/>
        <w:tblInd w:w="0" w:type="dxa"/>
        <w:tblCellMar>
          <w:top w:w="0" w:type="dxa"/>
          <w:left w:w="0" w:type="dxa"/>
          <w:bottom w:w="0" w:type="dxa"/>
          <w:right w:w="0" w:type="dxa"/>
        </w:tblCellMar>
      </w:tblPr>
      <w:tr>
        <w:trPr>
          <w:trHeight w:val="188"/>
        </w:trPr>
        <w:tc>
          <w:tcPr>
            <w:tcW w:w="6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Participant’s Age as of December 31, 2016</w:t>
            </w:r>
          </w:p>
        </w:tc>
        <w:tc>
          <w:tcPr>
            <w:tcW w:w="4740" w:type="dxa"/>
            <w:vAlign w:val="bottom"/>
          </w:tcPr>
          <w:p>
            <w:pPr>
              <w:jc w:val="right"/>
              <w:ind w:right="490"/>
              <w:spacing w:after="0" w:line="189" w:lineRule="exact"/>
              <w:rPr>
                <w:sz w:val="20"/>
                <w:szCs w:val="20"/>
                <w:color w:val="auto"/>
              </w:rPr>
            </w:pPr>
            <w:r>
              <w:rPr>
                <w:rFonts w:ascii="Times New Roman" w:cs="Times New Roman" w:eastAsia="Times New Roman" w:hAnsi="Times New Roman"/>
                <w:sz w:val="18"/>
                <w:szCs w:val="18"/>
                <w:color w:val="auto"/>
              </w:rPr>
              <w:t>Percentage of</w:t>
            </w:r>
          </w:p>
        </w:tc>
        <w:tc>
          <w:tcPr>
            <w:tcW w:w="0" w:type="dxa"/>
            <w:vAlign w:val="bottom"/>
          </w:tcPr>
          <w:p>
            <w:pPr>
              <w:spacing w:after="0"/>
              <w:rPr>
                <w:sz w:val="1"/>
                <w:szCs w:val="1"/>
                <w:color w:val="auto"/>
              </w:rPr>
            </w:pPr>
          </w:p>
        </w:tc>
      </w:tr>
      <w:tr>
        <w:trPr>
          <w:trHeight w:val="243"/>
        </w:trPr>
        <w:tc>
          <w:tcPr>
            <w:tcW w:w="6420" w:type="dxa"/>
            <w:vAlign w:val="bottom"/>
            <w:tcBorders>
              <w:bottom w:val="single" w:sz="8" w:color="auto"/>
            </w:tcBorders>
            <w:vMerge w:val="continue"/>
          </w:tcPr>
          <w:p>
            <w:pPr>
              <w:spacing w:after="0"/>
              <w:rPr>
                <w:sz w:val="21"/>
                <w:szCs w:val="21"/>
                <w:color w:val="auto"/>
              </w:rPr>
            </w:pPr>
          </w:p>
        </w:tc>
        <w:tc>
          <w:tcPr>
            <w:tcW w:w="47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Compensation</w:t>
            </w:r>
          </w:p>
        </w:tc>
        <w:tc>
          <w:tcPr>
            <w:tcW w:w="0" w:type="dxa"/>
            <w:vAlign w:val="bottom"/>
          </w:tcPr>
          <w:p>
            <w:pPr>
              <w:spacing w:after="0"/>
              <w:rPr>
                <w:sz w:val="1"/>
                <w:szCs w:val="1"/>
                <w:color w:val="auto"/>
              </w:rPr>
            </w:pPr>
          </w:p>
        </w:tc>
      </w:tr>
      <w:tr>
        <w:trPr>
          <w:trHeight w:val="223"/>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Under 35</w:t>
            </w:r>
          </w:p>
        </w:tc>
        <w:tc>
          <w:tcPr>
            <w:tcW w:w="4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30"/>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35 – 49</w:t>
            </w:r>
          </w:p>
        </w:tc>
        <w:tc>
          <w:tcPr>
            <w:tcW w:w="4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30"/>
        </w:trPr>
        <w:tc>
          <w:tcPr>
            <w:tcW w:w="6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50 or older</w:t>
            </w:r>
          </w:p>
        </w:tc>
        <w:tc>
          <w:tcPr>
            <w:tcW w:w="4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5" w:right="339" w:bottom="1440" w:gutter="0" w:footer="0" w:header="0"/>
        </w:sectPr>
      </w:pPr>
    </w:p>
    <w:bookmarkStart w:id="7" w:name="page8"/>
    <w:bookmarkEnd w:id="7"/>
    <w:p>
      <w:pPr>
        <w:ind w:right="80"/>
        <w:spacing w:after="0" w:line="258" w:lineRule="auto"/>
        <w:rPr>
          <w:sz w:val="20"/>
          <w:szCs w:val="20"/>
          <w:color w:val="auto"/>
        </w:rPr>
      </w:pPr>
      <w:r>
        <w:rPr>
          <w:rFonts w:ascii="Times New Roman" w:cs="Times New Roman" w:eastAsia="Times New Roman" w:hAnsi="Times New Roman"/>
          <w:sz w:val="18"/>
          <w:szCs w:val="18"/>
          <w:color w:val="auto"/>
        </w:rPr>
        <w:t>Certain employees who joined the company as part of the June 2018 Orbital ATK, Inc acquisition, who were hired between January 1, 2007 and June 5, 2018, are also eligible to receive a Non-Elective Contribution ("NEC"). The NEC contribution is generally made annually in the first quarter of the following year. Generally, participants must be employed by the Company on the last day of the plan year to be eligible to receive the NEC contribution. The NEC contribution ranges from 2.5 percent to 4.0 percent of eligible compensation based on age and years of service. For the year ended December 31, 2025, the Company made a $25.3 million NEC contribution to the Plan, which was remitted to the Plan in March 2026.</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most employees hired after April 1, 2016, and certain employees who did not previously participate in a Company sponsored pension plan or receive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RAC or a NEC, the employer’s matching contributions are generally as follows: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Employee Contribution</w:t>
            </w:r>
          </w:p>
        </w:tc>
        <w:tc>
          <w:tcPr>
            <w:tcW w:w="458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Employer</w:t>
            </w:r>
          </w:p>
        </w:tc>
        <w:tc>
          <w:tcPr>
            <w:tcW w:w="0" w:type="dxa"/>
            <w:vAlign w:val="bottom"/>
          </w:tcPr>
          <w:p>
            <w:pPr>
              <w:spacing w:after="0"/>
              <w:rPr>
                <w:sz w:val="1"/>
                <w:szCs w:val="1"/>
                <w:color w:val="auto"/>
              </w:rPr>
            </w:pPr>
          </w:p>
        </w:tc>
      </w:tr>
      <w:tr>
        <w:trPr>
          <w:trHeight w:val="234"/>
        </w:trPr>
        <w:tc>
          <w:tcPr>
            <w:tcW w:w="6660" w:type="dxa"/>
            <w:vAlign w:val="bottom"/>
            <w:tcBorders>
              <w:bottom w:val="single" w:sz="8" w:color="auto"/>
            </w:tcBorders>
            <w:vMerge w:val="continue"/>
          </w:tcPr>
          <w:p>
            <w:pPr>
              <w:spacing w:after="0"/>
              <w:rPr>
                <w:sz w:val="20"/>
                <w:szCs w:val="20"/>
                <w:color w:val="auto"/>
              </w:rPr>
            </w:pPr>
          </w:p>
        </w:tc>
        <w:tc>
          <w:tcPr>
            <w:tcW w:w="458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Match</w:t>
            </w:r>
          </w:p>
        </w:tc>
        <w:tc>
          <w:tcPr>
            <w:tcW w:w="0" w:type="dxa"/>
            <w:vAlign w:val="bottom"/>
          </w:tcPr>
          <w:p>
            <w:pPr>
              <w:spacing w:after="0"/>
              <w:rPr>
                <w:sz w:val="1"/>
                <w:szCs w:val="1"/>
                <w:color w:val="auto"/>
              </w:rPr>
            </w:pPr>
          </w:p>
        </w:tc>
      </w:tr>
      <w:tr>
        <w:trPr>
          <w:trHeight w:val="223"/>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4% of eligible compensation</w:t>
            </w:r>
          </w:p>
        </w:tc>
        <w:tc>
          <w:tcPr>
            <w:tcW w:w="4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2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 employees with less than 5 years of service:</w:t>
            </w:r>
          </w:p>
        </w:tc>
        <w:tc>
          <w:tcPr>
            <w:tcW w:w="4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Next 4% of eligible compensation</w:t>
            </w:r>
          </w:p>
        </w:tc>
        <w:tc>
          <w:tcPr>
            <w:tcW w:w="4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29"/>
        </w:trPr>
        <w:tc>
          <w:tcPr>
            <w:tcW w:w="6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Contributions over 8%</w:t>
            </w:r>
          </w:p>
        </w:tc>
        <w:tc>
          <w:tcPr>
            <w:tcW w:w="45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 employees with 5 or more years of service:</w:t>
            </w:r>
          </w:p>
        </w:tc>
        <w:tc>
          <w:tcPr>
            <w:tcW w:w="4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Next 6% of eligible compensation</w:t>
            </w:r>
          </w:p>
        </w:tc>
        <w:tc>
          <w:tcPr>
            <w:tcW w:w="4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29"/>
        </w:trPr>
        <w:tc>
          <w:tcPr>
            <w:tcW w:w="66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Contributions over 10%</w:t>
            </w:r>
          </w:p>
        </w:tc>
        <w:tc>
          <w:tcPr>
            <w:tcW w:w="45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 Accounts</w:t>
      </w:r>
    </w:p>
    <w:p>
      <w:pPr>
        <w:spacing w:after="0" w:line="31" w:lineRule="exact"/>
        <w:rPr>
          <w:sz w:val="20"/>
          <w:szCs w:val="20"/>
          <w:color w:val="auto"/>
        </w:rPr>
      </w:pPr>
    </w:p>
    <w:p>
      <w:pPr>
        <w:ind w:right="340"/>
        <w:spacing w:after="0" w:line="253" w:lineRule="auto"/>
        <w:rPr>
          <w:sz w:val="20"/>
          <w:szCs w:val="20"/>
          <w:color w:val="auto"/>
        </w:rPr>
      </w:pPr>
      <w:r>
        <w:rPr>
          <w:rFonts w:ascii="Times New Roman" w:cs="Times New Roman" w:eastAsia="Times New Roman" w:hAnsi="Times New Roman"/>
          <w:sz w:val="18"/>
          <w:szCs w:val="18"/>
          <w:color w:val="auto"/>
        </w:rPr>
        <w:t>Individual accounts are maintained for each Plan participant. Each participant account is credited with participant and employer contributions and an allocation of any Plan earnings. Each participant account is charged with withdrawals and an allocation of any Plan losses and administrative expenses. Allocations are based on participant units. Participants are entitled to the net of these contributions, withdrawals and allocations to the extent of their vesting in the account.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Vesting</w:t>
      </w:r>
    </w:p>
    <w:p>
      <w:pPr>
        <w:spacing w:after="0" w:line="3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Plan participants are fully vested in the balance of their accounts from employee contributions and earnings thereon. Plan participants, other than participants covered under certain collective bargaining agreements, become fully vested in employer matching contributions, and earnings thereon, upon completion of three years of service. Plan participants who are eligible for RAC and NEC fully vest in those employer contributions, and earnings thereon, upon completion of three years of service.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Options</w:t>
      </w:r>
    </w:p>
    <w:p>
      <w:pPr>
        <w:spacing w:after="0" w:line="20"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8"/>
          <w:szCs w:val="18"/>
          <w:color w:val="auto"/>
        </w:rPr>
        <w:t>Plan participants direct their employee and employer contributions to be invested in the investment funds described below. If direction is not provided by a participant, contributions are generally invested in an appropriate Retirement Path fund. The investment funds are managed by professional investment managers appointed by Plan management.</w:t>
      </w:r>
    </w:p>
    <w:p>
      <w:pPr>
        <w:spacing w:after="0" w:line="64"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Subject to certain restrictions, participants may generally change their investment elections and transfer existing account balances between investment funds daily.</w:t>
      </w:r>
    </w:p>
    <w:p>
      <w:pPr>
        <w:spacing w:after="0" w:line="40"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Contributions deposited into each investment fund are used to purchase units of that fund based on unit values that are updated daily prior to any Plan transactions. Plan transactions include contributions, withdrawals, distributions and transfers. The value of each participant’s account within each fund depends on two factors: the number of units purchased to date and the current value of each unit.</w:t>
      </w:r>
    </w:p>
    <w:p>
      <w:pPr>
        <w:spacing w:after="0" w:line="52" w:lineRule="exact"/>
        <w:rPr>
          <w:sz w:val="20"/>
          <w:szCs w:val="20"/>
          <w:color w:val="auto"/>
        </w:rPr>
      </w:pPr>
    </w:p>
    <w:p>
      <w:pPr>
        <w:ind w:right="5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U.S. Equity Fund </w:t>
      </w:r>
      <w:r>
        <w:rPr>
          <w:rFonts w:ascii="Times New Roman" w:cs="Times New Roman" w:eastAsia="Times New Roman" w:hAnsi="Times New Roman"/>
          <w:sz w:val="18"/>
          <w:szCs w:val="18"/>
          <w:color w:val="auto"/>
        </w:rPr>
        <w:t>— The U.S. Equity Fund primarily consists of holdings in large and medium-sized U.S. company stocks. The fund’s objective is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achieve a high total return through long-term growth of capital and the reinvestment of current income.</w:t>
      </w:r>
    </w:p>
    <w:p>
      <w:pPr>
        <w:spacing w:after="0" w:line="23"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U.S. Fixed-Income Fund </w:t>
      </w:r>
      <w:r>
        <w:rPr>
          <w:rFonts w:ascii="Times New Roman" w:cs="Times New Roman" w:eastAsia="Times New Roman" w:hAnsi="Times New Roman"/>
          <w:sz w:val="18"/>
          <w:szCs w:val="18"/>
          <w:color w:val="auto"/>
        </w:rPr>
        <w:t>— The U.S. Fixed-Income Fund primarily consists of holdings in marketable, fixed-income securities rated within the four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highest investment grades assigned by Moody’s Investor Services or Standard &amp; Poor’s Corporation, U.S. Treasury or federal agency obligations, or cash equivalent instruments. The fund invests in a range of fixed-income securities that mature, on average, in eight to ten years.</w:t>
      </w:r>
    </w:p>
    <w:p>
      <w:pPr>
        <w:spacing w:after="0" w:line="52"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Stable Value Account </w:t>
      </w:r>
      <w:r>
        <w:rPr>
          <w:rFonts w:ascii="Times New Roman" w:cs="Times New Roman" w:eastAsia="Times New Roman" w:hAnsi="Times New Roman"/>
          <w:sz w:val="18"/>
          <w:szCs w:val="18"/>
          <w:color w:val="auto"/>
        </w:rPr>
        <w:t>— Investments in the Stable Value Account primarily include synthetic guaranteed investment contracts (“synthetic GICs”), cash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equivalents. See Note 5 for further information on synthetic GICs.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i w:val="1"/>
          <w:iCs w:val="1"/>
          <w:color w:val="auto"/>
        </w:rPr>
        <w:t>Northrop Grumman Fund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NG Stock Fund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The NG Stock Fund invests primarily in Northrop Grumman Corporation common stock.</w:t>
      </w:r>
    </w:p>
    <w:p>
      <w:pPr>
        <w:spacing w:after="0" w:line="104" w:lineRule="exact"/>
        <w:rPr>
          <w:sz w:val="20"/>
          <w:szCs w:val="20"/>
          <w:color w:val="auto"/>
        </w:rPr>
      </w:pPr>
    </w:p>
    <w:p>
      <w:pPr>
        <w:jc w:val="both"/>
        <w:ind w:right="4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Balanced Fund </w:t>
      </w:r>
      <w:r>
        <w:rPr>
          <w:rFonts w:ascii="Times New Roman" w:cs="Times New Roman" w:eastAsia="Times New Roman" w:hAnsi="Times New Roman"/>
          <w:sz w:val="18"/>
          <w:szCs w:val="18"/>
          <w:color w:val="auto"/>
        </w:rPr>
        <w:t>— The Balanced Fund is designed to provide investors with a diversified portfolio consisting of targeted proportions of fixed-income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(35 percent), U.S. equities (45 percent), and international equities (20 percent). The fund seeks to exceed the return of the bond market and approach the return of the stock market, but with less risk than an investment solely in equities.</w:t>
      </w:r>
    </w:p>
    <w:p>
      <w:pPr>
        <w:spacing w:after="0" w:line="38" w:lineRule="exact"/>
        <w:rPr>
          <w:sz w:val="20"/>
          <w:szCs w:val="20"/>
          <w:color w:val="auto"/>
        </w:rPr>
      </w:pPr>
    </w:p>
    <w:p>
      <w:pPr>
        <w:ind w:right="2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International Equity Fund </w:t>
      </w:r>
      <w:r>
        <w:rPr>
          <w:rFonts w:ascii="Times New Roman" w:cs="Times New Roman" w:eastAsia="Times New Roman" w:hAnsi="Times New Roman"/>
          <w:sz w:val="18"/>
          <w:szCs w:val="18"/>
          <w:color w:val="auto"/>
        </w:rPr>
        <w:t>— The International Equity Fund consists of stocks of a diversified group of companies in developed countries outside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 The fund’s objectives are capital appreciation over the long term, along with current income (dividends).</w:t>
      </w:r>
    </w:p>
    <w:p>
      <w:pPr>
        <w:spacing w:after="0" w:line="37"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Small Cap Fund </w:t>
      </w:r>
      <w:r>
        <w:rPr>
          <w:rFonts w:ascii="Times New Roman" w:cs="Times New Roman" w:eastAsia="Times New Roman" w:hAnsi="Times New Roman"/>
          <w:sz w:val="18"/>
          <w:szCs w:val="18"/>
          <w:color w:val="auto"/>
        </w:rPr>
        <w:t>— The Small Cap Fund consists of a diversified group of U.S. companies with lower market capitalization and higher expected revenue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growth than the large, well-established companies that make up the S&amp;P 500 Index. The fund seeks to provide capital appreciation over the long term, rather than current income.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Emerging Markets Fund </w:t>
      </w:r>
      <w:r>
        <w:rPr>
          <w:rFonts w:ascii="Times New Roman" w:cs="Times New Roman" w:eastAsia="Times New Roman" w:hAnsi="Times New Roman"/>
          <w:sz w:val="18"/>
          <w:szCs w:val="18"/>
          <w:color w:val="auto"/>
        </w:rPr>
        <w:t>— The Emerging Markets Fund consists of a diversified portfolio of stocks issued by companies based in developing countries.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fund’s objective is capital appreciation over the long term.</w:t>
      </w:r>
    </w:p>
    <w:p>
      <w:pPr>
        <w:spacing w:after="0" w:line="70" w:lineRule="exact"/>
        <w:rPr>
          <w:sz w:val="20"/>
          <w:szCs w:val="20"/>
          <w:color w:val="auto"/>
        </w:rPr>
      </w:pPr>
    </w:p>
    <w:p>
      <w:pPr>
        <w:jc w:val="both"/>
        <w:ind w:right="3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Retirement Path Portfolios </w:t>
      </w:r>
      <w:r>
        <w:rPr>
          <w:rFonts w:ascii="Times New Roman" w:cs="Times New Roman" w:eastAsia="Times New Roman" w:hAnsi="Times New Roman"/>
          <w:sz w:val="18"/>
          <w:szCs w:val="18"/>
          <w:color w:val="auto"/>
        </w:rPr>
        <w:t>— Each retirement path is a broadly diversified portfolio of funds consisting of equities, fixed-income securities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investments tailored to the participants' investment time horizons. The name of each portfolio reflects the year when the participants expect to retire or draw interest and/or principal out of their accounts. The portfolio consists of eleven Retirement Path funds spanning to 2070.</w:t>
      </w:r>
    </w:p>
    <w:p>
      <w:pPr>
        <w:spacing w:after="0" w:line="5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Apart from the Stable Value Account and NG Stock Fund, the large majority of the other funds are included in common/collective trust (“CCT”) funds. These funds manage pooled trust accounts, which group assets together to develop generally larger and more diversified portfolios. These funds may also include a short-term investment fund.</w:t>
      </w:r>
    </w:p>
    <w:p>
      <w:pPr>
        <w:spacing w:after="0" w:line="5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Participants may also direct their investments through a BrokerageLink Account sponsored by an affiliate of the Plan's recordkeeper, Fidelity, which offers a range of investment options including mutual funds, U.S. equities, and fixed-income securities.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Receivable from Participants</w:t>
      </w:r>
    </w:p>
    <w:p>
      <w:pPr>
        <w:spacing w:after="0" w:line="3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Participants may borrow from their individual accounts in accordance with the Plan document, with loans from a minimum of $1,000 up to a maximum equal to 1) the lesser of $50,000 reduced by the highest outstanding loan balance over the past 12 months, or 2) 50 percent of their vested account balance. Loans are secured by the balance in the participant's account and are issued at an interest rate set at the prime rate plus one percent. Repayments are made from payroll deductions (for active employees) or other forms of payment (for former employees or employees on a leave of absence). As of December 31, 2025, outstanding participant loans had maturities through 2040 and interest rates ranging from 4.25 percent to 11.5 percent. As of December 31, 2024, outstanding participant loans had maturities through 2039 and interest rates ranging from 3.25 percent to 11.5 percent.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of Benefits</w:t>
      </w:r>
    </w:p>
    <w:p>
      <w:pPr>
        <w:spacing w:after="0" w:line="3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Upon termination of employment with the Company (including termination due to death, disability, or retirement), participants may receive a lump-sum payment of their entire account balance, installment payments, or the total account balance as an annuity, net of any outstanding loan balances. Otherwise, distributions generally begin on a participant's mandatory commencement date. Participants may roll over account balances to individual retirement accounts or another employer’s qualified retirement plan.</w:t>
      </w:r>
    </w:p>
    <w:p>
      <w:pPr>
        <w:spacing w:after="0" w:line="67" w:lineRule="exact"/>
        <w:rPr>
          <w:sz w:val="20"/>
          <w:szCs w:val="20"/>
          <w:color w:val="auto"/>
        </w:rPr>
      </w:pPr>
    </w:p>
    <w:p>
      <w:pPr>
        <w:ind w:right="1480"/>
        <w:spacing w:after="0" w:line="308" w:lineRule="auto"/>
        <w:rPr>
          <w:sz w:val="20"/>
          <w:szCs w:val="20"/>
          <w:color w:val="auto"/>
        </w:rPr>
      </w:pPr>
      <w:r>
        <w:rPr>
          <w:rFonts w:ascii="Times New Roman" w:cs="Times New Roman" w:eastAsia="Times New Roman" w:hAnsi="Times New Roman"/>
          <w:sz w:val="18"/>
          <w:szCs w:val="18"/>
          <w:color w:val="auto"/>
        </w:rPr>
        <w:t xml:space="preserve">Distributions from the NG Stock Fund may be paid in cash, stock, or a combination of the two, depending on the participant’s election. </w:t>
      </w:r>
      <w:r>
        <w:rPr>
          <w:rFonts w:ascii="Times New Roman" w:cs="Times New Roman" w:eastAsia="Times New Roman" w:hAnsi="Times New Roman"/>
          <w:sz w:val="18"/>
          <w:szCs w:val="18"/>
          <w:b w:val="1"/>
          <w:bCs w:val="1"/>
          <w:color w:val="auto"/>
        </w:rPr>
        <w:t>Withdrawals</w:t>
      </w:r>
    </w:p>
    <w:p>
      <w:pPr>
        <w:ind w:right="600"/>
        <w:spacing w:after="0" w:line="261" w:lineRule="auto"/>
        <w:rPr>
          <w:sz w:val="20"/>
          <w:szCs w:val="20"/>
          <w:color w:val="auto"/>
        </w:rPr>
      </w:pPr>
      <w:r>
        <w:rPr>
          <w:rFonts w:ascii="Times New Roman" w:cs="Times New Roman" w:eastAsia="Times New Roman" w:hAnsi="Times New Roman"/>
          <w:sz w:val="18"/>
          <w:szCs w:val="18"/>
          <w:color w:val="auto"/>
        </w:rPr>
        <w:t>Participants may withdraw all or a portion of their vested account balance in accordance with the Plan document, which provides different rules for withdrawals based on whether or not the participant has reached age 59</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2</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Forfeited Accounts</w:t>
      </w:r>
    </w:p>
    <w:p>
      <w:pPr>
        <w:spacing w:after="0" w:line="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of December 31, 2025 and 2024, Plan forfeitures available were $4.6 million and $3.9 million, respectively. Forfeited amounts may be used to reduce employer contributions or to offset Plan expenses. During the year ended December 31, 2025, employer contributions were reduced by $27.4 million due to forfeitures. No forfeitures were used to offset Plan expenses during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1"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Accounting</w:t>
      </w:r>
    </w:p>
    <w:p>
      <w:pPr>
        <w:spacing w:after="0" w:line="31"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The accompanying financial statements have been prepared in accordance with accounting principles generally accepted in the United States of America (“GAAP”).</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31" w:lineRule="exact"/>
        <w:rPr>
          <w:sz w:val="20"/>
          <w:szCs w:val="20"/>
          <w:color w:val="auto"/>
        </w:rPr>
      </w:pPr>
    </w:p>
    <w:p>
      <w:pPr>
        <w:jc w:val="both"/>
        <w:ind w:right="540"/>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GAAP requires management to make estimates and assumptions that affect the reported amounts of assets, liabilities and changes therein, and disclosure of contingent assets and liabilities. Actual results could differ materially from those estimates.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Plan provides various investment options to its participants. Investment securities are exposed to various risks, including interest rate and credit risk, overall market volatility, market risks including global events such as pandemics or international conflicts, and risks related to U.S. and foreign government instability. Due to the level of risk associated with certain investment securities, it is reasonably possible that changes in the values of investment securities may occur in the near term, and those changes could materially affect the amounts reported in the financial statements.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3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Plan and the DC Master Trust measure the fair value of its financial instruments using observable and unobservable inputs. Observable inputs reflect market data obtained from independent sources, while unobservable inputs reflect internal market assumptions. Assets are classified in their entirety based on the lowest level of input that is significant to the fair value measurement.</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two types of inputs create the following fair value hierarchy: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Quoted prices for identical instruments in active markets.</w:t>
      </w:r>
    </w:p>
    <w:p>
      <w:pPr>
        <w:spacing w:after="0" w:line="104" w:lineRule="exact"/>
        <w:rPr>
          <w:sz w:val="20"/>
          <w:szCs w:val="20"/>
          <w:color w:val="auto"/>
        </w:rPr>
      </w:pPr>
    </w:p>
    <w:p>
      <w:pPr>
        <w:ind w:left="740" w:right="460" w:hanging="728"/>
        <w:spacing w:after="0" w:line="282" w:lineRule="auto"/>
        <w:rPr>
          <w:sz w:val="20"/>
          <w:szCs w:val="20"/>
          <w:color w:val="auto"/>
        </w:rPr>
      </w:pPr>
      <w:r>
        <w:rPr>
          <w:rFonts w:ascii="Times New Roman" w:cs="Times New Roman" w:eastAsia="Times New Roman" w:hAnsi="Times New Roman"/>
          <w:sz w:val="18"/>
          <w:szCs w:val="18"/>
          <w:color w:val="auto"/>
        </w:rPr>
        <w:t>Level 2 -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 Significant inputs to the valuation model are unobservable.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Valuation and Income Recognition</w:t>
      </w:r>
    </w:p>
    <w:p>
      <w:pPr>
        <w:spacing w:after="0" w:line="3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 investments held by the Plan and the DC Master Trust are stated at fair value with the exception of synthetic GICs in the Stable Value Account of the DC Master Trust, which are stated at contract value. Fair value of a financial instrument is the price that would be received to sell an asset or paid to transfer a liability in an orderly transaction between market participants at the measurement date (see Note 4). The synthetic GICs are stated at contract value because contract value is the amount that would be received by participants if they were to initiate permitted transactions under the terms of the Plan. Contract value is equal to the value of initial deposited principal, plus accumulated interest and additional deposits, minus withdrawals and expenses (see Note 5). Plan management provides direction and oversight of the valuation process. The fair value of Plan and DC Master Trust investments is determined as follows:</w:t>
      </w:r>
    </w:p>
    <w:p>
      <w:pPr>
        <w:spacing w:after="0" w:line="6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Investments in mutual funds and U.S. equities, which include common stocks, are valued at the last reported sales price on the active market on which the securities are traded on the last business day of the plan year. Investments in CCT funds are valued based on the net asset value (“NAV”) derived by investment managers, as a practical expedient. The short-term investment fund is not an exchange-traded fund, however, the price per unit is published and represents the actual price at which the units held in the fund can be bought or sold. Fixed-income securities are valued based on broker quotes or model-derived valuations.</w:t>
      </w:r>
    </w:p>
    <w:p>
      <w:pPr>
        <w:spacing w:after="0" w:line="4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All securities and cash equivalents are quoted in the local currency and then converted into U.S. dollars. Purchases and sales of securities are recorded on a trade-date basis. Interest income is recorded on the accrual basis. Dividends are recorded on the ex-dividend date. Broker commissions, transfer taxes, and other charges and expenses incurred in connection with the purchase, sale, or other disposition of securities or other investments are added to the cost of such securities or other investments, or are deducted from the proceeds of the sale or other disposition thereof, as appropriate. Taxes, if any, on fund assets, or on any gain resulting from the sale or other disposition of such assets, or on the earnings of the funds, are apportioned among the participants whose interests in the Plan are affected, and the share of such taxes apportioned to each such person is charged against their account in the Plan.</w:t>
      </w:r>
    </w:p>
    <w:p>
      <w:pPr>
        <w:spacing w:after="0" w:line="66"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Trustee, in performing any required valuations or calculations, relies on the prices provided by pricing sources, the investment managers, Plan management or the participant’s broker as a certification as to the value.</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10" w:name="page11"/>
    <w:bookmarkEnd w:id="10"/>
    <w:p>
      <w:pPr>
        <w:ind w:right="40"/>
        <w:spacing w:after="0" w:line="261" w:lineRule="auto"/>
        <w:rPr>
          <w:sz w:val="20"/>
          <w:szCs w:val="20"/>
          <w:color w:val="auto"/>
        </w:rPr>
      </w:pPr>
      <w:r>
        <w:rPr>
          <w:rFonts w:ascii="Times New Roman" w:cs="Times New Roman" w:eastAsia="Times New Roman" w:hAnsi="Times New Roman"/>
          <w:sz w:val="18"/>
          <w:szCs w:val="18"/>
          <w:color w:val="auto"/>
        </w:rPr>
        <w:t>The DC Master Trust allocates investment income, realized gains and losses, and unrealized appreciation and depreciation on the underlying securities to the participating plans daily based upon the market value of each plan’s investment. The realized gain or loss on investments is the difference between the proceeds received and the average cost of investments sold. The unrealized appreciation or depreciation is the aggregate difference between the current fair market value and the cost of investments.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Receivable from Participants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 loans are measured at their unpaid principal balance plus accrued interest.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3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Plan expenses are paid by the Plan or the Plan sponsor as provided in the Plan document. Fees incurred by the Plan for investment management services of $3.5 million are presented as a reduction to investment income in the Statement of Changes in Net Assets Available for Benefits for the year ended December 31, 2025.</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of Benefits</w:t>
      </w:r>
    </w:p>
    <w:p>
      <w:pPr>
        <w:spacing w:after="0" w:line="31" w:lineRule="exact"/>
        <w:rPr>
          <w:sz w:val="20"/>
          <w:szCs w:val="20"/>
          <w:color w:val="auto"/>
        </w:rPr>
      </w:pPr>
    </w:p>
    <w:p>
      <w:pPr>
        <w:jc w:val="both"/>
        <w:ind w:right="220"/>
        <w:spacing w:after="0" w:line="255" w:lineRule="auto"/>
        <w:rPr>
          <w:sz w:val="20"/>
          <w:szCs w:val="20"/>
          <w:color w:val="auto"/>
        </w:rPr>
      </w:pPr>
      <w:r>
        <w:rPr>
          <w:rFonts w:ascii="Times New Roman" w:cs="Times New Roman" w:eastAsia="Times New Roman" w:hAnsi="Times New Roman"/>
          <w:sz w:val="18"/>
          <w:szCs w:val="18"/>
          <w:color w:val="auto"/>
        </w:rPr>
        <w:t>Benefit payments to participants are recorded upon distribution. Amounts allocated to accounts of participants who have elected to withdraw funds from the Plan but have not yet been paid were $7.3 million and $6.0 million at December 31, 2025 and 2024, respectively. These amounts continued to accrue investment earnings (losses) until paid.</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INVESTMENTS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Plan's total divided interest represents 99 percent of total net assets reported by the Trustee of the DC Master Trust as of December 31, 2025 and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remaining interest in the investments held by the DC Master Trust belongs to the Northrop Grumman Financial Security and Savings Program.</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assets of the DC Master Trust and the Plan's interest in Master Trust balances as of December 31, 2025 and 2024,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00" w:type="dxa"/>
            <w:vAlign w:val="bottom"/>
            <w:gridSpan w:val="4"/>
            <w:vMerge w:val="restart"/>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w w:val="97"/>
              </w:rPr>
              <w:t>Master Trust Balances</w:t>
            </w:r>
          </w:p>
        </w:tc>
        <w:tc>
          <w:tcPr>
            <w:tcW w:w="240" w:type="dxa"/>
            <w:vAlign w:val="bottom"/>
          </w:tcPr>
          <w:p>
            <w:pPr>
              <w:spacing w:after="0"/>
              <w:rPr>
                <w:sz w:val="17"/>
                <w:szCs w:val="17"/>
                <w:color w:val="auto"/>
              </w:rPr>
            </w:pPr>
          </w:p>
        </w:tc>
        <w:tc>
          <w:tcPr>
            <w:tcW w:w="2660" w:type="dxa"/>
            <w:vAlign w:val="bottom"/>
            <w:gridSpan w:val="7"/>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Plan's Interest in Master Trust</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00" w:type="dxa"/>
            <w:vAlign w:val="bottom"/>
            <w:gridSpan w:val="4"/>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00" w:type="dxa"/>
            <w:vAlign w:val="bottom"/>
            <w:gridSpan w:val="4"/>
            <w:vMerge w:val="continue"/>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gridSpan w:val="5"/>
          </w:tcPr>
          <w:p>
            <w:pPr>
              <w:jc w:val="center"/>
              <w:ind w:left="710"/>
              <w:spacing w:after="0" w:line="169" w:lineRule="exact"/>
              <w:rPr>
                <w:sz w:val="20"/>
                <w:szCs w:val="20"/>
                <w:color w:val="auto"/>
              </w:rPr>
            </w:pPr>
            <w:r>
              <w:rPr>
                <w:rFonts w:ascii="Times New Roman" w:cs="Times New Roman" w:eastAsia="Times New Roman" w:hAnsi="Times New Roman"/>
                <w:sz w:val="18"/>
                <w:szCs w:val="18"/>
                <w:b w:val="1"/>
                <w:bCs w:val="1"/>
                <w:color w:val="auto"/>
                <w:w w:val="99"/>
              </w:rPr>
              <w:t>Balances</w:t>
            </w: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8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2"/>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 fair value:</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equivalents and short-term investment fund</w:t>
            </w:r>
          </w:p>
        </w:tc>
        <w:tc>
          <w:tcPr>
            <w:tcW w:w="8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78,177</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93,059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77,001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91,680</w:t>
            </w:r>
          </w:p>
        </w:tc>
        <w:tc>
          <w:tcPr>
            <w:tcW w:w="0" w:type="dxa"/>
            <w:vAlign w:val="bottom"/>
          </w:tcPr>
          <w:p>
            <w:pPr>
              <w:spacing w:after="0"/>
              <w:rPr>
                <w:sz w:val="1"/>
                <w:szCs w:val="1"/>
                <w:color w:val="auto"/>
              </w:rPr>
            </w:pPr>
          </w:p>
        </w:tc>
      </w:tr>
      <w:tr>
        <w:trPr>
          <w:trHeight w:val="230"/>
        </w:trPr>
        <w:tc>
          <w:tcPr>
            <w:tcW w:w="4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equities</w:t>
            </w:r>
          </w:p>
        </w:tc>
        <w:tc>
          <w:tcPr>
            <w:tcW w:w="820" w:type="dxa"/>
            <w:vAlign w:val="bottom"/>
          </w:tcPr>
          <w:p>
            <w:pPr>
              <w:spacing w:after="0"/>
              <w:rPr>
                <w:sz w:val="19"/>
                <w:szCs w:val="19"/>
                <w:color w:val="auto"/>
              </w:rPr>
            </w:pPr>
          </w:p>
        </w:tc>
        <w:tc>
          <w:tcPr>
            <w:tcW w:w="11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4,048,009</w:t>
            </w:r>
          </w:p>
        </w:tc>
        <w:tc>
          <w:tcPr>
            <w:tcW w:w="3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3,594,037</w:t>
            </w:r>
          </w:p>
        </w:tc>
        <w:tc>
          <w:tcPr>
            <w:tcW w:w="24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4,030,621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3,576,126</w:t>
            </w: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Common/collective trust funds</w:t>
            </w:r>
          </w:p>
        </w:tc>
        <w:tc>
          <w:tcPr>
            <w:tcW w:w="8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32,627,651</w:t>
            </w:r>
          </w:p>
        </w:tc>
        <w:tc>
          <w:tcPr>
            <w:tcW w:w="3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28,679,632</w:t>
            </w: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32,193,443</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28,262,363</w:t>
            </w:r>
          </w:p>
        </w:tc>
        <w:tc>
          <w:tcPr>
            <w:tcW w:w="0" w:type="dxa"/>
            <w:vAlign w:val="bottom"/>
          </w:tcPr>
          <w:p>
            <w:pPr>
              <w:spacing w:after="0"/>
              <w:rPr>
                <w:sz w:val="1"/>
                <w:szCs w:val="1"/>
                <w:color w:val="auto"/>
              </w:rPr>
            </w:pPr>
          </w:p>
        </w:tc>
      </w:tr>
      <w:tr>
        <w:trPr>
          <w:trHeight w:val="230"/>
        </w:trPr>
        <w:tc>
          <w:tcPr>
            <w:tcW w:w="49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Collateral held under securities lending agreements</w:t>
            </w:r>
          </w:p>
        </w:tc>
        <w:tc>
          <w:tcPr>
            <w:tcW w:w="8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200,064</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693,505</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197,935</w:t>
            </w: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685,586</w:t>
            </w:r>
          </w:p>
        </w:tc>
        <w:tc>
          <w:tcPr>
            <w:tcW w:w="0" w:type="dxa"/>
            <w:vAlign w:val="bottom"/>
          </w:tcPr>
          <w:p>
            <w:pPr>
              <w:spacing w:after="0"/>
              <w:rPr>
                <w:sz w:val="1"/>
                <w:szCs w:val="1"/>
                <w:color w:val="auto"/>
              </w:rPr>
            </w:pPr>
          </w:p>
        </w:tc>
      </w:tr>
      <w:tr>
        <w:trPr>
          <w:trHeight w:val="223"/>
        </w:trPr>
        <w:tc>
          <w:tcPr>
            <w:tcW w:w="49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investments at fair value</w:t>
            </w:r>
          </w:p>
        </w:tc>
        <w:tc>
          <w:tcPr>
            <w:tcW w:w="8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36,953,901</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33,060,233</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36,499,000</w:t>
            </w:r>
          </w:p>
        </w:tc>
        <w:tc>
          <w:tcPr>
            <w:tcW w:w="2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32,615,755</w:t>
            </w:r>
          </w:p>
        </w:tc>
        <w:tc>
          <w:tcPr>
            <w:tcW w:w="0" w:type="dxa"/>
            <w:vAlign w:val="bottom"/>
          </w:tcPr>
          <w:p>
            <w:pPr>
              <w:spacing w:after="0"/>
              <w:rPr>
                <w:sz w:val="1"/>
                <w:szCs w:val="1"/>
                <w:color w:val="auto"/>
              </w:rPr>
            </w:pPr>
          </w:p>
        </w:tc>
      </w:tr>
      <w:tr>
        <w:trPr>
          <w:trHeight w:val="22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 contract value:</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Synthetic guaranteed investment contracts</w:t>
            </w:r>
          </w:p>
        </w:tc>
        <w:tc>
          <w:tcPr>
            <w:tcW w:w="8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3,052,155</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3,161,481</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3,005,171</w:t>
            </w:r>
          </w:p>
        </w:tc>
        <w:tc>
          <w:tcPr>
            <w:tcW w:w="2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3,112,812</w:t>
            </w:r>
          </w:p>
        </w:tc>
        <w:tc>
          <w:tcPr>
            <w:tcW w:w="0" w:type="dxa"/>
            <w:vAlign w:val="bottom"/>
          </w:tcPr>
          <w:p>
            <w:pPr>
              <w:spacing w:after="0"/>
              <w:rPr>
                <w:sz w:val="1"/>
                <w:szCs w:val="1"/>
                <w:color w:val="auto"/>
              </w:rPr>
            </w:pPr>
          </w:p>
        </w:tc>
      </w:tr>
      <w:tr>
        <w:trPr>
          <w:trHeight w:val="223"/>
        </w:trPr>
        <w:tc>
          <w:tcPr>
            <w:tcW w:w="49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Total investments at contract value</w:t>
            </w:r>
          </w:p>
        </w:tc>
        <w:tc>
          <w:tcPr>
            <w:tcW w:w="8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3,052,155</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3,161,481</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3,005,171</w:t>
            </w: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3,112,812</w:t>
            </w:r>
          </w:p>
        </w:tc>
        <w:tc>
          <w:tcPr>
            <w:tcW w:w="0" w:type="dxa"/>
            <w:vAlign w:val="bottom"/>
          </w:tcPr>
          <w:p>
            <w:pPr>
              <w:spacing w:after="0"/>
              <w:rPr>
                <w:sz w:val="1"/>
                <w:szCs w:val="1"/>
                <w:color w:val="auto"/>
              </w:rPr>
            </w:pPr>
          </w:p>
        </w:tc>
      </w:tr>
      <w:tr>
        <w:trPr>
          <w:trHeight w:val="223"/>
        </w:trPr>
        <w:tc>
          <w:tcPr>
            <w:tcW w:w="49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Dividends, interest, taxes and other receivables</w:t>
            </w:r>
          </w:p>
        </w:tc>
        <w:tc>
          <w:tcPr>
            <w:tcW w:w="8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213</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284</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210</w:t>
            </w:r>
          </w:p>
        </w:tc>
        <w:tc>
          <w:tcPr>
            <w:tcW w:w="2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223"/>
        </w:trPr>
        <w:tc>
          <w:tcPr>
            <w:tcW w:w="49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8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40,006,269</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36,221,998</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39,504,381</w:t>
            </w: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35,728,848</w:t>
            </w:r>
          </w:p>
        </w:tc>
        <w:tc>
          <w:tcPr>
            <w:tcW w:w="0" w:type="dxa"/>
            <w:vAlign w:val="bottom"/>
          </w:tcPr>
          <w:p>
            <w:pPr>
              <w:spacing w:after="0"/>
              <w:rPr>
                <w:sz w:val="1"/>
                <w:szCs w:val="1"/>
                <w:color w:val="auto"/>
              </w:rPr>
            </w:pPr>
          </w:p>
        </w:tc>
      </w:tr>
      <w:tr>
        <w:trPr>
          <w:trHeight w:val="223"/>
        </w:trPr>
        <w:tc>
          <w:tcPr>
            <w:tcW w:w="4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8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Due to broker for securities purchased and other payables</w:t>
            </w:r>
          </w:p>
        </w:tc>
        <w:tc>
          <w:tcPr>
            <w:tcW w:w="820" w:type="dxa"/>
            <w:vAlign w:val="bottom"/>
          </w:tcPr>
          <w:p>
            <w:pPr>
              <w:spacing w:after="0"/>
              <w:rPr>
                <w:sz w:val="19"/>
                <w:szCs w:val="19"/>
                <w:color w:val="auto"/>
              </w:rPr>
            </w:pPr>
          </w:p>
        </w:tc>
        <w:tc>
          <w:tcPr>
            <w:tcW w:w="11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4,516</w:t>
            </w:r>
          </w:p>
        </w:tc>
        <w:tc>
          <w:tcPr>
            <w:tcW w:w="3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2,796</w:t>
            </w:r>
          </w:p>
        </w:tc>
        <w:tc>
          <w:tcPr>
            <w:tcW w:w="24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4,449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2,746</w:t>
            </w:r>
          </w:p>
        </w:tc>
        <w:tc>
          <w:tcPr>
            <w:tcW w:w="0" w:type="dxa"/>
            <w:vAlign w:val="bottom"/>
          </w:tcPr>
          <w:p>
            <w:pPr>
              <w:spacing w:after="0"/>
              <w:rPr>
                <w:sz w:val="1"/>
                <w:szCs w:val="1"/>
                <w:color w:val="auto"/>
              </w:rPr>
            </w:pPr>
          </w:p>
        </w:tc>
      </w:tr>
      <w:tr>
        <w:trPr>
          <w:trHeight w:val="230"/>
        </w:trPr>
        <w:tc>
          <w:tcPr>
            <w:tcW w:w="49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Collateral held under securities lending agreements</w:t>
            </w:r>
          </w:p>
        </w:tc>
        <w:tc>
          <w:tcPr>
            <w:tcW w:w="8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200,064</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693,505</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197,935</w:t>
            </w:r>
          </w:p>
        </w:tc>
        <w:tc>
          <w:tcPr>
            <w:tcW w:w="2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685,586</w:t>
            </w:r>
          </w:p>
        </w:tc>
        <w:tc>
          <w:tcPr>
            <w:tcW w:w="0" w:type="dxa"/>
            <w:vAlign w:val="bottom"/>
          </w:tcPr>
          <w:p>
            <w:pPr>
              <w:spacing w:after="0"/>
              <w:rPr>
                <w:sz w:val="1"/>
                <w:szCs w:val="1"/>
                <w:color w:val="auto"/>
              </w:rPr>
            </w:pPr>
          </w:p>
        </w:tc>
      </w:tr>
      <w:tr>
        <w:trPr>
          <w:trHeight w:val="223"/>
        </w:trPr>
        <w:tc>
          <w:tcPr>
            <w:tcW w:w="49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8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204,580</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696,301</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202,384</w:t>
            </w: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688,332</w:t>
            </w:r>
          </w:p>
        </w:tc>
        <w:tc>
          <w:tcPr>
            <w:tcW w:w="0" w:type="dxa"/>
            <w:vAlign w:val="bottom"/>
          </w:tcPr>
          <w:p>
            <w:pPr>
              <w:spacing w:after="0"/>
              <w:rPr>
                <w:sz w:val="1"/>
                <w:szCs w:val="1"/>
                <w:color w:val="auto"/>
              </w:rPr>
            </w:pPr>
          </w:p>
        </w:tc>
      </w:tr>
      <w:tr>
        <w:trPr>
          <w:trHeight w:val="230"/>
        </w:trPr>
        <w:tc>
          <w:tcPr>
            <w:tcW w:w="4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assets of the DC Master Trust</w:t>
            </w:r>
          </w:p>
        </w:tc>
        <w:tc>
          <w:tcPr>
            <w:tcW w:w="8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39,801,689</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35,525,697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39,301,997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35,040,516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4"/>
        </w:trPr>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 for the DC Master Trust for the plan year ended December 31, 2025, is as follows:</w:t>
            </w:r>
          </w:p>
        </w:tc>
        <w:tc>
          <w:tcPr>
            <w:tcW w:w="132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57"/>
        </w:trPr>
        <w:tc>
          <w:tcPr>
            <w:tcW w:w="8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3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Investment income</w:t>
            </w:r>
          </w:p>
        </w:tc>
        <w:tc>
          <w:tcPr>
            <w:tcW w:w="13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9"/>
        </w:trPr>
        <w:tc>
          <w:tcPr>
            <w:tcW w:w="8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appreciation in value of investments</w:t>
            </w: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5,867,005</w:t>
            </w:r>
          </w:p>
        </w:tc>
      </w:tr>
      <w:tr>
        <w:trPr>
          <w:trHeight w:val="229"/>
        </w:trPr>
        <w:tc>
          <w:tcPr>
            <w:tcW w:w="8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w:t>
            </w:r>
          </w:p>
        </w:tc>
        <w:tc>
          <w:tcPr>
            <w:tcW w:w="1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95,113</w:t>
            </w:r>
          </w:p>
        </w:tc>
      </w:tr>
      <w:tr>
        <w:trPr>
          <w:trHeight w:val="230"/>
        </w:trPr>
        <w:tc>
          <w:tcPr>
            <w:tcW w:w="8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Dividends</w:t>
            </w:r>
          </w:p>
        </w:tc>
        <w:tc>
          <w:tcPr>
            <w:tcW w:w="1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65,793</w:t>
            </w:r>
          </w:p>
        </w:tc>
      </w:tr>
      <w:tr>
        <w:trPr>
          <w:trHeight w:val="229"/>
        </w:trPr>
        <w:tc>
          <w:tcPr>
            <w:tcW w:w="8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w:t>
            </w:r>
          </w:p>
        </w:tc>
        <w:tc>
          <w:tcPr>
            <w:tcW w:w="1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2,255</w:t>
            </w:r>
          </w:p>
        </w:tc>
      </w:tr>
      <w:tr>
        <w:trPr>
          <w:trHeight w:val="230"/>
        </w:trPr>
        <w:tc>
          <w:tcPr>
            <w:tcW w:w="86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Investment manager fees</w:t>
            </w:r>
          </w:p>
        </w:tc>
        <w:tc>
          <w:tcPr>
            <w:tcW w:w="1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(3,597)</w:t>
            </w:r>
          </w:p>
        </w:tc>
      </w:tr>
      <w:tr>
        <w:trPr>
          <w:trHeight w:val="230"/>
        </w:trPr>
        <w:tc>
          <w:tcPr>
            <w:tcW w:w="8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investment income</w:t>
            </w:r>
          </w:p>
        </w:tc>
        <w:tc>
          <w:tcPr>
            <w:tcW w:w="13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6,026,569</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Certain investments that are measured at fair value using NAV per share (or its equivalent) as a practical expedient are not required to be categorized in the fair value hierarchy tables. The total fair value of these investments is included in the tables below to permit reconciliation of the fair value hierarchy to amounts presented in the investments footnote (Note 3). These investments have no unfunded commitments, redemption notice periods greater than seven days or other redemption restrictions. As of December 31, 2025 and 2024, there were no investments expected to be sold at a value materially different than NAV.</w:t>
      </w:r>
    </w:p>
    <w:p>
      <w:pPr>
        <w:spacing w:after="0" w:line="6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table below sets forth the fair value of the investments by level, measured on a recurring basis and held by the DC Master Trust as of December 31, 2025:</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r>
      <w:tr>
        <w:trPr>
          <w:trHeight w:val="223"/>
        </w:trPr>
        <w:tc>
          <w:tcPr>
            <w:tcW w:w="5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3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4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DC Master Trust at fair value</w:t>
            </w: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equivalents and short-term investment fund</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78,177</w:t>
            </w:r>
          </w:p>
        </w:tc>
        <w:tc>
          <w:tcPr>
            <w:tcW w:w="4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78,177</w:t>
            </w:r>
          </w:p>
        </w:tc>
      </w:tr>
      <w:tr>
        <w:trPr>
          <w:trHeight w:val="229"/>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equities</w:t>
            </w: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4,048,009</w:t>
            </w: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4,048,009</w:t>
            </w:r>
          </w:p>
        </w:tc>
      </w:tr>
      <w:tr>
        <w:trPr>
          <w:trHeight w:val="230"/>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Collateral held under securities lending agreements</w:t>
            </w:r>
          </w:p>
        </w:tc>
        <w:tc>
          <w:tcPr>
            <w:tcW w:w="360" w:type="dxa"/>
            <w:vAlign w:val="bottom"/>
          </w:tcPr>
          <w:p>
            <w:pPr>
              <w:spacing w:after="0"/>
              <w:rPr>
                <w:sz w:val="19"/>
                <w:szCs w:val="19"/>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spacing w:after="0"/>
              <w:rPr>
                <w:sz w:val="19"/>
                <w:szCs w:val="19"/>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200,064</w:t>
            </w:r>
          </w:p>
        </w:tc>
        <w:tc>
          <w:tcPr>
            <w:tcW w:w="4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200,064</w:t>
            </w:r>
          </w:p>
        </w:tc>
      </w:tr>
      <w:tr>
        <w:trPr>
          <w:trHeight w:val="230"/>
        </w:trPr>
        <w:tc>
          <w:tcPr>
            <w:tcW w:w="57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Common/collective trust funds valued using NAV as a practical expedient</w:t>
            </w:r>
          </w:p>
        </w:tc>
        <w:tc>
          <w:tcPr>
            <w:tcW w:w="3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32,627,651</w:t>
            </w:r>
          </w:p>
        </w:tc>
      </w:tr>
      <w:tr>
        <w:trPr>
          <w:trHeight w:val="230"/>
        </w:trPr>
        <w:tc>
          <w:tcPr>
            <w:tcW w:w="5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DC Master Trust at fair value</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4,048,009</w:t>
            </w:r>
          </w:p>
        </w:tc>
        <w:tc>
          <w:tcPr>
            <w:tcW w:w="4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278,241</w:t>
            </w:r>
          </w:p>
        </w:tc>
        <w:tc>
          <w:tcPr>
            <w:tcW w:w="4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36,953,901</w:t>
            </w:r>
          </w:p>
        </w:tc>
      </w:tr>
    </w:tbl>
    <w:p>
      <w:pPr>
        <w:spacing w:after="0" w:line="171" w:lineRule="exact"/>
        <w:rPr>
          <w:sz w:val="20"/>
          <w:szCs w:val="20"/>
          <w:color w:val="auto"/>
        </w:rPr>
      </w:pPr>
    </w:p>
    <w:p>
      <w:pPr>
        <w:ind w:right="200"/>
        <w:spacing w:after="0" w:line="271" w:lineRule="auto"/>
        <w:rPr>
          <w:sz w:val="20"/>
          <w:szCs w:val="20"/>
          <w:color w:val="auto"/>
        </w:rPr>
      </w:pPr>
      <w:r>
        <w:rPr>
          <w:rFonts w:ascii="Times New Roman" w:cs="Times New Roman" w:eastAsia="Times New Roman" w:hAnsi="Times New Roman"/>
          <w:sz w:val="18"/>
          <w:szCs w:val="18"/>
          <w:color w:val="auto"/>
        </w:rPr>
        <w:t>The table below sets forth the fair value of the BrokerageLink Account and short-term investment fund, by level, measured on a recurring basis, and held by the Plan as of December 31, 2025:</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r>
      <w:tr>
        <w:trPr>
          <w:trHeight w:val="223"/>
        </w:trPr>
        <w:tc>
          <w:tcPr>
            <w:tcW w:w="5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3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4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Plan investments</w:t>
            </w: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BrokerageLink Account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4,577,861</w:t>
            </w:r>
          </w:p>
        </w:tc>
        <w:tc>
          <w:tcPr>
            <w:tcW w:w="4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63,482</w:t>
            </w:r>
          </w:p>
        </w:tc>
        <w:tc>
          <w:tcPr>
            <w:tcW w:w="4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4,641,343</w:t>
            </w:r>
          </w:p>
        </w:tc>
      </w:tr>
      <w:tr>
        <w:trPr>
          <w:trHeight w:val="229"/>
        </w:trPr>
        <w:tc>
          <w:tcPr>
            <w:tcW w:w="57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 Street Bank and Trust Company short-term investment fund</w:t>
            </w:r>
          </w:p>
        </w:tc>
        <w:tc>
          <w:tcPr>
            <w:tcW w:w="3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143</w:t>
            </w:r>
          </w:p>
        </w:tc>
        <w:tc>
          <w:tcPr>
            <w:tcW w:w="4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w:t>
            </w:r>
          </w:p>
        </w:tc>
      </w:tr>
      <w:tr>
        <w:trPr>
          <w:trHeight w:val="230"/>
        </w:trPr>
        <w:tc>
          <w:tcPr>
            <w:tcW w:w="5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other Plan investments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4,577,861</w:t>
            </w:r>
          </w:p>
        </w:tc>
        <w:tc>
          <w:tcPr>
            <w:tcW w:w="4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63,625</w:t>
            </w:r>
          </w:p>
        </w:tc>
        <w:tc>
          <w:tcPr>
            <w:tcW w:w="4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4,641,486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12" w:name="page13"/>
    <w:bookmarkEnd w:id="12"/>
    <w:p>
      <w:pPr>
        <w:ind w:right="300"/>
        <w:spacing w:after="0" w:line="273" w:lineRule="auto"/>
        <w:rPr>
          <w:sz w:val="20"/>
          <w:szCs w:val="20"/>
          <w:color w:val="auto"/>
        </w:rPr>
      </w:pPr>
      <w:r>
        <w:rPr>
          <w:rFonts w:ascii="Times New Roman" w:cs="Times New Roman" w:eastAsia="Times New Roman" w:hAnsi="Times New Roman"/>
          <w:sz w:val="18"/>
          <w:szCs w:val="18"/>
          <w:color w:val="auto"/>
        </w:rPr>
        <w:t>The table below sets forth the fair value of the investments by level, measured on a recurring basis and held by the DC Master Trust as of December 31, 2024:</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2024</w:t>
            </w:r>
          </w:p>
        </w:tc>
        <w:tc>
          <w:tcPr>
            <w:tcW w:w="5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r>
      <w:tr>
        <w:trPr>
          <w:trHeight w:val="223"/>
        </w:trPr>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3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Level 1</w:t>
            </w: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Level 2</w:t>
            </w:r>
          </w:p>
        </w:tc>
        <w:tc>
          <w:tcPr>
            <w:tcW w:w="5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DC Master Trust at fair value</w:t>
            </w: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0"/>
        </w:trPr>
        <w:tc>
          <w:tcPr>
            <w:tcW w:w="5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equivalents and short-term investment fund</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93,041</w:t>
            </w:r>
          </w:p>
        </w:tc>
        <w:tc>
          <w:tcPr>
            <w:tcW w:w="5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93,059</w:t>
            </w:r>
          </w:p>
        </w:tc>
      </w:tr>
      <w:tr>
        <w:trPr>
          <w:trHeight w:val="229"/>
        </w:trPr>
        <w:tc>
          <w:tcPr>
            <w:tcW w:w="5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equities</w:t>
            </w: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3,594,037</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3,594,037</w:t>
            </w:r>
          </w:p>
        </w:tc>
      </w:tr>
      <w:tr>
        <w:trPr>
          <w:trHeight w:val="230"/>
        </w:trPr>
        <w:tc>
          <w:tcPr>
            <w:tcW w:w="5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Collateral held under securities lending agreements</w:t>
            </w:r>
          </w:p>
        </w:tc>
        <w:tc>
          <w:tcPr>
            <w:tcW w:w="360" w:type="dxa"/>
            <w:vAlign w:val="bottom"/>
          </w:tcPr>
          <w:p>
            <w:pPr>
              <w:spacing w:after="0"/>
              <w:rPr>
                <w:sz w:val="19"/>
                <w:szCs w:val="19"/>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693,505</w:t>
            </w:r>
          </w:p>
        </w:tc>
        <w:tc>
          <w:tcPr>
            <w:tcW w:w="5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693,505</w:t>
            </w:r>
          </w:p>
        </w:tc>
      </w:tr>
      <w:tr>
        <w:trPr>
          <w:trHeight w:val="175"/>
        </w:trPr>
        <w:tc>
          <w:tcPr>
            <w:tcW w:w="560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Common/collective trust funds valued using NAV as a practical</w:t>
            </w:r>
          </w:p>
        </w:tc>
        <w:tc>
          <w:tcPr>
            <w:tcW w:w="3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243"/>
        </w:trPr>
        <w:tc>
          <w:tcPr>
            <w:tcW w:w="56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expedient</w:t>
            </w:r>
          </w:p>
        </w:tc>
        <w:tc>
          <w:tcPr>
            <w:tcW w:w="36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28,679,632</w:t>
            </w:r>
          </w:p>
        </w:tc>
      </w:tr>
      <w:tr>
        <w:trPr>
          <w:trHeight w:val="230"/>
        </w:trPr>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DC Master Trust at fair value</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3,594,055</w:t>
            </w:r>
          </w:p>
        </w:tc>
        <w:tc>
          <w:tcPr>
            <w:tcW w:w="4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786,546</w:t>
            </w:r>
          </w:p>
        </w:tc>
        <w:tc>
          <w:tcPr>
            <w:tcW w:w="5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33,060,233</w:t>
            </w:r>
          </w:p>
        </w:tc>
      </w:tr>
    </w:tbl>
    <w:p>
      <w:pPr>
        <w:spacing w:after="0" w:line="157" w:lineRule="exact"/>
        <w:rPr>
          <w:sz w:val="20"/>
          <w:szCs w:val="20"/>
          <w:color w:val="auto"/>
        </w:rPr>
      </w:pPr>
    </w:p>
    <w:p>
      <w:pPr>
        <w:ind w:right="200"/>
        <w:spacing w:after="0" w:line="273" w:lineRule="auto"/>
        <w:rPr>
          <w:sz w:val="20"/>
          <w:szCs w:val="20"/>
          <w:color w:val="auto"/>
        </w:rPr>
      </w:pPr>
      <w:r>
        <w:rPr>
          <w:rFonts w:ascii="Times New Roman" w:cs="Times New Roman" w:eastAsia="Times New Roman" w:hAnsi="Times New Roman"/>
          <w:sz w:val="18"/>
          <w:szCs w:val="18"/>
          <w:color w:val="auto"/>
        </w:rPr>
        <w:t>The table below sets forth the fair value of the BrokerageLink Account and short-term investment fund, by level, measured on a recurring basis, and held by the Plan as of December 31, 2024:</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2024</w:t>
            </w:r>
          </w:p>
        </w:tc>
        <w:tc>
          <w:tcPr>
            <w:tcW w:w="5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r>
      <w:tr>
        <w:trPr>
          <w:trHeight w:val="223"/>
        </w:trPr>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3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Level 1</w:t>
            </w: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Level 2</w:t>
            </w:r>
          </w:p>
        </w:tc>
        <w:tc>
          <w:tcPr>
            <w:tcW w:w="5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Plan investments</w:t>
            </w: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9"/>
        </w:trPr>
        <w:tc>
          <w:tcPr>
            <w:tcW w:w="5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BrokerageLink Account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3,968,127</w:t>
            </w:r>
          </w:p>
        </w:tc>
        <w:tc>
          <w:tcPr>
            <w:tcW w:w="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56,734</w:t>
            </w:r>
          </w:p>
        </w:tc>
        <w:tc>
          <w:tcPr>
            <w:tcW w:w="5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4,024,861</w:t>
            </w:r>
          </w:p>
        </w:tc>
      </w:tr>
      <w:tr>
        <w:trPr>
          <w:trHeight w:val="229"/>
        </w:trPr>
        <w:tc>
          <w:tcPr>
            <w:tcW w:w="56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 Street Bank and Trust Company short-term investment fund</w:t>
            </w:r>
          </w:p>
        </w:tc>
        <w:tc>
          <w:tcPr>
            <w:tcW w:w="3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902</w:t>
            </w:r>
          </w:p>
        </w:tc>
        <w:tc>
          <w:tcPr>
            <w:tcW w:w="5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w:t>
            </w:r>
          </w:p>
        </w:tc>
      </w:tr>
      <w:tr>
        <w:trPr>
          <w:trHeight w:val="230"/>
        </w:trPr>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other Plan investments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3,968,127</w:t>
            </w:r>
          </w:p>
        </w:tc>
        <w:tc>
          <w:tcPr>
            <w:tcW w:w="4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57,636</w:t>
            </w:r>
          </w:p>
        </w:tc>
        <w:tc>
          <w:tcPr>
            <w:tcW w:w="5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4,025,763</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INTEREST IN SYNTHETIC GUARANTEED INVESTMENT CONTRACTS</w:t>
      </w:r>
    </w:p>
    <w:p>
      <w:pPr>
        <w:spacing w:after="0" w:line="9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Synthetic guaranteed investment contracts consist of fully benefit-responsive wrapper contracts that provide specified interest rates. Realized and unrealized gains and losses on the underlying assets are not reflected immediately in the net assets of the Plan, but are amortized as adjustments to the future interest-crediting rate over a period equal to or less than the duration of the underlying assets. Primary variables affecting the future crediting rate of the wrapper contracts include the current yield of underlying assets, the duration of underlying assets, and the difference between the market value and contract value of underlying assets.</w:t>
      </w:r>
    </w:p>
    <w:p>
      <w:pPr>
        <w:spacing w:after="0" w:line="6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Investments held in synthetic guaranteed investment contracts (at contract value) totaled $3.1 billion and $3.2 billion as of December 31, 2025 and 2024, respectively.</w:t>
      </w:r>
    </w:p>
    <w:p>
      <w:pPr>
        <w:spacing w:after="0" w:line="4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Certain events, such as Plan termination or a plan merger initiated by the Plan sponsor, may limit the ability of the Plan to transact at contract value or may allow for the termination of the wrapper contract at less than contract value. Plan management believes that the occurrence of events that may limit the ability of the Plan to transact at less than contract value is not probable.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THIRD PARTY BORROWINGS</w:t>
      </w:r>
    </w:p>
    <w:p>
      <w:pPr>
        <w:spacing w:after="0" w:line="9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DC Master Trust participates in a securities lending program with State Street through the separately managed Stable Value Account. The program allows State Street to loan securities, which are assets of the DC Master Trust, to approved borrowers. Such assets could be subject to sale restrictions in the event security lending agreements are terminated and the securities have not been returned to the DC Master Trust. DC Master Trust assets on loan to third-party borrowers under security lending agreements are as follows: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4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December 31</w:t>
            </w:r>
          </w:p>
        </w:tc>
        <w:tc>
          <w:tcPr>
            <w:tcW w:w="1400" w:type="dxa"/>
            <w:vAlign w:val="bottom"/>
            <w:tcBorders>
              <w:bottom w:val="single" w:sz="8" w:color="auto"/>
            </w:tcBorders>
          </w:tcPr>
          <w:p>
            <w:pPr>
              <w:spacing w:after="0"/>
              <w:rPr>
                <w:sz w:val="20"/>
                <w:szCs w:val="20"/>
                <w:color w:val="auto"/>
              </w:rPr>
            </w:pPr>
          </w:p>
        </w:tc>
      </w:tr>
      <w:tr>
        <w:trPr>
          <w:trHeight w:val="223"/>
        </w:trPr>
        <w:tc>
          <w:tcPr>
            <w:tcW w:w="7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4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7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Underlying securities of synthetic guaranteed investment contracts</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195,889</w:t>
            </w:r>
          </w:p>
        </w:tc>
        <w:tc>
          <w:tcPr>
            <w:tcW w:w="72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679,519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13" w:name="page14"/>
    <w:bookmarkEnd w:id="13"/>
    <w:p>
      <w:pPr>
        <w:spacing w:after="0" w:line="253" w:lineRule="auto"/>
        <w:rPr>
          <w:sz w:val="20"/>
          <w:szCs w:val="20"/>
          <w:color w:val="auto"/>
        </w:rPr>
      </w:pPr>
      <w:r>
        <w:rPr>
          <w:rFonts w:ascii="Times New Roman" w:cs="Times New Roman" w:eastAsia="Times New Roman" w:hAnsi="Times New Roman"/>
          <w:sz w:val="18"/>
          <w:szCs w:val="18"/>
          <w:color w:val="auto"/>
        </w:rPr>
        <w:t>State Street requires borrowers, pursuant to a security loan agreement, to deliver collateral to secure each loan. The initial collateral required is 102 percent of the fair value of U.S. securities borrowed and 105 percent for foreign equity securities borrowed. The DC Master Trust bears the risk of loss with respect to any unfavorable change in fair value of the invested cash collateral. However, the borrower bears the risk of loss related to the decrease in the fair value of the securities collateral and, therefore, may have to deliver additional cash or securities to maintain the required collateral. In U.S. markets, State Street generally enters into a netting arrangement with a borrower which permits the netting of mark-to-market exposure for transactions within the lending program with that borrower. Such arrangements would cover lending transactions with the borrower and reverse repurchase agreements of cash collateral involving investment of the collateral. State Street may also negotiate a right of offset in the event of borrower default. In the event of borrower default, State Street indemnifies the DC Master Trust against any loss of the amount loaned. As of December 31, 2025, cash and non-cash collateral associated with securities on loan totaled $167 million and $33 million, respectively. As of December 31, 2024, cash and non-cash collateral associated with securities on loan totaled $603 million and $91 million, respectively. Cash collateral primarily consists of short-term investment funds. Non-cash collateral consists of fixed-income securities. All of the securities on loan are collateralized at more than 102 percent.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EXEMPT PARTY-IN-INTEREST TRANSACTIONS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Party-in-interest transactions through the DC Master Trust include the purchase and sale of investments managed by affiliates of the Plan's Trustee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 involving Northrop Grumman Corporation common stock. The NG Stock Fund within the DC Master Trust held 7.1 million and 7.7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shares of common stock of the Company with a fair value of $4.0 billion and $3.6 billion at December 31, 2025 and 2024, respectively. The Plan’s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 the net assets of the NG Stock Fund was approximately 99.6 percent and 99.5 percent at December 31, 2025 and 2024, respectively. During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the NG Stock Fund earned dividends of $66 million from its investment in Northrop Grumman Corporation common stock.</w:t>
      </w:r>
    </w:p>
    <w:p>
      <w:pPr>
        <w:spacing w:after="0" w:line="72"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State Street affiliates managed $0.1 million and $0.9 million of Plan assets held in a short-term investment fund as of December 31, 2025 and 2024, respectively. The Plan paid $0.4 million to the Trustee in fees during the year ended December 31, 2025.</w:t>
      </w:r>
    </w:p>
    <w:p>
      <w:pPr>
        <w:spacing w:after="0" w:line="4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DC Master Trust utilized various investment managers to manage its net assets. These net assets may be invested into funds also managed by the investment managers. Therefore, these transactions qualify as party-in-interest transactions. The Plan had transactions with the Trustee’s short-term investment fund, a liquidity pooled fund in which participation commences and terminates on a daily basis. In Plan management’s opinion, fees paid during the year for services rendered by parties-in-interest were based upon customary and reasonable rates for such services. The Plan also issues loans to participants, which are secured by the vested balances in the participants' accounts.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PLAN TERMINATION</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Although it has not expressed any intention to do so, the Company has the right under the Plan provisions to discontinue its contributions at any time and to terminate the Plan subject to ERISA provisions. In the event of a Plan termination, participants will become fully vested in their accounts.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FEDERAL INCOME TAX STATUS</w:t>
      </w:r>
    </w:p>
    <w:p>
      <w:pPr>
        <w:spacing w:after="0" w:line="9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Plan obtained its latest determination letter dated August 31, 2021, in which the IRS determined that the Plan’s terms at the time of the determination letter application were in compliance with applicable sections of the Code and, therefore, is exempt from taxation. In December 2016, the IRS began publishing a Required Amendments List for individually designed plans which specifies changes in qualification requirements. The list is published annually and requires plans to be amended for each item on the list, as applicable, to retain its tax-exempt status. Management believes the Plan and related trust are currently designed, have been amended, and are being operated in compliance with the applicable requirements of the Code. Therefore, no provision for income taxes has been included in the Plan’s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8"/>
        </w:trPr>
        <w:tc>
          <w:tcPr>
            <w:tcW w:w="6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 RECONCILIATION OF FINANCIAL STATEMENTS TO FORM 5500</w:t>
            </w:r>
          </w:p>
        </w:tc>
        <w:tc>
          <w:tcPr>
            <w:tcW w:w="1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311"/>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reconciliation of net assets available for benefits per the financial statements to Form 5500 is as follows:</w:t>
            </w: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56"/>
        </w:trPr>
        <w:tc>
          <w:tcPr>
            <w:tcW w:w="6480" w:type="dxa"/>
            <w:vAlign w:val="bottom"/>
          </w:tcPr>
          <w:p>
            <w:pPr>
              <w:spacing w:after="0"/>
              <w:rPr>
                <w:sz w:val="22"/>
                <w:szCs w:val="22"/>
                <w:color w:val="auto"/>
              </w:rPr>
            </w:pPr>
          </w:p>
        </w:tc>
        <w:tc>
          <w:tcPr>
            <w:tcW w:w="138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December 31</w:t>
            </w:r>
          </w:p>
        </w:tc>
        <w:tc>
          <w:tcPr>
            <w:tcW w:w="1620" w:type="dxa"/>
            <w:vAlign w:val="bottom"/>
            <w:tcBorders>
              <w:bottom w:val="single" w:sz="8" w:color="auto"/>
            </w:tcBorders>
          </w:tcPr>
          <w:p>
            <w:pPr>
              <w:spacing w:after="0"/>
              <w:rPr>
                <w:sz w:val="22"/>
                <w:szCs w:val="22"/>
                <w:color w:val="auto"/>
              </w:rPr>
            </w:pPr>
          </w:p>
        </w:tc>
      </w:tr>
      <w:tr>
        <w:trPr>
          <w:trHeight w:val="223"/>
        </w:trPr>
        <w:tc>
          <w:tcPr>
            <w:tcW w:w="6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9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 available for benefits per the financial statements</w:t>
            </w:r>
          </w:p>
        </w:tc>
        <w:tc>
          <w:tcPr>
            <w:tcW w:w="1380" w:type="dxa"/>
            <w:vAlign w:val="bottom"/>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44,355,185</w:t>
            </w:r>
          </w:p>
        </w:tc>
        <w:tc>
          <w:tcPr>
            <w:tcW w:w="76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39,471,854</w:t>
            </w:r>
          </w:p>
        </w:tc>
      </w:tr>
      <w:tr>
        <w:trPr>
          <w:trHeight w:val="230"/>
        </w:trPr>
        <w:tc>
          <w:tcPr>
            <w:tcW w:w="6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amounts allocated to withdrawing participants</w:t>
            </w:r>
          </w:p>
        </w:tc>
        <w:tc>
          <w:tcPr>
            <w:tcW w:w="1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(7,281)</w:t>
            </w:r>
          </w:p>
        </w:tc>
        <w:tc>
          <w:tcPr>
            <w:tcW w:w="7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(6,049)</w:t>
            </w:r>
          </w:p>
        </w:tc>
      </w:tr>
      <w:tr>
        <w:trPr>
          <w:trHeight w:val="223"/>
        </w:trPr>
        <w:tc>
          <w:tcPr>
            <w:tcW w:w="6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assets available for benefits per Form 5500</w:t>
            </w:r>
          </w:p>
        </w:tc>
        <w:tc>
          <w:tcPr>
            <w:tcW w:w="1380" w:type="dxa"/>
            <w:vAlign w:val="bottom"/>
            <w:tcBorders>
              <w:bottom w:val="single" w:sz="8" w:color="auto"/>
            </w:tcBorders>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44,347,904</w:t>
            </w:r>
          </w:p>
        </w:tc>
        <w:tc>
          <w:tcPr>
            <w:tcW w:w="76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39,465,805</w:t>
            </w: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benefits paid to participants per the financial statements to Form 5500 for the year ended December 31, 2025, is as follows:</w:t>
      </w: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Benefits paid to participants per the financial statements</w:t>
            </w:r>
          </w:p>
        </w:tc>
        <w:tc>
          <w:tcPr>
            <w:tcW w:w="2580" w:type="dxa"/>
            <w:vAlign w:val="bottom"/>
            <w:tcBorders>
              <w:top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3,950,883</w:t>
            </w:r>
          </w:p>
        </w:tc>
      </w:tr>
      <w:tr>
        <w:trPr>
          <w:trHeight w:val="229"/>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amounts allocated to withdrawing participants at December 31, 2025</w:t>
            </w:r>
          </w:p>
        </w:tc>
        <w:tc>
          <w:tcPr>
            <w:tcW w:w="25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7,281</w:t>
            </w:r>
          </w:p>
        </w:tc>
      </w:tr>
      <w:tr>
        <w:trPr>
          <w:trHeight w:val="230"/>
        </w:trPr>
        <w:tc>
          <w:tcPr>
            <w:tcW w:w="7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amounts allocated to withdrawing participants at December 31, 2024</w:t>
            </w:r>
          </w:p>
        </w:tc>
        <w:tc>
          <w:tcPr>
            <w:tcW w:w="25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(6,049)</w:t>
            </w:r>
          </w:p>
        </w:tc>
      </w:tr>
      <w:tr>
        <w:trPr>
          <w:trHeight w:val="223"/>
        </w:trPr>
        <w:tc>
          <w:tcPr>
            <w:tcW w:w="7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Benefits paid to participants per Form 5500</w:t>
            </w:r>
          </w:p>
        </w:tc>
        <w:tc>
          <w:tcPr>
            <w:tcW w:w="25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3,952,115</w:t>
            </w:r>
          </w:p>
        </w:tc>
      </w:tr>
    </w:tbl>
    <w:p>
      <w:pPr>
        <w:spacing w:after="0" w:line="15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Amounts allocated to withdrawing participants are recorded on Form 5500 for benefit claims that have been processed and approved for payment prior to December 31, 2025 and 2024, but not yet paid as of that date.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2"/>
          <w:szCs w:val="22"/>
          <w:b w:val="1"/>
          <w:bCs w:val="1"/>
          <w:color w:val="auto"/>
        </w:rPr>
        <w:t>NORTHROP GRUMMAN SAVINGS PLAN</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5500, SCHEDULE H, PART IV, LINE 4i,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SCHEDULE OF ASSETS (HELD AT END OF YEAR)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OF DECEMBER 31, 2025</w:t>
      </w:r>
    </w:p>
    <w:p>
      <w:pPr>
        <w:spacing w:after="0" w:line="1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40" w:type="dxa"/>
            <w:vAlign w:val="bottom"/>
            <w:tcBorders>
              <w:top w:val="single" w:sz="8" w:color="auto"/>
            </w:tcBorders>
          </w:tcPr>
          <w:p>
            <w:pPr>
              <w:spacing w:after="0"/>
              <w:rPr>
                <w:sz w:val="14"/>
                <w:szCs w:val="14"/>
                <w:color w:val="auto"/>
              </w:rPr>
            </w:pPr>
          </w:p>
        </w:tc>
        <w:tc>
          <w:tcPr>
            <w:tcW w:w="2840" w:type="dxa"/>
            <w:vAlign w:val="bottom"/>
            <w:tcBorders>
              <w:top w:val="single" w:sz="8" w:color="auto"/>
            </w:tcBorders>
          </w:tcPr>
          <w:p>
            <w:pPr>
              <w:spacing w:after="0"/>
              <w:rPr>
                <w:sz w:val="14"/>
                <w:szCs w:val="14"/>
                <w:color w:val="auto"/>
              </w:rPr>
            </w:pPr>
          </w:p>
        </w:tc>
        <w:tc>
          <w:tcPr>
            <w:tcW w:w="476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rPr>
              <w:t>Description of Investment,</w:t>
            </w:r>
          </w:p>
        </w:tc>
        <w:tc>
          <w:tcPr>
            <w:tcW w:w="76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40" w:type="dxa"/>
            <w:vAlign w:val="bottom"/>
          </w:tcPr>
          <w:p>
            <w:pPr>
              <w:spacing w:after="0"/>
              <w:rPr>
                <w:sz w:val="15"/>
                <w:szCs w:val="15"/>
                <w:color w:val="auto"/>
              </w:rPr>
            </w:pPr>
          </w:p>
        </w:tc>
        <w:tc>
          <w:tcPr>
            <w:tcW w:w="2840" w:type="dxa"/>
            <w:vAlign w:val="bottom"/>
            <w:vMerge w:val="restart"/>
          </w:tcPr>
          <w:p>
            <w:pPr>
              <w:ind w:left="460"/>
              <w:spacing w:after="0"/>
              <w:rPr>
                <w:sz w:val="20"/>
                <w:szCs w:val="20"/>
                <w:color w:val="auto"/>
              </w:rPr>
            </w:pPr>
            <w:r>
              <w:rPr>
                <w:rFonts w:ascii="Times New Roman" w:cs="Times New Roman" w:eastAsia="Times New Roman" w:hAnsi="Times New Roman"/>
                <w:sz w:val="18"/>
                <w:szCs w:val="18"/>
                <w:b w:val="1"/>
                <w:bCs w:val="1"/>
                <w:color w:val="auto"/>
              </w:rPr>
              <w:t>Identity of Issuer, Borrower,</w:t>
            </w:r>
          </w:p>
        </w:tc>
        <w:tc>
          <w:tcPr>
            <w:tcW w:w="476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Including Maturity Date, Rate of</w:t>
            </w: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40" w:type="dxa"/>
            <w:vAlign w:val="bottom"/>
          </w:tcPr>
          <w:p>
            <w:pPr>
              <w:spacing w:after="0"/>
              <w:rPr>
                <w:sz w:val="16"/>
                <w:szCs w:val="16"/>
                <w:color w:val="auto"/>
              </w:rPr>
            </w:pPr>
          </w:p>
        </w:tc>
        <w:tc>
          <w:tcPr>
            <w:tcW w:w="2840" w:type="dxa"/>
            <w:vAlign w:val="bottom"/>
            <w:vMerge w:val="continue"/>
          </w:tcPr>
          <w:p>
            <w:pPr>
              <w:spacing w:after="0"/>
              <w:rPr>
                <w:sz w:val="16"/>
                <w:szCs w:val="16"/>
                <w:color w:val="auto"/>
              </w:rPr>
            </w:pPr>
          </w:p>
        </w:tc>
        <w:tc>
          <w:tcPr>
            <w:tcW w:w="476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Interest, Collateral, and Par or</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Cost</w:t>
            </w:r>
          </w:p>
        </w:tc>
        <w:tc>
          <w:tcPr>
            <w:tcW w:w="360" w:type="dxa"/>
            <w:vAlign w:val="bottom"/>
          </w:tcPr>
          <w:p>
            <w:pPr>
              <w:spacing w:after="0"/>
              <w:rPr>
                <w:sz w:val="16"/>
                <w:szCs w:val="16"/>
                <w:color w:val="auto"/>
              </w:rPr>
            </w:pPr>
          </w:p>
        </w:tc>
        <w:tc>
          <w:tcPr>
            <w:tcW w:w="150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Current Value</w:t>
            </w:r>
          </w:p>
        </w:tc>
        <w:tc>
          <w:tcPr>
            <w:tcW w:w="0" w:type="dxa"/>
            <w:vAlign w:val="bottom"/>
          </w:tcPr>
          <w:p>
            <w:pPr>
              <w:spacing w:after="0"/>
              <w:rPr>
                <w:sz w:val="1"/>
                <w:szCs w:val="1"/>
                <w:color w:val="auto"/>
              </w:rPr>
            </w:pPr>
          </w:p>
        </w:tc>
      </w:tr>
      <w:tr>
        <w:trPr>
          <w:trHeight w:val="229"/>
        </w:trPr>
        <w:tc>
          <w:tcPr>
            <w:tcW w:w="34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b w:val="1"/>
                <w:bCs w:val="1"/>
                <w:color w:val="auto"/>
              </w:rPr>
              <w:t>Lessor, or Similar Party</w:t>
            </w:r>
          </w:p>
        </w:tc>
        <w:tc>
          <w:tcPr>
            <w:tcW w:w="4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Maturity Value</w:t>
            </w:r>
          </w:p>
        </w:tc>
        <w:tc>
          <w:tcPr>
            <w:tcW w:w="760" w:type="dxa"/>
            <w:vAlign w:val="bottom"/>
            <w:tcBorders>
              <w:bottom w:val="single" w:sz="8" w:color="auto"/>
            </w:tcBorders>
            <w:vMerge w:val="continue"/>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40" w:type="dxa"/>
            <w:vAlign w:val="bottom"/>
            <w:shd w:val="clear" w:color="auto" w:fill="CCEEFF"/>
          </w:tcPr>
          <w:p>
            <w:pPr>
              <w:jc w:val="right"/>
              <w:ind w:right="130"/>
              <w:spacing w:after="0" w:line="169" w:lineRule="exact"/>
              <w:rPr>
                <w:sz w:val="20"/>
                <w:szCs w:val="20"/>
                <w:color w:val="auto"/>
              </w:rPr>
            </w:pPr>
            <w:r>
              <w:rPr>
                <w:rFonts w:ascii="Times New Roman" w:cs="Times New Roman" w:eastAsia="Times New Roman" w:hAnsi="Times New Roman"/>
                <w:sz w:val="18"/>
                <w:szCs w:val="18"/>
                <w:color w:val="auto"/>
              </w:rPr>
              <w:t>*</w:t>
            </w:r>
          </w:p>
        </w:tc>
        <w:tc>
          <w:tcPr>
            <w:tcW w:w="2840" w:type="dxa"/>
            <w:vAlign w:val="bottom"/>
            <w:shd w:val="clear" w:color="auto" w:fill="CCEEFF"/>
          </w:tcPr>
          <w:p>
            <w:pPr>
              <w:ind w:left="220"/>
              <w:spacing w:after="0" w:line="169" w:lineRule="exact"/>
              <w:rPr>
                <w:sz w:val="20"/>
                <w:szCs w:val="20"/>
                <w:color w:val="auto"/>
              </w:rPr>
            </w:pPr>
            <w:r>
              <w:rPr>
                <w:rFonts w:ascii="Times New Roman" w:cs="Times New Roman" w:eastAsia="Times New Roman" w:hAnsi="Times New Roman"/>
                <w:sz w:val="18"/>
                <w:szCs w:val="18"/>
                <w:color w:val="auto"/>
              </w:rPr>
              <w:t>Northrop Grumman Defined</w:t>
            </w:r>
          </w:p>
        </w:tc>
        <w:tc>
          <w:tcPr>
            <w:tcW w:w="4760" w:type="dxa"/>
            <w:vAlign w:val="bottom"/>
            <w:shd w:val="clear" w:color="auto" w:fill="CCEEFF"/>
          </w:tcPr>
          <w:p>
            <w:pPr>
              <w:ind w:left="200"/>
              <w:spacing w:after="0" w:line="169" w:lineRule="exact"/>
              <w:rPr>
                <w:sz w:val="20"/>
                <w:szCs w:val="20"/>
                <w:color w:val="auto"/>
              </w:rPr>
            </w:pPr>
            <w:r>
              <w:rPr>
                <w:rFonts w:ascii="Times New Roman" w:cs="Times New Roman" w:eastAsia="Times New Roman" w:hAnsi="Times New Roman"/>
                <w:sz w:val="18"/>
                <w:szCs w:val="18"/>
                <w:color w:val="auto"/>
              </w:rPr>
              <w:t>Participation in Northrop Grumman Defined Contribution</w:t>
            </w:r>
          </w:p>
        </w:tc>
        <w:tc>
          <w:tcPr>
            <w:tcW w:w="7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39,301,997</w:t>
            </w:r>
          </w:p>
        </w:tc>
        <w:tc>
          <w:tcPr>
            <w:tcW w:w="0" w:type="dxa"/>
            <w:vAlign w:val="bottom"/>
          </w:tcPr>
          <w:p>
            <w:pPr>
              <w:spacing w:after="0"/>
              <w:rPr>
                <w:sz w:val="1"/>
                <w:szCs w:val="1"/>
                <w:color w:val="auto"/>
              </w:rPr>
            </w:pPr>
          </w:p>
        </w:tc>
      </w:tr>
      <w:tr>
        <w:trPr>
          <w:trHeight w:val="148"/>
        </w:trPr>
        <w:tc>
          <w:tcPr>
            <w:tcW w:w="340" w:type="dxa"/>
            <w:vAlign w:val="bottom"/>
            <w:shd w:val="clear" w:color="auto" w:fill="CCEEFF"/>
          </w:tcPr>
          <w:p>
            <w:pPr>
              <w:spacing w:after="0"/>
              <w:rPr>
                <w:sz w:val="12"/>
                <w:szCs w:val="12"/>
                <w:color w:val="auto"/>
              </w:rPr>
            </w:pPr>
          </w:p>
        </w:tc>
        <w:tc>
          <w:tcPr>
            <w:tcW w:w="2840" w:type="dxa"/>
            <w:vAlign w:val="bottom"/>
            <w:vMerge w:val="restart"/>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Contribution Plans Master Trust</w:t>
            </w:r>
          </w:p>
        </w:tc>
        <w:tc>
          <w:tcPr>
            <w:tcW w:w="4760" w:type="dxa"/>
            <w:vAlign w:val="bottom"/>
            <w:vMerge w:val="restart"/>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Plans Master Trust</w:t>
            </w:r>
          </w:p>
        </w:tc>
        <w:tc>
          <w:tcPr>
            <w:tcW w:w="760" w:type="dxa"/>
            <w:vAlign w:val="bottom"/>
            <w:vMerge w:val="continue"/>
            <w:shd w:val="clear" w:color="auto" w:fill="CCEEFF"/>
          </w:tcPr>
          <w:p>
            <w:pPr>
              <w:spacing w:after="0"/>
              <w:rPr>
                <w:sz w:val="12"/>
                <w:szCs w:val="12"/>
                <w:color w:val="auto"/>
              </w:rPr>
            </w:pPr>
          </w:p>
        </w:tc>
        <w:tc>
          <w:tcPr>
            <w:tcW w:w="360" w:type="dxa"/>
            <w:vAlign w:val="bottom"/>
            <w:vMerge w:val="continue"/>
            <w:shd w:val="clear" w:color="auto" w:fill="CCEEFF"/>
          </w:tcPr>
          <w:p>
            <w:pPr>
              <w:spacing w:after="0"/>
              <w:rPr>
                <w:sz w:val="12"/>
                <w:szCs w:val="12"/>
                <w:color w:val="auto"/>
              </w:rPr>
            </w:pPr>
          </w:p>
        </w:tc>
        <w:tc>
          <w:tcPr>
            <w:tcW w:w="15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340" w:type="dxa"/>
            <w:vAlign w:val="bottom"/>
            <w:shd w:val="clear" w:color="auto" w:fill="CCEEFF"/>
          </w:tcPr>
          <w:p>
            <w:pPr>
              <w:spacing w:after="0"/>
              <w:rPr>
                <w:sz w:val="8"/>
                <w:szCs w:val="8"/>
                <w:color w:val="auto"/>
              </w:rPr>
            </w:pPr>
          </w:p>
        </w:tc>
        <w:tc>
          <w:tcPr>
            <w:tcW w:w="2840" w:type="dxa"/>
            <w:vAlign w:val="bottom"/>
            <w:vMerge w:val="continue"/>
            <w:shd w:val="clear" w:color="auto" w:fill="CCEEFF"/>
          </w:tcPr>
          <w:p>
            <w:pPr>
              <w:spacing w:after="0"/>
              <w:rPr>
                <w:sz w:val="8"/>
                <w:szCs w:val="8"/>
                <w:color w:val="auto"/>
              </w:rPr>
            </w:pPr>
          </w:p>
        </w:tc>
        <w:tc>
          <w:tcPr>
            <w:tcW w:w="4760" w:type="dxa"/>
            <w:vAlign w:val="bottom"/>
            <w:vMerge w:val="continue"/>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Fidelity Brokerage Services LLC</w:t>
            </w:r>
          </w:p>
        </w:tc>
        <w:tc>
          <w:tcPr>
            <w:tcW w:w="4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BrokerageLink Account</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4,641,343</w:t>
            </w:r>
          </w:p>
        </w:tc>
        <w:tc>
          <w:tcPr>
            <w:tcW w:w="0" w:type="dxa"/>
            <w:vAlign w:val="bottom"/>
          </w:tcPr>
          <w:p>
            <w:pPr>
              <w:spacing w:after="0"/>
              <w:rPr>
                <w:sz w:val="1"/>
                <w:szCs w:val="1"/>
                <w:color w:val="auto"/>
              </w:rPr>
            </w:pPr>
          </w:p>
        </w:tc>
      </w:tr>
      <w:tr>
        <w:trPr>
          <w:trHeight w:val="175"/>
        </w:trPr>
        <w:tc>
          <w:tcPr>
            <w:tcW w:w="340" w:type="dxa"/>
            <w:vAlign w:val="bottom"/>
            <w:shd w:val="clear" w:color="auto" w:fill="CCEEFF"/>
          </w:tcPr>
          <w:p>
            <w:pPr>
              <w:jc w:val="right"/>
              <w:ind w:right="130"/>
              <w:spacing w:after="0" w:line="176" w:lineRule="exact"/>
              <w:rPr>
                <w:sz w:val="20"/>
                <w:szCs w:val="20"/>
                <w:color w:val="auto"/>
              </w:rPr>
            </w:pPr>
            <w:r>
              <w:rPr>
                <w:rFonts w:ascii="Times New Roman" w:cs="Times New Roman" w:eastAsia="Times New Roman" w:hAnsi="Times New Roman"/>
                <w:sz w:val="18"/>
                <w:szCs w:val="18"/>
                <w:color w:val="auto"/>
              </w:rPr>
              <w:t>*</w:t>
            </w:r>
          </w:p>
        </w:tc>
        <w:tc>
          <w:tcPr>
            <w:tcW w:w="284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State Street Bank and Trust</w:t>
            </w:r>
          </w:p>
        </w:tc>
        <w:tc>
          <w:tcPr>
            <w:tcW w:w="476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State Street Bank and Trust Company short-term investment</w:t>
            </w:r>
          </w:p>
        </w:tc>
        <w:tc>
          <w:tcPr>
            <w:tcW w:w="7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shd w:val="clear" w:color="auto" w:fill="CCEEFF"/>
          </w:tcPr>
          <w:p>
            <w:pPr>
              <w:spacing w:after="0"/>
              <w:rPr>
                <w:sz w:val="15"/>
                <w:szCs w:val="15"/>
                <w:color w:val="auto"/>
              </w:rPr>
            </w:pP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w:t>
            </w:r>
          </w:p>
        </w:tc>
        <w:tc>
          <w:tcPr>
            <w:tcW w:w="0" w:type="dxa"/>
            <w:vAlign w:val="bottom"/>
          </w:tcPr>
          <w:p>
            <w:pPr>
              <w:spacing w:after="0"/>
              <w:rPr>
                <w:sz w:val="1"/>
                <w:szCs w:val="1"/>
                <w:color w:val="auto"/>
              </w:rPr>
            </w:pPr>
          </w:p>
        </w:tc>
      </w:tr>
      <w:tr>
        <w:trPr>
          <w:trHeight w:val="149"/>
        </w:trPr>
        <w:tc>
          <w:tcPr>
            <w:tcW w:w="340" w:type="dxa"/>
            <w:vAlign w:val="bottom"/>
            <w:shd w:val="clear" w:color="auto" w:fill="CCEEFF"/>
          </w:tcPr>
          <w:p>
            <w:pPr>
              <w:spacing w:after="0"/>
              <w:rPr>
                <w:sz w:val="12"/>
                <w:szCs w:val="12"/>
                <w:color w:val="auto"/>
              </w:rPr>
            </w:pPr>
          </w:p>
        </w:tc>
        <w:tc>
          <w:tcPr>
            <w:tcW w:w="2840" w:type="dxa"/>
            <w:vAlign w:val="bottom"/>
            <w:vMerge w:val="restart"/>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Company</w:t>
            </w:r>
          </w:p>
        </w:tc>
        <w:tc>
          <w:tcPr>
            <w:tcW w:w="4760" w:type="dxa"/>
            <w:vAlign w:val="bottom"/>
            <w:vMerge w:val="restart"/>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fund</w:t>
            </w:r>
          </w:p>
        </w:tc>
        <w:tc>
          <w:tcPr>
            <w:tcW w:w="760" w:type="dxa"/>
            <w:vAlign w:val="bottom"/>
            <w:vMerge w:val="continue"/>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5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340" w:type="dxa"/>
            <w:vAlign w:val="bottom"/>
            <w:shd w:val="clear" w:color="auto" w:fill="CCEEFF"/>
          </w:tcPr>
          <w:p>
            <w:pPr>
              <w:spacing w:after="0"/>
              <w:rPr>
                <w:sz w:val="8"/>
                <w:szCs w:val="8"/>
                <w:color w:val="auto"/>
              </w:rPr>
            </w:pPr>
          </w:p>
        </w:tc>
        <w:tc>
          <w:tcPr>
            <w:tcW w:w="2840" w:type="dxa"/>
            <w:vAlign w:val="bottom"/>
            <w:vMerge w:val="continue"/>
            <w:shd w:val="clear" w:color="auto" w:fill="CCEEFF"/>
          </w:tcPr>
          <w:p>
            <w:pPr>
              <w:spacing w:after="0"/>
              <w:rPr>
                <w:sz w:val="8"/>
                <w:szCs w:val="8"/>
                <w:color w:val="auto"/>
              </w:rPr>
            </w:pPr>
          </w:p>
        </w:tc>
        <w:tc>
          <w:tcPr>
            <w:tcW w:w="4760" w:type="dxa"/>
            <w:vAlign w:val="bottom"/>
            <w:vMerge w:val="continue"/>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340" w:type="dxa"/>
            <w:vAlign w:val="bottom"/>
          </w:tcPr>
          <w:p>
            <w:pPr>
              <w:jc w:val="right"/>
              <w:ind w:right="130"/>
              <w:spacing w:after="0" w:line="176" w:lineRule="exact"/>
              <w:rPr>
                <w:sz w:val="20"/>
                <w:szCs w:val="20"/>
                <w:color w:val="auto"/>
              </w:rPr>
            </w:pPr>
            <w:r>
              <w:rPr>
                <w:rFonts w:ascii="Times New Roman" w:cs="Times New Roman" w:eastAsia="Times New Roman" w:hAnsi="Times New Roman"/>
                <w:sz w:val="18"/>
                <w:szCs w:val="18"/>
                <w:color w:val="auto"/>
              </w:rPr>
              <w:t>*</w:t>
            </w:r>
          </w:p>
        </w:tc>
        <w:tc>
          <w:tcPr>
            <w:tcW w:w="28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Plan Participants</w:t>
            </w:r>
          </w:p>
        </w:tc>
        <w:tc>
          <w:tcPr>
            <w:tcW w:w="476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Participant loans (maturing from 2026 to 2040 at interest</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Pr>
          <w:p>
            <w:pPr>
              <w:spacing w:after="0"/>
              <w:rPr>
                <w:sz w:val="15"/>
                <w:szCs w:val="15"/>
                <w:color w:val="auto"/>
              </w:rPr>
            </w:pP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339,104</w:t>
            </w: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2840" w:type="dxa"/>
            <w:vAlign w:val="bottom"/>
            <w:vMerge w:val="continue"/>
          </w:tcPr>
          <w:p>
            <w:pPr>
              <w:spacing w:after="0"/>
              <w:rPr>
                <w:sz w:val="12"/>
                <w:szCs w:val="12"/>
                <w:color w:val="auto"/>
              </w:rPr>
            </w:pPr>
          </w:p>
        </w:tc>
        <w:tc>
          <w:tcPr>
            <w:tcW w:w="476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rates ranging from 4.25 percent to 11.5 percent)</w:t>
            </w:r>
          </w:p>
        </w:tc>
        <w:tc>
          <w:tcPr>
            <w:tcW w:w="76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340" w:type="dxa"/>
            <w:vAlign w:val="bottom"/>
            <w:tcBorders>
              <w:bottom w:val="single" w:sz="8" w:color="auto"/>
            </w:tcBorders>
          </w:tcPr>
          <w:p>
            <w:pPr>
              <w:spacing w:after="0"/>
              <w:rPr>
                <w:sz w:val="7"/>
                <w:szCs w:val="7"/>
                <w:color w:val="auto"/>
              </w:rPr>
            </w:pPr>
          </w:p>
        </w:tc>
        <w:tc>
          <w:tcPr>
            <w:tcW w:w="2840" w:type="dxa"/>
            <w:vAlign w:val="bottom"/>
            <w:tcBorders>
              <w:bottom w:val="single" w:sz="8" w:color="auto"/>
            </w:tcBorders>
          </w:tcPr>
          <w:p>
            <w:pPr>
              <w:spacing w:after="0"/>
              <w:rPr>
                <w:sz w:val="7"/>
                <w:szCs w:val="7"/>
                <w:color w:val="auto"/>
              </w:rPr>
            </w:pPr>
          </w:p>
        </w:tc>
        <w:tc>
          <w:tcPr>
            <w:tcW w:w="4760" w:type="dxa"/>
            <w:vAlign w:val="bottom"/>
            <w:tcBorders>
              <w:bottom w:val="single" w:sz="8" w:color="auto"/>
            </w:tcBorders>
            <w:vMerge w:val="continue"/>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340" w:type="dxa"/>
            <w:vAlign w:val="bottom"/>
            <w:tcBorders>
              <w:bottom w:val="single" w:sz="8" w:color="auto"/>
            </w:tcBorders>
            <w:shd w:val="clear" w:color="auto" w:fill="CCEEFF"/>
          </w:tcPr>
          <w:p>
            <w:pPr>
              <w:spacing w:after="0"/>
              <w:rPr>
                <w:sz w:val="20"/>
                <w:szCs w:val="20"/>
                <w:color w:val="auto"/>
              </w:rPr>
            </w:pPr>
          </w:p>
        </w:tc>
        <w:tc>
          <w:tcPr>
            <w:tcW w:w="28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76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44,282,587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ind w:left="940" w:hanging="914"/>
        <w:spacing w:after="0"/>
        <w:tabs>
          <w:tab w:leader="none" w:pos="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Party-in-interest</w:t>
      </w:r>
    </w:p>
    <w:p>
      <w:pPr>
        <w:spacing w:after="0" w:line="27" w:lineRule="exact"/>
        <w:rPr>
          <w:sz w:val="20"/>
          <w:szCs w:val="20"/>
          <w:color w:val="auto"/>
        </w:rPr>
      </w:pPr>
    </w:p>
    <w:p>
      <w:pPr>
        <w:ind w:left="940" w:hanging="914"/>
        <w:spacing w:after="0"/>
        <w:tabs>
          <w:tab w:leader="none" w:pos="9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information is not required for participant-directed investments and loans, and therefore is not included.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54"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320" w:top="1094" w:right="10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and Exchange Act of 1934, the trustees (or other persons who administer the employee benefit plan) have duly caused this annual report to be signed on its behalf by the undersigned hereunto duly authorized.</w:t>
      </w:r>
    </w:p>
    <w:p>
      <w:pPr>
        <w:spacing w:after="0" w:line="33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NORTHROP GRUMMAN SAVINGS PLAN</w:t>
      </w:r>
    </w:p>
    <w:p>
      <w:pPr>
        <w:spacing w:after="0" w:line="289" w:lineRule="exact"/>
        <w:rPr>
          <w:sz w:val="20"/>
          <w:szCs w:val="20"/>
          <w:color w:val="auto"/>
        </w:rPr>
      </w:pPr>
    </w:p>
    <w:p>
      <w:pPr>
        <w:ind w:left="60"/>
        <w:spacing w:after="0"/>
        <w:tabs>
          <w:tab w:leader="none" w:pos="880" w:val="left"/>
          <w:tab w:leader="none" w:pos="6160" w:val="left"/>
          <w:tab w:leader="none" w:pos="854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June 11,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b w:val="1"/>
          <w:bCs w:val="1"/>
          <w:color w:val="auto"/>
        </w:rPr>
        <w:t>/s/ Michael A. Hardesty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19685</wp:posOffset>
            </wp:positionV>
            <wp:extent cx="21088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16" w:lineRule="exact"/>
        <w:rPr>
          <w:sz w:val="20"/>
          <w:szCs w:val="20"/>
          <w:color w:val="auto"/>
        </w:rPr>
      </w:pPr>
    </w:p>
    <w:p>
      <w:pPr>
        <w:ind w:left="8880"/>
        <w:spacing w:after="0"/>
        <w:rPr>
          <w:sz w:val="20"/>
          <w:szCs w:val="20"/>
          <w:color w:val="auto"/>
        </w:rPr>
      </w:pPr>
      <w:r>
        <w:rPr>
          <w:rFonts w:ascii="Times New Roman" w:cs="Times New Roman" w:eastAsia="Times New Roman" w:hAnsi="Times New Roman"/>
          <w:sz w:val="14"/>
          <w:szCs w:val="14"/>
          <w:color w:val="auto"/>
        </w:rPr>
        <w:t>Michael A. Hardesty</w:t>
      </w:r>
    </w:p>
    <w:p>
      <w:pPr>
        <w:spacing w:after="0" w:line="42"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4"/>
          <w:szCs w:val="14"/>
          <w:color w:val="auto"/>
        </w:rPr>
        <w:t>Chair, Audit Subcommittee of the Benefit Plans</w:t>
      </w:r>
    </w:p>
    <w:p>
      <w:pPr>
        <w:spacing w:after="0" w:line="4"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4"/>
          <w:szCs w:val="14"/>
          <w:color w:val="auto"/>
        </w:rPr>
        <w:t>Administrative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089" w:right="6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310" w:lineRule="exact"/>
        <w:rPr>
          <w:sz w:val="20"/>
          <w:szCs w:val="20"/>
          <w:color w:val="auto"/>
        </w:rPr>
      </w:pPr>
    </w:p>
    <w:p>
      <w:pPr>
        <w:ind w:left="20"/>
        <w:spacing w:after="0"/>
        <w:tabs>
          <w:tab w:leader="none" w:pos="78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u w:val="single" w:color="auto"/>
          <w:color w:val="0000FF"/>
        </w:rPr>
        <w:t>Consent of Independent Registered Public Accounting Firm</w:t>
      </w:r>
    </w:p>
    <w:p>
      <w:pPr>
        <w:spacing w:after="0" w:line="293" w:lineRule="exact"/>
        <w:rPr>
          <w:sz w:val="20"/>
          <w:szCs w:val="20"/>
          <w:color w:val="auto"/>
        </w:rPr>
      </w:pPr>
    </w:p>
    <w:p>
      <w:pPr>
        <w:ind w:left="800" w:hanging="774"/>
        <w:spacing w:after="0"/>
        <w:tabs>
          <w:tab w:leader="none" w:pos="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with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139"/>
          </w:cols>
          <w:pgMar w:left="320" w:top="1332" w:right="1440" w:bottom="1440" w:gutter="0" w:footer="0" w:header="0"/>
        </w:sectPr>
      </w:pPr>
    </w:p>
    <w:bookmarkStart w:id="18" w:name="page19"/>
    <w:bookmarkEnd w:id="18"/>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56"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033-59853, 333-121104, and 333-273482 on Form S-8 of our report dated June 11, 2026, relating to the financial statements and supplemental schedule of Northrop Grumman Savings Plan, appearing in this Annual Report on Form 11-K for the year ended December 31, 2025.</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McLean, Virginia</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11, 2026</w:t>
      </w:r>
    </w:p>
    <w:sectPr>
      <w:pgSz w:w="11900" w:h="16838" w:orient="portrait"/>
      <w:cols w:equalWidth="0" w:num="1">
        <w:col w:w="11240"/>
      </w:cols>
      <w:pgMar w:left="320" w:top="10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upperLetter"/>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2026-06-11T09:09:48Z</dcterms:created>
  <dcterms:modified xsi:type="dcterms:W3CDTF">2026-06-11T09:09:48Z</dcterms:modified>
</cp:coreProperties>
</file>