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8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1213485</wp:posOffset>
            </wp:positionH>
            <wp:positionV relativeFrom="paragraph">
              <wp:posOffset>57785</wp:posOffset>
            </wp:positionV>
            <wp:extent cx="111760" cy="111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760" cy="11112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380"/>
        <w:spacing w:after="0"/>
        <w:rPr>
          <w:sz w:val="20"/>
          <w:szCs w:val="20"/>
          <w:color w:val="auto"/>
        </w:rPr>
      </w:pPr>
      <w:r>
        <w:rPr>
          <w:rFonts w:ascii="Arial" w:cs="Arial" w:eastAsia="Arial" w:hAnsi="Arial"/>
          <w:sz w:val="18"/>
          <w:szCs w:val="18"/>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9398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8"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-116205</wp:posOffset>
            </wp:positionV>
            <wp:extent cx="93980"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52" w:lineRule="exact"/>
        <w:rPr>
          <w:sz w:val="24"/>
          <w:szCs w:val="24"/>
          <w:color w:val="auto"/>
        </w:rPr>
      </w:pPr>
    </w:p>
    <w:p>
      <w:pPr>
        <w:ind w:left="380"/>
        <w:spacing w:after="0"/>
        <w:rPr>
          <w:sz w:val="20"/>
          <w:szCs w:val="20"/>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93980"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30" w:lineRule="exact"/>
        <w:rPr>
          <w:sz w:val="24"/>
          <w:szCs w:val="24"/>
          <w:color w:val="auto"/>
        </w:rPr>
      </w:pPr>
    </w:p>
    <w:p>
      <w:pPr>
        <w:ind w:left="380"/>
        <w:spacing w:after="0"/>
        <w:rPr>
          <w:sz w:val="20"/>
          <w:szCs w:val="20"/>
          <w:color w:val="auto"/>
        </w:rPr>
      </w:pPr>
      <w:r>
        <w:rPr>
          <w:rFonts w:ascii="Arial" w:cs="Arial" w:eastAsia="Arial" w:hAnsi="Arial"/>
          <w:sz w:val="18"/>
          <w:szCs w:val="18"/>
          <w:color w:val="auto"/>
        </w:rPr>
        <w:t>Definitive Additional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9398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30"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9398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b w:val="1"/>
          <w:bCs w:val="1"/>
          <w:color w:val="auto"/>
        </w:rPr>
        <w:t>Northrop Grumman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160655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46"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109220</wp:posOffset>
            </wp:positionV>
            <wp:extent cx="93980"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165" w:lineRule="exact"/>
        <w:rPr>
          <w:sz w:val="24"/>
          <w:szCs w:val="24"/>
          <w:color w:val="auto"/>
        </w:rPr>
      </w:pPr>
    </w:p>
    <w:p>
      <w:pPr>
        <w:ind w:left="720"/>
        <w:spacing w:after="0"/>
        <w:rPr>
          <w:sz w:val="20"/>
          <w:szCs w:val="20"/>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93980"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4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Fee computed on table below per Exchange Act Rules 14a-6(i)(1) and 0-11.</w:t>
      </w:r>
    </w:p>
    <w:p>
      <w:pPr>
        <w:spacing w:after="0" w:line="185" w:lineRule="exact"/>
        <w:rPr>
          <w:sz w:val="24"/>
          <w:szCs w:val="24"/>
          <w:color w:val="auto"/>
        </w:rPr>
      </w:pPr>
    </w:p>
    <w:p>
      <w:pPr>
        <w:ind w:left="1120" w:hanging="410"/>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20" w:hanging="410"/>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306" w:lineRule="exact"/>
        <w:rPr>
          <w:rFonts w:ascii="Arial" w:cs="Arial" w:eastAsia="Arial" w:hAnsi="Arial"/>
          <w:sz w:val="18"/>
          <w:szCs w:val="18"/>
          <w:color w:val="auto"/>
        </w:rPr>
      </w:pPr>
    </w:p>
    <w:p>
      <w:pPr>
        <w:ind w:left="720" w:hanging="10"/>
        <w:spacing w:after="0" w:line="246"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120" w:hanging="410"/>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20" w:hanging="410"/>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186055</wp:posOffset>
            </wp:positionV>
            <wp:extent cx="6917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-241935</wp:posOffset>
            </wp:positionV>
            <wp:extent cx="6917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-670560</wp:posOffset>
            </wp:positionV>
            <wp:extent cx="6917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-1219200</wp:posOffset>
            </wp:positionV>
            <wp:extent cx="6917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-1553210</wp:posOffset>
            </wp:positionV>
            <wp:extent cx="6917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288925</wp:posOffset>
            </wp:positionV>
            <wp:extent cx="9398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720"/>
        <w:spacing w:after="0"/>
        <w:rPr>
          <w:sz w:val="20"/>
          <w:szCs w:val="20"/>
          <w:color w:val="auto"/>
        </w:rPr>
      </w:pPr>
      <w:r>
        <w:rPr>
          <w:rFonts w:ascii="Arial" w:cs="Arial" w:eastAsia="Arial" w:hAnsi="Arial"/>
          <w:sz w:val="18"/>
          <w:szCs w:val="18"/>
          <w:color w:val="auto"/>
        </w:rPr>
        <w:t>Fee paid previously with preliminary materials.</w:t>
      </w:r>
    </w:p>
    <w:p>
      <w:pPr>
        <w:spacing w:after="0" w:line="50" w:lineRule="exact"/>
        <w:rPr>
          <w:sz w:val="24"/>
          <w:szCs w:val="24"/>
          <w:color w:val="auto"/>
        </w:rPr>
      </w:pPr>
    </w:p>
    <w:p>
      <w:pPr>
        <w:ind w:left="720" w:right="80"/>
        <w:spacing w:after="0"/>
        <w:rPr>
          <w:sz w:val="20"/>
          <w:szCs w:val="20"/>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-393065</wp:posOffset>
            </wp:positionV>
            <wp:extent cx="9398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156" w:lineRule="exact"/>
        <w:rPr>
          <w:sz w:val="24"/>
          <w:szCs w:val="24"/>
          <w:color w:val="auto"/>
        </w:rPr>
      </w:pPr>
    </w:p>
    <w:p>
      <w:pPr>
        <w:ind w:left="1120" w:hanging="410"/>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20" w:hanging="410"/>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20" w:hanging="410"/>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120" w:hanging="410"/>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186055</wp:posOffset>
            </wp:positionV>
            <wp:extent cx="6917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-241935</wp:posOffset>
            </wp:positionV>
            <wp:extent cx="6917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-670560</wp:posOffset>
            </wp:positionV>
            <wp:extent cx="6917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-1099185</wp:posOffset>
            </wp:positionV>
            <wp:extent cx="6917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40"/>
          </w:cols>
          <w:pgMar w:left="320" w:top="1363"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80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791845</wp:posOffset>
            </wp:positionV>
            <wp:extent cx="138874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3, 2020</w:t>
      </w:r>
    </w:p>
    <w:p>
      <w:pPr>
        <w:spacing w:after="0" w:line="9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On behalf of the Board of Directors and management team, we cordially invite you to attend Northrop Grumman Corporation's 2020 Annual Meeting of Shareholders. This year's meeting is scheduled to be held on Wednesday, May 20, 2020 at our principal executive office located at 2980 Fairview Park Drive, Falls Church, Virginia 22042 beginning at 8:00 a.m., Eastern Daylight Time.</w:t>
      </w:r>
    </w:p>
    <w:p>
      <w:pPr>
        <w:spacing w:after="0" w:line="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look forward to meeting those of you who are able to attend the meeting. For those who are unable to attend, live coverage of the meeting will be available on the Northrop Grumman website at </w:t>
      </w:r>
      <w:r>
        <w:rPr>
          <w:rFonts w:ascii="Arial" w:cs="Arial" w:eastAsia="Arial" w:hAnsi="Arial"/>
          <w:sz w:val="18"/>
          <w:szCs w:val="18"/>
          <w:i w:val="1"/>
          <w:iCs w:val="1"/>
          <w:color w:val="auto"/>
        </w:rPr>
        <w:t>www.northropgrumman.com</w:t>
      </w:r>
      <w:r>
        <w:rPr>
          <w:rFonts w:ascii="Arial" w:cs="Arial" w:eastAsia="Arial" w:hAnsi="Arial"/>
          <w:sz w:val="18"/>
          <w:szCs w:val="18"/>
          <w:color w:val="auto"/>
        </w:rPr>
        <w:t>. At this meeting, shareholders will vote on matters set forth in the accompanying Notice of 2020 Annual Meeting of Shareholders and Proxy Statement. We will also provide a report on our Company.</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currently monitoring the situation regarding COVID-19 and our thoughts go out to all those who have been impacted. In the event that we determine that it is not advisable to hold our Annual Meeting in person, we will announce alternative arrangements as described in the accompanying Notice of 2020 Annual Meeting of Shareholders and Proxy Statement.</w:t>
      </w:r>
    </w:p>
    <w:p>
      <w:pPr>
        <w:spacing w:after="0" w:line="6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2019 was a strong year for our Company. In addition to total shareholder return of 42.7%, sales rose 12%, operating income increased 5% and segment operating income* increased 13%. Sales and segment operating income* growth reflect a full year of Innovation Systems sector (the former Orbital ATK) and continued profitable growth at Aerospace Systems and Mission Systems. In 2019, we captured more than $45 billion in new business, and our total backlog increased 21% to nearly $65 billion. Our businesses generated $4.3 billion in cash and our free cash flow* increased 18% to more than $3.0 billion.</w:t>
      </w:r>
    </w:p>
    <w:p>
      <w:pPr>
        <w:spacing w:after="0" w:line="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strong cash generation continues to enable value-creating capital deployment. We invested $1.3 billion in capital expenditures to drive innovation and affordability for our customers. We reduced debt by $500 million, made voluntary contributions to our pension funds, and distributed $1.6 billion to our shareholders through dividends and share repurchases. We increased our quarterly dividend 10% and reduced our weighted average share count by 3%.</w:t>
      </w:r>
    </w:p>
    <w:p>
      <w:pPr>
        <w:spacing w:after="0" w:line="6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took strategic actions to align further with our customers' priorities. Effective January 1, 2020, we have a new structure that more closely aligns our capabilities with our customers' priority investment areas of space, missiles, hypersonics and stealth. Our realigned sectors are Aeronautics Systems, Defense Systems, Mission Systems and Space Systems. Our new Space Systems sector unifies our significant space and launch capabilities in a single organization for accelerated development of innovative and affordable offerings.</w:t>
      </w:r>
    </w:p>
    <w:p>
      <w:pPr>
        <w:spacing w:after="0" w:line="6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also introduced our new "Defining Possible" brand to reinforce the value we are providing through performance and innovation. Discovery and innovation are at the heart of what we do. We show our customers what is possible through a performance framework and culture that balance agility and affordability with quality and safety. We continue to strengthen our culture through leading environmental, social and governance practices. Female representation on our Board has increased to more than 30%. During the period from 2010 to 2020, women on our senior executive team increased from 8% to 58%, and at the vice president level from 15% to 30%. DiversityInc named us one of their Top 50 Companies for Diversity for the tenth year in a row; Indeed ranked us in 2019 as one of the 50 Top-Rated Workplaces; we were included for the fourth consecutive year in the Dow Jones Sustainability Index for North America; and we maintained our leadership score in CDP's 2019 climate change program for an eighth consecutive year. We continue to be actively engaged with our shareholders to ensure our governance, compensation and sustainability practices are well designed to support long-term profitable growth and value creation for our shareholders, customers and employees.</w:t>
      </w:r>
    </w:p>
    <w:p>
      <w:pPr>
        <w:spacing w:after="0" w:line="7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Your vote is important. Your proxy or voting instruction card includes specific information regarding the several ways to vote your shares. We encourage you to vote as soon as possible. You may vote over the internet, by telephone or mobile device, by mailing a proxy or voting instruction card or in person at the Annual Meeting.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 and continued interest in Northrop Grumman Corporation.</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4180" w:val="left"/>
        </w:tabs>
        <w:rPr>
          <w:sz w:val="20"/>
          <w:szCs w:val="20"/>
          <w:color w:val="auto"/>
        </w:rPr>
      </w:pPr>
      <w:r>
        <w:rPr>
          <w:rFonts w:ascii="Arial" w:cs="Arial" w:eastAsia="Arial" w:hAnsi="Arial"/>
          <w:sz w:val="18"/>
          <w:szCs w:val="18"/>
          <w:color w:val="auto"/>
        </w:rPr>
        <w:t>Kathy Warden</w:t>
      </w:r>
      <w:r>
        <w:rPr>
          <w:sz w:val="20"/>
          <w:szCs w:val="20"/>
          <w:color w:val="auto"/>
        </w:rPr>
        <w:tab/>
      </w:r>
      <w:r>
        <w:rPr>
          <w:rFonts w:ascii="Arial" w:cs="Arial" w:eastAsia="Arial" w:hAnsi="Arial"/>
          <w:sz w:val="17"/>
          <w:szCs w:val="17"/>
          <w:color w:val="auto"/>
        </w:rPr>
        <w:t>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1482725"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82725" cy="39433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31750</wp:posOffset>
            </wp:positionV>
            <wp:extent cx="1586230"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4180" w:val="left"/>
        </w:tabs>
        <w:rPr>
          <w:sz w:val="20"/>
          <w:szCs w:val="20"/>
          <w:color w:val="auto"/>
        </w:rPr>
      </w:pPr>
      <w:r>
        <w:rPr>
          <w:rFonts w:ascii="Arial" w:cs="Arial" w:eastAsia="Arial" w:hAnsi="Arial"/>
          <w:sz w:val="18"/>
          <w:szCs w:val="18"/>
          <w:color w:val="auto"/>
        </w:rPr>
        <w:t>Chairman, Chief Executive Officer and President</w:t>
      </w:r>
      <w:r>
        <w:rPr>
          <w:sz w:val="20"/>
          <w:szCs w:val="20"/>
          <w:color w:val="auto"/>
        </w:rPr>
        <w:tab/>
      </w:r>
      <w:r>
        <w:rPr>
          <w:rFonts w:ascii="Arial" w:cs="Arial" w:eastAsia="Arial" w:hAnsi="Arial"/>
          <w:sz w:val="17"/>
          <w:szCs w:val="17"/>
          <w:color w:val="auto"/>
        </w:rPr>
        <w:t>Lead Independent Director</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This metric is a non-GAAP financial measure. For more information, see "Appendix A - Use of Non-GAAP Financial Measures."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p>
    <w:p>
      <w:pPr>
        <w:sectPr>
          <w:pgSz w:w="11900" w:h="16838" w:orient="portrait"/>
          <w:cols w:equalWidth="0" w:num="1">
            <w:col w:w="11240"/>
          </w:cols>
          <w:pgMar w:left="320" w:top="1440" w:right="339" w:bottom="1440" w:gutter="0" w:footer="0" w:header="0"/>
        </w:sectPr>
      </w:pPr>
    </w:p>
    <w:bookmarkStart w:id="3" w:name="page4"/>
    <w:bookmarkEnd w:id="3"/>
    <w:p>
      <w:pPr>
        <w:ind w:left="40" w:right="5320"/>
        <w:spacing w:after="0" w:line="282" w:lineRule="auto"/>
        <w:rPr>
          <w:sz w:val="20"/>
          <w:szCs w:val="20"/>
          <w:color w:val="auto"/>
        </w:rPr>
      </w:pPr>
      <w:r>
        <w:rPr>
          <w:rFonts w:ascii="Arial" w:cs="Arial" w:eastAsia="Arial" w:hAnsi="Arial"/>
          <w:sz w:val="50"/>
          <w:szCs w:val="50"/>
          <w:b w:val="1"/>
          <w:bCs w:val="1"/>
          <w:color w:val="FFFFFF"/>
        </w:rPr>
        <w:drawing>
          <wp:anchor simplePos="0" relativeHeight="251657728" behindDoc="1" locked="0" layoutInCell="0" allowOverlap="1">
            <wp:simplePos x="0" y="0"/>
            <wp:positionH relativeFrom="page">
              <wp:posOffset>5951855</wp:posOffset>
            </wp:positionH>
            <wp:positionV relativeFrom="page">
              <wp:posOffset>363220</wp:posOffset>
            </wp:positionV>
            <wp:extent cx="138874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08610"/>
                    </a:xfrm>
                    <a:prstGeom prst="rect">
                      <a:avLst/>
                    </a:prstGeom>
                    <a:noFill/>
                  </pic:spPr>
                </pic:pic>
              </a:graphicData>
            </a:graphic>
          </wp:anchor>
        </w:drawing>
        <w:t>Notice of 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7132320" cy="771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9"/>
          <w:szCs w:val="29"/>
          <w:b w:val="1"/>
          <w:bCs w:val="1"/>
          <w:color w:val="00249C"/>
        </w:rPr>
        <w:t>Wednesday, May 20, 2020</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8:00 a.m., Eastern Daylight Time</w:t>
      </w:r>
    </w:p>
    <w:p>
      <w:pPr>
        <w:spacing w:after="0" w:line="15" w:lineRule="exact"/>
        <w:rPr>
          <w:sz w:val="20"/>
          <w:szCs w:val="20"/>
          <w:color w:val="auto"/>
        </w:rPr>
      </w:pPr>
    </w:p>
    <w:p>
      <w:pPr>
        <w:ind w:right="5160"/>
        <w:spacing w:after="0" w:line="272" w:lineRule="auto"/>
        <w:rPr>
          <w:sz w:val="20"/>
          <w:szCs w:val="20"/>
          <w:color w:val="auto"/>
        </w:rPr>
      </w:pPr>
      <w:r>
        <w:rPr>
          <w:rFonts w:ascii="Arial" w:cs="Arial" w:eastAsia="Arial" w:hAnsi="Arial"/>
          <w:sz w:val="21"/>
          <w:szCs w:val="21"/>
          <w:b w:val="1"/>
          <w:bCs w:val="1"/>
          <w:i w:val="1"/>
          <w:iCs w:val="1"/>
          <w:color w:val="auto"/>
        </w:rPr>
        <w:t>Northrop Grumman Corporation, Principal Executive Office 2980 Fairview Park Drive, Falls Church, Virginia 22042</w:t>
      </w:r>
    </w:p>
    <w:p>
      <w:pPr>
        <w:spacing w:after="0" w:line="1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2020 Annual Meeting of Shareholders (Annual Meeting) of Northrop Grumman Corporation (Company) will be held on Wednesday, May 20, 2020 at 8:00 a.m., Eastern Daylight Time, at our principal executive office located at 2980 Fairview Park Drive, Falls Church, Virginia 22042.</w:t>
      </w:r>
    </w:p>
    <w:p>
      <w:pPr>
        <w:spacing w:after="0" w:line="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Shareholders of record at the close of business on March 24, 2020 are entitled to vote at the Annual Meeting. The following items are on the agenda:</w:t>
      </w:r>
    </w:p>
    <w:p>
      <w:pPr>
        <w:spacing w:after="0" w:line="63" w:lineRule="exact"/>
        <w:rPr>
          <w:sz w:val="20"/>
          <w:szCs w:val="20"/>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election of the 12 nominees named in the accompanying Proxy Statement;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proposal to approve, on an advisory basis, the compensation of our Named Executive Officers;</w:t>
      </w:r>
    </w:p>
    <w:p>
      <w:pPr>
        <w:spacing w:after="0" w:line="76" w:lineRule="exact"/>
        <w:rPr>
          <w:rFonts w:ascii="Arial" w:cs="Arial" w:eastAsia="Arial" w:hAnsi="Arial"/>
          <w:sz w:val="18"/>
          <w:szCs w:val="18"/>
          <w:color w:val="auto"/>
        </w:rPr>
      </w:pPr>
    </w:p>
    <w:p>
      <w:pPr>
        <w:ind w:left="1140" w:right="400" w:hanging="565"/>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proposal to ratify the appointment of Deloitte &amp; Touche LLP as our Independent Auditor for the year ending December 31, 2020;</w:t>
      </w:r>
    </w:p>
    <w:p>
      <w:pPr>
        <w:spacing w:after="0" w:line="48" w:lineRule="exact"/>
        <w:rPr>
          <w:rFonts w:ascii="Arial" w:cs="Arial" w:eastAsia="Arial" w:hAnsi="Arial"/>
          <w:sz w:val="18"/>
          <w:szCs w:val="18"/>
          <w:color w:val="auto"/>
        </w:rPr>
      </w:pPr>
    </w:p>
    <w:p>
      <w:pPr>
        <w:ind w:left="1140" w:right="820" w:hanging="565"/>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shareholder proposal that the Company assess and report on potential human rights impacts that could result from governments' use of our products and services, including in conflict-affected areas;</w:t>
      </w:r>
    </w:p>
    <w:p>
      <w:pPr>
        <w:spacing w:after="0" w:line="62"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shareholder proposal to move to a 3% ownership threshold for shareholders to request action by written consent;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Annual Meeting or any adjournment or postponement thereof.</w:t>
      </w:r>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All shareholders of record at the close of business on March 24, 2020 are invited to attend the Annual Meeting. To be admitted you will need proof of stock ownership. If your broker holds your shares in "street name," you will also need proof of beneficial ownership of Northrop Grumman common stock. If you are acting as a proxy for a shareholder, you will need proof of your proxy power and proof of share ownership (as of the Annual Meeting record date) for the shareholders for whom you are acting as proxy. Admission to the meeting will be limited to shareholders and beneficial owners who held their shares as of the Annual Meeting record date and to persons acting as proxies of those shareholders. All persons attending the meeting will need a form of government-issued photo identification.</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While we currently intend to hold our Annual Meeting in person, we are monitoring the situation regarding COVID-19 (Coronavirus) and are sensitive to the public health and travel concerns our shareholders may have and the protocols that federal, state and local governments may impose. In the event we conclude it is not advisable to hold our Annual Meeting in person, we will announce alternative arrangements for the meeting as promptly as practicable, which may include holding the meeting solely by means of remote communication. Please monitor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www.edocumentview.com/noc</w:t>
      </w:r>
      <w:r>
        <w:rPr>
          <w:rFonts w:ascii="Arial" w:cs="Arial" w:eastAsia="Arial" w:hAnsi="Arial"/>
          <w:sz w:val="18"/>
          <w:szCs w:val="18"/>
          <w:color w:val="auto"/>
        </w:rPr>
        <w:t xml:space="preserve"> for updated information. If you are planning to attend the Annual Meeting, please check the website prior to the meeting date.</w:t>
      </w: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l</w:t>
      </w:r>
    </w:p>
    <w:p>
      <w:pPr>
        <w:sectPr>
          <w:pgSz w:w="11900" w:h="16838" w:orient="portrait"/>
          <w:cols w:equalWidth="0" w:num="1">
            <w:col w:w="11240"/>
          </w:cols>
          <w:pgMar w:left="320" w:top="1212" w:right="339" w:bottom="1440" w:gutter="0" w:footer="0" w:header="0"/>
        </w:sectPr>
      </w:pPr>
    </w:p>
    <w:bookmarkStart w:id="4" w:name="page5"/>
    <w:bookmarkEnd w:id="4"/>
    <w:p>
      <w:pPr>
        <w:spacing w:after="0" w:line="256" w:lineRule="auto"/>
        <w:rPr>
          <w:sz w:val="20"/>
          <w:szCs w:val="20"/>
          <w:color w:val="auto"/>
        </w:rPr>
      </w:pPr>
      <w:r>
        <w:rPr>
          <w:rFonts w:ascii="Arial" w:cs="Arial" w:eastAsia="Arial" w:hAnsi="Arial"/>
          <w:sz w:val="18"/>
          <w:szCs w:val="18"/>
          <w:color w:val="auto"/>
        </w:rPr>
        <w:t>We encourage all shareholders to vote on the matters described in the accompanying Proxy Statement prior to the Annual Meeting. Please see the section entitled "Questions and Answers About the Annual Meeting" on page 75 for information about voting over the internet, by telephone or mobile device, by mailing a proxy or voting instruction card or by attending in person at the Annual Meeting.</w:t>
      </w:r>
    </w:p>
    <w:p>
      <w:pPr>
        <w:spacing w:after="0" w:line="14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31750</wp:posOffset>
            </wp:positionV>
            <wp:extent cx="1217295" cy="39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172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Jennifer C. McGarey</w:t>
      </w:r>
    </w:p>
    <w:p>
      <w:pPr>
        <w:ind w:left="3340"/>
        <w:spacing w:after="0"/>
        <w:rPr>
          <w:sz w:val="20"/>
          <w:szCs w:val="20"/>
          <w:color w:val="auto"/>
        </w:rPr>
      </w:pPr>
      <w:r>
        <w:rPr>
          <w:rFonts w:ascii="Arial" w:cs="Arial" w:eastAsia="Arial" w:hAnsi="Arial"/>
          <w:sz w:val="18"/>
          <w:szCs w:val="18"/>
          <w:i w:val="1"/>
          <w:iCs w:val="1"/>
          <w:color w:val="auto"/>
        </w:rPr>
        <w:t>Corporate Vice President and Secretary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0575"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231" w:lineRule="exact"/>
        <w:rPr>
          <w:sz w:val="20"/>
          <w:szCs w:val="20"/>
          <w:color w:val="auto"/>
        </w:rPr>
      </w:pPr>
    </w:p>
    <w:p>
      <w:pPr>
        <w:jc w:val="both"/>
        <w:ind w:left="40" w:right="280"/>
        <w:spacing w:after="0" w:line="241" w:lineRule="auto"/>
        <w:rPr>
          <w:sz w:val="20"/>
          <w:szCs w:val="20"/>
          <w:color w:val="auto"/>
        </w:rPr>
      </w:pPr>
      <w:r>
        <w:rPr>
          <w:rFonts w:ascii="Arial" w:cs="Arial" w:eastAsia="Arial" w:hAnsi="Arial"/>
          <w:sz w:val="20"/>
          <w:szCs w:val="20"/>
          <w:b w:val="1"/>
          <w:bCs w:val="1"/>
          <w:color w:val="auto"/>
        </w:rPr>
        <w:t xml:space="preserve">Important Notice Regarding the Availability of Proxy Materials for the Shareholders Meeting to be held on May 20, 2020: The Proxy Statement for the 2020 Annual Meeting of Shareholders and the Annual Report for the year ended December 31, 2019 are available at: </w:t>
      </w:r>
      <w:r>
        <w:rPr>
          <w:rFonts w:ascii="Arial" w:cs="Arial" w:eastAsia="Arial" w:hAnsi="Arial"/>
          <w:sz w:val="20"/>
          <w:szCs w:val="20"/>
          <w:b w:val="1"/>
          <w:bCs w:val="1"/>
          <w:i w:val="1"/>
          <w:iCs w:val="1"/>
          <w:color w:val="auto"/>
        </w:rPr>
        <w:t>www.edocumentview.com/noc</w:t>
      </w:r>
      <w:r>
        <w:rPr>
          <w:rFonts w:ascii="Arial" w:cs="Arial" w:eastAsia="Arial" w:hAnsi="Arial"/>
          <w:sz w:val="20"/>
          <w:szCs w:val="20"/>
          <w:b w:val="1"/>
          <w:bCs w:val="1"/>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l</w:t>
      </w:r>
    </w:p>
    <w:p>
      <w:pPr>
        <w:sectPr>
          <w:pgSz w:w="11900" w:h="16838" w:orient="portrait"/>
          <w:cols w:equalWidth="0" w:num="1">
            <w:col w:w="11060"/>
          </w:cols>
          <w:pgMar w:left="320" w:top="571" w:right="519" w:bottom="1440" w:gutter="0" w:footer="0" w:header="0"/>
        </w:sectPr>
      </w:pPr>
    </w:p>
    <w:bookmarkStart w:id="5" w:name="page6"/>
    <w:bookmarkEnd w:id="5"/>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28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8">
              <w:r>
                <w:rPr>
                  <w:rFonts w:ascii="Arial" w:cs="Arial" w:eastAsia="Arial" w:hAnsi="Arial"/>
                  <w:sz w:val="22"/>
                  <w:szCs w:val="22"/>
                  <w:b w:val="1"/>
                  <w:bCs w:val="1"/>
                  <w:color w:val="00249C"/>
                </w:rPr>
                <w:t>PROXY STATEMENT SUMMARY</w:t>
              </w:r>
            </w:hyperlink>
          </w:p>
        </w:tc>
        <w:tc>
          <w:tcPr>
            <w:tcW w:w="960" w:type="dxa"/>
            <w:vAlign w:val="bottom"/>
            <w:tcBorders>
              <w:bottom w:val="single" w:sz="8" w:color="auto"/>
            </w:tcBorders>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1</w:t>
              </w:r>
            </w:hyperlink>
          </w:p>
        </w:tc>
      </w:tr>
      <w:tr>
        <w:trPr>
          <w:trHeight w:val="615"/>
        </w:trPr>
        <w:tc>
          <w:tcPr>
            <w:tcW w:w="1028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13">
              <w:r>
                <w:rPr>
                  <w:rFonts w:ascii="Arial" w:cs="Arial" w:eastAsia="Arial" w:hAnsi="Arial"/>
                  <w:sz w:val="22"/>
                  <w:szCs w:val="22"/>
                  <w:b w:val="1"/>
                  <w:bCs w:val="1"/>
                  <w:color w:val="00249C"/>
                </w:rPr>
                <w:t>PROPOSAL ONE: ELECTION OF DIRECTORS</w:t>
              </w:r>
            </w:hyperlink>
          </w:p>
        </w:tc>
        <w:tc>
          <w:tcPr>
            <w:tcW w:w="960" w:type="dxa"/>
            <w:vAlign w:val="bottom"/>
            <w:tcBorders>
              <w:bottom w:val="single" w:sz="8" w:color="auto"/>
            </w:tcBorders>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6</w:t>
              </w:r>
            </w:hyperlink>
          </w:p>
        </w:tc>
      </w:tr>
      <w:tr>
        <w:trPr>
          <w:trHeight w:val="243"/>
        </w:trPr>
        <w:tc>
          <w:tcPr>
            <w:tcW w:w="10280" w:type="dxa"/>
            <w:vAlign w:val="bottom"/>
          </w:tcPr>
          <w:p>
            <w:pPr>
              <w:ind w:left="180"/>
              <w:spacing w:after="0"/>
              <w:rPr>
                <w:rFonts w:ascii="Arial" w:cs="Arial" w:eastAsia="Arial" w:hAnsi="Arial"/>
                <w:sz w:val="18"/>
                <w:szCs w:val="18"/>
                <w:color w:val="auto"/>
              </w:rPr>
            </w:pPr>
            <w:hyperlink w:anchor="page13">
              <w:r>
                <w:rPr>
                  <w:rFonts w:ascii="Arial" w:cs="Arial" w:eastAsia="Arial" w:hAnsi="Arial"/>
                  <w:sz w:val="18"/>
                  <w:szCs w:val="18"/>
                  <w:color w:val="auto"/>
                </w:rPr>
                <w:t>2020 Nominees for Director</w:t>
              </w:r>
            </w:hyperlink>
          </w:p>
        </w:tc>
        <w:tc>
          <w:tcPr>
            <w:tcW w:w="960" w:type="dxa"/>
            <w:vAlign w:val="bottom"/>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6</w:t>
              </w:r>
            </w:hyperlink>
          </w:p>
        </w:tc>
      </w:tr>
      <w:tr>
        <w:trPr>
          <w:trHeight w:val="628"/>
        </w:trPr>
        <w:tc>
          <w:tcPr>
            <w:tcW w:w="1028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20">
              <w:r>
                <w:rPr>
                  <w:rFonts w:ascii="Arial" w:cs="Arial" w:eastAsia="Arial" w:hAnsi="Arial"/>
                  <w:sz w:val="22"/>
                  <w:szCs w:val="22"/>
                  <w:b w:val="1"/>
                  <w:bCs w:val="1"/>
                  <w:color w:val="00249C"/>
                </w:rPr>
                <w:t>CORPORATE GOVERNANCE</w:t>
              </w:r>
            </w:hyperlink>
          </w:p>
        </w:tc>
        <w:tc>
          <w:tcPr>
            <w:tcW w:w="960" w:type="dxa"/>
            <w:vAlign w:val="bottom"/>
            <w:tcBorders>
              <w:bottom w:val="single" w:sz="8" w:color="auto"/>
            </w:tcBorders>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13</w:t>
              </w:r>
            </w:hyperlink>
          </w:p>
        </w:tc>
      </w:tr>
      <w:tr>
        <w:trPr>
          <w:trHeight w:val="243"/>
        </w:trPr>
        <w:tc>
          <w:tcPr>
            <w:tcW w:w="10280" w:type="dxa"/>
            <w:vAlign w:val="bottom"/>
          </w:tcPr>
          <w:p>
            <w:pPr>
              <w:ind w:left="180"/>
              <w:spacing w:after="0"/>
              <w:rPr>
                <w:rFonts w:ascii="Arial" w:cs="Arial" w:eastAsia="Arial" w:hAnsi="Arial"/>
                <w:sz w:val="18"/>
                <w:szCs w:val="18"/>
                <w:color w:val="auto"/>
              </w:rPr>
            </w:pPr>
            <w:hyperlink w:anchor="page20">
              <w:r>
                <w:rPr>
                  <w:rFonts w:ascii="Arial" w:cs="Arial" w:eastAsia="Arial" w:hAnsi="Arial"/>
                  <w:sz w:val="18"/>
                  <w:szCs w:val="18"/>
                  <w:color w:val="auto"/>
                </w:rPr>
                <w:t>Overview</w:t>
              </w:r>
            </w:hyperlink>
          </w:p>
        </w:tc>
        <w:tc>
          <w:tcPr>
            <w:tcW w:w="9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13</w:t>
              </w:r>
            </w:hyperlink>
          </w:p>
        </w:tc>
      </w:tr>
      <w:tr>
        <w:trPr>
          <w:trHeight w:val="256"/>
        </w:trPr>
        <w:tc>
          <w:tcPr>
            <w:tcW w:w="10280" w:type="dxa"/>
            <w:vAlign w:val="bottom"/>
          </w:tcPr>
          <w:p>
            <w:pPr>
              <w:ind w:left="180"/>
              <w:spacing w:after="0"/>
              <w:rPr>
                <w:rFonts w:ascii="Arial" w:cs="Arial" w:eastAsia="Arial" w:hAnsi="Arial"/>
                <w:sz w:val="18"/>
                <w:szCs w:val="18"/>
                <w:color w:val="auto"/>
              </w:rPr>
            </w:pPr>
            <w:hyperlink w:anchor="page20">
              <w:r>
                <w:rPr>
                  <w:rFonts w:ascii="Arial" w:cs="Arial" w:eastAsia="Arial" w:hAnsi="Arial"/>
                  <w:sz w:val="18"/>
                  <w:szCs w:val="18"/>
                  <w:color w:val="auto"/>
                </w:rPr>
                <w:t>Role of the Board</w:t>
              </w:r>
            </w:hyperlink>
          </w:p>
        </w:tc>
        <w:tc>
          <w:tcPr>
            <w:tcW w:w="96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13</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1">
              <w:r>
                <w:rPr>
                  <w:rFonts w:ascii="Arial" w:cs="Arial" w:eastAsia="Arial" w:hAnsi="Arial"/>
                  <w:sz w:val="18"/>
                  <w:szCs w:val="18"/>
                  <w:color w:val="auto"/>
                </w:rPr>
                <w:t>Board Leadership Structure</w:t>
              </w:r>
            </w:hyperlink>
          </w:p>
        </w:tc>
        <w:tc>
          <w:tcPr>
            <w:tcW w:w="96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14</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2">
              <w:r>
                <w:rPr>
                  <w:rFonts w:ascii="Arial" w:cs="Arial" w:eastAsia="Arial" w:hAnsi="Arial"/>
                  <w:sz w:val="18"/>
                  <w:szCs w:val="18"/>
                  <w:color w:val="auto"/>
                </w:rPr>
                <w:t>Committees of the Board of Directors</w:t>
              </w:r>
            </w:hyperlink>
          </w:p>
        </w:tc>
        <w:tc>
          <w:tcPr>
            <w:tcW w:w="96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15</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5">
              <w:r>
                <w:rPr>
                  <w:rFonts w:ascii="Arial" w:cs="Arial" w:eastAsia="Arial" w:hAnsi="Arial"/>
                  <w:sz w:val="18"/>
                  <w:szCs w:val="18"/>
                  <w:color w:val="auto"/>
                </w:rPr>
                <w:t>Board Meetings and Executive Sessions</w:t>
              </w:r>
            </w:hyperlink>
          </w:p>
        </w:tc>
        <w:tc>
          <w:tcPr>
            <w:tcW w:w="96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18</w:t>
              </w:r>
            </w:hyperlink>
          </w:p>
        </w:tc>
      </w:tr>
      <w:tr>
        <w:trPr>
          <w:trHeight w:val="256"/>
        </w:trPr>
        <w:tc>
          <w:tcPr>
            <w:tcW w:w="10280" w:type="dxa"/>
            <w:vAlign w:val="bottom"/>
          </w:tcPr>
          <w:p>
            <w:pPr>
              <w:ind w:left="180"/>
              <w:spacing w:after="0"/>
              <w:rPr>
                <w:rFonts w:ascii="Arial" w:cs="Arial" w:eastAsia="Arial" w:hAnsi="Arial"/>
                <w:sz w:val="18"/>
                <w:szCs w:val="18"/>
                <w:color w:val="auto"/>
              </w:rPr>
            </w:pPr>
            <w:hyperlink w:anchor="page25">
              <w:r>
                <w:rPr>
                  <w:rFonts w:ascii="Arial" w:cs="Arial" w:eastAsia="Arial" w:hAnsi="Arial"/>
                  <w:sz w:val="18"/>
                  <w:szCs w:val="18"/>
                  <w:color w:val="auto"/>
                </w:rPr>
                <w:t>Meeting Attendance</w:t>
              </w:r>
            </w:hyperlink>
          </w:p>
        </w:tc>
        <w:tc>
          <w:tcPr>
            <w:tcW w:w="96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18</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5">
              <w:r>
                <w:rPr>
                  <w:rFonts w:ascii="Arial" w:cs="Arial" w:eastAsia="Arial" w:hAnsi="Arial"/>
                  <w:sz w:val="18"/>
                  <w:szCs w:val="18"/>
                  <w:color w:val="auto"/>
                </w:rPr>
                <w:t>Director Independence</w:t>
              </w:r>
            </w:hyperlink>
          </w:p>
        </w:tc>
        <w:tc>
          <w:tcPr>
            <w:tcW w:w="96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18</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6">
              <w:r>
                <w:rPr>
                  <w:rFonts w:ascii="Arial" w:cs="Arial" w:eastAsia="Arial" w:hAnsi="Arial"/>
                  <w:sz w:val="18"/>
                  <w:szCs w:val="18"/>
                  <w:color w:val="auto"/>
                </w:rPr>
                <w:t>Director Election Process</w:t>
              </w:r>
            </w:hyperlink>
          </w:p>
        </w:tc>
        <w:tc>
          <w:tcPr>
            <w:tcW w:w="9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19</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6">
              <w:r>
                <w:rPr>
                  <w:rFonts w:ascii="Arial" w:cs="Arial" w:eastAsia="Arial" w:hAnsi="Arial"/>
                  <w:sz w:val="18"/>
                  <w:szCs w:val="18"/>
                  <w:color w:val="auto"/>
                </w:rPr>
                <w:t>Board Composition and Director Nominations</w:t>
              </w:r>
            </w:hyperlink>
          </w:p>
        </w:tc>
        <w:tc>
          <w:tcPr>
            <w:tcW w:w="9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19</w:t>
              </w:r>
            </w:hyperlink>
          </w:p>
        </w:tc>
      </w:tr>
      <w:tr>
        <w:trPr>
          <w:trHeight w:val="256"/>
        </w:trPr>
        <w:tc>
          <w:tcPr>
            <w:tcW w:w="10280" w:type="dxa"/>
            <w:vAlign w:val="bottom"/>
          </w:tcPr>
          <w:p>
            <w:pPr>
              <w:ind w:left="180"/>
              <w:spacing w:after="0"/>
              <w:rPr>
                <w:rFonts w:ascii="Arial" w:cs="Arial" w:eastAsia="Arial" w:hAnsi="Arial"/>
                <w:sz w:val="18"/>
                <w:szCs w:val="18"/>
                <w:color w:val="auto"/>
              </w:rPr>
            </w:pPr>
            <w:hyperlink w:anchor="page27">
              <w:r>
                <w:rPr>
                  <w:rFonts w:ascii="Arial" w:cs="Arial" w:eastAsia="Arial" w:hAnsi="Arial"/>
                  <w:sz w:val="18"/>
                  <w:szCs w:val="18"/>
                  <w:color w:val="auto"/>
                </w:rPr>
                <w:t>Director Qualifications</w:t>
              </w:r>
            </w:hyperlink>
          </w:p>
        </w:tc>
        <w:tc>
          <w:tcPr>
            <w:tcW w:w="9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20</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7">
              <w:r>
                <w:rPr>
                  <w:rFonts w:ascii="Arial" w:cs="Arial" w:eastAsia="Arial" w:hAnsi="Arial"/>
                  <w:sz w:val="18"/>
                  <w:szCs w:val="18"/>
                  <w:color w:val="auto"/>
                </w:rPr>
                <w:t>Director Orientation and Continuing Education</w:t>
              </w:r>
            </w:hyperlink>
          </w:p>
        </w:tc>
        <w:tc>
          <w:tcPr>
            <w:tcW w:w="9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20</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8">
              <w:r>
                <w:rPr>
                  <w:rFonts w:ascii="Arial" w:cs="Arial" w:eastAsia="Arial" w:hAnsi="Arial"/>
                  <w:sz w:val="18"/>
                  <w:szCs w:val="18"/>
                  <w:color w:val="auto"/>
                </w:rPr>
                <w:t>Board Membership and External Relationships</w:t>
              </w:r>
            </w:hyperlink>
          </w:p>
        </w:tc>
        <w:tc>
          <w:tcPr>
            <w:tcW w:w="9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21</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8">
              <w:r>
                <w:rPr>
                  <w:rFonts w:ascii="Arial" w:cs="Arial" w:eastAsia="Arial" w:hAnsi="Arial"/>
                  <w:sz w:val="18"/>
                  <w:szCs w:val="18"/>
                  <w:color w:val="auto"/>
                </w:rPr>
                <w:t>Effect of Failure to Receive the Required Vote or Obtain and Retain Security Clearance</w:t>
              </w:r>
            </w:hyperlink>
          </w:p>
        </w:tc>
        <w:tc>
          <w:tcPr>
            <w:tcW w:w="9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21</w:t>
              </w:r>
            </w:hyperlink>
          </w:p>
        </w:tc>
      </w:tr>
      <w:tr>
        <w:trPr>
          <w:trHeight w:val="256"/>
        </w:trPr>
        <w:tc>
          <w:tcPr>
            <w:tcW w:w="10280" w:type="dxa"/>
            <w:vAlign w:val="bottom"/>
          </w:tcPr>
          <w:p>
            <w:pPr>
              <w:ind w:left="180"/>
              <w:spacing w:after="0"/>
              <w:rPr>
                <w:rFonts w:ascii="Arial" w:cs="Arial" w:eastAsia="Arial" w:hAnsi="Arial"/>
                <w:sz w:val="18"/>
                <w:szCs w:val="18"/>
                <w:color w:val="auto"/>
              </w:rPr>
            </w:pPr>
            <w:hyperlink w:anchor="page28">
              <w:r>
                <w:rPr>
                  <w:rFonts w:ascii="Arial" w:cs="Arial" w:eastAsia="Arial" w:hAnsi="Arial"/>
                  <w:sz w:val="18"/>
                  <w:szCs w:val="18"/>
                  <w:color w:val="auto"/>
                </w:rPr>
                <w:t>Board Self-Evaluation</w:t>
              </w:r>
            </w:hyperlink>
          </w:p>
        </w:tc>
        <w:tc>
          <w:tcPr>
            <w:tcW w:w="9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21</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29">
              <w:r>
                <w:rPr>
                  <w:rFonts w:ascii="Arial" w:cs="Arial" w:eastAsia="Arial" w:hAnsi="Arial"/>
                  <w:sz w:val="18"/>
                  <w:szCs w:val="18"/>
                  <w:color w:val="auto"/>
                </w:rPr>
                <w:t>Succession Planning</w:t>
              </w:r>
            </w:hyperlink>
          </w:p>
        </w:tc>
        <w:tc>
          <w:tcPr>
            <w:tcW w:w="9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22</w:t>
              </w:r>
            </w:hyperlink>
          </w:p>
        </w:tc>
      </w:tr>
      <w:tr>
        <w:trPr>
          <w:trHeight w:val="256"/>
        </w:trPr>
        <w:tc>
          <w:tcPr>
            <w:tcW w:w="10280" w:type="dxa"/>
            <w:vAlign w:val="bottom"/>
          </w:tcPr>
          <w:p>
            <w:pPr>
              <w:ind w:left="180"/>
              <w:spacing w:after="0"/>
              <w:rPr>
                <w:rFonts w:ascii="Arial" w:cs="Arial" w:eastAsia="Arial" w:hAnsi="Arial"/>
                <w:sz w:val="18"/>
                <w:szCs w:val="18"/>
                <w:color w:val="auto"/>
              </w:rPr>
            </w:pPr>
            <w:hyperlink w:anchor="page29">
              <w:r>
                <w:rPr>
                  <w:rFonts w:ascii="Arial" w:cs="Arial" w:eastAsia="Arial" w:hAnsi="Arial"/>
                  <w:sz w:val="18"/>
                  <w:szCs w:val="18"/>
                  <w:color w:val="auto"/>
                </w:rPr>
                <w:t>Departure and Election of Directors</w:t>
              </w:r>
            </w:hyperlink>
          </w:p>
        </w:tc>
        <w:tc>
          <w:tcPr>
            <w:tcW w:w="9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22</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Communications with the Board of Directors</w:t>
              </w:r>
            </w:hyperlink>
          </w:p>
        </w:tc>
        <w:tc>
          <w:tcPr>
            <w:tcW w:w="9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23</w:t>
              </w:r>
            </w:hyperlink>
          </w:p>
        </w:tc>
      </w:tr>
      <w:tr>
        <w:trPr>
          <w:trHeight w:val="256"/>
        </w:trPr>
        <w:tc>
          <w:tcPr>
            <w:tcW w:w="10280" w:type="dxa"/>
            <w:vAlign w:val="bottom"/>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Corporate Responsibility and Sustainability</w:t>
              </w:r>
            </w:hyperlink>
          </w:p>
        </w:tc>
        <w:tc>
          <w:tcPr>
            <w:tcW w:w="9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23</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31">
              <w:r>
                <w:rPr>
                  <w:rFonts w:ascii="Arial" w:cs="Arial" w:eastAsia="Arial" w:hAnsi="Arial"/>
                  <w:sz w:val="18"/>
                  <w:szCs w:val="18"/>
                  <w:color w:val="auto"/>
                </w:rPr>
                <w:t>Human Rights</w:t>
              </w:r>
            </w:hyperlink>
          </w:p>
        </w:tc>
        <w:tc>
          <w:tcPr>
            <w:tcW w:w="9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24</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31">
              <w:r>
                <w:rPr>
                  <w:rFonts w:ascii="Arial" w:cs="Arial" w:eastAsia="Arial" w:hAnsi="Arial"/>
                  <w:sz w:val="18"/>
                  <w:szCs w:val="18"/>
                  <w:color w:val="auto"/>
                </w:rPr>
                <w:t>Company Culture</w:t>
              </w:r>
            </w:hyperlink>
          </w:p>
        </w:tc>
        <w:tc>
          <w:tcPr>
            <w:tcW w:w="9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24</w:t>
              </w:r>
            </w:hyperlink>
          </w:p>
        </w:tc>
      </w:tr>
      <w:tr>
        <w:trPr>
          <w:trHeight w:val="628"/>
        </w:trPr>
        <w:tc>
          <w:tcPr>
            <w:tcW w:w="1028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33">
              <w:r>
                <w:rPr>
                  <w:rFonts w:ascii="Arial" w:cs="Arial" w:eastAsia="Arial" w:hAnsi="Arial"/>
                  <w:sz w:val="22"/>
                  <w:szCs w:val="22"/>
                  <w:b w:val="1"/>
                  <w:bCs w:val="1"/>
                  <w:color w:val="00249C"/>
                </w:rPr>
                <w:t>COMPENSATION OF DIRECTORS</w:t>
              </w:r>
            </w:hyperlink>
          </w:p>
        </w:tc>
        <w:tc>
          <w:tcPr>
            <w:tcW w:w="960" w:type="dxa"/>
            <w:vAlign w:val="bottom"/>
            <w:tcBorders>
              <w:bottom w:val="single" w:sz="8" w:color="auto"/>
            </w:tcBorders>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26</w:t>
              </w:r>
            </w:hyperlink>
          </w:p>
        </w:tc>
      </w:tr>
      <w:tr>
        <w:trPr>
          <w:trHeight w:val="243"/>
        </w:trPr>
        <w:tc>
          <w:tcPr>
            <w:tcW w:w="10280" w:type="dxa"/>
            <w:vAlign w:val="bottom"/>
          </w:tcPr>
          <w:p>
            <w:pPr>
              <w:ind w:left="180"/>
              <w:spacing w:after="0"/>
              <w:rPr>
                <w:rFonts w:ascii="Arial" w:cs="Arial" w:eastAsia="Arial" w:hAnsi="Arial"/>
                <w:sz w:val="18"/>
                <w:szCs w:val="18"/>
                <w:color w:val="auto"/>
              </w:rPr>
            </w:pPr>
            <w:hyperlink w:anchor="page33">
              <w:r>
                <w:rPr>
                  <w:rFonts w:ascii="Arial" w:cs="Arial" w:eastAsia="Arial" w:hAnsi="Arial"/>
                  <w:sz w:val="18"/>
                  <w:szCs w:val="18"/>
                  <w:color w:val="auto"/>
                </w:rPr>
                <w:t>Stock Ownership Requirements and Anti-Hedging and Pledging Policy</w:t>
              </w:r>
            </w:hyperlink>
          </w:p>
        </w:tc>
        <w:tc>
          <w:tcPr>
            <w:tcW w:w="9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26</w:t>
              </w:r>
            </w:hyperlink>
          </w:p>
        </w:tc>
      </w:tr>
      <w:tr>
        <w:trPr>
          <w:trHeight w:val="256"/>
        </w:trPr>
        <w:tc>
          <w:tcPr>
            <w:tcW w:w="10280" w:type="dxa"/>
            <w:vAlign w:val="bottom"/>
          </w:tcPr>
          <w:p>
            <w:pPr>
              <w:ind w:left="180"/>
              <w:spacing w:after="0"/>
              <w:rPr>
                <w:rFonts w:ascii="Arial" w:cs="Arial" w:eastAsia="Arial" w:hAnsi="Arial"/>
                <w:sz w:val="18"/>
                <w:szCs w:val="18"/>
                <w:color w:val="auto"/>
              </w:rPr>
            </w:pPr>
            <w:hyperlink w:anchor="page35">
              <w:r>
                <w:rPr>
                  <w:rFonts w:ascii="Arial" w:cs="Arial" w:eastAsia="Arial" w:hAnsi="Arial"/>
                  <w:sz w:val="18"/>
                  <w:szCs w:val="18"/>
                  <w:color w:val="auto"/>
                </w:rPr>
                <w:t>2019 Director Compensation</w:t>
              </w:r>
            </w:hyperlink>
          </w:p>
        </w:tc>
        <w:tc>
          <w:tcPr>
            <w:tcW w:w="9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28</w:t>
              </w:r>
            </w:hyperlink>
          </w:p>
        </w:tc>
      </w:tr>
      <w:tr>
        <w:trPr>
          <w:trHeight w:val="628"/>
        </w:trPr>
        <w:tc>
          <w:tcPr>
            <w:tcW w:w="1028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37">
              <w:r>
                <w:rPr>
                  <w:rFonts w:ascii="Arial" w:cs="Arial" w:eastAsia="Arial" w:hAnsi="Arial"/>
                  <w:sz w:val="22"/>
                  <w:szCs w:val="22"/>
                  <w:b w:val="1"/>
                  <w:bCs w:val="1"/>
                  <w:color w:val="00249C"/>
                </w:rPr>
                <w:t>TRANSACTIONS WITH RELATED PERSONS AND CONTROL PERSONS</w:t>
              </w:r>
            </w:hyperlink>
          </w:p>
        </w:tc>
        <w:tc>
          <w:tcPr>
            <w:tcW w:w="960" w:type="dxa"/>
            <w:vAlign w:val="bottom"/>
            <w:tcBorders>
              <w:bottom w:val="single" w:sz="8" w:color="auto"/>
            </w:tcBorders>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30</w:t>
              </w:r>
            </w:hyperlink>
          </w:p>
        </w:tc>
      </w:tr>
      <w:tr>
        <w:trPr>
          <w:trHeight w:val="243"/>
        </w:trPr>
        <w:tc>
          <w:tcPr>
            <w:tcW w:w="10280" w:type="dxa"/>
            <w:vAlign w:val="bottom"/>
          </w:tcPr>
          <w:p>
            <w:pPr>
              <w:ind w:left="180"/>
              <w:spacing w:after="0"/>
              <w:rPr>
                <w:rFonts w:ascii="Arial" w:cs="Arial" w:eastAsia="Arial" w:hAnsi="Arial"/>
                <w:sz w:val="18"/>
                <w:szCs w:val="18"/>
                <w:color w:val="auto"/>
              </w:rPr>
            </w:pPr>
            <w:hyperlink w:anchor="page37">
              <w:r>
                <w:rPr>
                  <w:rFonts w:ascii="Arial" w:cs="Arial" w:eastAsia="Arial" w:hAnsi="Arial"/>
                  <w:sz w:val="18"/>
                  <w:szCs w:val="18"/>
                  <w:color w:val="auto"/>
                </w:rPr>
                <w:t>Related Person Transactions</w:t>
              </w:r>
            </w:hyperlink>
          </w:p>
        </w:tc>
        <w:tc>
          <w:tcPr>
            <w:tcW w:w="9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30</w:t>
              </w:r>
            </w:hyperlink>
          </w:p>
        </w:tc>
      </w:tr>
      <w:tr>
        <w:trPr>
          <w:trHeight w:val="256"/>
        </w:trPr>
        <w:tc>
          <w:tcPr>
            <w:tcW w:w="10280" w:type="dxa"/>
            <w:vAlign w:val="bottom"/>
          </w:tcPr>
          <w:p>
            <w:pPr>
              <w:ind w:left="180"/>
              <w:spacing w:after="0"/>
              <w:rPr>
                <w:rFonts w:ascii="Arial" w:cs="Arial" w:eastAsia="Arial" w:hAnsi="Arial"/>
                <w:sz w:val="18"/>
                <w:szCs w:val="18"/>
                <w:color w:val="auto"/>
              </w:rPr>
            </w:pPr>
            <w:hyperlink w:anchor="page37">
              <w:r>
                <w:rPr>
                  <w:rFonts w:ascii="Arial" w:cs="Arial" w:eastAsia="Arial" w:hAnsi="Arial"/>
                  <w:sz w:val="18"/>
                  <w:szCs w:val="18"/>
                  <w:color w:val="auto"/>
                </w:rPr>
                <w:t>Compensation Committee Interlocks and Insider Participation</w:t>
              </w:r>
            </w:hyperlink>
          </w:p>
        </w:tc>
        <w:tc>
          <w:tcPr>
            <w:tcW w:w="9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30</w:t>
              </w:r>
            </w:hyperlink>
          </w:p>
        </w:tc>
      </w:tr>
      <w:tr>
        <w:trPr>
          <w:trHeight w:val="257"/>
        </w:trPr>
        <w:tc>
          <w:tcPr>
            <w:tcW w:w="10280" w:type="dxa"/>
            <w:vAlign w:val="bottom"/>
          </w:tcPr>
          <w:p>
            <w:pPr>
              <w:ind w:left="180"/>
              <w:spacing w:after="0"/>
              <w:rPr>
                <w:rFonts w:ascii="Arial" w:cs="Arial" w:eastAsia="Arial" w:hAnsi="Arial"/>
                <w:sz w:val="18"/>
                <w:szCs w:val="18"/>
                <w:color w:val="auto"/>
              </w:rPr>
            </w:pPr>
            <w:hyperlink w:anchor="page38">
              <w:r>
                <w:rPr>
                  <w:rFonts w:ascii="Arial" w:cs="Arial" w:eastAsia="Arial" w:hAnsi="Arial"/>
                  <w:sz w:val="18"/>
                  <w:szCs w:val="18"/>
                  <w:color w:val="auto"/>
                </w:rPr>
                <w:t>Indemnification Agreements</w:t>
              </w:r>
            </w:hyperlink>
          </w:p>
        </w:tc>
        <w:tc>
          <w:tcPr>
            <w:tcW w:w="9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31</w:t>
              </w:r>
            </w:hyperlink>
          </w:p>
        </w:tc>
      </w:tr>
      <w:tr>
        <w:trPr>
          <w:trHeight w:val="628"/>
        </w:trPr>
        <w:tc>
          <w:tcPr>
            <w:tcW w:w="1028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39">
              <w:r>
                <w:rPr>
                  <w:rFonts w:ascii="Arial" w:cs="Arial" w:eastAsia="Arial" w:hAnsi="Arial"/>
                  <w:sz w:val="22"/>
                  <w:szCs w:val="22"/>
                  <w:b w:val="1"/>
                  <w:bCs w:val="1"/>
                  <w:color w:val="00249C"/>
                </w:rPr>
                <w:t>VOTING SECURITIES AND PRINCIPAL HOLDERS</w:t>
              </w:r>
            </w:hyperlink>
          </w:p>
        </w:tc>
        <w:tc>
          <w:tcPr>
            <w:tcW w:w="960" w:type="dxa"/>
            <w:vAlign w:val="bottom"/>
            <w:tcBorders>
              <w:bottom w:val="single" w:sz="8" w:color="auto"/>
            </w:tcBorders>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32</w:t>
              </w:r>
            </w:hyperlink>
          </w:p>
        </w:tc>
      </w:tr>
      <w:tr>
        <w:trPr>
          <w:trHeight w:val="243"/>
        </w:trPr>
        <w:tc>
          <w:tcPr>
            <w:tcW w:w="10280" w:type="dxa"/>
            <w:vAlign w:val="bottom"/>
          </w:tcPr>
          <w:p>
            <w:pPr>
              <w:ind w:left="180"/>
              <w:spacing w:after="0"/>
              <w:rPr>
                <w:rFonts w:ascii="Arial" w:cs="Arial" w:eastAsia="Arial" w:hAnsi="Arial"/>
                <w:sz w:val="18"/>
                <w:szCs w:val="18"/>
                <w:color w:val="auto"/>
              </w:rPr>
            </w:pPr>
            <w:hyperlink w:anchor="page39">
              <w:r>
                <w:rPr>
                  <w:rFonts w:ascii="Arial" w:cs="Arial" w:eastAsia="Arial" w:hAnsi="Arial"/>
                  <w:sz w:val="18"/>
                  <w:szCs w:val="18"/>
                  <w:color w:val="auto"/>
                </w:rPr>
                <w:t>Stock Ownership of Certain Beneficial Owners</w:t>
              </w:r>
            </w:hyperlink>
          </w:p>
        </w:tc>
        <w:tc>
          <w:tcPr>
            <w:tcW w:w="9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32</w:t>
              </w:r>
            </w:hyperlink>
          </w:p>
        </w:tc>
      </w:tr>
      <w:tr>
        <w:trPr>
          <w:trHeight w:val="256"/>
        </w:trPr>
        <w:tc>
          <w:tcPr>
            <w:tcW w:w="10280" w:type="dxa"/>
            <w:vAlign w:val="bottom"/>
          </w:tcPr>
          <w:p>
            <w:pPr>
              <w:ind w:left="180"/>
              <w:spacing w:after="0"/>
              <w:rPr>
                <w:rFonts w:ascii="Arial" w:cs="Arial" w:eastAsia="Arial" w:hAnsi="Arial"/>
                <w:sz w:val="18"/>
                <w:szCs w:val="18"/>
                <w:color w:val="auto"/>
              </w:rPr>
            </w:pPr>
            <w:hyperlink w:anchor="page40">
              <w:r>
                <w:rPr>
                  <w:rFonts w:ascii="Arial" w:cs="Arial" w:eastAsia="Arial" w:hAnsi="Arial"/>
                  <w:sz w:val="18"/>
                  <w:szCs w:val="18"/>
                  <w:color w:val="auto"/>
                </w:rPr>
                <w:t>Stock Ownership of Officers and Directors</w:t>
              </w:r>
            </w:hyperlink>
          </w:p>
        </w:tc>
        <w:tc>
          <w:tcPr>
            <w:tcW w:w="9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33</w:t>
              </w:r>
            </w:hyperlink>
          </w:p>
        </w:tc>
      </w:tr>
      <w:tr>
        <w:trPr>
          <w:trHeight w:val="628"/>
        </w:trPr>
        <w:tc>
          <w:tcPr>
            <w:tcW w:w="1028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41">
              <w:r>
                <w:rPr>
                  <w:rFonts w:ascii="Arial" w:cs="Arial" w:eastAsia="Arial" w:hAnsi="Arial"/>
                  <w:sz w:val="22"/>
                  <w:szCs w:val="22"/>
                  <w:b w:val="1"/>
                  <w:bCs w:val="1"/>
                  <w:color w:val="00249C"/>
                </w:rPr>
                <w:t>EQUITY COMPENSATION PLAN INFORMATION</w:t>
              </w:r>
            </w:hyperlink>
          </w:p>
        </w:tc>
        <w:tc>
          <w:tcPr>
            <w:tcW w:w="960" w:type="dxa"/>
            <w:vAlign w:val="bottom"/>
            <w:tcBorders>
              <w:bottom w:val="single" w:sz="8" w:color="auto"/>
            </w:tcBorders>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34</w:t>
              </w:r>
            </w:hyperlink>
          </w:p>
        </w:tc>
      </w:tr>
      <w:tr>
        <w:trPr>
          <w:trHeight w:val="615"/>
        </w:trPr>
        <w:tc>
          <w:tcPr>
            <w:tcW w:w="1028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42">
              <w:r>
                <w:rPr>
                  <w:rFonts w:ascii="Arial" w:cs="Arial" w:eastAsia="Arial" w:hAnsi="Arial"/>
                  <w:sz w:val="22"/>
                  <w:szCs w:val="22"/>
                  <w:b w:val="1"/>
                  <w:bCs w:val="1"/>
                  <w:color w:val="00249C"/>
                </w:rPr>
                <w:t>PROPOSAL TWO: ADVISORY VOTE ON COMPENSATION OF NAMED EXECUTIVE OFFICERS</w:t>
              </w:r>
            </w:hyperlink>
          </w:p>
        </w:tc>
        <w:tc>
          <w:tcPr>
            <w:tcW w:w="960" w:type="dxa"/>
            <w:vAlign w:val="bottom"/>
            <w:tcBorders>
              <w:bottom w:val="single" w:sz="8" w:color="auto"/>
            </w:tcBorders>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35</w:t>
              </w:r>
            </w:hyperlink>
          </w:p>
        </w:tc>
      </w:tr>
    </w:tbl>
    <w:p>
      <w:pPr>
        <w:spacing w:after="0" w:line="200" w:lineRule="exact"/>
        <w:rPr>
          <w:sz w:val="20"/>
          <w:szCs w:val="20"/>
          <w:color w:val="auto"/>
        </w:rPr>
      </w:pPr>
    </w:p>
    <w:p>
      <w:pPr>
        <w:sectPr>
          <w:pgSz w:w="11900" w:h="16838" w:orient="portrait"/>
          <w:cols w:equalWidth="0" w:num="1">
            <w:col w:w="11240"/>
          </w:cols>
          <w:pgMar w:left="320" w:top="7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38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i</w:t>
      </w:r>
    </w:p>
    <w:p>
      <w:pPr>
        <w:sectPr>
          <w:pgSz w:w="11900" w:h="16838" w:orient="portrait"/>
          <w:cols w:equalWidth="0" w:num="1">
            <w:col w:w="11240"/>
          </w:cols>
          <w:pgMar w:left="320" w:top="701" w:right="339" w:bottom="144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43">
              <w:r>
                <w:rPr>
                  <w:rFonts w:ascii="Arial" w:cs="Arial" w:eastAsia="Arial" w:hAnsi="Arial"/>
                  <w:sz w:val="22"/>
                  <w:szCs w:val="22"/>
                  <w:b w:val="1"/>
                  <w:bCs w:val="1"/>
                  <w:color w:val="00249C"/>
                </w:rPr>
                <w:t>COMPENSATION DISCUSSION AND ANALYSIS</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36</w:t>
              </w:r>
            </w:hyperlink>
          </w:p>
        </w:tc>
      </w:tr>
      <w:tr>
        <w:trPr>
          <w:trHeight w:val="243"/>
        </w:trPr>
        <w:tc>
          <w:tcPr>
            <w:tcW w:w="9800" w:type="dxa"/>
            <w:vAlign w:val="bottom"/>
          </w:tcPr>
          <w:p>
            <w:pPr>
              <w:ind w:left="180"/>
              <w:spacing w:after="0"/>
              <w:rPr>
                <w:rFonts w:ascii="Arial" w:cs="Arial" w:eastAsia="Arial" w:hAnsi="Arial"/>
                <w:sz w:val="18"/>
                <w:szCs w:val="18"/>
                <w:color w:val="auto"/>
              </w:rPr>
            </w:pPr>
            <w:hyperlink w:anchor="page44">
              <w:r>
                <w:rPr>
                  <w:rFonts w:ascii="Arial" w:cs="Arial" w:eastAsia="Arial" w:hAnsi="Arial"/>
                  <w:sz w:val="18"/>
                  <w:szCs w:val="18"/>
                  <w:color w:val="auto"/>
                </w:rPr>
                <w:t>Executive Summary</w:t>
              </w:r>
            </w:hyperlink>
          </w:p>
        </w:tc>
        <w:tc>
          <w:tcPr>
            <w:tcW w:w="14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37</w:t>
              </w:r>
            </w:hyperlink>
          </w:p>
        </w:tc>
      </w:tr>
      <w:tr>
        <w:trPr>
          <w:trHeight w:val="257"/>
        </w:trPr>
        <w:tc>
          <w:tcPr>
            <w:tcW w:w="9800" w:type="dxa"/>
            <w:vAlign w:val="bottom"/>
          </w:tcPr>
          <w:p>
            <w:pPr>
              <w:ind w:left="180"/>
              <w:spacing w:after="0"/>
              <w:rPr>
                <w:rFonts w:ascii="Arial" w:cs="Arial" w:eastAsia="Arial" w:hAnsi="Arial"/>
                <w:sz w:val="18"/>
                <w:szCs w:val="18"/>
                <w:color w:val="auto"/>
              </w:rPr>
            </w:pPr>
            <w:hyperlink w:anchor="page47">
              <w:r>
                <w:rPr>
                  <w:rFonts w:ascii="Arial" w:cs="Arial" w:eastAsia="Arial" w:hAnsi="Arial"/>
                  <w:sz w:val="18"/>
                  <w:szCs w:val="18"/>
                  <w:color w:val="auto"/>
                </w:rPr>
                <w:t>Key Principles</w:t>
              </w:r>
            </w:hyperlink>
          </w:p>
        </w:tc>
        <w:tc>
          <w:tcPr>
            <w:tcW w:w="14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40</w:t>
              </w:r>
            </w:hyperlink>
          </w:p>
        </w:tc>
      </w:tr>
      <w:tr>
        <w:trPr>
          <w:trHeight w:val="257"/>
        </w:trPr>
        <w:tc>
          <w:tcPr>
            <w:tcW w:w="9800" w:type="dxa"/>
            <w:vAlign w:val="bottom"/>
          </w:tcPr>
          <w:p>
            <w:pPr>
              <w:ind w:left="180"/>
              <w:spacing w:after="0"/>
              <w:rPr>
                <w:rFonts w:ascii="Arial" w:cs="Arial" w:eastAsia="Arial" w:hAnsi="Arial"/>
                <w:sz w:val="18"/>
                <w:szCs w:val="18"/>
                <w:color w:val="auto"/>
              </w:rPr>
            </w:pPr>
            <w:hyperlink w:anchor="page51">
              <w:r>
                <w:rPr>
                  <w:rFonts w:ascii="Arial" w:cs="Arial" w:eastAsia="Arial" w:hAnsi="Arial"/>
                  <w:sz w:val="18"/>
                  <w:szCs w:val="18"/>
                  <w:color w:val="auto"/>
                </w:rPr>
                <w:t>Key Components of Our Programs</w:t>
              </w:r>
            </w:hyperlink>
          </w:p>
        </w:tc>
        <w:tc>
          <w:tcPr>
            <w:tcW w:w="14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44</w:t>
              </w:r>
            </w:hyperlink>
          </w:p>
        </w:tc>
      </w:tr>
      <w:tr>
        <w:trPr>
          <w:trHeight w:val="628"/>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59">
              <w:r>
                <w:rPr>
                  <w:rFonts w:ascii="Arial" w:cs="Arial" w:eastAsia="Arial" w:hAnsi="Arial"/>
                  <w:sz w:val="22"/>
                  <w:szCs w:val="22"/>
                  <w:b w:val="1"/>
                  <w:bCs w:val="1"/>
                  <w:color w:val="00249C"/>
                </w:rPr>
                <w:t>COMPENSATION COMMITTEE REPORT</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52</w:t>
              </w:r>
            </w:hyperlink>
          </w:p>
        </w:tc>
      </w:tr>
      <w:tr>
        <w:trPr>
          <w:trHeight w:val="614"/>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60">
              <w:r>
                <w:rPr>
                  <w:rFonts w:ascii="Arial" w:cs="Arial" w:eastAsia="Arial" w:hAnsi="Arial"/>
                  <w:sz w:val="22"/>
                  <w:szCs w:val="22"/>
                  <w:b w:val="1"/>
                  <w:bCs w:val="1"/>
                  <w:color w:val="00249C"/>
                </w:rPr>
                <w:t>COMPENSATION TABLES</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53</w:t>
              </w:r>
            </w:hyperlink>
          </w:p>
        </w:tc>
      </w:tr>
      <w:tr>
        <w:trPr>
          <w:trHeight w:val="243"/>
        </w:trPr>
        <w:tc>
          <w:tcPr>
            <w:tcW w:w="9800" w:type="dxa"/>
            <w:vAlign w:val="bottom"/>
          </w:tcPr>
          <w:p>
            <w:pPr>
              <w:ind w:left="180"/>
              <w:spacing w:after="0"/>
              <w:rPr>
                <w:rFonts w:ascii="Arial" w:cs="Arial" w:eastAsia="Arial" w:hAnsi="Arial"/>
                <w:sz w:val="18"/>
                <w:szCs w:val="18"/>
                <w:color w:val="auto"/>
              </w:rPr>
            </w:pPr>
            <w:hyperlink w:anchor="page60">
              <w:r>
                <w:rPr>
                  <w:rFonts w:ascii="Arial" w:cs="Arial" w:eastAsia="Arial" w:hAnsi="Arial"/>
                  <w:sz w:val="18"/>
                  <w:szCs w:val="18"/>
                  <w:color w:val="auto"/>
                </w:rPr>
                <w:t>Summary Compensation Table</w:t>
              </w:r>
            </w:hyperlink>
          </w:p>
        </w:tc>
        <w:tc>
          <w:tcPr>
            <w:tcW w:w="14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53</w:t>
              </w:r>
            </w:hyperlink>
          </w:p>
        </w:tc>
      </w:tr>
      <w:tr>
        <w:trPr>
          <w:trHeight w:val="257"/>
        </w:trPr>
        <w:tc>
          <w:tcPr>
            <w:tcW w:w="9800" w:type="dxa"/>
            <w:vAlign w:val="bottom"/>
          </w:tcPr>
          <w:p>
            <w:pPr>
              <w:ind w:left="180"/>
              <w:spacing w:after="0"/>
              <w:rPr>
                <w:rFonts w:ascii="Arial" w:cs="Arial" w:eastAsia="Arial" w:hAnsi="Arial"/>
                <w:sz w:val="18"/>
                <w:szCs w:val="18"/>
                <w:color w:val="auto"/>
              </w:rPr>
            </w:pPr>
            <w:hyperlink w:anchor="page62">
              <w:r>
                <w:rPr>
                  <w:rFonts w:ascii="Arial" w:cs="Arial" w:eastAsia="Arial" w:hAnsi="Arial"/>
                  <w:sz w:val="18"/>
                  <w:szCs w:val="18"/>
                  <w:color w:val="auto"/>
                </w:rPr>
                <w:t>Grants of Plan-Based Awards Table</w:t>
              </w:r>
            </w:hyperlink>
          </w:p>
        </w:tc>
        <w:tc>
          <w:tcPr>
            <w:tcW w:w="144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55</w:t>
              </w:r>
            </w:hyperlink>
          </w:p>
        </w:tc>
      </w:tr>
      <w:tr>
        <w:trPr>
          <w:trHeight w:val="257"/>
        </w:trPr>
        <w:tc>
          <w:tcPr>
            <w:tcW w:w="9800" w:type="dxa"/>
            <w:vAlign w:val="bottom"/>
          </w:tcPr>
          <w:p>
            <w:pPr>
              <w:ind w:left="180"/>
              <w:spacing w:after="0"/>
              <w:rPr>
                <w:rFonts w:ascii="Arial" w:cs="Arial" w:eastAsia="Arial" w:hAnsi="Arial"/>
                <w:sz w:val="18"/>
                <w:szCs w:val="18"/>
                <w:color w:val="auto"/>
              </w:rPr>
            </w:pPr>
            <w:hyperlink w:anchor="page63">
              <w:r>
                <w:rPr>
                  <w:rFonts w:ascii="Arial" w:cs="Arial" w:eastAsia="Arial" w:hAnsi="Arial"/>
                  <w:sz w:val="18"/>
                  <w:szCs w:val="18"/>
                  <w:color w:val="auto"/>
                </w:rPr>
                <w:t>Outstanding Equity Awards Table</w:t>
              </w:r>
            </w:hyperlink>
          </w:p>
        </w:tc>
        <w:tc>
          <w:tcPr>
            <w:tcW w:w="144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56</w:t>
              </w:r>
            </w:hyperlink>
          </w:p>
        </w:tc>
      </w:tr>
      <w:tr>
        <w:trPr>
          <w:trHeight w:val="256"/>
        </w:trPr>
        <w:tc>
          <w:tcPr>
            <w:tcW w:w="9800" w:type="dxa"/>
            <w:vAlign w:val="bottom"/>
          </w:tcPr>
          <w:p>
            <w:pPr>
              <w:ind w:left="180"/>
              <w:spacing w:after="0"/>
              <w:rPr>
                <w:rFonts w:ascii="Arial" w:cs="Arial" w:eastAsia="Arial" w:hAnsi="Arial"/>
                <w:sz w:val="18"/>
                <w:szCs w:val="18"/>
                <w:color w:val="auto"/>
              </w:rPr>
            </w:pPr>
            <w:hyperlink w:anchor="page64">
              <w:r>
                <w:rPr>
                  <w:rFonts w:ascii="Arial" w:cs="Arial" w:eastAsia="Arial" w:hAnsi="Arial"/>
                  <w:sz w:val="18"/>
                  <w:szCs w:val="18"/>
                  <w:color w:val="auto"/>
                </w:rPr>
                <w:t>Stock Vested Table</w:t>
              </w:r>
            </w:hyperlink>
          </w:p>
        </w:tc>
        <w:tc>
          <w:tcPr>
            <w:tcW w:w="14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57</w:t>
              </w:r>
            </w:hyperlink>
          </w:p>
        </w:tc>
      </w:tr>
      <w:tr>
        <w:trPr>
          <w:trHeight w:val="257"/>
        </w:trPr>
        <w:tc>
          <w:tcPr>
            <w:tcW w:w="9800" w:type="dxa"/>
            <w:vAlign w:val="bottom"/>
          </w:tcPr>
          <w:p>
            <w:pPr>
              <w:ind w:left="180"/>
              <w:spacing w:after="0"/>
              <w:rPr>
                <w:rFonts w:ascii="Arial" w:cs="Arial" w:eastAsia="Arial" w:hAnsi="Arial"/>
                <w:sz w:val="18"/>
                <w:szCs w:val="18"/>
                <w:color w:val="auto"/>
              </w:rPr>
            </w:pPr>
            <w:hyperlink w:anchor="page65">
              <w:r>
                <w:rPr>
                  <w:rFonts w:ascii="Arial" w:cs="Arial" w:eastAsia="Arial" w:hAnsi="Arial"/>
                  <w:sz w:val="18"/>
                  <w:szCs w:val="18"/>
                  <w:color w:val="auto"/>
                </w:rPr>
                <w:t>Pension Benefits</w:t>
              </w:r>
            </w:hyperlink>
          </w:p>
        </w:tc>
        <w:tc>
          <w:tcPr>
            <w:tcW w:w="144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58</w:t>
              </w:r>
            </w:hyperlink>
          </w:p>
        </w:tc>
      </w:tr>
      <w:tr>
        <w:trPr>
          <w:trHeight w:val="257"/>
        </w:trPr>
        <w:tc>
          <w:tcPr>
            <w:tcW w:w="9800" w:type="dxa"/>
            <w:vAlign w:val="bottom"/>
          </w:tcPr>
          <w:p>
            <w:pPr>
              <w:ind w:left="180"/>
              <w:spacing w:after="0"/>
              <w:rPr>
                <w:rFonts w:ascii="Arial" w:cs="Arial" w:eastAsia="Arial" w:hAnsi="Arial"/>
                <w:sz w:val="18"/>
                <w:szCs w:val="18"/>
                <w:color w:val="auto"/>
              </w:rPr>
            </w:pPr>
            <w:hyperlink w:anchor="page69">
              <w:r>
                <w:rPr>
                  <w:rFonts w:ascii="Arial" w:cs="Arial" w:eastAsia="Arial" w:hAnsi="Arial"/>
                  <w:sz w:val="18"/>
                  <w:szCs w:val="18"/>
                  <w:color w:val="auto"/>
                </w:rPr>
                <w:t>Nonqualified Deferred Compensation Table</w:t>
              </w:r>
            </w:hyperlink>
          </w:p>
        </w:tc>
        <w:tc>
          <w:tcPr>
            <w:tcW w:w="144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62</w:t>
              </w:r>
            </w:hyperlink>
          </w:p>
        </w:tc>
      </w:tr>
      <w:tr>
        <w:trPr>
          <w:trHeight w:val="628"/>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70">
              <w:r>
                <w:rPr>
                  <w:rFonts w:ascii="Arial" w:cs="Arial" w:eastAsia="Arial" w:hAnsi="Arial"/>
                  <w:sz w:val="22"/>
                  <w:szCs w:val="22"/>
                  <w:b w:val="1"/>
                  <w:bCs w:val="1"/>
                  <w:color w:val="00249C"/>
                </w:rPr>
                <w:t>CEO PAY RATIO</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63</w:t>
              </w:r>
            </w:hyperlink>
          </w:p>
        </w:tc>
      </w:tr>
      <w:tr>
        <w:trPr>
          <w:trHeight w:val="615"/>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71">
              <w:r>
                <w:rPr>
                  <w:rFonts w:ascii="Arial" w:cs="Arial" w:eastAsia="Arial" w:hAnsi="Arial"/>
                  <w:sz w:val="22"/>
                  <w:szCs w:val="22"/>
                  <w:b w:val="1"/>
                  <w:bCs w:val="1"/>
                  <w:color w:val="00249C"/>
                </w:rPr>
                <w:t>TERMINATION PAYMENTS AND BENEFITS</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64</w:t>
              </w:r>
            </w:hyperlink>
          </w:p>
        </w:tc>
      </w:tr>
      <w:tr>
        <w:trPr>
          <w:trHeight w:val="243"/>
        </w:trPr>
        <w:tc>
          <w:tcPr>
            <w:tcW w:w="9800" w:type="dxa"/>
            <w:vAlign w:val="bottom"/>
          </w:tcPr>
          <w:p>
            <w:pPr>
              <w:ind w:left="180"/>
              <w:spacing w:after="0"/>
              <w:rPr>
                <w:rFonts w:ascii="Arial" w:cs="Arial" w:eastAsia="Arial" w:hAnsi="Arial"/>
                <w:sz w:val="18"/>
                <w:szCs w:val="18"/>
                <w:color w:val="auto"/>
              </w:rPr>
            </w:pPr>
            <w:hyperlink w:anchor="page73">
              <w:r>
                <w:rPr>
                  <w:rFonts w:ascii="Arial" w:cs="Arial" w:eastAsia="Arial" w:hAnsi="Arial"/>
                  <w:sz w:val="18"/>
                  <w:szCs w:val="18"/>
                  <w:color w:val="auto"/>
                </w:rPr>
                <w:t>Termination Payment Table</w:t>
              </w:r>
            </w:hyperlink>
          </w:p>
        </w:tc>
        <w:tc>
          <w:tcPr>
            <w:tcW w:w="144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66</w:t>
              </w:r>
            </w:hyperlink>
          </w:p>
        </w:tc>
      </w:tr>
      <w:tr>
        <w:trPr>
          <w:trHeight w:val="628"/>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74">
              <w:r>
                <w:rPr>
                  <w:rFonts w:ascii="Arial" w:cs="Arial" w:eastAsia="Arial" w:hAnsi="Arial"/>
                  <w:sz w:val="22"/>
                  <w:szCs w:val="22"/>
                  <w:b w:val="1"/>
                  <w:bCs w:val="1"/>
                  <w:color w:val="00249C"/>
                </w:rPr>
                <w:t>PROPOSAL THREE: RATIFICATION OF APPOINTMENT OF INDEPENDENT AUDITOR</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67</w:t>
              </w:r>
            </w:hyperlink>
          </w:p>
        </w:tc>
      </w:tr>
      <w:tr>
        <w:trPr>
          <w:trHeight w:val="243"/>
        </w:trPr>
        <w:tc>
          <w:tcPr>
            <w:tcW w:w="9800" w:type="dxa"/>
            <w:vAlign w:val="bottom"/>
          </w:tcPr>
          <w:p>
            <w:pPr>
              <w:ind w:left="180"/>
              <w:spacing w:after="0"/>
              <w:rPr>
                <w:rFonts w:ascii="Arial" w:cs="Arial" w:eastAsia="Arial" w:hAnsi="Arial"/>
                <w:sz w:val="18"/>
                <w:szCs w:val="18"/>
                <w:color w:val="auto"/>
              </w:rPr>
            </w:pPr>
            <w:hyperlink w:anchor="page74">
              <w:r>
                <w:rPr>
                  <w:rFonts w:ascii="Arial" w:cs="Arial" w:eastAsia="Arial" w:hAnsi="Arial"/>
                  <w:sz w:val="18"/>
                  <w:szCs w:val="18"/>
                  <w:color w:val="auto"/>
                </w:rPr>
                <w:t>Audit Fees and All Other Fees</w:t>
              </w:r>
            </w:hyperlink>
          </w:p>
        </w:tc>
        <w:tc>
          <w:tcPr>
            <w:tcW w:w="144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67</w:t>
              </w:r>
            </w:hyperlink>
          </w:p>
        </w:tc>
      </w:tr>
      <w:tr>
        <w:trPr>
          <w:trHeight w:val="257"/>
        </w:trPr>
        <w:tc>
          <w:tcPr>
            <w:tcW w:w="9800" w:type="dxa"/>
            <w:vAlign w:val="bottom"/>
          </w:tcPr>
          <w:p>
            <w:pPr>
              <w:ind w:left="180"/>
              <w:spacing w:after="0"/>
              <w:rPr>
                <w:rFonts w:ascii="Arial" w:cs="Arial" w:eastAsia="Arial" w:hAnsi="Arial"/>
                <w:sz w:val="18"/>
                <w:szCs w:val="18"/>
                <w:color w:val="auto"/>
              </w:rPr>
            </w:pPr>
            <w:hyperlink w:anchor="page74">
              <w:r>
                <w:rPr>
                  <w:rFonts w:ascii="Arial" w:cs="Arial" w:eastAsia="Arial" w:hAnsi="Arial"/>
                  <w:sz w:val="18"/>
                  <w:szCs w:val="18"/>
                  <w:color w:val="auto"/>
                </w:rPr>
                <w:t>Policy on Audit Committee Pre-Approval of Audit and Permissible Non-Audit Services</w:t>
              </w:r>
            </w:hyperlink>
          </w:p>
        </w:tc>
        <w:tc>
          <w:tcPr>
            <w:tcW w:w="144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67</w:t>
              </w:r>
            </w:hyperlink>
          </w:p>
        </w:tc>
      </w:tr>
      <w:tr>
        <w:trPr>
          <w:trHeight w:val="628"/>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76">
              <w:r>
                <w:rPr>
                  <w:rFonts w:ascii="Arial" w:cs="Arial" w:eastAsia="Arial" w:hAnsi="Arial"/>
                  <w:sz w:val="22"/>
                  <w:szCs w:val="22"/>
                  <w:b w:val="1"/>
                  <w:bCs w:val="1"/>
                  <w:color w:val="00249C"/>
                </w:rPr>
                <w:t>AUDIT COMMITTEE REPORT</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69</w:t>
              </w:r>
            </w:hyperlink>
          </w:p>
        </w:tc>
      </w:tr>
      <w:tr>
        <w:trPr>
          <w:trHeight w:val="615"/>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77">
              <w:r>
                <w:rPr>
                  <w:rFonts w:ascii="Arial" w:cs="Arial" w:eastAsia="Arial" w:hAnsi="Arial"/>
                  <w:sz w:val="22"/>
                  <w:szCs w:val="22"/>
                  <w:b w:val="1"/>
                  <w:bCs w:val="1"/>
                  <w:color w:val="00249C"/>
                </w:rPr>
                <w:t>PROPOSAL FOUR: SHAREHOLDER PROPOSAL</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70</w:t>
              </w:r>
            </w:hyperlink>
          </w:p>
        </w:tc>
      </w:tr>
      <w:tr>
        <w:trPr>
          <w:trHeight w:val="615"/>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80">
              <w:r>
                <w:rPr>
                  <w:rFonts w:ascii="Arial" w:cs="Arial" w:eastAsia="Arial" w:hAnsi="Arial"/>
                  <w:sz w:val="22"/>
                  <w:szCs w:val="22"/>
                  <w:b w:val="1"/>
                  <w:bCs w:val="1"/>
                  <w:color w:val="00249C"/>
                </w:rPr>
                <w:t>PROPOSAL FIVE: SHAREHOLDER PROPOSAL</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73</w:t>
              </w:r>
            </w:hyperlink>
          </w:p>
        </w:tc>
      </w:tr>
      <w:tr>
        <w:trPr>
          <w:trHeight w:val="614"/>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82">
              <w:r>
                <w:rPr>
                  <w:rFonts w:ascii="Arial" w:cs="Arial" w:eastAsia="Arial" w:hAnsi="Arial"/>
                  <w:sz w:val="22"/>
                  <w:szCs w:val="22"/>
                  <w:b w:val="1"/>
                  <w:bCs w:val="1"/>
                  <w:color w:val="00249C"/>
                </w:rPr>
                <w:t>QUESTIONS AND ANSWERS ABOUT THE ANNUAL MEETING</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75</w:t>
              </w:r>
            </w:hyperlink>
          </w:p>
        </w:tc>
      </w:tr>
      <w:tr>
        <w:trPr>
          <w:trHeight w:val="615"/>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85">
              <w:r>
                <w:rPr>
                  <w:rFonts w:ascii="Arial" w:cs="Arial" w:eastAsia="Arial" w:hAnsi="Arial"/>
                  <w:sz w:val="22"/>
                  <w:szCs w:val="22"/>
                  <w:b w:val="1"/>
                  <w:bCs w:val="1"/>
                  <w:color w:val="00249C"/>
                </w:rPr>
                <w:t>MISCELLANEOUS</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78</w:t>
              </w:r>
            </w:hyperlink>
          </w:p>
        </w:tc>
      </w:tr>
      <w:tr>
        <w:trPr>
          <w:trHeight w:val="243"/>
        </w:trPr>
        <w:tc>
          <w:tcPr>
            <w:tcW w:w="9800" w:type="dxa"/>
            <w:vAlign w:val="bottom"/>
          </w:tcPr>
          <w:p>
            <w:pPr>
              <w:ind w:left="180"/>
              <w:spacing w:after="0"/>
              <w:rPr>
                <w:rFonts w:ascii="Arial" w:cs="Arial" w:eastAsia="Arial" w:hAnsi="Arial"/>
                <w:sz w:val="18"/>
                <w:szCs w:val="18"/>
                <w:color w:val="auto"/>
              </w:rPr>
            </w:pPr>
            <w:hyperlink w:anchor="page85">
              <w:r>
                <w:rPr>
                  <w:rFonts w:ascii="Arial" w:cs="Arial" w:eastAsia="Arial" w:hAnsi="Arial"/>
                  <w:sz w:val="18"/>
                  <w:szCs w:val="18"/>
                  <w:color w:val="auto"/>
                </w:rPr>
                <w:t>Voting on Other Matters</w:t>
              </w:r>
            </w:hyperlink>
          </w:p>
        </w:tc>
        <w:tc>
          <w:tcPr>
            <w:tcW w:w="144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78</w:t>
              </w:r>
            </w:hyperlink>
          </w:p>
        </w:tc>
      </w:tr>
      <w:tr>
        <w:trPr>
          <w:trHeight w:val="256"/>
        </w:trPr>
        <w:tc>
          <w:tcPr>
            <w:tcW w:w="9800" w:type="dxa"/>
            <w:vAlign w:val="bottom"/>
          </w:tcPr>
          <w:p>
            <w:pPr>
              <w:ind w:left="180"/>
              <w:spacing w:after="0"/>
              <w:rPr>
                <w:rFonts w:ascii="Arial" w:cs="Arial" w:eastAsia="Arial" w:hAnsi="Arial"/>
                <w:sz w:val="18"/>
                <w:szCs w:val="18"/>
                <w:color w:val="auto"/>
              </w:rPr>
            </w:pPr>
            <w:hyperlink w:anchor="page85">
              <w:r>
                <w:rPr>
                  <w:rFonts w:ascii="Arial" w:cs="Arial" w:eastAsia="Arial" w:hAnsi="Arial"/>
                  <w:sz w:val="18"/>
                  <w:szCs w:val="18"/>
                  <w:color w:val="auto"/>
                </w:rPr>
                <w:t>Shareholder Proposals for the 2021 Annual Meeting</w:t>
              </w:r>
            </w:hyperlink>
          </w:p>
        </w:tc>
        <w:tc>
          <w:tcPr>
            <w:tcW w:w="144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78</w:t>
              </w:r>
            </w:hyperlink>
          </w:p>
        </w:tc>
      </w:tr>
      <w:tr>
        <w:trPr>
          <w:trHeight w:val="256"/>
        </w:trPr>
        <w:tc>
          <w:tcPr>
            <w:tcW w:w="9800" w:type="dxa"/>
            <w:vAlign w:val="bottom"/>
          </w:tcPr>
          <w:p>
            <w:pPr>
              <w:ind w:left="180"/>
              <w:spacing w:after="0"/>
              <w:rPr>
                <w:rFonts w:ascii="Arial" w:cs="Arial" w:eastAsia="Arial" w:hAnsi="Arial"/>
                <w:sz w:val="18"/>
                <w:szCs w:val="18"/>
                <w:color w:val="auto"/>
              </w:rPr>
            </w:pPr>
            <w:hyperlink w:anchor="page85">
              <w:r>
                <w:rPr>
                  <w:rFonts w:ascii="Arial" w:cs="Arial" w:eastAsia="Arial" w:hAnsi="Arial"/>
                  <w:sz w:val="18"/>
                  <w:szCs w:val="18"/>
                  <w:color w:val="auto"/>
                </w:rPr>
                <w:t>Shareholder Nominations for Director Election at the 2021 Annual Meeting</w:t>
              </w:r>
            </w:hyperlink>
          </w:p>
        </w:tc>
        <w:tc>
          <w:tcPr>
            <w:tcW w:w="144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78</w:t>
              </w:r>
            </w:hyperlink>
          </w:p>
        </w:tc>
      </w:tr>
      <w:tr>
        <w:trPr>
          <w:trHeight w:val="257"/>
        </w:trPr>
        <w:tc>
          <w:tcPr>
            <w:tcW w:w="9800" w:type="dxa"/>
            <w:vAlign w:val="bottom"/>
          </w:tcPr>
          <w:p>
            <w:pPr>
              <w:ind w:left="180"/>
              <w:spacing w:after="0"/>
              <w:rPr>
                <w:rFonts w:ascii="Arial" w:cs="Arial" w:eastAsia="Arial" w:hAnsi="Arial"/>
                <w:sz w:val="18"/>
                <w:szCs w:val="18"/>
                <w:color w:val="auto"/>
              </w:rPr>
            </w:pPr>
            <w:hyperlink w:anchor="page85">
              <w:r>
                <w:rPr>
                  <w:rFonts w:ascii="Arial" w:cs="Arial" w:eastAsia="Arial" w:hAnsi="Arial"/>
                  <w:sz w:val="18"/>
                  <w:szCs w:val="18"/>
                  <w:color w:val="auto"/>
                </w:rPr>
                <w:t>Householding Information</w:t>
              </w:r>
            </w:hyperlink>
          </w:p>
        </w:tc>
        <w:tc>
          <w:tcPr>
            <w:tcW w:w="144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78</w:t>
              </w:r>
            </w:hyperlink>
          </w:p>
        </w:tc>
      </w:tr>
      <w:tr>
        <w:trPr>
          <w:trHeight w:val="256"/>
        </w:trPr>
        <w:tc>
          <w:tcPr>
            <w:tcW w:w="9800" w:type="dxa"/>
            <w:vAlign w:val="bottom"/>
          </w:tcPr>
          <w:p>
            <w:pPr>
              <w:ind w:left="180"/>
              <w:spacing w:after="0"/>
              <w:rPr>
                <w:rFonts w:ascii="Arial" w:cs="Arial" w:eastAsia="Arial" w:hAnsi="Arial"/>
                <w:sz w:val="18"/>
                <w:szCs w:val="18"/>
                <w:color w:val="auto"/>
              </w:rPr>
            </w:pPr>
            <w:hyperlink w:anchor="page86">
              <w:r>
                <w:rPr>
                  <w:rFonts w:ascii="Arial" w:cs="Arial" w:eastAsia="Arial" w:hAnsi="Arial"/>
                  <w:sz w:val="18"/>
                  <w:szCs w:val="18"/>
                  <w:color w:val="auto"/>
                </w:rPr>
                <w:t>Cost of Soliciting Proxies</w:t>
              </w:r>
            </w:hyperlink>
          </w:p>
        </w:tc>
        <w:tc>
          <w:tcPr>
            <w:tcW w:w="144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79</w:t>
              </w:r>
            </w:hyperlink>
          </w:p>
        </w:tc>
      </w:tr>
      <w:tr>
        <w:trPr>
          <w:trHeight w:val="256"/>
        </w:trPr>
        <w:tc>
          <w:tcPr>
            <w:tcW w:w="9800" w:type="dxa"/>
            <w:vAlign w:val="bottom"/>
          </w:tcPr>
          <w:p>
            <w:pPr>
              <w:ind w:left="180"/>
              <w:spacing w:after="0"/>
              <w:rPr>
                <w:rFonts w:ascii="Arial" w:cs="Arial" w:eastAsia="Arial" w:hAnsi="Arial"/>
                <w:sz w:val="18"/>
                <w:szCs w:val="18"/>
                <w:color w:val="auto"/>
              </w:rPr>
            </w:pPr>
            <w:hyperlink w:anchor="page86">
              <w:r>
                <w:rPr>
                  <w:rFonts w:ascii="Arial" w:cs="Arial" w:eastAsia="Arial" w:hAnsi="Arial"/>
                  <w:sz w:val="18"/>
                  <w:szCs w:val="18"/>
                  <w:color w:val="auto"/>
                </w:rPr>
                <w:t>Available Information</w:t>
              </w:r>
            </w:hyperlink>
          </w:p>
        </w:tc>
        <w:tc>
          <w:tcPr>
            <w:tcW w:w="144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79</w:t>
              </w:r>
            </w:hyperlink>
          </w:p>
        </w:tc>
      </w:tr>
      <w:tr>
        <w:trPr>
          <w:trHeight w:val="256"/>
        </w:trPr>
        <w:tc>
          <w:tcPr>
            <w:tcW w:w="9800" w:type="dxa"/>
            <w:vAlign w:val="bottom"/>
          </w:tcPr>
          <w:p>
            <w:pPr>
              <w:ind w:left="180"/>
              <w:spacing w:after="0"/>
              <w:rPr>
                <w:rFonts w:ascii="Arial" w:cs="Arial" w:eastAsia="Arial" w:hAnsi="Arial"/>
                <w:sz w:val="18"/>
                <w:szCs w:val="18"/>
                <w:color w:val="auto"/>
              </w:rPr>
            </w:pPr>
            <w:hyperlink w:anchor="page86">
              <w:r>
                <w:rPr>
                  <w:rFonts w:ascii="Arial" w:cs="Arial" w:eastAsia="Arial" w:hAnsi="Arial"/>
                  <w:sz w:val="18"/>
                  <w:szCs w:val="18"/>
                  <w:color w:val="auto"/>
                </w:rPr>
                <w:t>Incorporation by Reference</w:t>
              </w:r>
            </w:hyperlink>
          </w:p>
        </w:tc>
        <w:tc>
          <w:tcPr>
            <w:tcW w:w="144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79</w:t>
              </w:r>
            </w:hyperlink>
          </w:p>
        </w:tc>
      </w:tr>
      <w:tr>
        <w:trPr>
          <w:trHeight w:val="256"/>
        </w:trPr>
        <w:tc>
          <w:tcPr>
            <w:tcW w:w="9800" w:type="dxa"/>
            <w:vAlign w:val="bottom"/>
          </w:tcPr>
          <w:p>
            <w:pPr>
              <w:ind w:left="180"/>
              <w:spacing w:after="0"/>
              <w:rPr>
                <w:rFonts w:ascii="Arial" w:cs="Arial" w:eastAsia="Arial" w:hAnsi="Arial"/>
                <w:sz w:val="18"/>
                <w:szCs w:val="18"/>
                <w:color w:val="auto"/>
              </w:rPr>
            </w:pPr>
            <w:hyperlink w:anchor="page86">
              <w:r>
                <w:rPr>
                  <w:rFonts w:ascii="Arial" w:cs="Arial" w:eastAsia="Arial" w:hAnsi="Arial"/>
                  <w:sz w:val="18"/>
                  <w:szCs w:val="18"/>
                  <w:color w:val="auto"/>
                </w:rPr>
                <w:t>Annual Report</w:t>
              </w:r>
            </w:hyperlink>
          </w:p>
        </w:tc>
        <w:tc>
          <w:tcPr>
            <w:tcW w:w="144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79</w:t>
              </w:r>
            </w:hyperlink>
          </w:p>
        </w:tc>
      </w:tr>
      <w:tr>
        <w:trPr>
          <w:trHeight w:val="628"/>
        </w:trPr>
        <w:tc>
          <w:tcPr>
            <w:tcW w:w="9800" w:type="dxa"/>
            <w:vAlign w:val="bottom"/>
            <w:tcBorders>
              <w:bottom w:val="single" w:sz="8" w:color="auto"/>
            </w:tcBorders>
          </w:tcPr>
          <w:p>
            <w:pPr>
              <w:ind w:left="40"/>
              <w:spacing w:after="0"/>
              <w:rPr>
                <w:rFonts w:ascii="Arial" w:cs="Arial" w:eastAsia="Arial" w:hAnsi="Arial"/>
                <w:sz w:val="22"/>
                <w:szCs w:val="22"/>
                <w:b w:val="1"/>
                <w:bCs w:val="1"/>
                <w:color w:val="00249C"/>
              </w:rPr>
            </w:pPr>
            <w:hyperlink w:anchor="page87">
              <w:r>
                <w:rPr>
                  <w:rFonts w:ascii="Arial" w:cs="Arial" w:eastAsia="Arial" w:hAnsi="Arial"/>
                  <w:sz w:val="22"/>
                  <w:szCs w:val="22"/>
                  <w:b w:val="1"/>
                  <w:bCs w:val="1"/>
                  <w:color w:val="00249C"/>
                </w:rPr>
                <w:t>APPENDIX A - USE OF NON-GAAP FINANCIAL MEASURES</w:t>
              </w:r>
            </w:hyperlink>
          </w:p>
        </w:tc>
        <w:tc>
          <w:tcPr>
            <w:tcW w:w="1440" w:type="dxa"/>
            <w:vAlign w:val="bottom"/>
            <w:tcBorders>
              <w:bottom w:val="single" w:sz="8" w:color="auto"/>
            </w:tcBorders>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A-1</w:t>
              </w:r>
            </w:hyperlink>
          </w:p>
        </w:tc>
      </w:tr>
    </w:tbl>
    <w:p>
      <w:pPr>
        <w:spacing w:after="0" w:line="200" w:lineRule="exact"/>
        <w:rPr>
          <w:sz w:val="20"/>
          <w:szCs w:val="20"/>
          <w:color w:val="auto"/>
        </w:rPr>
      </w:pPr>
    </w:p>
    <w:p>
      <w:pPr>
        <w:sectPr>
          <w:pgSz w:w="11900" w:h="16838" w:orient="portrait"/>
          <w:cols w:equalWidth="0" w:num="1">
            <w:col w:w="11240"/>
          </w:cols>
          <w:pgMar w:left="320" w:top="701" w:right="339" w:bottom="9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4"/>
          <w:szCs w:val="14"/>
          <w:color w:val="auto"/>
        </w:rPr>
        <w:t xml:space="preserve">I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701" w:right="339" w:bottom="918" w:gutter="0" w:footer="0" w:header="0"/>
          <w:type w:val="continuous"/>
        </w:sectPr>
      </w:pPr>
    </w:p>
    <w:bookmarkStart w:id="7" w:name="page8"/>
    <w:bookmarkEnd w:id="7"/>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summary highlights information contained elsewhere in this Proxy Statement, reflecting business, compensation and corporate governance highlights. For additional information about these topics, please refer to the discussions contained in this Proxy Statement and in our Annual Report on Form 10-K for the year ended December 31, 2019 (2019 Form 10-K) filed with the United States (U.S.) Securities and Exchange Commission (SEC) on January 30, 2020. This Proxy Statement contains certain non-GAAP financial measures, which are identified with asterisks. For more information, including definitions, reconciliations to the most directly comparable GAAP (accounting principles generally accepted in the United States of America) measure and why we believe these measures may be useful to investors, see "Appendix A - Use of Non-GAAP Financial Measures." We intend to mail a Notice of Internet Availability of Proxy Materials to shareholders of record and to make this Proxy Statement and accompanying materials available on the internet on or about April 3, 2020.</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Performance Highlights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focus on performance, portfolio and capital deployment continues to strengthen our foundation for long-term profitable growth and create value for our shareholders, customers and employees.</w:t>
      </w:r>
    </w:p>
    <w:p>
      <w:pPr>
        <w:spacing w:after="0" w:line="6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2019 was a strong year for our Company. We generated strong financial results and took strategic actions to ensure our Company remains well positioned for the future. In addition to a total shareholder return of 42.7%, sales rose 12%, operating income increased 5%, segment operating income* increased 13%, earnings per share were $13.22 and MTM-adjusted earnings per share* totaled $21.21. Sales growth reflects a full year of our new Innovation Systems sector (the former Orbital ATK) as well as continued growth at our legacy Aerospace Systems and Mission Systems sectors. We captured more than $45 billion in new business, 1.3 times 2019 sales, and our total backlog increased 21% to approximately $65 billion. Cash provided by operating activities increased $470 million, to $4.3 billion and free cash flow* increased to more than $3.0 billion.</w:t>
      </w:r>
    </w:p>
    <w:p>
      <w:pPr>
        <w:spacing w:after="0" w:line="7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strong cash generation enabled us to continue deploying cash for the benefit of our customers, shareholders and employees. In 2019, our capital expenditures totaled $1.3 billion, and we invested $953 million in R&amp;D. We are investing to strengthen the foundation for long-term profitable growth and drive affordability for our customers. We returned $ 1.6 billion to our shareholders through dividends and share repurchases. We increased our quarterly dividend by 10% to $1.32 per share, and reduced our weighted average share count by 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2019, after robust and extended succession planning, Kathy Warden succeeded Wes Bush as CEO, and in August 2019 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Warden became Chairman of the Board of Directors, upon Mr. Bush's retirement.</w:t>
      </w:r>
    </w:p>
    <w:p>
      <w:pPr>
        <w:spacing w:after="0" w:line="334" w:lineRule="exact"/>
        <w:rPr>
          <w:sz w:val="20"/>
          <w:szCs w:val="20"/>
          <w:color w:val="auto"/>
        </w:rPr>
      </w:pPr>
    </w:p>
    <w:tbl>
      <w:tblPr>
        <w:tblLayout w:type="fixed"/>
        <w:tblInd w:w="340" w:type="dxa"/>
        <w:tblCellMar>
          <w:top w:w="0" w:type="dxa"/>
          <w:left w:w="0" w:type="dxa"/>
          <w:bottom w:w="0" w:type="dxa"/>
          <w:right w:w="0" w:type="dxa"/>
        </w:tblCellMar>
      </w:tblPr>
      <w:tr>
        <w:trPr>
          <w:trHeight w:val="440"/>
        </w:trPr>
        <w:tc>
          <w:tcPr>
            <w:tcW w:w="1600" w:type="dxa"/>
            <w:vAlign w:val="bottom"/>
            <w:shd w:val="clear" w:color="auto" w:fill="CCD4DB"/>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shd w:val="clear" w:color="auto" w:fill="CCD4DB"/>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Share</w:t>
            </w:r>
          </w:p>
        </w:tc>
        <w:tc>
          <w:tcPr>
            <w:tcW w:w="260" w:type="dxa"/>
            <w:vAlign w:val="bottom"/>
          </w:tcPr>
          <w:p>
            <w:pPr>
              <w:spacing w:after="0"/>
              <w:rPr>
                <w:sz w:val="24"/>
                <w:szCs w:val="24"/>
                <w:color w:val="auto"/>
              </w:rPr>
            </w:pPr>
          </w:p>
        </w:tc>
        <w:tc>
          <w:tcPr>
            <w:tcW w:w="1800" w:type="dxa"/>
            <w:vAlign w:val="bottom"/>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$1.3 billion</w:t>
            </w:r>
          </w:p>
        </w:tc>
        <w:tc>
          <w:tcPr>
            <w:tcW w:w="280" w:type="dxa"/>
            <w:vAlign w:val="bottom"/>
          </w:tcPr>
          <w:p>
            <w:pPr>
              <w:spacing w:after="0"/>
              <w:rPr>
                <w:sz w:val="24"/>
                <w:szCs w:val="24"/>
                <w:color w:val="auto"/>
              </w:rPr>
            </w:pPr>
          </w:p>
        </w:tc>
        <w:tc>
          <w:tcPr>
            <w:tcW w:w="174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$4.3 billion</w:t>
            </w:r>
          </w:p>
        </w:tc>
        <w:tc>
          <w:tcPr>
            <w:tcW w:w="0" w:type="dxa"/>
            <w:vAlign w:val="bottom"/>
          </w:tcPr>
          <w:p>
            <w:pPr>
              <w:spacing w:after="0"/>
              <w:rPr>
                <w:sz w:val="1"/>
                <w:szCs w:val="1"/>
                <w:color w:val="auto"/>
              </w:rPr>
            </w:pPr>
          </w:p>
        </w:tc>
      </w:tr>
      <w:tr>
        <w:trPr>
          <w:trHeight w:val="122"/>
        </w:trPr>
        <w:tc>
          <w:tcPr>
            <w:tcW w:w="1600" w:type="dxa"/>
            <w:vAlign w:val="bottom"/>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12% Sales increase to</w:t>
            </w:r>
          </w:p>
        </w:tc>
        <w:tc>
          <w:tcPr>
            <w:tcW w:w="240" w:type="dxa"/>
            <w:vAlign w:val="bottom"/>
          </w:tcPr>
          <w:p>
            <w:pPr>
              <w:spacing w:after="0"/>
              <w:rPr>
                <w:sz w:val="10"/>
                <w:szCs w:val="10"/>
                <w:color w:val="auto"/>
              </w:rPr>
            </w:pPr>
          </w:p>
        </w:tc>
        <w:tc>
          <w:tcPr>
            <w:tcW w:w="19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repurchases and</w:t>
            </w:r>
          </w:p>
        </w:tc>
        <w:tc>
          <w:tcPr>
            <w:tcW w:w="260" w:type="dxa"/>
            <w:vAlign w:val="bottom"/>
          </w:tcPr>
          <w:p>
            <w:pPr>
              <w:spacing w:after="0"/>
              <w:rPr>
                <w:sz w:val="10"/>
                <w:szCs w:val="10"/>
                <w:color w:val="auto"/>
              </w:rPr>
            </w:pPr>
          </w:p>
        </w:tc>
        <w:tc>
          <w:tcPr>
            <w:tcW w:w="18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Capital</w:t>
            </w:r>
          </w:p>
        </w:tc>
        <w:tc>
          <w:tcPr>
            <w:tcW w:w="280" w:type="dxa"/>
            <w:vAlign w:val="bottom"/>
          </w:tcPr>
          <w:p>
            <w:pPr>
              <w:spacing w:after="0"/>
              <w:rPr>
                <w:sz w:val="10"/>
                <w:szCs w:val="10"/>
                <w:color w:val="auto"/>
              </w:rPr>
            </w:pPr>
          </w:p>
        </w:tc>
        <w:tc>
          <w:tcPr>
            <w:tcW w:w="1740" w:type="dxa"/>
            <w:vAlign w:val="bottom"/>
            <w:vMerge w:val="continue"/>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42.7% 2019</w:t>
            </w:r>
          </w:p>
        </w:tc>
        <w:tc>
          <w:tcPr>
            <w:tcW w:w="260" w:type="dxa"/>
            <w:vAlign w:val="bottom"/>
          </w:tcPr>
          <w:p>
            <w:pPr>
              <w:spacing w:after="0"/>
              <w:rPr>
                <w:sz w:val="10"/>
                <w:szCs w:val="10"/>
                <w:color w:val="auto"/>
              </w:rPr>
            </w:pPr>
          </w:p>
        </w:tc>
        <w:tc>
          <w:tcPr>
            <w:tcW w:w="2500" w:type="dxa"/>
            <w:vAlign w:val="bottom"/>
            <w:vMerge w:val="continue"/>
            <w:shd w:val="clear" w:color="auto" w:fill="CCD4DB"/>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vMerge w:val="continue"/>
            <w:shd w:val="clear" w:color="auto" w:fill="CCD4DB"/>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Cash Provided</w:t>
            </w:r>
          </w:p>
        </w:tc>
        <w:tc>
          <w:tcPr>
            <w:tcW w:w="0" w:type="dxa"/>
            <w:vAlign w:val="bottom"/>
          </w:tcPr>
          <w:p>
            <w:pPr>
              <w:spacing w:after="0"/>
              <w:rPr>
                <w:sz w:val="1"/>
                <w:szCs w:val="1"/>
                <w:color w:val="auto"/>
              </w:rPr>
            </w:pPr>
          </w:p>
        </w:tc>
      </w:tr>
      <w:tr>
        <w:trPr>
          <w:trHeight w:val="121"/>
        </w:trPr>
        <w:tc>
          <w:tcPr>
            <w:tcW w:w="160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$33.8 billion</w:t>
            </w:r>
          </w:p>
        </w:tc>
        <w:tc>
          <w:tcPr>
            <w:tcW w:w="240" w:type="dxa"/>
            <w:vAlign w:val="bottom"/>
          </w:tcPr>
          <w:p>
            <w:pPr>
              <w:spacing w:after="0"/>
              <w:rPr>
                <w:sz w:val="10"/>
                <w:szCs w:val="10"/>
                <w:color w:val="auto"/>
              </w:rPr>
            </w:pPr>
          </w:p>
        </w:tc>
        <w:tc>
          <w:tcPr>
            <w:tcW w:w="19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dividends total</w:t>
            </w:r>
          </w:p>
        </w:tc>
        <w:tc>
          <w:tcPr>
            <w:tcW w:w="260" w:type="dxa"/>
            <w:vAlign w:val="bottom"/>
          </w:tcPr>
          <w:p>
            <w:pPr>
              <w:spacing w:after="0"/>
              <w:rPr>
                <w:sz w:val="10"/>
                <w:szCs w:val="10"/>
                <w:color w:val="auto"/>
              </w:rPr>
            </w:pPr>
          </w:p>
        </w:tc>
        <w:tc>
          <w:tcPr>
            <w:tcW w:w="18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Expenditures</w:t>
            </w:r>
          </w:p>
        </w:tc>
        <w:tc>
          <w:tcPr>
            <w:tcW w:w="280" w:type="dxa"/>
            <w:vAlign w:val="bottom"/>
          </w:tcPr>
          <w:p>
            <w:pPr>
              <w:spacing w:after="0"/>
              <w:rPr>
                <w:sz w:val="10"/>
                <w:szCs w:val="10"/>
                <w:color w:val="auto"/>
              </w:rPr>
            </w:pPr>
          </w:p>
        </w:tc>
        <w:tc>
          <w:tcPr>
            <w:tcW w:w="1740" w:type="dxa"/>
            <w:vAlign w:val="bottom"/>
            <w:vMerge w:val="continue"/>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5"/>
              </w:rPr>
              <w:t>Total</w:t>
            </w:r>
          </w:p>
        </w:tc>
        <w:tc>
          <w:tcPr>
            <w:tcW w:w="260" w:type="dxa"/>
            <w:vAlign w:val="bottom"/>
          </w:tcPr>
          <w:p>
            <w:pPr>
              <w:spacing w:after="0"/>
              <w:rPr>
                <w:sz w:val="10"/>
                <w:szCs w:val="10"/>
                <w:color w:val="auto"/>
              </w:rPr>
            </w:pPr>
          </w:p>
        </w:tc>
        <w:tc>
          <w:tcPr>
            <w:tcW w:w="2500" w:type="dxa"/>
            <w:vAlign w:val="bottom"/>
            <w:vMerge w:val="continue"/>
            <w:shd w:val="clear" w:color="auto" w:fill="CCD4DB"/>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vMerge w:val="continue"/>
            <w:shd w:val="clear" w:color="auto" w:fill="CCD4DB"/>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by Operations</w:t>
            </w:r>
          </w:p>
        </w:tc>
        <w:tc>
          <w:tcPr>
            <w:tcW w:w="0" w:type="dxa"/>
            <w:vAlign w:val="bottom"/>
          </w:tcPr>
          <w:p>
            <w:pPr>
              <w:spacing w:after="0"/>
              <w:rPr>
                <w:sz w:val="1"/>
                <w:szCs w:val="1"/>
                <w:color w:val="auto"/>
              </w:rPr>
            </w:pPr>
          </w:p>
        </w:tc>
      </w:tr>
      <w:tr>
        <w:trPr>
          <w:trHeight w:val="121"/>
        </w:trPr>
        <w:tc>
          <w:tcPr>
            <w:tcW w:w="160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shd w:val="clear" w:color="auto" w:fill="CCD4DB"/>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$1.6 billion;</w:t>
            </w:r>
          </w:p>
        </w:tc>
        <w:tc>
          <w:tcPr>
            <w:tcW w:w="260" w:type="dxa"/>
            <w:vAlign w:val="bottom"/>
          </w:tcPr>
          <w:p>
            <w:pPr>
              <w:spacing w:after="0"/>
              <w:rPr>
                <w:sz w:val="10"/>
                <w:szCs w:val="10"/>
                <w:color w:val="auto"/>
              </w:rPr>
            </w:pPr>
          </w:p>
        </w:tc>
        <w:tc>
          <w:tcPr>
            <w:tcW w:w="1800" w:type="dxa"/>
            <w:vAlign w:val="bottom"/>
            <w:shd w:val="clear" w:color="auto" w:fill="CCD4DB"/>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vMerge w:val="continue"/>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Shareholder</w:t>
            </w:r>
          </w:p>
        </w:tc>
        <w:tc>
          <w:tcPr>
            <w:tcW w:w="260" w:type="dxa"/>
            <w:vAlign w:val="bottom"/>
          </w:tcPr>
          <w:p>
            <w:pPr>
              <w:spacing w:after="0"/>
              <w:rPr>
                <w:sz w:val="10"/>
                <w:szCs w:val="10"/>
                <w:color w:val="auto"/>
              </w:rPr>
            </w:pPr>
          </w:p>
        </w:tc>
        <w:tc>
          <w:tcPr>
            <w:tcW w:w="2500" w:type="dxa"/>
            <w:vAlign w:val="bottom"/>
            <w:shd w:val="clear" w:color="auto" w:fill="CCD4DB"/>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shd w:val="clear" w:color="auto" w:fill="CCD4DB"/>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Total backlog increases</w:t>
            </w:r>
          </w:p>
        </w:tc>
        <w:tc>
          <w:tcPr>
            <w:tcW w:w="240" w:type="dxa"/>
            <w:vAlign w:val="bottom"/>
          </w:tcPr>
          <w:p>
            <w:pPr>
              <w:spacing w:after="0"/>
              <w:rPr>
                <w:sz w:val="10"/>
                <w:szCs w:val="10"/>
                <w:color w:val="auto"/>
              </w:rPr>
            </w:pPr>
          </w:p>
        </w:tc>
        <w:tc>
          <w:tcPr>
            <w:tcW w:w="19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10% increase in</w:t>
            </w:r>
          </w:p>
        </w:tc>
        <w:tc>
          <w:tcPr>
            <w:tcW w:w="260" w:type="dxa"/>
            <w:vAlign w:val="bottom"/>
          </w:tcPr>
          <w:p>
            <w:pPr>
              <w:spacing w:after="0"/>
              <w:rPr>
                <w:sz w:val="10"/>
                <w:szCs w:val="10"/>
                <w:color w:val="auto"/>
              </w:rPr>
            </w:pPr>
          </w:p>
        </w:tc>
        <w:tc>
          <w:tcPr>
            <w:tcW w:w="18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Internal R&amp;D</w:t>
            </w:r>
          </w:p>
        </w:tc>
        <w:tc>
          <w:tcPr>
            <w:tcW w:w="280" w:type="dxa"/>
            <w:vAlign w:val="bottom"/>
          </w:tcPr>
          <w:p>
            <w:pPr>
              <w:spacing w:after="0"/>
              <w:rPr>
                <w:sz w:val="10"/>
                <w:szCs w:val="10"/>
                <w:color w:val="auto"/>
              </w:rPr>
            </w:pPr>
          </w:p>
        </w:tc>
        <w:tc>
          <w:tcPr>
            <w:tcW w:w="1740" w:type="dxa"/>
            <w:vAlign w:val="bottom"/>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Return</w:t>
            </w:r>
          </w:p>
        </w:tc>
        <w:tc>
          <w:tcPr>
            <w:tcW w:w="260" w:type="dxa"/>
            <w:vAlign w:val="bottom"/>
          </w:tcPr>
          <w:p>
            <w:pPr>
              <w:spacing w:after="0"/>
              <w:rPr>
                <w:sz w:val="10"/>
                <w:szCs w:val="10"/>
                <w:color w:val="auto"/>
              </w:rPr>
            </w:pPr>
          </w:p>
        </w:tc>
        <w:tc>
          <w:tcPr>
            <w:tcW w:w="2500" w:type="dxa"/>
            <w:vAlign w:val="bottom"/>
            <w:vMerge w:val="continue"/>
            <w:shd w:val="clear" w:color="auto" w:fill="CCD4DB"/>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vMerge w:val="continue"/>
            <w:shd w:val="clear" w:color="auto" w:fill="CCD4DB"/>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$3 billion Free</w:t>
            </w:r>
          </w:p>
        </w:tc>
        <w:tc>
          <w:tcPr>
            <w:tcW w:w="0" w:type="dxa"/>
            <w:vAlign w:val="bottom"/>
          </w:tcPr>
          <w:p>
            <w:pPr>
              <w:spacing w:after="0"/>
              <w:rPr>
                <w:sz w:val="1"/>
                <w:szCs w:val="1"/>
                <w:color w:val="auto"/>
              </w:rPr>
            </w:pPr>
          </w:p>
        </w:tc>
      </w:tr>
      <w:tr>
        <w:trPr>
          <w:trHeight w:val="122"/>
        </w:trPr>
        <w:tc>
          <w:tcPr>
            <w:tcW w:w="160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21% to ~$65 billion</w:t>
            </w:r>
          </w:p>
        </w:tc>
        <w:tc>
          <w:tcPr>
            <w:tcW w:w="240" w:type="dxa"/>
            <w:vAlign w:val="bottom"/>
          </w:tcPr>
          <w:p>
            <w:pPr>
              <w:spacing w:after="0"/>
              <w:rPr>
                <w:sz w:val="10"/>
                <w:szCs w:val="10"/>
                <w:color w:val="auto"/>
              </w:rPr>
            </w:pPr>
          </w:p>
        </w:tc>
        <w:tc>
          <w:tcPr>
            <w:tcW w:w="19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quarterly dividend</w:t>
            </w:r>
          </w:p>
        </w:tc>
        <w:tc>
          <w:tcPr>
            <w:tcW w:w="260" w:type="dxa"/>
            <w:vAlign w:val="bottom"/>
          </w:tcPr>
          <w:p>
            <w:pPr>
              <w:spacing w:after="0"/>
              <w:rPr>
                <w:sz w:val="10"/>
                <w:szCs w:val="10"/>
                <w:color w:val="auto"/>
              </w:rPr>
            </w:pPr>
          </w:p>
        </w:tc>
        <w:tc>
          <w:tcPr>
            <w:tcW w:w="18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spending of</w:t>
            </w:r>
          </w:p>
        </w:tc>
        <w:tc>
          <w:tcPr>
            <w:tcW w:w="280" w:type="dxa"/>
            <w:vAlign w:val="bottom"/>
          </w:tcPr>
          <w:p>
            <w:pPr>
              <w:spacing w:after="0"/>
              <w:rPr>
                <w:sz w:val="10"/>
                <w:szCs w:val="10"/>
                <w:color w:val="auto"/>
              </w:rPr>
            </w:pPr>
          </w:p>
        </w:tc>
        <w:tc>
          <w:tcPr>
            <w:tcW w:w="1740" w:type="dxa"/>
            <w:vAlign w:val="bottom"/>
            <w:vMerge w:val="continue"/>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vMerge w:val="continue"/>
            <w:shd w:val="clear" w:color="auto" w:fill="CCD4DB"/>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vMerge w:val="continue"/>
            <w:shd w:val="clear" w:color="auto" w:fill="CCD4DB"/>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7"/>
              </w:rPr>
              <w:t>Cash Flow*</w:t>
            </w:r>
          </w:p>
        </w:tc>
        <w:tc>
          <w:tcPr>
            <w:tcW w:w="0" w:type="dxa"/>
            <w:vAlign w:val="bottom"/>
          </w:tcPr>
          <w:p>
            <w:pPr>
              <w:spacing w:after="0"/>
              <w:rPr>
                <w:sz w:val="1"/>
                <w:szCs w:val="1"/>
                <w:color w:val="auto"/>
              </w:rPr>
            </w:pPr>
          </w:p>
        </w:tc>
      </w:tr>
      <w:tr>
        <w:trPr>
          <w:trHeight w:val="164"/>
        </w:trPr>
        <w:tc>
          <w:tcPr>
            <w:tcW w:w="1600" w:type="dxa"/>
            <w:vAlign w:val="bottom"/>
            <w:shd w:val="clear" w:color="auto" w:fill="CCD4DB"/>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shd w:val="clear" w:color="auto" w:fill="CCD4DB"/>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per share</w:t>
            </w:r>
          </w:p>
        </w:tc>
        <w:tc>
          <w:tcPr>
            <w:tcW w:w="260" w:type="dxa"/>
            <w:vAlign w:val="bottom"/>
          </w:tcPr>
          <w:p>
            <w:pPr>
              <w:spacing w:after="0"/>
              <w:rPr>
                <w:sz w:val="14"/>
                <w:szCs w:val="14"/>
                <w:color w:val="auto"/>
              </w:rPr>
            </w:pPr>
          </w:p>
        </w:tc>
        <w:tc>
          <w:tcPr>
            <w:tcW w:w="180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$953 million</w:t>
            </w:r>
          </w:p>
        </w:tc>
        <w:tc>
          <w:tcPr>
            <w:tcW w:w="280" w:type="dxa"/>
            <w:vAlign w:val="bottom"/>
          </w:tcPr>
          <w:p>
            <w:pPr>
              <w:spacing w:after="0"/>
              <w:rPr>
                <w:sz w:val="14"/>
                <w:szCs w:val="14"/>
                <w:color w:val="auto"/>
              </w:rPr>
            </w:pPr>
          </w:p>
        </w:tc>
        <w:tc>
          <w:tcPr>
            <w:tcW w:w="1740" w:type="dxa"/>
            <w:vAlign w:val="bottom"/>
            <w:vMerge w:val="continue"/>
            <w:shd w:val="clear" w:color="auto" w:fill="CCD4DB"/>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shd w:val="clear" w:color="auto" w:fill="CCD4DB"/>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vMerge w:val="continue"/>
            <w:shd w:val="clear" w:color="auto" w:fill="CCD4DB"/>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vMerge w:val="continue"/>
            <w:shd w:val="clear" w:color="auto" w:fill="CCD4DB"/>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1600" w:type="dxa"/>
            <w:vAlign w:val="bottom"/>
            <w:shd w:val="clear" w:color="auto" w:fill="CCD4DB"/>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shd w:val="clear" w:color="auto" w:fill="CCD4DB"/>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shd w:val="clear" w:color="auto" w:fill="CCD4DB"/>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shd w:val="clear" w:color="auto" w:fill="CCD4DB"/>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shd w:val="clear" w:color="auto" w:fill="CCD4DB"/>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w:t>
      </w:r>
    </w:p>
    <w:p>
      <w:pPr>
        <w:sectPr>
          <w:pgSz w:w="11900" w:h="16838" w:orient="portrait"/>
          <w:cols w:equalWidth="0" w:num="1">
            <w:col w:w="11240"/>
          </w:cols>
          <w:pgMar w:left="320" w:top="701" w:right="339" w:bottom="1440" w:gutter="0" w:footer="0" w:header="0"/>
        </w:sectPr>
      </w:pPr>
    </w:p>
    <w:bookmarkStart w:id="8" w:name="page9"/>
    <w:bookmarkEnd w:id="8"/>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Executive Compensation Highlights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are committed to performance-based executive compensation programs that align with shareholders' interests and our strategy of investing for and delivering long-term profitable growth.</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Due to strong financial performance in 2019, our 2019 Annual Incentive Plan (AIP) payout increased to 167%, from 160% in 2018. Our 2019 Long-Term Incentive Plan (LTIP) payout is 119% compared to 115% in 2018 for named executive officers (NEOs). We ranked in the 40th percentile for three-year TSR performance relative to the 2017 Performance Peer Group identified on page 42, ranked in the 59th percentile for three-year TSR performance relative to the S&amp;P Industrials and exceeded our target for Cumulative Free Cash Flow* (Cumulative FCF*). Following are some governance principles of our 2019 executive compensation programs: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253"/>
        </w:trPr>
        <w:tc>
          <w:tcPr>
            <w:tcW w:w="1540" w:type="dxa"/>
            <w:vAlign w:val="bottom"/>
            <w:shd w:val="clear" w:color="auto" w:fill="CCD4DB"/>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shd w:val="clear" w:color="auto" w:fill="CCD4DB"/>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3-Year</w:t>
            </w:r>
          </w:p>
        </w:tc>
        <w:tc>
          <w:tcPr>
            <w:tcW w:w="200" w:type="dxa"/>
            <w:vAlign w:val="bottom"/>
          </w:tcPr>
          <w:p>
            <w:pPr>
              <w:spacing w:after="0"/>
              <w:rPr>
                <w:sz w:val="21"/>
                <w:szCs w:val="21"/>
                <w:color w:val="auto"/>
              </w:rPr>
            </w:pPr>
          </w:p>
        </w:tc>
        <w:tc>
          <w:tcPr>
            <w:tcW w:w="148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7"/>
              </w:rPr>
              <w:t>Recoupment</w:t>
            </w:r>
          </w:p>
        </w:tc>
        <w:tc>
          <w:tcPr>
            <w:tcW w:w="200" w:type="dxa"/>
            <w:vAlign w:val="bottom"/>
          </w:tcPr>
          <w:p>
            <w:pPr>
              <w:spacing w:after="0"/>
              <w:rPr>
                <w:sz w:val="21"/>
                <w:szCs w:val="21"/>
                <w:color w:val="auto"/>
              </w:rPr>
            </w:pPr>
          </w:p>
        </w:tc>
        <w:tc>
          <w:tcPr>
            <w:tcW w:w="2060" w:type="dxa"/>
            <w:vAlign w:val="bottom"/>
            <w:shd w:val="clear" w:color="auto" w:fill="CCD4DB"/>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5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 xml:space="preserve">70% </w:t>
            </w:r>
            <w:r>
              <w:rPr>
                <w:rFonts w:ascii="Arial" w:cs="Arial" w:eastAsia="Arial" w:hAnsi="Arial"/>
                <w:sz w:val="22"/>
                <w:szCs w:val="22"/>
                <w:color w:val="000000"/>
                <w:w w:val="97"/>
              </w:rPr>
              <w:t>of Annual</w:t>
            </w:r>
          </w:p>
        </w:tc>
        <w:tc>
          <w:tcPr>
            <w:tcW w:w="200" w:type="dxa"/>
            <w:vAlign w:val="bottom"/>
          </w:tcPr>
          <w:p>
            <w:pPr>
              <w:spacing w:after="0"/>
              <w:rPr>
                <w:sz w:val="10"/>
                <w:szCs w:val="10"/>
                <w:color w:val="auto"/>
              </w:rPr>
            </w:pPr>
          </w:p>
        </w:tc>
        <w:tc>
          <w:tcPr>
            <w:tcW w:w="22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6"/>
              </w:rPr>
              <w:t>Stock</w:t>
            </w:r>
          </w:p>
        </w:tc>
        <w:tc>
          <w:tcPr>
            <w:tcW w:w="200" w:type="dxa"/>
            <w:vAlign w:val="bottom"/>
          </w:tcPr>
          <w:p>
            <w:pPr>
              <w:spacing w:after="0"/>
              <w:rPr>
                <w:sz w:val="10"/>
                <w:szCs w:val="10"/>
                <w:color w:val="auto"/>
              </w:rPr>
            </w:pPr>
          </w:p>
        </w:tc>
        <w:tc>
          <w:tcPr>
            <w:tcW w:w="14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Mandatory</w:t>
            </w:r>
          </w:p>
        </w:tc>
        <w:tc>
          <w:tcPr>
            <w:tcW w:w="200" w:type="dxa"/>
            <w:vAlign w:val="bottom"/>
          </w:tcPr>
          <w:p>
            <w:pPr>
              <w:spacing w:after="0"/>
              <w:rPr>
                <w:sz w:val="10"/>
                <w:szCs w:val="10"/>
                <w:color w:val="auto"/>
              </w:rPr>
            </w:pPr>
          </w:p>
        </w:tc>
        <w:tc>
          <w:tcPr>
            <w:tcW w:w="1480" w:type="dxa"/>
            <w:vAlign w:val="bottom"/>
            <w:vMerge w:val="continue"/>
            <w:shd w:val="clear" w:color="auto" w:fill="CCD4DB"/>
          </w:tcPr>
          <w:p>
            <w:pPr>
              <w:spacing w:after="0"/>
              <w:rPr>
                <w:sz w:val="10"/>
                <w:szCs w:val="10"/>
                <w:color w:val="auto"/>
              </w:rPr>
            </w:pPr>
          </w:p>
        </w:tc>
        <w:tc>
          <w:tcPr>
            <w:tcW w:w="200" w:type="dxa"/>
            <w:vAlign w:val="bottom"/>
          </w:tcPr>
          <w:p>
            <w:pPr>
              <w:spacing w:after="0"/>
              <w:rPr>
                <w:sz w:val="10"/>
                <w:szCs w:val="10"/>
                <w:color w:val="auto"/>
              </w:rPr>
            </w:pPr>
          </w:p>
        </w:tc>
        <w:tc>
          <w:tcPr>
            <w:tcW w:w="2060" w:type="dxa"/>
            <w:vAlign w:val="bottom"/>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vMerge w:val="continue"/>
            <w:shd w:val="clear" w:color="auto" w:fill="CCD4DB"/>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vMerge w:val="continue"/>
            <w:shd w:val="clear" w:color="auto" w:fill="CCD4DB"/>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continue"/>
            <w:shd w:val="clear" w:color="auto" w:fill="CCD4DB"/>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Policy</w:t>
            </w:r>
          </w:p>
        </w:tc>
        <w:tc>
          <w:tcPr>
            <w:tcW w:w="200" w:type="dxa"/>
            <w:vAlign w:val="bottom"/>
          </w:tcPr>
          <w:p>
            <w:pPr>
              <w:spacing w:after="0"/>
              <w:rPr>
                <w:sz w:val="10"/>
                <w:szCs w:val="10"/>
                <w:color w:val="auto"/>
              </w:rPr>
            </w:pPr>
          </w:p>
        </w:tc>
        <w:tc>
          <w:tcPr>
            <w:tcW w:w="2060" w:type="dxa"/>
            <w:vAlign w:val="bottom"/>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color w:val="auto"/>
                <w:w w:val="96"/>
              </w:rPr>
              <w:t>LTIP Equity</w:t>
            </w:r>
          </w:p>
        </w:tc>
        <w:tc>
          <w:tcPr>
            <w:tcW w:w="200" w:type="dxa"/>
            <w:vAlign w:val="bottom"/>
          </w:tcPr>
          <w:p>
            <w:pPr>
              <w:spacing w:after="0"/>
              <w:rPr>
                <w:sz w:val="12"/>
                <w:szCs w:val="12"/>
                <w:color w:val="auto"/>
              </w:rPr>
            </w:pPr>
          </w:p>
        </w:tc>
        <w:tc>
          <w:tcPr>
            <w:tcW w:w="22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 xml:space="preserve">Ownership </w:t>
            </w:r>
            <w:r>
              <w:rPr>
                <w:rFonts w:ascii="Arial" w:cs="Arial" w:eastAsia="Arial" w:hAnsi="Arial"/>
                <w:sz w:val="22"/>
                <w:szCs w:val="22"/>
                <w:color w:val="000000"/>
                <w:w w:val="98"/>
              </w:rPr>
              <w:t>Guidelines</w:t>
            </w:r>
          </w:p>
        </w:tc>
        <w:tc>
          <w:tcPr>
            <w:tcW w:w="200" w:type="dxa"/>
            <w:vAlign w:val="bottom"/>
          </w:tcPr>
          <w:p>
            <w:pPr>
              <w:spacing w:after="0"/>
              <w:rPr>
                <w:sz w:val="12"/>
                <w:szCs w:val="12"/>
                <w:color w:val="auto"/>
              </w:rPr>
            </w:pPr>
          </w:p>
        </w:tc>
        <w:tc>
          <w:tcPr>
            <w:tcW w:w="14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Holding</w:t>
            </w:r>
          </w:p>
        </w:tc>
        <w:tc>
          <w:tcPr>
            <w:tcW w:w="200" w:type="dxa"/>
            <w:vAlign w:val="bottom"/>
          </w:tcPr>
          <w:p>
            <w:pPr>
              <w:spacing w:after="0"/>
              <w:rPr>
                <w:sz w:val="12"/>
                <w:szCs w:val="12"/>
                <w:color w:val="auto"/>
              </w:rPr>
            </w:pPr>
          </w:p>
        </w:tc>
        <w:tc>
          <w:tcPr>
            <w:tcW w:w="1480" w:type="dxa"/>
            <w:vAlign w:val="bottom"/>
            <w:vMerge w:val="continue"/>
            <w:shd w:val="clear" w:color="auto" w:fill="CCD4DB"/>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 xml:space="preserve">No </w:t>
            </w:r>
            <w:r>
              <w:rPr>
                <w:rFonts w:ascii="Arial" w:cs="Arial" w:eastAsia="Arial" w:hAnsi="Arial"/>
                <w:sz w:val="22"/>
                <w:szCs w:val="22"/>
                <w:color w:val="000000"/>
                <w:w w:val="98"/>
              </w:rPr>
              <w:t>Individual</w:t>
            </w:r>
          </w:p>
        </w:tc>
        <w:tc>
          <w:tcPr>
            <w:tcW w:w="0" w:type="dxa"/>
            <w:vAlign w:val="bottom"/>
          </w:tcPr>
          <w:p>
            <w:pPr>
              <w:spacing w:after="0"/>
              <w:rPr>
                <w:sz w:val="1"/>
                <w:szCs w:val="1"/>
                <w:color w:val="auto"/>
              </w:rPr>
            </w:pPr>
          </w:p>
        </w:tc>
      </w:tr>
      <w:tr>
        <w:trPr>
          <w:trHeight w:val="96"/>
        </w:trPr>
        <w:tc>
          <w:tcPr>
            <w:tcW w:w="1540" w:type="dxa"/>
            <w:vAlign w:val="bottom"/>
            <w:vMerge w:val="continue"/>
            <w:shd w:val="clear" w:color="auto" w:fill="CCD4DB"/>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vMerge w:val="continue"/>
            <w:shd w:val="clear" w:color="auto" w:fill="CCD4DB"/>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vMerge w:val="continue"/>
            <w:shd w:val="clear" w:color="auto" w:fill="CCD4DB"/>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color w:val="auto"/>
                <w:w w:val="97"/>
              </w:rPr>
              <w:t>on Cash and</w:t>
            </w:r>
          </w:p>
        </w:tc>
        <w:tc>
          <w:tcPr>
            <w:tcW w:w="200" w:type="dxa"/>
            <w:vAlign w:val="bottom"/>
          </w:tcPr>
          <w:p>
            <w:pPr>
              <w:spacing w:after="0"/>
              <w:rPr>
                <w:sz w:val="8"/>
                <w:szCs w:val="8"/>
                <w:color w:val="auto"/>
              </w:rPr>
            </w:pPr>
          </w:p>
        </w:tc>
        <w:tc>
          <w:tcPr>
            <w:tcW w:w="2060" w:type="dxa"/>
            <w:vAlign w:val="bottom"/>
            <w:vMerge w:val="continue"/>
            <w:shd w:val="clear" w:color="auto" w:fill="CCD4DB"/>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color w:val="auto"/>
                <w:w w:val="98"/>
              </w:rPr>
              <w:t>Grant</w:t>
            </w:r>
          </w:p>
        </w:tc>
        <w:tc>
          <w:tcPr>
            <w:tcW w:w="200" w:type="dxa"/>
            <w:vAlign w:val="bottom"/>
          </w:tcPr>
          <w:p>
            <w:pPr>
              <w:spacing w:after="0"/>
              <w:rPr>
                <w:sz w:val="12"/>
                <w:szCs w:val="12"/>
                <w:color w:val="auto"/>
              </w:rPr>
            </w:pPr>
          </w:p>
        </w:tc>
        <w:tc>
          <w:tcPr>
            <w:tcW w:w="22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color w:val="auto"/>
                <w:w w:val="98"/>
              </w:rPr>
              <w:t>for All Officers:</w:t>
            </w:r>
          </w:p>
        </w:tc>
        <w:tc>
          <w:tcPr>
            <w:tcW w:w="200" w:type="dxa"/>
            <w:vAlign w:val="bottom"/>
          </w:tcPr>
          <w:p>
            <w:pPr>
              <w:spacing w:after="0"/>
              <w:rPr>
                <w:sz w:val="12"/>
                <w:szCs w:val="12"/>
                <w:color w:val="auto"/>
              </w:rPr>
            </w:pPr>
          </w:p>
        </w:tc>
        <w:tc>
          <w:tcPr>
            <w:tcW w:w="14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 xml:space="preserve">Period </w:t>
            </w:r>
            <w:r>
              <w:rPr>
                <w:rFonts w:ascii="Arial" w:cs="Arial" w:eastAsia="Arial" w:hAnsi="Arial"/>
                <w:sz w:val="22"/>
                <w:szCs w:val="22"/>
                <w:color w:val="000000"/>
                <w:w w:val="97"/>
              </w:rPr>
              <w:t>for</w:t>
            </w:r>
          </w:p>
        </w:tc>
        <w:tc>
          <w:tcPr>
            <w:tcW w:w="200" w:type="dxa"/>
            <w:vAlign w:val="bottom"/>
          </w:tcPr>
          <w:p>
            <w:pPr>
              <w:spacing w:after="0"/>
              <w:rPr>
                <w:sz w:val="12"/>
                <w:szCs w:val="12"/>
                <w:color w:val="auto"/>
              </w:rPr>
            </w:pPr>
          </w:p>
        </w:tc>
        <w:tc>
          <w:tcPr>
            <w:tcW w:w="1480" w:type="dxa"/>
            <w:vAlign w:val="bottom"/>
            <w:vMerge w:val="continue"/>
            <w:shd w:val="clear" w:color="auto" w:fill="CCD4DB"/>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Change in</w:t>
            </w:r>
          </w:p>
        </w:tc>
        <w:tc>
          <w:tcPr>
            <w:tcW w:w="0" w:type="dxa"/>
            <w:vAlign w:val="bottom"/>
          </w:tcPr>
          <w:p>
            <w:pPr>
              <w:spacing w:after="0"/>
              <w:rPr>
                <w:sz w:val="1"/>
                <w:szCs w:val="1"/>
                <w:color w:val="auto"/>
              </w:rPr>
            </w:pPr>
          </w:p>
        </w:tc>
      </w:tr>
      <w:tr>
        <w:trPr>
          <w:trHeight w:val="95"/>
        </w:trPr>
        <w:tc>
          <w:tcPr>
            <w:tcW w:w="1540" w:type="dxa"/>
            <w:vAlign w:val="bottom"/>
            <w:vMerge w:val="continue"/>
            <w:shd w:val="clear" w:color="auto" w:fill="CCD4DB"/>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vMerge w:val="continue"/>
            <w:shd w:val="clear" w:color="auto" w:fill="CCD4DB"/>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vMerge w:val="continue"/>
            <w:shd w:val="clear" w:color="auto" w:fill="CCD4DB"/>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color w:val="auto"/>
                <w:w w:val="98"/>
              </w:rPr>
              <w:t>Equity</w:t>
            </w:r>
          </w:p>
        </w:tc>
        <w:tc>
          <w:tcPr>
            <w:tcW w:w="200" w:type="dxa"/>
            <w:vAlign w:val="bottom"/>
          </w:tcPr>
          <w:p>
            <w:pPr>
              <w:spacing w:after="0"/>
              <w:rPr>
                <w:sz w:val="8"/>
                <w:szCs w:val="8"/>
                <w:color w:val="auto"/>
              </w:rPr>
            </w:pPr>
          </w:p>
        </w:tc>
        <w:tc>
          <w:tcPr>
            <w:tcW w:w="2060" w:type="dxa"/>
            <w:vAlign w:val="bottom"/>
            <w:vMerge w:val="continue"/>
            <w:shd w:val="clear" w:color="auto" w:fill="CCD4DB"/>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Performance-</w:t>
            </w:r>
          </w:p>
        </w:tc>
        <w:tc>
          <w:tcPr>
            <w:tcW w:w="200" w:type="dxa"/>
            <w:vAlign w:val="bottom"/>
          </w:tcPr>
          <w:p>
            <w:pPr>
              <w:spacing w:after="0"/>
              <w:rPr>
                <w:sz w:val="12"/>
                <w:szCs w:val="12"/>
                <w:color w:val="auto"/>
              </w:rPr>
            </w:pPr>
          </w:p>
        </w:tc>
        <w:tc>
          <w:tcPr>
            <w:tcW w:w="224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7"/>
              </w:rPr>
              <w:t>CEO 7x</w:t>
            </w:r>
          </w:p>
        </w:tc>
        <w:tc>
          <w:tcPr>
            <w:tcW w:w="200" w:type="dxa"/>
            <w:vAlign w:val="bottom"/>
          </w:tcPr>
          <w:p>
            <w:pPr>
              <w:spacing w:after="0"/>
              <w:rPr>
                <w:sz w:val="12"/>
                <w:szCs w:val="12"/>
                <w:color w:val="auto"/>
              </w:rPr>
            </w:pPr>
          </w:p>
        </w:tc>
        <w:tc>
          <w:tcPr>
            <w:tcW w:w="140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color w:val="auto"/>
                <w:w w:val="99"/>
              </w:rPr>
              <w:t>50% of</w:t>
            </w:r>
          </w:p>
        </w:tc>
        <w:tc>
          <w:tcPr>
            <w:tcW w:w="200" w:type="dxa"/>
            <w:vAlign w:val="bottom"/>
          </w:tcPr>
          <w:p>
            <w:pPr>
              <w:spacing w:after="0"/>
              <w:rPr>
                <w:sz w:val="12"/>
                <w:szCs w:val="12"/>
                <w:color w:val="auto"/>
              </w:rPr>
            </w:pPr>
          </w:p>
        </w:tc>
        <w:tc>
          <w:tcPr>
            <w:tcW w:w="1480" w:type="dxa"/>
            <w:vAlign w:val="bottom"/>
            <w:vMerge w:val="continue"/>
            <w:shd w:val="clear" w:color="auto" w:fill="CCD4DB"/>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b w:val="1"/>
                <w:bCs w:val="1"/>
                <w:color w:val="00249C"/>
                <w:w w:val="98"/>
              </w:rPr>
              <w:t xml:space="preserve">Control </w:t>
            </w:r>
            <w:r>
              <w:rPr>
                <w:rFonts w:ascii="Arial" w:cs="Arial" w:eastAsia="Arial" w:hAnsi="Arial"/>
                <w:sz w:val="22"/>
                <w:szCs w:val="22"/>
                <w:color w:val="000000"/>
                <w:w w:val="98"/>
              </w:rPr>
              <w:t>Agreements</w:t>
            </w:r>
          </w:p>
        </w:tc>
        <w:tc>
          <w:tcPr>
            <w:tcW w:w="0" w:type="dxa"/>
            <w:vAlign w:val="bottom"/>
          </w:tcPr>
          <w:p>
            <w:pPr>
              <w:spacing w:after="0"/>
              <w:rPr>
                <w:sz w:val="1"/>
                <w:szCs w:val="1"/>
                <w:color w:val="auto"/>
              </w:rPr>
            </w:pPr>
          </w:p>
        </w:tc>
      </w:tr>
      <w:tr>
        <w:trPr>
          <w:trHeight w:val="96"/>
        </w:trPr>
        <w:tc>
          <w:tcPr>
            <w:tcW w:w="1540" w:type="dxa"/>
            <w:vAlign w:val="bottom"/>
            <w:vMerge w:val="continue"/>
            <w:shd w:val="clear" w:color="auto" w:fill="CCD4DB"/>
          </w:tcPr>
          <w:p>
            <w:pPr>
              <w:spacing w:after="0"/>
              <w:rPr>
                <w:sz w:val="8"/>
                <w:szCs w:val="8"/>
                <w:color w:val="auto"/>
              </w:rPr>
            </w:pPr>
          </w:p>
        </w:tc>
        <w:tc>
          <w:tcPr>
            <w:tcW w:w="200" w:type="dxa"/>
            <w:vAlign w:val="bottom"/>
          </w:tcPr>
          <w:p>
            <w:pPr>
              <w:spacing w:after="0"/>
              <w:rPr>
                <w:sz w:val="8"/>
                <w:szCs w:val="8"/>
                <w:color w:val="auto"/>
              </w:rPr>
            </w:pPr>
          </w:p>
        </w:tc>
        <w:tc>
          <w:tcPr>
            <w:tcW w:w="2240" w:type="dxa"/>
            <w:vAlign w:val="bottom"/>
            <w:vMerge w:val="continue"/>
            <w:shd w:val="clear" w:color="auto" w:fill="CCD4DB"/>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vMerge w:val="continue"/>
            <w:shd w:val="clear" w:color="auto" w:fill="CCD4DB"/>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vMerge w:val="restart"/>
            <w:shd w:val="clear" w:color="auto" w:fill="CCD4DB"/>
          </w:tcPr>
          <w:p>
            <w:pPr>
              <w:jc w:val="center"/>
              <w:spacing w:after="0" w:line="243" w:lineRule="exact"/>
              <w:rPr>
                <w:sz w:val="20"/>
                <w:szCs w:val="20"/>
                <w:color w:val="auto"/>
              </w:rPr>
            </w:pPr>
            <w:r>
              <w:rPr>
                <w:rFonts w:ascii="Arial" w:cs="Arial" w:eastAsia="Arial" w:hAnsi="Arial"/>
                <w:sz w:val="22"/>
                <w:szCs w:val="22"/>
                <w:color w:val="auto"/>
                <w:w w:val="97"/>
              </w:rPr>
              <w:t>Incentive</w:t>
            </w:r>
          </w:p>
        </w:tc>
        <w:tc>
          <w:tcPr>
            <w:tcW w:w="200" w:type="dxa"/>
            <w:vAlign w:val="bottom"/>
          </w:tcPr>
          <w:p>
            <w:pPr>
              <w:spacing w:after="0"/>
              <w:rPr>
                <w:sz w:val="8"/>
                <w:szCs w:val="8"/>
                <w:color w:val="auto"/>
              </w:rPr>
            </w:pPr>
          </w:p>
        </w:tc>
        <w:tc>
          <w:tcPr>
            <w:tcW w:w="2060" w:type="dxa"/>
            <w:vAlign w:val="bottom"/>
            <w:vMerge w:val="continue"/>
            <w:shd w:val="clear" w:color="auto" w:fill="CCD4DB"/>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6"/>
              </w:rPr>
              <w:t>Based</w:t>
            </w:r>
          </w:p>
        </w:tc>
        <w:tc>
          <w:tcPr>
            <w:tcW w:w="200" w:type="dxa"/>
            <w:vAlign w:val="bottom"/>
          </w:tcPr>
          <w:p>
            <w:pPr>
              <w:spacing w:after="0"/>
              <w:rPr>
                <w:sz w:val="12"/>
                <w:szCs w:val="12"/>
                <w:color w:val="auto"/>
              </w:rPr>
            </w:pPr>
          </w:p>
        </w:tc>
        <w:tc>
          <w:tcPr>
            <w:tcW w:w="224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7"/>
              </w:rPr>
              <w:t>Other NEOs 3x</w:t>
            </w:r>
          </w:p>
        </w:tc>
        <w:tc>
          <w:tcPr>
            <w:tcW w:w="200" w:type="dxa"/>
            <w:vAlign w:val="bottom"/>
          </w:tcPr>
          <w:p>
            <w:pPr>
              <w:spacing w:after="0"/>
              <w:rPr>
                <w:sz w:val="12"/>
                <w:szCs w:val="12"/>
                <w:color w:val="auto"/>
              </w:rPr>
            </w:pPr>
          </w:p>
        </w:tc>
        <w:tc>
          <w:tcPr>
            <w:tcW w:w="1400" w:type="dxa"/>
            <w:vAlign w:val="bottom"/>
            <w:vMerge w:val="restart"/>
            <w:shd w:val="clear" w:color="auto" w:fill="CCD4DB"/>
          </w:tcPr>
          <w:p>
            <w:pPr>
              <w:jc w:val="center"/>
              <w:spacing w:after="0"/>
              <w:rPr>
                <w:sz w:val="20"/>
                <w:szCs w:val="20"/>
                <w:color w:val="auto"/>
              </w:rPr>
            </w:pPr>
            <w:r>
              <w:rPr>
                <w:rFonts w:ascii="Arial" w:cs="Arial" w:eastAsia="Arial" w:hAnsi="Arial"/>
                <w:sz w:val="22"/>
                <w:szCs w:val="22"/>
                <w:color w:val="auto"/>
                <w:w w:val="96"/>
              </w:rPr>
              <w:t>Vested</w:t>
            </w:r>
          </w:p>
        </w:tc>
        <w:tc>
          <w:tcPr>
            <w:tcW w:w="200" w:type="dxa"/>
            <w:vAlign w:val="bottom"/>
          </w:tcPr>
          <w:p>
            <w:pPr>
              <w:spacing w:after="0"/>
              <w:rPr>
                <w:sz w:val="12"/>
                <w:szCs w:val="12"/>
                <w:color w:val="auto"/>
              </w:rPr>
            </w:pPr>
          </w:p>
        </w:tc>
        <w:tc>
          <w:tcPr>
            <w:tcW w:w="1480" w:type="dxa"/>
            <w:vAlign w:val="bottom"/>
            <w:vMerge w:val="continue"/>
            <w:shd w:val="clear" w:color="auto" w:fill="CCD4DB"/>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shd w:val="clear" w:color="auto" w:fill="CCD4DB"/>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shd w:val="clear" w:color="auto" w:fill="CCD4DB"/>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vMerge w:val="continue"/>
            <w:shd w:val="clear" w:color="auto" w:fill="CCD4DB"/>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continue"/>
            <w:shd w:val="clear" w:color="auto" w:fill="CCD4DB"/>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vMerge w:val="restart"/>
            <w:shd w:val="clear" w:color="auto" w:fill="CCD4DB"/>
          </w:tcPr>
          <w:p>
            <w:pPr>
              <w:jc w:val="center"/>
              <w:spacing w:after="0"/>
              <w:rPr>
                <w:sz w:val="20"/>
                <w:szCs w:val="20"/>
                <w:color w:val="auto"/>
              </w:rPr>
            </w:pPr>
            <w:r>
              <w:rPr>
                <w:rFonts w:ascii="Arial" w:cs="Arial" w:eastAsia="Arial" w:hAnsi="Arial"/>
                <w:sz w:val="22"/>
                <w:szCs w:val="22"/>
                <w:color w:val="auto"/>
                <w:w w:val="98"/>
              </w:rPr>
              <w:t>Payouts</w:t>
            </w:r>
          </w:p>
        </w:tc>
        <w:tc>
          <w:tcPr>
            <w:tcW w:w="200" w:type="dxa"/>
            <w:vAlign w:val="bottom"/>
          </w:tcPr>
          <w:p>
            <w:pPr>
              <w:spacing w:after="0"/>
              <w:rPr>
                <w:sz w:val="10"/>
                <w:szCs w:val="10"/>
                <w:color w:val="auto"/>
              </w:rPr>
            </w:pPr>
          </w:p>
        </w:tc>
        <w:tc>
          <w:tcPr>
            <w:tcW w:w="2060" w:type="dxa"/>
            <w:vAlign w:val="bottom"/>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CD4DB"/>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shd w:val="clear" w:color="auto" w:fill="CCD4DB"/>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vMerge w:val="restart"/>
            <w:shd w:val="clear" w:color="auto" w:fill="CCD4DB"/>
          </w:tcPr>
          <w:p>
            <w:pPr>
              <w:jc w:val="center"/>
              <w:spacing w:after="0"/>
              <w:rPr>
                <w:sz w:val="20"/>
                <w:szCs w:val="20"/>
                <w:color w:val="auto"/>
              </w:rPr>
            </w:pPr>
            <w:r>
              <w:rPr>
                <w:rFonts w:ascii="Arial" w:cs="Arial" w:eastAsia="Arial" w:hAnsi="Arial"/>
                <w:sz w:val="22"/>
                <w:szCs w:val="22"/>
                <w:color w:val="auto"/>
                <w:w w:val="97"/>
              </w:rPr>
              <w:t>Shares</w:t>
            </w:r>
          </w:p>
        </w:tc>
        <w:tc>
          <w:tcPr>
            <w:tcW w:w="200" w:type="dxa"/>
            <w:vAlign w:val="bottom"/>
          </w:tcPr>
          <w:p>
            <w:pPr>
              <w:spacing w:after="0"/>
              <w:rPr>
                <w:sz w:val="11"/>
                <w:szCs w:val="11"/>
                <w:color w:val="auto"/>
              </w:rPr>
            </w:pPr>
          </w:p>
        </w:tc>
        <w:tc>
          <w:tcPr>
            <w:tcW w:w="1480" w:type="dxa"/>
            <w:vAlign w:val="bottom"/>
            <w:vMerge w:val="continue"/>
            <w:shd w:val="clear" w:color="auto" w:fill="CCD4DB"/>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shd w:val="clear" w:color="auto" w:fill="CCD4DB"/>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540" w:type="dxa"/>
            <w:vAlign w:val="bottom"/>
            <w:shd w:val="clear" w:color="auto" w:fill="CCD4DB"/>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shd w:val="clear" w:color="auto" w:fill="CCD4DB"/>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continue"/>
            <w:shd w:val="clear" w:color="auto" w:fill="CCD4DB"/>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shd w:val="clear" w:color="auto" w:fill="CCD4DB"/>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shd w:val="clear" w:color="auto" w:fill="CCD4DB"/>
          </w:tcPr>
          <w:p>
            <w:pPr>
              <w:spacing w:after="0"/>
              <w:rPr>
                <w:sz w:val="12"/>
                <w:szCs w:val="12"/>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Board Nominees (pages 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 w:type="dxa"/>
            <w:vAlign w:val="bottom"/>
            <w:tcBorders>
              <w:right w:val="single" w:sz="8" w:color="auto"/>
            </w:tcBorders>
          </w:tcPr>
          <w:p>
            <w:pPr>
              <w:spacing w:after="0"/>
              <w:rPr>
                <w:sz w:val="18"/>
                <w:szCs w:val="18"/>
                <w:color w:val="auto"/>
              </w:rPr>
            </w:pPr>
          </w:p>
        </w:tc>
        <w:tc>
          <w:tcPr>
            <w:tcW w:w="1740" w:type="dxa"/>
            <w:vAlign w:val="bottom"/>
            <w:tcBorders>
              <w:top w:val="single" w:sz="8" w:color="auto"/>
            </w:tcBorders>
            <w:shd w:val="clear" w:color="auto" w:fill="00249C"/>
          </w:tcPr>
          <w:p>
            <w:pPr>
              <w:spacing w:after="0"/>
              <w:rPr>
                <w:sz w:val="18"/>
                <w:szCs w:val="18"/>
                <w:color w:val="auto"/>
              </w:rPr>
            </w:pPr>
          </w:p>
        </w:tc>
        <w:tc>
          <w:tcPr>
            <w:tcW w:w="420" w:type="dxa"/>
            <w:vAlign w:val="bottom"/>
            <w:tcBorders>
              <w:top w:val="single" w:sz="8" w:color="auto"/>
            </w:tcBorders>
            <w:shd w:val="clear" w:color="auto" w:fill="00249C"/>
          </w:tcPr>
          <w:p>
            <w:pPr>
              <w:spacing w:after="0"/>
              <w:rPr>
                <w:sz w:val="18"/>
                <w:szCs w:val="18"/>
                <w:color w:val="auto"/>
              </w:rPr>
            </w:pPr>
          </w:p>
        </w:tc>
        <w:tc>
          <w:tcPr>
            <w:tcW w:w="1120" w:type="dxa"/>
            <w:vAlign w:val="bottom"/>
            <w:tcBorders>
              <w:top w:val="single" w:sz="8" w:color="auto"/>
            </w:tcBorders>
            <w:shd w:val="clear" w:color="auto" w:fill="00249C"/>
          </w:tcPr>
          <w:p>
            <w:pPr>
              <w:spacing w:after="0"/>
              <w:rPr>
                <w:sz w:val="18"/>
                <w:szCs w:val="18"/>
                <w:color w:val="auto"/>
              </w:rPr>
            </w:pPr>
          </w:p>
        </w:tc>
        <w:tc>
          <w:tcPr>
            <w:tcW w:w="3780" w:type="dxa"/>
            <w:vAlign w:val="bottom"/>
            <w:tcBorders>
              <w:top w:val="single" w:sz="8" w:color="auto"/>
            </w:tcBorders>
            <w:shd w:val="clear" w:color="auto" w:fill="00249C"/>
          </w:tcPr>
          <w:p>
            <w:pPr>
              <w:spacing w:after="0"/>
              <w:rPr>
                <w:sz w:val="18"/>
                <w:szCs w:val="18"/>
                <w:color w:val="auto"/>
              </w:rPr>
            </w:pPr>
          </w:p>
        </w:tc>
        <w:tc>
          <w:tcPr>
            <w:tcW w:w="2800" w:type="dxa"/>
            <w:vAlign w:val="bottom"/>
            <w:tcBorders>
              <w:top w:val="single" w:sz="8" w:color="auto"/>
            </w:tcBorders>
            <w:gridSpan w:val="4"/>
            <w:vMerge w:val="restart"/>
            <w:shd w:val="clear" w:color="auto" w:fill="00249C"/>
          </w:tcPr>
          <w:p>
            <w:pPr>
              <w:ind w:left="440"/>
              <w:spacing w:after="0"/>
              <w:rPr>
                <w:sz w:val="20"/>
                <w:szCs w:val="20"/>
                <w:color w:val="auto"/>
              </w:rPr>
            </w:pPr>
            <w:r>
              <w:rPr>
                <w:rFonts w:ascii="Arial" w:cs="Arial" w:eastAsia="Arial" w:hAnsi="Arial"/>
                <w:sz w:val="16"/>
                <w:szCs w:val="16"/>
                <w:b w:val="1"/>
                <w:bCs w:val="1"/>
                <w:color w:val="FFFFFF"/>
              </w:rPr>
              <w:t>Committee Memberships</w:t>
            </w:r>
          </w:p>
        </w:tc>
        <w:tc>
          <w:tcPr>
            <w:tcW w:w="1280" w:type="dxa"/>
            <w:vAlign w:val="bottom"/>
            <w:tcBorders>
              <w:top w:val="single" w:sz="8" w:color="auto"/>
              <w:right w:val="single" w:sz="8" w:color="auto"/>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Other Public</w:t>
            </w:r>
          </w:p>
        </w:tc>
        <w:tc>
          <w:tcPr>
            <w:tcW w:w="0" w:type="dxa"/>
            <w:vAlign w:val="bottom"/>
          </w:tcPr>
          <w:p>
            <w:pPr>
              <w:spacing w:after="0"/>
              <w:rPr>
                <w:sz w:val="1"/>
                <w:szCs w:val="1"/>
                <w:color w:val="auto"/>
              </w:rPr>
            </w:pPr>
          </w:p>
        </w:tc>
      </w:tr>
      <w:tr>
        <w:trPr>
          <w:trHeight w:val="93"/>
        </w:trPr>
        <w:tc>
          <w:tcPr>
            <w:tcW w:w="80" w:type="dxa"/>
            <w:vAlign w:val="bottom"/>
            <w:tcBorders>
              <w:right w:val="single" w:sz="8" w:color="auto"/>
            </w:tcBorders>
          </w:tcPr>
          <w:p>
            <w:pPr>
              <w:spacing w:after="0"/>
              <w:rPr>
                <w:sz w:val="8"/>
                <w:szCs w:val="8"/>
                <w:color w:val="auto"/>
              </w:rPr>
            </w:pPr>
          </w:p>
        </w:tc>
        <w:tc>
          <w:tcPr>
            <w:tcW w:w="1740" w:type="dxa"/>
            <w:vAlign w:val="bottom"/>
            <w:shd w:val="clear" w:color="auto" w:fill="00249C"/>
          </w:tcPr>
          <w:p>
            <w:pPr>
              <w:spacing w:after="0"/>
              <w:rPr>
                <w:sz w:val="8"/>
                <w:szCs w:val="8"/>
                <w:color w:val="auto"/>
              </w:rPr>
            </w:pPr>
          </w:p>
        </w:tc>
        <w:tc>
          <w:tcPr>
            <w:tcW w:w="420" w:type="dxa"/>
            <w:vAlign w:val="bottom"/>
            <w:shd w:val="clear" w:color="auto" w:fill="00249C"/>
          </w:tcPr>
          <w:p>
            <w:pPr>
              <w:spacing w:after="0"/>
              <w:rPr>
                <w:sz w:val="8"/>
                <w:szCs w:val="8"/>
                <w:color w:val="auto"/>
              </w:rPr>
            </w:pPr>
          </w:p>
        </w:tc>
        <w:tc>
          <w:tcPr>
            <w:tcW w:w="1120" w:type="dxa"/>
            <w:vAlign w:val="bottom"/>
            <w:vMerge w:val="restart"/>
            <w:shd w:val="clear" w:color="auto" w:fill="00249C"/>
          </w:tcPr>
          <w:p>
            <w:pPr>
              <w:ind w:left="420"/>
              <w:spacing w:after="0"/>
              <w:rPr>
                <w:sz w:val="20"/>
                <w:szCs w:val="20"/>
                <w:color w:val="auto"/>
              </w:rPr>
            </w:pPr>
            <w:r>
              <w:rPr>
                <w:rFonts w:ascii="Arial" w:cs="Arial" w:eastAsia="Arial" w:hAnsi="Arial"/>
                <w:sz w:val="16"/>
                <w:szCs w:val="16"/>
                <w:b w:val="1"/>
                <w:bCs w:val="1"/>
                <w:color w:val="FFFFFF"/>
              </w:rPr>
              <w:t>Director</w:t>
            </w:r>
          </w:p>
        </w:tc>
        <w:tc>
          <w:tcPr>
            <w:tcW w:w="3780" w:type="dxa"/>
            <w:vAlign w:val="bottom"/>
            <w:shd w:val="clear" w:color="auto" w:fill="00249C"/>
          </w:tcPr>
          <w:p>
            <w:pPr>
              <w:spacing w:after="0"/>
              <w:rPr>
                <w:sz w:val="8"/>
                <w:szCs w:val="8"/>
                <w:color w:val="auto"/>
              </w:rPr>
            </w:pPr>
          </w:p>
        </w:tc>
        <w:tc>
          <w:tcPr>
            <w:tcW w:w="2800" w:type="dxa"/>
            <w:vAlign w:val="bottom"/>
            <w:gridSpan w:val="4"/>
            <w:vMerge w:val="continue"/>
            <w:shd w:val="clear" w:color="auto" w:fill="00249C"/>
          </w:tcPr>
          <w:p>
            <w:pPr>
              <w:spacing w:after="0"/>
              <w:rPr>
                <w:sz w:val="8"/>
                <w:szCs w:val="8"/>
                <w:color w:val="auto"/>
              </w:rPr>
            </w:pPr>
          </w:p>
        </w:tc>
        <w:tc>
          <w:tcPr>
            <w:tcW w:w="1280" w:type="dxa"/>
            <w:vAlign w:val="bottom"/>
            <w:tcBorders>
              <w:right w:val="single" w:sz="8" w:color="auto"/>
            </w:tcBorders>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Company</w:t>
            </w:r>
          </w:p>
        </w:tc>
        <w:tc>
          <w:tcPr>
            <w:tcW w:w="0" w:type="dxa"/>
            <w:vAlign w:val="bottom"/>
          </w:tcPr>
          <w:p>
            <w:pPr>
              <w:spacing w:after="0"/>
              <w:rPr>
                <w:sz w:val="1"/>
                <w:szCs w:val="1"/>
                <w:color w:val="auto"/>
              </w:rPr>
            </w:pPr>
          </w:p>
        </w:tc>
      </w:tr>
      <w:tr>
        <w:trPr>
          <w:trHeight w:val="96"/>
        </w:trPr>
        <w:tc>
          <w:tcPr>
            <w:tcW w:w="80" w:type="dxa"/>
            <w:vAlign w:val="bottom"/>
            <w:tcBorders>
              <w:right w:val="single" w:sz="8" w:color="auto"/>
            </w:tcBorders>
          </w:tcPr>
          <w:p>
            <w:pPr>
              <w:spacing w:after="0"/>
              <w:rPr>
                <w:sz w:val="8"/>
                <w:szCs w:val="8"/>
                <w:color w:val="auto"/>
              </w:rPr>
            </w:pPr>
          </w:p>
        </w:tc>
        <w:tc>
          <w:tcPr>
            <w:tcW w:w="1740" w:type="dxa"/>
            <w:vAlign w:val="bottom"/>
            <w:shd w:val="clear" w:color="auto" w:fill="00249C"/>
          </w:tcPr>
          <w:p>
            <w:pPr>
              <w:spacing w:after="0"/>
              <w:rPr>
                <w:sz w:val="8"/>
                <w:szCs w:val="8"/>
                <w:color w:val="auto"/>
              </w:rPr>
            </w:pPr>
          </w:p>
        </w:tc>
        <w:tc>
          <w:tcPr>
            <w:tcW w:w="420" w:type="dxa"/>
            <w:vAlign w:val="bottom"/>
            <w:shd w:val="clear" w:color="auto" w:fill="00249C"/>
          </w:tcPr>
          <w:p>
            <w:pPr>
              <w:spacing w:after="0"/>
              <w:rPr>
                <w:sz w:val="8"/>
                <w:szCs w:val="8"/>
                <w:color w:val="auto"/>
              </w:rPr>
            </w:pPr>
          </w:p>
        </w:tc>
        <w:tc>
          <w:tcPr>
            <w:tcW w:w="1120" w:type="dxa"/>
            <w:vAlign w:val="bottom"/>
            <w:vMerge w:val="continue"/>
            <w:shd w:val="clear" w:color="auto" w:fill="00249C"/>
          </w:tcPr>
          <w:p>
            <w:pPr>
              <w:spacing w:after="0"/>
              <w:rPr>
                <w:sz w:val="8"/>
                <w:szCs w:val="8"/>
                <w:color w:val="auto"/>
              </w:rPr>
            </w:pPr>
          </w:p>
        </w:tc>
        <w:tc>
          <w:tcPr>
            <w:tcW w:w="3780" w:type="dxa"/>
            <w:vAlign w:val="bottom"/>
            <w:shd w:val="clear" w:color="auto" w:fill="00249C"/>
          </w:tcPr>
          <w:p>
            <w:pPr>
              <w:spacing w:after="0"/>
              <w:rPr>
                <w:sz w:val="8"/>
                <w:szCs w:val="8"/>
                <w:color w:val="auto"/>
              </w:rPr>
            </w:pPr>
          </w:p>
        </w:tc>
        <w:tc>
          <w:tcPr>
            <w:tcW w:w="620" w:type="dxa"/>
            <w:vAlign w:val="bottom"/>
            <w:shd w:val="clear" w:color="auto" w:fill="00249C"/>
          </w:tcPr>
          <w:p>
            <w:pPr>
              <w:spacing w:after="0"/>
              <w:rPr>
                <w:sz w:val="8"/>
                <w:szCs w:val="8"/>
                <w:color w:val="auto"/>
              </w:rPr>
            </w:pPr>
          </w:p>
        </w:tc>
        <w:tc>
          <w:tcPr>
            <w:tcW w:w="700" w:type="dxa"/>
            <w:vAlign w:val="bottom"/>
            <w:shd w:val="clear" w:color="auto" w:fill="00249C"/>
          </w:tcPr>
          <w:p>
            <w:pPr>
              <w:spacing w:after="0"/>
              <w:rPr>
                <w:sz w:val="8"/>
                <w:szCs w:val="8"/>
                <w:color w:val="auto"/>
              </w:rPr>
            </w:pPr>
          </w:p>
        </w:tc>
        <w:tc>
          <w:tcPr>
            <w:tcW w:w="640" w:type="dxa"/>
            <w:vAlign w:val="bottom"/>
            <w:shd w:val="clear" w:color="auto" w:fill="00249C"/>
          </w:tcPr>
          <w:p>
            <w:pPr>
              <w:spacing w:after="0"/>
              <w:rPr>
                <w:sz w:val="8"/>
                <w:szCs w:val="8"/>
                <w:color w:val="auto"/>
              </w:rPr>
            </w:pPr>
          </w:p>
        </w:tc>
        <w:tc>
          <w:tcPr>
            <w:tcW w:w="840" w:type="dxa"/>
            <w:vAlign w:val="bottom"/>
            <w:shd w:val="clear" w:color="auto" w:fill="00249C"/>
          </w:tcPr>
          <w:p>
            <w:pPr>
              <w:spacing w:after="0"/>
              <w:rPr>
                <w:sz w:val="8"/>
                <w:szCs w:val="8"/>
                <w:color w:val="auto"/>
              </w:rPr>
            </w:pPr>
          </w:p>
        </w:tc>
        <w:tc>
          <w:tcPr>
            <w:tcW w:w="1280" w:type="dxa"/>
            <w:vAlign w:val="bottom"/>
            <w:tcBorders>
              <w:right w:val="single" w:sz="8" w:color="auto"/>
            </w:tcBorders>
            <w:vMerge w:val="continue"/>
            <w:shd w:val="clear" w:color="auto" w:fill="00249C"/>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80" w:type="dxa"/>
            <w:vAlign w:val="bottom"/>
            <w:tcBorders>
              <w:right w:val="single" w:sz="8" w:color="auto"/>
            </w:tcBorders>
          </w:tcPr>
          <w:p>
            <w:pPr>
              <w:spacing w:after="0"/>
              <w:rPr>
                <w:sz w:val="20"/>
                <w:szCs w:val="20"/>
                <w:color w:val="auto"/>
              </w:rPr>
            </w:pPr>
          </w:p>
        </w:tc>
        <w:tc>
          <w:tcPr>
            <w:tcW w:w="1740" w:type="dxa"/>
            <w:vAlign w:val="bottom"/>
            <w:shd w:val="clear" w:color="auto" w:fill="00249C"/>
          </w:tcPr>
          <w:p>
            <w:pPr>
              <w:ind w:left="20"/>
              <w:spacing w:after="0"/>
              <w:rPr>
                <w:sz w:val="20"/>
                <w:szCs w:val="20"/>
                <w:color w:val="auto"/>
              </w:rPr>
            </w:pPr>
            <w:r>
              <w:rPr>
                <w:rFonts w:ascii="Arial" w:cs="Arial" w:eastAsia="Arial" w:hAnsi="Arial"/>
                <w:sz w:val="16"/>
                <w:szCs w:val="16"/>
                <w:b w:val="1"/>
                <w:bCs w:val="1"/>
                <w:color w:val="FFFFFF"/>
              </w:rPr>
              <w:t>Name</w:t>
            </w:r>
          </w:p>
        </w:tc>
        <w:tc>
          <w:tcPr>
            <w:tcW w:w="1540" w:type="dxa"/>
            <w:vAlign w:val="bottom"/>
            <w:gridSpan w:val="2"/>
            <w:shd w:val="clear" w:color="auto" w:fill="00249C"/>
          </w:tcPr>
          <w:p>
            <w:pPr>
              <w:ind w:left="160"/>
              <w:spacing w:after="0"/>
              <w:rPr>
                <w:sz w:val="20"/>
                <w:szCs w:val="20"/>
                <w:color w:val="auto"/>
              </w:rPr>
            </w:pPr>
            <w:r>
              <w:rPr>
                <w:rFonts w:ascii="Arial" w:cs="Arial" w:eastAsia="Arial" w:hAnsi="Arial"/>
                <w:sz w:val="16"/>
                <w:szCs w:val="16"/>
                <w:b w:val="1"/>
                <w:bCs w:val="1"/>
                <w:color w:val="FFFFFF"/>
              </w:rPr>
              <w:t>Age (1)  since</w:t>
            </w:r>
          </w:p>
        </w:tc>
        <w:tc>
          <w:tcPr>
            <w:tcW w:w="3780" w:type="dxa"/>
            <w:vAlign w:val="bottom"/>
            <w:shd w:val="clear" w:color="auto" w:fill="00249C"/>
          </w:tcPr>
          <w:p>
            <w:pPr>
              <w:ind w:left="80"/>
              <w:spacing w:after="0"/>
              <w:rPr>
                <w:sz w:val="20"/>
                <w:szCs w:val="20"/>
                <w:color w:val="auto"/>
              </w:rPr>
            </w:pPr>
            <w:r>
              <w:rPr>
                <w:rFonts w:ascii="Arial" w:cs="Arial" w:eastAsia="Arial" w:hAnsi="Arial"/>
                <w:sz w:val="16"/>
                <w:szCs w:val="16"/>
                <w:b w:val="1"/>
                <w:bCs w:val="1"/>
                <w:color w:val="FFFFFF"/>
              </w:rPr>
              <w:t>Professional Background</w:t>
            </w:r>
          </w:p>
        </w:tc>
        <w:tc>
          <w:tcPr>
            <w:tcW w:w="62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Audit</w:t>
            </w:r>
          </w:p>
        </w:tc>
        <w:tc>
          <w:tcPr>
            <w:tcW w:w="7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Comp</w:t>
            </w:r>
          </w:p>
        </w:tc>
        <w:tc>
          <w:tcPr>
            <w:tcW w:w="64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Gov</w:t>
            </w:r>
          </w:p>
        </w:tc>
        <w:tc>
          <w:tcPr>
            <w:tcW w:w="84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Policy</w:t>
            </w:r>
          </w:p>
        </w:tc>
        <w:tc>
          <w:tcPr>
            <w:tcW w:w="1280" w:type="dxa"/>
            <w:vAlign w:val="bottom"/>
            <w:tcBorders>
              <w:right w:val="single" w:sz="8" w:color="auto"/>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Boards</w:t>
            </w:r>
          </w:p>
        </w:tc>
        <w:tc>
          <w:tcPr>
            <w:tcW w:w="0" w:type="dxa"/>
            <w:vAlign w:val="bottom"/>
          </w:tcPr>
          <w:p>
            <w:pPr>
              <w:spacing w:after="0"/>
              <w:rPr>
                <w:sz w:val="1"/>
                <w:szCs w:val="1"/>
                <w:color w:val="auto"/>
              </w:rPr>
            </w:pPr>
          </w:p>
        </w:tc>
      </w:tr>
      <w:tr>
        <w:trPr>
          <w:trHeight w:val="218"/>
        </w:trPr>
        <w:tc>
          <w:tcPr>
            <w:tcW w:w="80" w:type="dxa"/>
            <w:vAlign w:val="bottom"/>
            <w:tcBorders>
              <w:right w:val="single" w:sz="8" w:color="auto"/>
            </w:tcBorders>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6"/>
                <w:szCs w:val="16"/>
                <w:color w:val="auto"/>
              </w:rPr>
              <w:t>Marianne C. Brown</w:t>
            </w:r>
          </w:p>
        </w:tc>
        <w:tc>
          <w:tcPr>
            <w:tcW w:w="420" w:type="dxa"/>
            <w:vAlign w:val="bottom"/>
          </w:tcPr>
          <w:p>
            <w:pPr>
              <w:ind w:left="160"/>
              <w:spacing w:after="0"/>
              <w:rPr>
                <w:sz w:val="20"/>
                <w:szCs w:val="20"/>
                <w:color w:val="auto"/>
              </w:rPr>
            </w:pPr>
            <w:r>
              <w:rPr>
                <w:rFonts w:ascii="Arial" w:cs="Arial" w:eastAsia="Arial" w:hAnsi="Arial"/>
                <w:sz w:val="16"/>
                <w:szCs w:val="16"/>
                <w:color w:val="auto"/>
              </w:rPr>
              <w:t>61</w:t>
            </w:r>
          </w:p>
        </w:tc>
        <w:tc>
          <w:tcPr>
            <w:tcW w:w="1120" w:type="dxa"/>
            <w:vAlign w:val="bottom"/>
          </w:tcPr>
          <w:p>
            <w:pPr>
              <w:ind w:left="420"/>
              <w:spacing w:after="0"/>
              <w:rPr>
                <w:sz w:val="20"/>
                <w:szCs w:val="20"/>
                <w:color w:val="auto"/>
              </w:rPr>
            </w:pPr>
            <w:r>
              <w:rPr>
                <w:rFonts w:ascii="Arial" w:cs="Arial" w:eastAsia="Arial" w:hAnsi="Arial"/>
                <w:sz w:val="16"/>
                <w:szCs w:val="16"/>
                <w:color w:val="auto"/>
              </w:rPr>
              <w:t>03/2015</w:t>
            </w:r>
          </w:p>
        </w:tc>
        <w:tc>
          <w:tcPr>
            <w:tcW w:w="3780" w:type="dxa"/>
            <w:vAlign w:val="bottom"/>
          </w:tcPr>
          <w:p>
            <w:pPr>
              <w:ind w:left="80"/>
              <w:spacing w:after="0"/>
              <w:rPr>
                <w:sz w:val="20"/>
                <w:szCs w:val="20"/>
                <w:color w:val="auto"/>
              </w:rPr>
            </w:pPr>
            <w:r>
              <w:rPr>
                <w:rFonts w:ascii="Arial" w:cs="Arial" w:eastAsia="Arial" w:hAnsi="Arial"/>
                <w:sz w:val="16"/>
                <w:szCs w:val="16"/>
                <w:color w:val="auto"/>
              </w:rPr>
              <w:t>Former Chief Operating Officer, Global Financial</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80" w:type="dxa"/>
            <w:vAlign w:val="bottom"/>
            <w:tcBorders>
              <w:right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780" w:type="dxa"/>
            <w:vAlign w:val="bottom"/>
          </w:tcPr>
          <w:p>
            <w:pPr>
              <w:ind w:left="80"/>
              <w:spacing w:after="0"/>
              <w:rPr>
                <w:sz w:val="20"/>
                <w:szCs w:val="20"/>
                <w:color w:val="auto"/>
              </w:rPr>
            </w:pPr>
            <w:r>
              <w:rPr>
                <w:rFonts w:ascii="Arial" w:cs="Arial" w:eastAsia="Arial" w:hAnsi="Arial"/>
                <w:sz w:val="16"/>
                <w:szCs w:val="16"/>
                <w:color w:val="auto"/>
              </w:rPr>
              <w:t>Solutions, Fidelity National Information Services,</w:t>
            </w: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80" w:type="dxa"/>
            <w:vAlign w:val="bottom"/>
          </w:tcPr>
          <w:p>
            <w:pPr>
              <w:ind w:left="80"/>
              <w:spacing w:after="0"/>
              <w:rPr>
                <w:sz w:val="20"/>
                <w:szCs w:val="20"/>
                <w:color w:val="auto"/>
              </w:rPr>
            </w:pPr>
            <w:r>
              <w:rPr>
                <w:rFonts w:ascii="Arial" w:cs="Arial" w:eastAsia="Arial" w:hAnsi="Arial"/>
                <w:sz w:val="16"/>
                <w:szCs w:val="16"/>
                <w:color w:val="auto"/>
              </w:rPr>
              <w:t>Inc.</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0" w:type="dxa"/>
            <w:vAlign w:val="bottom"/>
            <w:tcBorders>
              <w:right w:val="single" w:sz="8" w:color="auto"/>
            </w:tcBorders>
          </w:tcPr>
          <w:p>
            <w:pPr>
              <w:spacing w:after="0"/>
              <w:rPr>
                <w:sz w:val="19"/>
                <w:szCs w:val="19"/>
                <w:color w:val="auto"/>
              </w:rPr>
            </w:pPr>
          </w:p>
        </w:tc>
        <w:tc>
          <w:tcPr>
            <w:tcW w:w="1740" w:type="dxa"/>
            <w:vAlign w:val="bottom"/>
            <w:shd w:val="clear" w:color="auto" w:fill="CCD4DB"/>
          </w:tcPr>
          <w:p>
            <w:pPr>
              <w:ind w:left="20"/>
              <w:spacing w:after="0"/>
              <w:rPr>
                <w:sz w:val="20"/>
                <w:szCs w:val="20"/>
                <w:color w:val="auto"/>
              </w:rPr>
            </w:pPr>
            <w:r>
              <w:rPr>
                <w:rFonts w:ascii="Arial" w:cs="Arial" w:eastAsia="Arial" w:hAnsi="Arial"/>
                <w:sz w:val="16"/>
                <w:szCs w:val="16"/>
                <w:color w:val="auto"/>
              </w:rPr>
              <w:t>Donald E. Felsinger</w:t>
            </w:r>
          </w:p>
        </w:tc>
        <w:tc>
          <w:tcPr>
            <w:tcW w:w="420" w:type="dxa"/>
            <w:vAlign w:val="bottom"/>
            <w:shd w:val="clear" w:color="auto" w:fill="CCD4DB"/>
          </w:tcPr>
          <w:p>
            <w:pPr>
              <w:ind w:left="160"/>
              <w:spacing w:after="0"/>
              <w:rPr>
                <w:sz w:val="20"/>
                <w:szCs w:val="20"/>
                <w:color w:val="auto"/>
              </w:rPr>
            </w:pPr>
            <w:r>
              <w:rPr>
                <w:rFonts w:ascii="Arial" w:cs="Arial" w:eastAsia="Arial" w:hAnsi="Arial"/>
                <w:sz w:val="16"/>
                <w:szCs w:val="16"/>
                <w:color w:val="auto"/>
              </w:rPr>
              <w:t>72</w:t>
            </w:r>
          </w:p>
        </w:tc>
        <w:tc>
          <w:tcPr>
            <w:tcW w:w="1120" w:type="dxa"/>
            <w:vAlign w:val="bottom"/>
            <w:shd w:val="clear" w:color="auto" w:fill="CCD4DB"/>
          </w:tcPr>
          <w:p>
            <w:pPr>
              <w:ind w:left="420"/>
              <w:spacing w:after="0"/>
              <w:rPr>
                <w:sz w:val="20"/>
                <w:szCs w:val="20"/>
                <w:color w:val="auto"/>
              </w:rPr>
            </w:pPr>
            <w:r>
              <w:rPr>
                <w:rFonts w:ascii="Arial" w:cs="Arial" w:eastAsia="Arial" w:hAnsi="Arial"/>
                <w:sz w:val="16"/>
                <w:szCs w:val="16"/>
                <w:color w:val="auto"/>
              </w:rPr>
              <w:t>02/2007</w:t>
            </w: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Lead Independent Director, Northrop Grumman</w:t>
            </w:r>
          </w:p>
        </w:tc>
        <w:tc>
          <w:tcPr>
            <w:tcW w:w="620" w:type="dxa"/>
            <w:vAlign w:val="bottom"/>
            <w:shd w:val="clear" w:color="auto" w:fill="CCD4DB"/>
          </w:tcPr>
          <w:p>
            <w:pPr>
              <w:spacing w:after="0"/>
              <w:rPr>
                <w:sz w:val="19"/>
                <w:szCs w:val="19"/>
                <w:color w:val="auto"/>
              </w:rPr>
            </w:pPr>
          </w:p>
        </w:tc>
        <w:tc>
          <w:tcPr>
            <w:tcW w:w="700" w:type="dxa"/>
            <w:vAlign w:val="bottom"/>
            <w:shd w:val="clear" w:color="auto" w:fill="CCD4DB"/>
          </w:tcPr>
          <w:p>
            <w:pPr>
              <w:spacing w:after="0"/>
              <w:rPr>
                <w:sz w:val="19"/>
                <w:szCs w:val="19"/>
                <w:color w:val="auto"/>
              </w:rPr>
            </w:pPr>
          </w:p>
        </w:tc>
        <w:tc>
          <w:tcPr>
            <w:tcW w:w="64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1280" w:type="dxa"/>
            <w:vAlign w:val="bottom"/>
            <w:tcBorders>
              <w:right w:val="single" w:sz="8" w:color="auto"/>
            </w:tcBorders>
            <w:shd w:val="clear" w:color="auto" w:fill="CCD4DB"/>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80" w:type="dxa"/>
            <w:vAlign w:val="bottom"/>
            <w:tcBorders>
              <w:right w:val="single" w:sz="8" w:color="auto"/>
            </w:tcBorders>
          </w:tcPr>
          <w:p>
            <w:pPr>
              <w:spacing w:after="0"/>
              <w:rPr>
                <w:sz w:val="16"/>
                <w:szCs w:val="16"/>
                <w:color w:val="auto"/>
              </w:rPr>
            </w:pPr>
          </w:p>
        </w:tc>
        <w:tc>
          <w:tcPr>
            <w:tcW w:w="1740" w:type="dxa"/>
            <w:vAlign w:val="bottom"/>
            <w:shd w:val="clear" w:color="auto" w:fill="CCD4DB"/>
          </w:tcPr>
          <w:p>
            <w:pPr>
              <w:spacing w:after="0"/>
              <w:rPr>
                <w:sz w:val="16"/>
                <w:szCs w:val="16"/>
                <w:color w:val="auto"/>
              </w:rPr>
            </w:pPr>
          </w:p>
        </w:tc>
        <w:tc>
          <w:tcPr>
            <w:tcW w:w="420" w:type="dxa"/>
            <w:vAlign w:val="bottom"/>
            <w:shd w:val="clear" w:color="auto" w:fill="CCD4DB"/>
          </w:tcPr>
          <w:p>
            <w:pPr>
              <w:spacing w:after="0"/>
              <w:rPr>
                <w:sz w:val="16"/>
                <w:szCs w:val="16"/>
                <w:color w:val="auto"/>
              </w:rPr>
            </w:pPr>
          </w:p>
        </w:tc>
        <w:tc>
          <w:tcPr>
            <w:tcW w:w="1120" w:type="dxa"/>
            <w:vAlign w:val="bottom"/>
            <w:shd w:val="clear" w:color="auto" w:fill="CCD4DB"/>
          </w:tcPr>
          <w:p>
            <w:pPr>
              <w:spacing w:after="0"/>
              <w:rPr>
                <w:sz w:val="16"/>
                <w:szCs w:val="16"/>
                <w:color w:val="auto"/>
              </w:rPr>
            </w:pP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Corporation; Former Chairman and CEO, Sempra</w:t>
            </w:r>
          </w:p>
        </w:tc>
        <w:tc>
          <w:tcPr>
            <w:tcW w:w="620" w:type="dxa"/>
            <w:vAlign w:val="bottom"/>
            <w:shd w:val="clear" w:color="auto" w:fill="CCD4DB"/>
          </w:tcPr>
          <w:p>
            <w:pPr>
              <w:spacing w:after="0"/>
              <w:rPr>
                <w:sz w:val="16"/>
                <w:szCs w:val="16"/>
                <w:color w:val="auto"/>
              </w:rPr>
            </w:pPr>
          </w:p>
        </w:tc>
        <w:tc>
          <w:tcPr>
            <w:tcW w:w="700" w:type="dxa"/>
            <w:vAlign w:val="bottom"/>
            <w:shd w:val="clear" w:color="auto" w:fill="CCD4DB"/>
          </w:tcPr>
          <w:p>
            <w:pPr>
              <w:spacing w:after="0"/>
              <w:rPr>
                <w:sz w:val="16"/>
                <w:szCs w:val="16"/>
                <w:color w:val="auto"/>
              </w:rPr>
            </w:pPr>
          </w:p>
        </w:tc>
        <w:tc>
          <w:tcPr>
            <w:tcW w:w="640" w:type="dxa"/>
            <w:vAlign w:val="bottom"/>
            <w:shd w:val="clear" w:color="auto" w:fill="CCD4DB"/>
          </w:tcPr>
          <w:p>
            <w:pPr>
              <w:spacing w:after="0"/>
              <w:rPr>
                <w:sz w:val="16"/>
                <w:szCs w:val="16"/>
                <w:color w:val="auto"/>
              </w:rPr>
            </w:pPr>
          </w:p>
        </w:tc>
        <w:tc>
          <w:tcPr>
            <w:tcW w:w="840" w:type="dxa"/>
            <w:vAlign w:val="bottom"/>
            <w:shd w:val="clear" w:color="auto" w:fill="CCD4DB"/>
          </w:tcPr>
          <w:p>
            <w:pPr>
              <w:spacing w:after="0"/>
              <w:rPr>
                <w:sz w:val="16"/>
                <w:szCs w:val="16"/>
                <w:color w:val="auto"/>
              </w:rPr>
            </w:pPr>
          </w:p>
        </w:tc>
        <w:tc>
          <w:tcPr>
            <w:tcW w:w="1280" w:type="dxa"/>
            <w:vAlign w:val="bottom"/>
            <w:tcBorders>
              <w:right w:val="single" w:sz="8" w:color="auto"/>
            </w:tcBorders>
            <w:shd w:val="clear" w:color="auto" w:fill="CCD4D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 w:type="dxa"/>
            <w:vAlign w:val="bottom"/>
            <w:tcBorders>
              <w:right w:val="single" w:sz="8" w:color="auto"/>
            </w:tcBorders>
          </w:tcPr>
          <w:p>
            <w:pPr>
              <w:spacing w:after="0"/>
              <w:rPr>
                <w:sz w:val="18"/>
                <w:szCs w:val="18"/>
                <w:color w:val="auto"/>
              </w:rPr>
            </w:pPr>
          </w:p>
        </w:tc>
        <w:tc>
          <w:tcPr>
            <w:tcW w:w="1740" w:type="dxa"/>
            <w:vAlign w:val="bottom"/>
            <w:shd w:val="clear" w:color="auto" w:fill="CCD4DB"/>
          </w:tcPr>
          <w:p>
            <w:pPr>
              <w:spacing w:after="0"/>
              <w:rPr>
                <w:sz w:val="18"/>
                <w:szCs w:val="18"/>
                <w:color w:val="auto"/>
              </w:rPr>
            </w:pPr>
          </w:p>
        </w:tc>
        <w:tc>
          <w:tcPr>
            <w:tcW w:w="420" w:type="dxa"/>
            <w:vAlign w:val="bottom"/>
            <w:shd w:val="clear" w:color="auto" w:fill="CCD4DB"/>
          </w:tcPr>
          <w:p>
            <w:pPr>
              <w:spacing w:after="0"/>
              <w:rPr>
                <w:sz w:val="18"/>
                <w:szCs w:val="18"/>
                <w:color w:val="auto"/>
              </w:rPr>
            </w:pPr>
          </w:p>
        </w:tc>
        <w:tc>
          <w:tcPr>
            <w:tcW w:w="1120" w:type="dxa"/>
            <w:vAlign w:val="bottom"/>
            <w:shd w:val="clear" w:color="auto" w:fill="CCD4DB"/>
          </w:tcPr>
          <w:p>
            <w:pPr>
              <w:spacing w:after="0"/>
              <w:rPr>
                <w:sz w:val="18"/>
                <w:szCs w:val="18"/>
                <w:color w:val="auto"/>
              </w:rPr>
            </w:pP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Energy</w:t>
            </w:r>
          </w:p>
        </w:tc>
        <w:tc>
          <w:tcPr>
            <w:tcW w:w="620" w:type="dxa"/>
            <w:vAlign w:val="bottom"/>
            <w:shd w:val="clear" w:color="auto" w:fill="CCD4DB"/>
          </w:tcPr>
          <w:p>
            <w:pPr>
              <w:spacing w:after="0"/>
              <w:rPr>
                <w:sz w:val="18"/>
                <w:szCs w:val="18"/>
                <w:color w:val="auto"/>
              </w:rPr>
            </w:pPr>
          </w:p>
        </w:tc>
        <w:tc>
          <w:tcPr>
            <w:tcW w:w="700" w:type="dxa"/>
            <w:vAlign w:val="bottom"/>
            <w:shd w:val="clear" w:color="auto" w:fill="CCD4DB"/>
          </w:tcPr>
          <w:p>
            <w:pPr>
              <w:spacing w:after="0"/>
              <w:rPr>
                <w:sz w:val="18"/>
                <w:szCs w:val="18"/>
                <w:color w:val="auto"/>
              </w:rPr>
            </w:pPr>
          </w:p>
        </w:tc>
        <w:tc>
          <w:tcPr>
            <w:tcW w:w="640" w:type="dxa"/>
            <w:vAlign w:val="bottom"/>
            <w:shd w:val="clear" w:color="auto" w:fill="CCD4DB"/>
          </w:tcPr>
          <w:p>
            <w:pPr>
              <w:spacing w:after="0"/>
              <w:rPr>
                <w:sz w:val="18"/>
                <w:szCs w:val="18"/>
                <w:color w:val="auto"/>
              </w:rPr>
            </w:pPr>
          </w:p>
        </w:tc>
        <w:tc>
          <w:tcPr>
            <w:tcW w:w="840" w:type="dxa"/>
            <w:vAlign w:val="bottom"/>
            <w:shd w:val="clear" w:color="auto" w:fill="CCD4DB"/>
          </w:tcPr>
          <w:p>
            <w:pPr>
              <w:spacing w:after="0"/>
              <w:rPr>
                <w:sz w:val="18"/>
                <w:szCs w:val="18"/>
                <w:color w:val="auto"/>
              </w:rPr>
            </w:pPr>
          </w:p>
        </w:tc>
        <w:tc>
          <w:tcPr>
            <w:tcW w:w="1280" w:type="dxa"/>
            <w:vAlign w:val="bottom"/>
            <w:tcBorders>
              <w:right w:val="single" w:sz="8" w:color="auto"/>
            </w:tcBorders>
            <w:shd w:val="clear" w:color="auto" w:fill="CCD4DB"/>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Borders>
              <w:right w:val="single" w:sz="8" w:color="auto"/>
            </w:tcBorders>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6"/>
                <w:szCs w:val="16"/>
                <w:color w:val="auto"/>
              </w:rPr>
              <w:t>Ann M. Fudge</w:t>
            </w:r>
          </w:p>
        </w:tc>
        <w:tc>
          <w:tcPr>
            <w:tcW w:w="420" w:type="dxa"/>
            <w:vAlign w:val="bottom"/>
          </w:tcPr>
          <w:p>
            <w:pPr>
              <w:ind w:left="160"/>
              <w:spacing w:after="0"/>
              <w:rPr>
                <w:sz w:val="20"/>
                <w:szCs w:val="20"/>
                <w:color w:val="auto"/>
              </w:rPr>
            </w:pPr>
            <w:r>
              <w:rPr>
                <w:rFonts w:ascii="Arial" w:cs="Arial" w:eastAsia="Arial" w:hAnsi="Arial"/>
                <w:sz w:val="16"/>
                <w:szCs w:val="16"/>
                <w:color w:val="auto"/>
              </w:rPr>
              <w:t>68</w:t>
            </w:r>
          </w:p>
        </w:tc>
        <w:tc>
          <w:tcPr>
            <w:tcW w:w="1120" w:type="dxa"/>
            <w:vAlign w:val="bottom"/>
          </w:tcPr>
          <w:p>
            <w:pPr>
              <w:ind w:left="420"/>
              <w:spacing w:after="0"/>
              <w:rPr>
                <w:sz w:val="20"/>
                <w:szCs w:val="20"/>
                <w:color w:val="auto"/>
              </w:rPr>
            </w:pPr>
            <w:r>
              <w:rPr>
                <w:rFonts w:ascii="Arial" w:cs="Arial" w:eastAsia="Arial" w:hAnsi="Arial"/>
                <w:sz w:val="16"/>
                <w:szCs w:val="16"/>
                <w:color w:val="auto"/>
              </w:rPr>
              <w:t>03/2016</w:t>
            </w:r>
          </w:p>
        </w:tc>
        <w:tc>
          <w:tcPr>
            <w:tcW w:w="3780" w:type="dxa"/>
            <w:vAlign w:val="bottom"/>
          </w:tcPr>
          <w:p>
            <w:pPr>
              <w:ind w:left="80"/>
              <w:spacing w:after="0"/>
              <w:rPr>
                <w:sz w:val="20"/>
                <w:szCs w:val="20"/>
                <w:color w:val="auto"/>
              </w:rPr>
            </w:pPr>
            <w:r>
              <w:rPr>
                <w:rFonts w:ascii="Arial" w:cs="Arial" w:eastAsia="Arial" w:hAnsi="Arial"/>
                <w:sz w:val="16"/>
                <w:szCs w:val="16"/>
                <w:color w:val="auto"/>
              </w:rPr>
              <w:t>Former Chairman and Chief Executive Officer,</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8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80" w:type="dxa"/>
            <w:vAlign w:val="bottom"/>
          </w:tcPr>
          <w:p>
            <w:pPr>
              <w:ind w:left="80"/>
              <w:spacing w:after="0"/>
              <w:rPr>
                <w:sz w:val="20"/>
                <w:szCs w:val="20"/>
                <w:color w:val="auto"/>
              </w:rPr>
            </w:pPr>
            <w:r>
              <w:rPr>
                <w:rFonts w:ascii="Arial" w:cs="Arial" w:eastAsia="Arial" w:hAnsi="Arial"/>
                <w:sz w:val="16"/>
                <w:szCs w:val="16"/>
                <w:color w:val="auto"/>
              </w:rPr>
              <w:t>Young &amp; Rubicam Brands</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0" w:type="dxa"/>
            <w:vAlign w:val="bottom"/>
            <w:tcBorders>
              <w:right w:val="single" w:sz="8" w:color="auto"/>
            </w:tcBorders>
          </w:tcPr>
          <w:p>
            <w:pPr>
              <w:spacing w:after="0"/>
              <w:rPr>
                <w:sz w:val="19"/>
                <w:szCs w:val="19"/>
                <w:color w:val="auto"/>
              </w:rPr>
            </w:pPr>
          </w:p>
        </w:tc>
        <w:tc>
          <w:tcPr>
            <w:tcW w:w="1740" w:type="dxa"/>
            <w:vAlign w:val="bottom"/>
            <w:shd w:val="clear" w:color="auto" w:fill="CCD4DB"/>
          </w:tcPr>
          <w:p>
            <w:pPr>
              <w:ind w:left="20"/>
              <w:spacing w:after="0"/>
              <w:rPr>
                <w:sz w:val="20"/>
                <w:szCs w:val="20"/>
                <w:color w:val="auto"/>
              </w:rPr>
            </w:pPr>
            <w:r>
              <w:rPr>
                <w:rFonts w:ascii="Arial" w:cs="Arial" w:eastAsia="Arial" w:hAnsi="Arial"/>
                <w:sz w:val="16"/>
                <w:szCs w:val="16"/>
                <w:color w:val="auto"/>
              </w:rPr>
              <w:t>Bruce S. Gordon</w:t>
            </w:r>
          </w:p>
        </w:tc>
        <w:tc>
          <w:tcPr>
            <w:tcW w:w="420" w:type="dxa"/>
            <w:vAlign w:val="bottom"/>
            <w:shd w:val="clear" w:color="auto" w:fill="CCD4DB"/>
          </w:tcPr>
          <w:p>
            <w:pPr>
              <w:ind w:left="160"/>
              <w:spacing w:after="0"/>
              <w:rPr>
                <w:sz w:val="20"/>
                <w:szCs w:val="20"/>
                <w:color w:val="auto"/>
              </w:rPr>
            </w:pPr>
            <w:r>
              <w:rPr>
                <w:rFonts w:ascii="Arial" w:cs="Arial" w:eastAsia="Arial" w:hAnsi="Arial"/>
                <w:sz w:val="16"/>
                <w:szCs w:val="16"/>
                <w:color w:val="auto"/>
              </w:rPr>
              <w:t>74</w:t>
            </w:r>
          </w:p>
        </w:tc>
        <w:tc>
          <w:tcPr>
            <w:tcW w:w="1120" w:type="dxa"/>
            <w:vAlign w:val="bottom"/>
            <w:shd w:val="clear" w:color="auto" w:fill="CCD4DB"/>
          </w:tcPr>
          <w:p>
            <w:pPr>
              <w:ind w:left="420"/>
              <w:spacing w:after="0"/>
              <w:rPr>
                <w:sz w:val="20"/>
                <w:szCs w:val="20"/>
                <w:color w:val="auto"/>
              </w:rPr>
            </w:pPr>
            <w:r>
              <w:rPr>
                <w:rFonts w:ascii="Arial" w:cs="Arial" w:eastAsia="Arial" w:hAnsi="Arial"/>
                <w:sz w:val="16"/>
                <w:szCs w:val="16"/>
                <w:color w:val="auto"/>
              </w:rPr>
              <w:t>10/2008</w:t>
            </w: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Former President, Retail Markets Group, Verizon</w:t>
            </w:r>
          </w:p>
        </w:tc>
        <w:tc>
          <w:tcPr>
            <w:tcW w:w="620" w:type="dxa"/>
            <w:vAlign w:val="bottom"/>
            <w:shd w:val="clear" w:color="auto" w:fill="CCD4DB"/>
          </w:tcPr>
          <w:p>
            <w:pPr>
              <w:spacing w:after="0"/>
              <w:rPr>
                <w:sz w:val="19"/>
                <w:szCs w:val="19"/>
                <w:color w:val="auto"/>
              </w:rPr>
            </w:pPr>
          </w:p>
        </w:tc>
        <w:tc>
          <w:tcPr>
            <w:tcW w:w="700" w:type="dxa"/>
            <w:vAlign w:val="bottom"/>
            <w:shd w:val="clear" w:color="auto" w:fill="CCD4DB"/>
          </w:tcPr>
          <w:p>
            <w:pPr>
              <w:spacing w:after="0"/>
              <w:rPr>
                <w:sz w:val="19"/>
                <w:szCs w:val="19"/>
                <w:color w:val="auto"/>
              </w:rPr>
            </w:pPr>
          </w:p>
        </w:tc>
        <w:tc>
          <w:tcPr>
            <w:tcW w:w="64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1280" w:type="dxa"/>
            <w:vAlign w:val="bottom"/>
            <w:tcBorders>
              <w:right w:val="single" w:sz="8" w:color="auto"/>
            </w:tcBorders>
            <w:shd w:val="clear" w:color="auto" w:fill="CCD4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9"/>
        </w:trPr>
        <w:tc>
          <w:tcPr>
            <w:tcW w:w="80" w:type="dxa"/>
            <w:vAlign w:val="bottom"/>
            <w:tcBorders>
              <w:right w:val="single" w:sz="8" w:color="auto"/>
            </w:tcBorders>
          </w:tcPr>
          <w:p>
            <w:pPr>
              <w:spacing w:after="0"/>
              <w:rPr>
                <w:sz w:val="16"/>
                <w:szCs w:val="16"/>
                <w:color w:val="auto"/>
              </w:rPr>
            </w:pPr>
          </w:p>
        </w:tc>
        <w:tc>
          <w:tcPr>
            <w:tcW w:w="1740" w:type="dxa"/>
            <w:vAlign w:val="bottom"/>
            <w:shd w:val="clear" w:color="auto" w:fill="CCD4DB"/>
          </w:tcPr>
          <w:p>
            <w:pPr>
              <w:spacing w:after="0"/>
              <w:rPr>
                <w:sz w:val="16"/>
                <w:szCs w:val="16"/>
                <w:color w:val="auto"/>
              </w:rPr>
            </w:pPr>
          </w:p>
        </w:tc>
        <w:tc>
          <w:tcPr>
            <w:tcW w:w="420" w:type="dxa"/>
            <w:vAlign w:val="bottom"/>
            <w:shd w:val="clear" w:color="auto" w:fill="CCD4DB"/>
          </w:tcPr>
          <w:p>
            <w:pPr>
              <w:spacing w:after="0"/>
              <w:rPr>
                <w:sz w:val="16"/>
                <w:szCs w:val="16"/>
                <w:color w:val="auto"/>
              </w:rPr>
            </w:pPr>
          </w:p>
        </w:tc>
        <w:tc>
          <w:tcPr>
            <w:tcW w:w="1120" w:type="dxa"/>
            <w:vAlign w:val="bottom"/>
            <w:shd w:val="clear" w:color="auto" w:fill="CCD4DB"/>
          </w:tcPr>
          <w:p>
            <w:pPr>
              <w:spacing w:after="0"/>
              <w:rPr>
                <w:sz w:val="16"/>
                <w:szCs w:val="16"/>
                <w:color w:val="auto"/>
              </w:rPr>
            </w:pP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Communications Inc.; Former President and CEO,</w:t>
            </w:r>
          </w:p>
        </w:tc>
        <w:tc>
          <w:tcPr>
            <w:tcW w:w="620" w:type="dxa"/>
            <w:vAlign w:val="bottom"/>
            <w:shd w:val="clear" w:color="auto" w:fill="CCD4DB"/>
          </w:tcPr>
          <w:p>
            <w:pPr>
              <w:spacing w:after="0"/>
              <w:rPr>
                <w:sz w:val="16"/>
                <w:szCs w:val="16"/>
                <w:color w:val="auto"/>
              </w:rPr>
            </w:pPr>
          </w:p>
        </w:tc>
        <w:tc>
          <w:tcPr>
            <w:tcW w:w="700" w:type="dxa"/>
            <w:vAlign w:val="bottom"/>
            <w:shd w:val="clear" w:color="auto" w:fill="CCD4DB"/>
          </w:tcPr>
          <w:p>
            <w:pPr>
              <w:spacing w:after="0"/>
              <w:rPr>
                <w:sz w:val="16"/>
                <w:szCs w:val="16"/>
                <w:color w:val="auto"/>
              </w:rPr>
            </w:pPr>
          </w:p>
        </w:tc>
        <w:tc>
          <w:tcPr>
            <w:tcW w:w="640" w:type="dxa"/>
            <w:vAlign w:val="bottom"/>
            <w:shd w:val="clear" w:color="auto" w:fill="CCD4DB"/>
          </w:tcPr>
          <w:p>
            <w:pPr>
              <w:spacing w:after="0"/>
              <w:rPr>
                <w:sz w:val="16"/>
                <w:szCs w:val="16"/>
                <w:color w:val="auto"/>
              </w:rPr>
            </w:pPr>
          </w:p>
        </w:tc>
        <w:tc>
          <w:tcPr>
            <w:tcW w:w="840" w:type="dxa"/>
            <w:vAlign w:val="bottom"/>
            <w:shd w:val="clear" w:color="auto" w:fill="CCD4DB"/>
          </w:tcPr>
          <w:p>
            <w:pPr>
              <w:spacing w:after="0"/>
              <w:rPr>
                <w:sz w:val="16"/>
                <w:szCs w:val="16"/>
                <w:color w:val="auto"/>
              </w:rPr>
            </w:pPr>
          </w:p>
        </w:tc>
        <w:tc>
          <w:tcPr>
            <w:tcW w:w="1280" w:type="dxa"/>
            <w:vAlign w:val="bottom"/>
            <w:tcBorders>
              <w:right w:val="single" w:sz="8" w:color="auto"/>
            </w:tcBorders>
            <w:shd w:val="clear" w:color="auto" w:fill="CCD4D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 w:type="dxa"/>
            <w:vAlign w:val="bottom"/>
            <w:tcBorders>
              <w:right w:val="single" w:sz="8" w:color="auto"/>
            </w:tcBorders>
          </w:tcPr>
          <w:p>
            <w:pPr>
              <w:spacing w:after="0"/>
              <w:rPr>
                <w:sz w:val="18"/>
                <w:szCs w:val="18"/>
                <w:color w:val="auto"/>
              </w:rPr>
            </w:pPr>
          </w:p>
        </w:tc>
        <w:tc>
          <w:tcPr>
            <w:tcW w:w="1740" w:type="dxa"/>
            <w:vAlign w:val="bottom"/>
            <w:shd w:val="clear" w:color="auto" w:fill="CCD4DB"/>
          </w:tcPr>
          <w:p>
            <w:pPr>
              <w:spacing w:after="0"/>
              <w:rPr>
                <w:sz w:val="18"/>
                <w:szCs w:val="18"/>
                <w:color w:val="auto"/>
              </w:rPr>
            </w:pPr>
          </w:p>
        </w:tc>
        <w:tc>
          <w:tcPr>
            <w:tcW w:w="420" w:type="dxa"/>
            <w:vAlign w:val="bottom"/>
            <w:shd w:val="clear" w:color="auto" w:fill="CCD4DB"/>
          </w:tcPr>
          <w:p>
            <w:pPr>
              <w:spacing w:after="0"/>
              <w:rPr>
                <w:sz w:val="18"/>
                <w:szCs w:val="18"/>
                <w:color w:val="auto"/>
              </w:rPr>
            </w:pPr>
          </w:p>
        </w:tc>
        <w:tc>
          <w:tcPr>
            <w:tcW w:w="1120" w:type="dxa"/>
            <w:vAlign w:val="bottom"/>
            <w:shd w:val="clear" w:color="auto" w:fill="CCD4DB"/>
          </w:tcPr>
          <w:p>
            <w:pPr>
              <w:spacing w:after="0"/>
              <w:rPr>
                <w:sz w:val="18"/>
                <w:szCs w:val="18"/>
                <w:color w:val="auto"/>
              </w:rPr>
            </w:pP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NAACP</w:t>
            </w:r>
          </w:p>
        </w:tc>
        <w:tc>
          <w:tcPr>
            <w:tcW w:w="620" w:type="dxa"/>
            <w:vAlign w:val="bottom"/>
            <w:shd w:val="clear" w:color="auto" w:fill="CCD4DB"/>
          </w:tcPr>
          <w:p>
            <w:pPr>
              <w:spacing w:after="0"/>
              <w:rPr>
                <w:sz w:val="18"/>
                <w:szCs w:val="18"/>
                <w:color w:val="auto"/>
              </w:rPr>
            </w:pPr>
          </w:p>
        </w:tc>
        <w:tc>
          <w:tcPr>
            <w:tcW w:w="700" w:type="dxa"/>
            <w:vAlign w:val="bottom"/>
            <w:shd w:val="clear" w:color="auto" w:fill="CCD4DB"/>
          </w:tcPr>
          <w:p>
            <w:pPr>
              <w:spacing w:after="0"/>
              <w:rPr>
                <w:sz w:val="18"/>
                <w:szCs w:val="18"/>
                <w:color w:val="auto"/>
              </w:rPr>
            </w:pPr>
          </w:p>
        </w:tc>
        <w:tc>
          <w:tcPr>
            <w:tcW w:w="640" w:type="dxa"/>
            <w:vAlign w:val="bottom"/>
            <w:shd w:val="clear" w:color="auto" w:fill="CCD4DB"/>
          </w:tcPr>
          <w:p>
            <w:pPr>
              <w:spacing w:after="0"/>
              <w:rPr>
                <w:sz w:val="18"/>
                <w:szCs w:val="18"/>
                <w:color w:val="auto"/>
              </w:rPr>
            </w:pPr>
          </w:p>
        </w:tc>
        <w:tc>
          <w:tcPr>
            <w:tcW w:w="840" w:type="dxa"/>
            <w:vAlign w:val="bottom"/>
            <w:shd w:val="clear" w:color="auto" w:fill="CCD4DB"/>
          </w:tcPr>
          <w:p>
            <w:pPr>
              <w:spacing w:after="0"/>
              <w:rPr>
                <w:sz w:val="18"/>
                <w:szCs w:val="18"/>
                <w:color w:val="auto"/>
              </w:rPr>
            </w:pPr>
          </w:p>
        </w:tc>
        <w:tc>
          <w:tcPr>
            <w:tcW w:w="1280" w:type="dxa"/>
            <w:vAlign w:val="bottom"/>
            <w:tcBorders>
              <w:right w:val="single" w:sz="8" w:color="auto"/>
            </w:tcBorders>
            <w:shd w:val="clear" w:color="auto" w:fill="CCD4DB"/>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Borders>
              <w:right w:val="single" w:sz="8" w:color="auto"/>
            </w:tcBorders>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6"/>
                <w:szCs w:val="16"/>
                <w:color w:val="auto"/>
              </w:rPr>
              <w:t>William H. Hernandez</w:t>
            </w:r>
          </w:p>
        </w:tc>
        <w:tc>
          <w:tcPr>
            <w:tcW w:w="420" w:type="dxa"/>
            <w:vAlign w:val="bottom"/>
          </w:tcPr>
          <w:p>
            <w:pPr>
              <w:ind w:left="160"/>
              <w:spacing w:after="0"/>
              <w:rPr>
                <w:sz w:val="20"/>
                <w:szCs w:val="20"/>
                <w:color w:val="auto"/>
              </w:rPr>
            </w:pPr>
            <w:r>
              <w:rPr>
                <w:rFonts w:ascii="Arial" w:cs="Arial" w:eastAsia="Arial" w:hAnsi="Arial"/>
                <w:sz w:val="16"/>
                <w:szCs w:val="16"/>
                <w:color w:val="auto"/>
              </w:rPr>
              <w:t>72</w:t>
            </w:r>
          </w:p>
        </w:tc>
        <w:tc>
          <w:tcPr>
            <w:tcW w:w="1120" w:type="dxa"/>
            <w:vAlign w:val="bottom"/>
          </w:tcPr>
          <w:p>
            <w:pPr>
              <w:ind w:left="420"/>
              <w:spacing w:after="0"/>
              <w:rPr>
                <w:sz w:val="20"/>
                <w:szCs w:val="20"/>
                <w:color w:val="auto"/>
              </w:rPr>
            </w:pPr>
            <w:r>
              <w:rPr>
                <w:rFonts w:ascii="Arial" w:cs="Arial" w:eastAsia="Arial" w:hAnsi="Arial"/>
                <w:sz w:val="16"/>
                <w:szCs w:val="16"/>
                <w:color w:val="auto"/>
              </w:rPr>
              <w:t>09/2013</w:t>
            </w:r>
          </w:p>
        </w:tc>
        <w:tc>
          <w:tcPr>
            <w:tcW w:w="3780" w:type="dxa"/>
            <w:vAlign w:val="bottom"/>
          </w:tcPr>
          <w:p>
            <w:pPr>
              <w:ind w:left="80"/>
              <w:spacing w:after="0"/>
              <w:rPr>
                <w:sz w:val="20"/>
                <w:szCs w:val="20"/>
                <w:color w:val="auto"/>
              </w:rPr>
            </w:pPr>
            <w:r>
              <w:rPr>
                <w:rFonts w:ascii="Arial" w:cs="Arial" w:eastAsia="Arial" w:hAnsi="Arial"/>
                <w:sz w:val="16"/>
                <w:szCs w:val="16"/>
                <w:color w:val="auto"/>
              </w:rPr>
              <w:t>Former Senior Vice President and CFO, PPG</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8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80" w:type="dxa"/>
            <w:vAlign w:val="bottom"/>
          </w:tcPr>
          <w:p>
            <w:pPr>
              <w:ind w:left="80"/>
              <w:spacing w:after="0"/>
              <w:rPr>
                <w:sz w:val="20"/>
                <w:szCs w:val="20"/>
                <w:color w:val="auto"/>
              </w:rPr>
            </w:pPr>
            <w:r>
              <w:rPr>
                <w:rFonts w:ascii="Arial" w:cs="Arial" w:eastAsia="Arial" w:hAnsi="Arial"/>
                <w:sz w:val="16"/>
                <w:szCs w:val="16"/>
                <w:color w:val="auto"/>
              </w:rPr>
              <w:t>Industries, Inc.</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0" w:type="dxa"/>
            <w:vAlign w:val="bottom"/>
            <w:tcBorders>
              <w:right w:val="single" w:sz="8" w:color="auto"/>
            </w:tcBorders>
          </w:tcPr>
          <w:p>
            <w:pPr>
              <w:spacing w:after="0"/>
              <w:rPr>
                <w:sz w:val="19"/>
                <w:szCs w:val="19"/>
                <w:color w:val="auto"/>
              </w:rPr>
            </w:pPr>
          </w:p>
        </w:tc>
        <w:tc>
          <w:tcPr>
            <w:tcW w:w="1740" w:type="dxa"/>
            <w:vAlign w:val="bottom"/>
            <w:shd w:val="clear" w:color="auto" w:fill="CCD4DB"/>
          </w:tcPr>
          <w:p>
            <w:pPr>
              <w:ind w:left="20"/>
              <w:spacing w:after="0"/>
              <w:rPr>
                <w:sz w:val="20"/>
                <w:szCs w:val="20"/>
                <w:color w:val="auto"/>
              </w:rPr>
            </w:pPr>
            <w:r>
              <w:rPr>
                <w:rFonts w:ascii="Arial" w:cs="Arial" w:eastAsia="Arial" w:hAnsi="Arial"/>
                <w:sz w:val="16"/>
                <w:szCs w:val="16"/>
                <w:color w:val="auto"/>
              </w:rPr>
              <w:t>Madeleine A. Kleiner</w:t>
            </w:r>
          </w:p>
        </w:tc>
        <w:tc>
          <w:tcPr>
            <w:tcW w:w="420" w:type="dxa"/>
            <w:vAlign w:val="bottom"/>
            <w:shd w:val="clear" w:color="auto" w:fill="CCD4DB"/>
          </w:tcPr>
          <w:p>
            <w:pPr>
              <w:ind w:left="160"/>
              <w:spacing w:after="0"/>
              <w:rPr>
                <w:sz w:val="20"/>
                <w:szCs w:val="20"/>
                <w:color w:val="auto"/>
              </w:rPr>
            </w:pPr>
            <w:r>
              <w:rPr>
                <w:rFonts w:ascii="Arial" w:cs="Arial" w:eastAsia="Arial" w:hAnsi="Arial"/>
                <w:sz w:val="16"/>
                <w:szCs w:val="16"/>
                <w:color w:val="auto"/>
              </w:rPr>
              <w:t>68</w:t>
            </w:r>
          </w:p>
        </w:tc>
        <w:tc>
          <w:tcPr>
            <w:tcW w:w="1120" w:type="dxa"/>
            <w:vAlign w:val="bottom"/>
            <w:shd w:val="clear" w:color="auto" w:fill="CCD4DB"/>
          </w:tcPr>
          <w:p>
            <w:pPr>
              <w:ind w:left="420"/>
              <w:spacing w:after="0"/>
              <w:rPr>
                <w:sz w:val="20"/>
                <w:szCs w:val="20"/>
                <w:color w:val="auto"/>
              </w:rPr>
            </w:pPr>
            <w:r>
              <w:rPr>
                <w:rFonts w:ascii="Arial" w:cs="Arial" w:eastAsia="Arial" w:hAnsi="Arial"/>
                <w:sz w:val="16"/>
                <w:szCs w:val="16"/>
                <w:color w:val="auto"/>
              </w:rPr>
              <w:t>10/2008</w:t>
            </w: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Former Executive Vice President and General</w:t>
            </w:r>
          </w:p>
        </w:tc>
        <w:tc>
          <w:tcPr>
            <w:tcW w:w="620" w:type="dxa"/>
            <w:vAlign w:val="bottom"/>
            <w:shd w:val="clear" w:color="auto" w:fill="CCD4DB"/>
          </w:tcPr>
          <w:p>
            <w:pPr>
              <w:spacing w:after="0"/>
              <w:rPr>
                <w:sz w:val="19"/>
                <w:szCs w:val="19"/>
                <w:color w:val="auto"/>
              </w:rPr>
            </w:pPr>
          </w:p>
        </w:tc>
        <w:tc>
          <w:tcPr>
            <w:tcW w:w="700" w:type="dxa"/>
            <w:vAlign w:val="bottom"/>
            <w:shd w:val="clear" w:color="auto" w:fill="CCD4DB"/>
          </w:tcPr>
          <w:p>
            <w:pPr>
              <w:spacing w:after="0"/>
              <w:rPr>
                <w:sz w:val="19"/>
                <w:szCs w:val="19"/>
                <w:color w:val="auto"/>
              </w:rPr>
            </w:pPr>
          </w:p>
        </w:tc>
        <w:tc>
          <w:tcPr>
            <w:tcW w:w="64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1280" w:type="dxa"/>
            <w:vAlign w:val="bottom"/>
            <w:tcBorders>
              <w:right w:val="single" w:sz="8" w:color="auto"/>
            </w:tcBorders>
            <w:shd w:val="clear" w:color="auto" w:fill="CCD4DB"/>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80" w:type="dxa"/>
            <w:vAlign w:val="bottom"/>
            <w:tcBorders>
              <w:right w:val="single" w:sz="8" w:color="auto"/>
            </w:tcBorders>
          </w:tcPr>
          <w:p>
            <w:pPr>
              <w:spacing w:after="0"/>
              <w:rPr>
                <w:sz w:val="18"/>
                <w:szCs w:val="18"/>
                <w:color w:val="auto"/>
              </w:rPr>
            </w:pPr>
          </w:p>
        </w:tc>
        <w:tc>
          <w:tcPr>
            <w:tcW w:w="1740" w:type="dxa"/>
            <w:vAlign w:val="bottom"/>
            <w:shd w:val="clear" w:color="auto" w:fill="CCD4DB"/>
          </w:tcPr>
          <w:p>
            <w:pPr>
              <w:spacing w:after="0"/>
              <w:rPr>
                <w:sz w:val="18"/>
                <w:szCs w:val="18"/>
                <w:color w:val="auto"/>
              </w:rPr>
            </w:pPr>
          </w:p>
        </w:tc>
        <w:tc>
          <w:tcPr>
            <w:tcW w:w="420" w:type="dxa"/>
            <w:vAlign w:val="bottom"/>
            <w:shd w:val="clear" w:color="auto" w:fill="CCD4DB"/>
          </w:tcPr>
          <w:p>
            <w:pPr>
              <w:spacing w:after="0"/>
              <w:rPr>
                <w:sz w:val="18"/>
                <w:szCs w:val="18"/>
                <w:color w:val="auto"/>
              </w:rPr>
            </w:pPr>
          </w:p>
        </w:tc>
        <w:tc>
          <w:tcPr>
            <w:tcW w:w="1120" w:type="dxa"/>
            <w:vAlign w:val="bottom"/>
            <w:shd w:val="clear" w:color="auto" w:fill="CCD4DB"/>
          </w:tcPr>
          <w:p>
            <w:pPr>
              <w:spacing w:after="0"/>
              <w:rPr>
                <w:sz w:val="18"/>
                <w:szCs w:val="18"/>
                <w:color w:val="auto"/>
              </w:rPr>
            </w:pP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Counsel, Hilton Hotels Corporation</w:t>
            </w:r>
          </w:p>
        </w:tc>
        <w:tc>
          <w:tcPr>
            <w:tcW w:w="620" w:type="dxa"/>
            <w:vAlign w:val="bottom"/>
            <w:shd w:val="clear" w:color="auto" w:fill="CCD4DB"/>
          </w:tcPr>
          <w:p>
            <w:pPr>
              <w:spacing w:after="0"/>
              <w:rPr>
                <w:sz w:val="18"/>
                <w:szCs w:val="18"/>
                <w:color w:val="auto"/>
              </w:rPr>
            </w:pPr>
          </w:p>
        </w:tc>
        <w:tc>
          <w:tcPr>
            <w:tcW w:w="700" w:type="dxa"/>
            <w:vAlign w:val="bottom"/>
            <w:shd w:val="clear" w:color="auto" w:fill="CCD4DB"/>
          </w:tcPr>
          <w:p>
            <w:pPr>
              <w:spacing w:after="0"/>
              <w:rPr>
                <w:sz w:val="18"/>
                <w:szCs w:val="18"/>
                <w:color w:val="auto"/>
              </w:rPr>
            </w:pPr>
          </w:p>
        </w:tc>
        <w:tc>
          <w:tcPr>
            <w:tcW w:w="640" w:type="dxa"/>
            <w:vAlign w:val="bottom"/>
            <w:shd w:val="clear" w:color="auto" w:fill="CCD4DB"/>
          </w:tcPr>
          <w:p>
            <w:pPr>
              <w:spacing w:after="0"/>
              <w:rPr>
                <w:sz w:val="18"/>
                <w:szCs w:val="18"/>
                <w:color w:val="auto"/>
              </w:rPr>
            </w:pPr>
          </w:p>
        </w:tc>
        <w:tc>
          <w:tcPr>
            <w:tcW w:w="840" w:type="dxa"/>
            <w:vAlign w:val="bottom"/>
            <w:shd w:val="clear" w:color="auto" w:fill="CCD4DB"/>
          </w:tcPr>
          <w:p>
            <w:pPr>
              <w:spacing w:after="0"/>
              <w:rPr>
                <w:sz w:val="18"/>
                <w:szCs w:val="18"/>
                <w:color w:val="auto"/>
              </w:rPr>
            </w:pPr>
          </w:p>
        </w:tc>
        <w:tc>
          <w:tcPr>
            <w:tcW w:w="1280" w:type="dxa"/>
            <w:vAlign w:val="bottom"/>
            <w:tcBorders>
              <w:right w:val="single" w:sz="8" w:color="auto"/>
            </w:tcBorders>
            <w:shd w:val="clear" w:color="auto" w:fill="CCD4DB"/>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Borders>
              <w:right w:val="single" w:sz="8" w:color="auto"/>
            </w:tcBorders>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6"/>
                <w:szCs w:val="16"/>
                <w:color w:val="auto"/>
              </w:rPr>
              <w:t>Karl J. Krapek</w:t>
            </w:r>
          </w:p>
        </w:tc>
        <w:tc>
          <w:tcPr>
            <w:tcW w:w="420" w:type="dxa"/>
            <w:vAlign w:val="bottom"/>
          </w:tcPr>
          <w:p>
            <w:pPr>
              <w:ind w:left="160"/>
              <w:spacing w:after="0"/>
              <w:rPr>
                <w:sz w:val="20"/>
                <w:szCs w:val="20"/>
                <w:color w:val="auto"/>
              </w:rPr>
            </w:pPr>
            <w:r>
              <w:rPr>
                <w:rFonts w:ascii="Arial" w:cs="Arial" w:eastAsia="Arial" w:hAnsi="Arial"/>
                <w:sz w:val="16"/>
                <w:szCs w:val="16"/>
                <w:color w:val="auto"/>
              </w:rPr>
              <w:t>71</w:t>
            </w:r>
          </w:p>
        </w:tc>
        <w:tc>
          <w:tcPr>
            <w:tcW w:w="1120" w:type="dxa"/>
            <w:vAlign w:val="bottom"/>
          </w:tcPr>
          <w:p>
            <w:pPr>
              <w:ind w:left="420"/>
              <w:spacing w:after="0"/>
              <w:rPr>
                <w:sz w:val="20"/>
                <w:szCs w:val="20"/>
                <w:color w:val="auto"/>
              </w:rPr>
            </w:pPr>
            <w:r>
              <w:rPr>
                <w:rFonts w:ascii="Arial" w:cs="Arial" w:eastAsia="Arial" w:hAnsi="Arial"/>
                <w:sz w:val="16"/>
                <w:szCs w:val="16"/>
                <w:color w:val="auto"/>
              </w:rPr>
              <w:t>09/2008</w:t>
            </w:r>
          </w:p>
        </w:tc>
        <w:tc>
          <w:tcPr>
            <w:tcW w:w="3780" w:type="dxa"/>
            <w:vAlign w:val="bottom"/>
          </w:tcPr>
          <w:p>
            <w:pPr>
              <w:ind w:left="80"/>
              <w:spacing w:after="0"/>
              <w:rPr>
                <w:sz w:val="20"/>
                <w:szCs w:val="20"/>
                <w:color w:val="auto"/>
              </w:rPr>
            </w:pPr>
            <w:r>
              <w:rPr>
                <w:rFonts w:ascii="Arial" w:cs="Arial" w:eastAsia="Arial" w:hAnsi="Arial"/>
                <w:sz w:val="16"/>
                <w:szCs w:val="16"/>
                <w:color w:val="auto"/>
              </w:rPr>
              <w:t>Former President and COO, United Technologies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8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80" w:type="dxa"/>
            <w:vAlign w:val="bottom"/>
          </w:tcPr>
          <w:p>
            <w:pPr>
              <w:ind w:left="80"/>
              <w:spacing w:after="0"/>
              <w:rPr>
                <w:sz w:val="20"/>
                <w:szCs w:val="20"/>
                <w:color w:val="auto"/>
              </w:rPr>
            </w:pPr>
            <w:r>
              <w:rPr>
                <w:rFonts w:ascii="Arial" w:cs="Arial" w:eastAsia="Arial" w:hAnsi="Arial"/>
                <w:sz w:val="16"/>
                <w:szCs w:val="16"/>
                <w:color w:val="auto"/>
              </w:rPr>
              <w:t>Corporation</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0" w:type="dxa"/>
            <w:vAlign w:val="bottom"/>
            <w:tcBorders>
              <w:right w:val="single" w:sz="8" w:color="auto"/>
            </w:tcBorders>
          </w:tcPr>
          <w:p>
            <w:pPr>
              <w:spacing w:after="0"/>
              <w:rPr>
                <w:sz w:val="19"/>
                <w:szCs w:val="19"/>
                <w:color w:val="auto"/>
              </w:rPr>
            </w:pPr>
          </w:p>
        </w:tc>
        <w:tc>
          <w:tcPr>
            <w:tcW w:w="1740" w:type="dxa"/>
            <w:vAlign w:val="bottom"/>
            <w:shd w:val="clear" w:color="auto" w:fill="CCD4DB"/>
          </w:tcPr>
          <w:p>
            <w:pPr>
              <w:ind w:left="20"/>
              <w:spacing w:after="0"/>
              <w:rPr>
                <w:sz w:val="20"/>
                <w:szCs w:val="20"/>
                <w:color w:val="auto"/>
              </w:rPr>
            </w:pPr>
            <w:r>
              <w:rPr>
                <w:rFonts w:ascii="Arial" w:cs="Arial" w:eastAsia="Arial" w:hAnsi="Arial"/>
                <w:sz w:val="16"/>
                <w:szCs w:val="16"/>
                <w:color w:val="auto"/>
              </w:rPr>
              <w:t>Gary Roughead</w:t>
            </w:r>
          </w:p>
        </w:tc>
        <w:tc>
          <w:tcPr>
            <w:tcW w:w="420" w:type="dxa"/>
            <w:vAlign w:val="bottom"/>
            <w:shd w:val="clear" w:color="auto" w:fill="CCD4DB"/>
          </w:tcPr>
          <w:p>
            <w:pPr>
              <w:ind w:left="160"/>
              <w:spacing w:after="0"/>
              <w:rPr>
                <w:sz w:val="20"/>
                <w:szCs w:val="20"/>
                <w:color w:val="auto"/>
              </w:rPr>
            </w:pPr>
            <w:r>
              <w:rPr>
                <w:rFonts w:ascii="Arial" w:cs="Arial" w:eastAsia="Arial" w:hAnsi="Arial"/>
                <w:sz w:val="16"/>
                <w:szCs w:val="16"/>
                <w:color w:val="auto"/>
              </w:rPr>
              <w:t>68</w:t>
            </w:r>
          </w:p>
        </w:tc>
        <w:tc>
          <w:tcPr>
            <w:tcW w:w="1120" w:type="dxa"/>
            <w:vAlign w:val="bottom"/>
            <w:shd w:val="clear" w:color="auto" w:fill="CCD4DB"/>
          </w:tcPr>
          <w:p>
            <w:pPr>
              <w:ind w:left="420"/>
              <w:spacing w:after="0"/>
              <w:rPr>
                <w:sz w:val="20"/>
                <w:szCs w:val="20"/>
                <w:color w:val="auto"/>
              </w:rPr>
            </w:pPr>
            <w:r>
              <w:rPr>
                <w:rFonts w:ascii="Arial" w:cs="Arial" w:eastAsia="Arial" w:hAnsi="Arial"/>
                <w:sz w:val="16"/>
                <w:szCs w:val="16"/>
                <w:color w:val="auto"/>
              </w:rPr>
              <w:t>02/2012</w:t>
            </w: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Retired Admiral, United States Navy and Former</w:t>
            </w:r>
          </w:p>
        </w:tc>
        <w:tc>
          <w:tcPr>
            <w:tcW w:w="620" w:type="dxa"/>
            <w:vAlign w:val="bottom"/>
            <w:shd w:val="clear" w:color="auto" w:fill="CCD4DB"/>
          </w:tcPr>
          <w:p>
            <w:pPr>
              <w:spacing w:after="0"/>
              <w:rPr>
                <w:sz w:val="19"/>
                <w:szCs w:val="19"/>
                <w:color w:val="auto"/>
              </w:rPr>
            </w:pPr>
          </w:p>
        </w:tc>
        <w:tc>
          <w:tcPr>
            <w:tcW w:w="700" w:type="dxa"/>
            <w:vAlign w:val="bottom"/>
            <w:shd w:val="clear" w:color="auto" w:fill="CCD4DB"/>
          </w:tcPr>
          <w:p>
            <w:pPr>
              <w:spacing w:after="0"/>
              <w:rPr>
                <w:sz w:val="19"/>
                <w:szCs w:val="19"/>
                <w:color w:val="auto"/>
              </w:rPr>
            </w:pPr>
          </w:p>
        </w:tc>
        <w:tc>
          <w:tcPr>
            <w:tcW w:w="64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1280" w:type="dxa"/>
            <w:vAlign w:val="bottom"/>
            <w:tcBorders>
              <w:right w:val="single" w:sz="8" w:color="auto"/>
            </w:tcBorders>
            <w:shd w:val="clear" w:color="auto" w:fill="CCD4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4"/>
        </w:trPr>
        <w:tc>
          <w:tcPr>
            <w:tcW w:w="80" w:type="dxa"/>
            <w:vAlign w:val="bottom"/>
            <w:tcBorders>
              <w:right w:val="single" w:sz="8" w:color="auto"/>
            </w:tcBorders>
          </w:tcPr>
          <w:p>
            <w:pPr>
              <w:spacing w:after="0"/>
              <w:rPr>
                <w:sz w:val="18"/>
                <w:szCs w:val="18"/>
                <w:color w:val="auto"/>
              </w:rPr>
            </w:pPr>
          </w:p>
        </w:tc>
        <w:tc>
          <w:tcPr>
            <w:tcW w:w="1740" w:type="dxa"/>
            <w:vAlign w:val="bottom"/>
            <w:shd w:val="clear" w:color="auto" w:fill="CCD4DB"/>
          </w:tcPr>
          <w:p>
            <w:pPr>
              <w:spacing w:after="0"/>
              <w:rPr>
                <w:sz w:val="18"/>
                <w:szCs w:val="18"/>
                <w:color w:val="auto"/>
              </w:rPr>
            </w:pPr>
          </w:p>
        </w:tc>
        <w:tc>
          <w:tcPr>
            <w:tcW w:w="420" w:type="dxa"/>
            <w:vAlign w:val="bottom"/>
            <w:shd w:val="clear" w:color="auto" w:fill="CCD4DB"/>
          </w:tcPr>
          <w:p>
            <w:pPr>
              <w:spacing w:after="0"/>
              <w:rPr>
                <w:sz w:val="18"/>
                <w:szCs w:val="18"/>
                <w:color w:val="auto"/>
              </w:rPr>
            </w:pPr>
          </w:p>
        </w:tc>
        <w:tc>
          <w:tcPr>
            <w:tcW w:w="1120" w:type="dxa"/>
            <w:vAlign w:val="bottom"/>
            <w:shd w:val="clear" w:color="auto" w:fill="CCD4DB"/>
          </w:tcPr>
          <w:p>
            <w:pPr>
              <w:spacing w:after="0"/>
              <w:rPr>
                <w:sz w:val="18"/>
                <w:szCs w:val="18"/>
                <w:color w:val="auto"/>
              </w:rPr>
            </w:pP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Chief of Naval Operations</w:t>
            </w:r>
          </w:p>
        </w:tc>
        <w:tc>
          <w:tcPr>
            <w:tcW w:w="620" w:type="dxa"/>
            <w:vAlign w:val="bottom"/>
            <w:shd w:val="clear" w:color="auto" w:fill="CCD4DB"/>
          </w:tcPr>
          <w:p>
            <w:pPr>
              <w:spacing w:after="0"/>
              <w:rPr>
                <w:sz w:val="18"/>
                <w:szCs w:val="18"/>
                <w:color w:val="auto"/>
              </w:rPr>
            </w:pPr>
          </w:p>
        </w:tc>
        <w:tc>
          <w:tcPr>
            <w:tcW w:w="700" w:type="dxa"/>
            <w:vAlign w:val="bottom"/>
            <w:shd w:val="clear" w:color="auto" w:fill="CCD4DB"/>
          </w:tcPr>
          <w:p>
            <w:pPr>
              <w:spacing w:after="0"/>
              <w:rPr>
                <w:sz w:val="18"/>
                <w:szCs w:val="18"/>
                <w:color w:val="auto"/>
              </w:rPr>
            </w:pPr>
          </w:p>
        </w:tc>
        <w:tc>
          <w:tcPr>
            <w:tcW w:w="640" w:type="dxa"/>
            <w:vAlign w:val="bottom"/>
            <w:shd w:val="clear" w:color="auto" w:fill="CCD4DB"/>
          </w:tcPr>
          <w:p>
            <w:pPr>
              <w:spacing w:after="0"/>
              <w:rPr>
                <w:sz w:val="18"/>
                <w:szCs w:val="18"/>
                <w:color w:val="auto"/>
              </w:rPr>
            </w:pPr>
          </w:p>
        </w:tc>
        <w:tc>
          <w:tcPr>
            <w:tcW w:w="840" w:type="dxa"/>
            <w:vAlign w:val="bottom"/>
            <w:shd w:val="clear" w:color="auto" w:fill="CCD4DB"/>
          </w:tcPr>
          <w:p>
            <w:pPr>
              <w:spacing w:after="0"/>
              <w:rPr>
                <w:sz w:val="18"/>
                <w:szCs w:val="18"/>
                <w:color w:val="auto"/>
              </w:rPr>
            </w:pPr>
          </w:p>
        </w:tc>
        <w:tc>
          <w:tcPr>
            <w:tcW w:w="1280" w:type="dxa"/>
            <w:vAlign w:val="bottom"/>
            <w:tcBorders>
              <w:right w:val="single" w:sz="8" w:color="auto"/>
            </w:tcBorders>
            <w:shd w:val="clear" w:color="auto" w:fill="CCD4DB"/>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Borders>
              <w:right w:val="single" w:sz="8" w:color="auto"/>
            </w:tcBorders>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6"/>
                <w:szCs w:val="16"/>
                <w:color w:val="auto"/>
              </w:rPr>
              <w:t>Thomas M. Schoewe</w:t>
            </w:r>
          </w:p>
        </w:tc>
        <w:tc>
          <w:tcPr>
            <w:tcW w:w="420" w:type="dxa"/>
            <w:vAlign w:val="bottom"/>
          </w:tcPr>
          <w:p>
            <w:pPr>
              <w:ind w:left="160"/>
              <w:spacing w:after="0"/>
              <w:rPr>
                <w:sz w:val="20"/>
                <w:szCs w:val="20"/>
                <w:color w:val="auto"/>
              </w:rPr>
            </w:pPr>
            <w:r>
              <w:rPr>
                <w:rFonts w:ascii="Arial" w:cs="Arial" w:eastAsia="Arial" w:hAnsi="Arial"/>
                <w:sz w:val="16"/>
                <w:szCs w:val="16"/>
                <w:color w:val="auto"/>
              </w:rPr>
              <w:t>67</w:t>
            </w:r>
          </w:p>
        </w:tc>
        <w:tc>
          <w:tcPr>
            <w:tcW w:w="1120" w:type="dxa"/>
            <w:vAlign w:val="bottom"/>
          </w:tcPr>
          <w:p>
            <w:pPr>
              <w:ind w:left="420"/>
              <w:spacing w:after="0"/>
              <w:rPr>
                <w:sz w:val="20"/>
                <w:szCs w:val="20"/>
                <w:color w:val="auto"/>
              </w:rPr>
            </w:pPr>
            <w:r>
              <w:rPr>
                <w:rFonts w:ascii="Arial" w:cs="Arial" w:eastAsia="Arial" w:hAnsi="Arial"/>
                <w:sz w:val="16"/>
                <w:szCs w:val="16"/>
                <w:color w:val="auto"/>
              </w:rPr>
              <w:t>08/2011</w:t>
            </w:r>
          </w:p>
        </w:tc>
        <w:tc>
          <w:tcPr>
            <w:tcW w:w="3780" w:type="dxa"/>
            <w:vAlign w:val="bottom"/>
          </w:tcPr>
          <w:p>
            <w:pPr>
              <w:ind w:left="80"/>
              <w:spacing w:after="0"/>
              <w:rPr>
                <w:sz w:val="20"/>
                <w:szCs w:val="20"/>
                <w:color w:val="auto"/>
              </w:rPr>
            </w:pPr>
            <w:r>
              <w:rPr>
                <w:rFonts w:ascii="Arial" w:cs="Arial" w:eastAsia="Arial" w:hAnsi="Arial"/>
                <w:sz w:val="16"/>
                <w:szCs w:val="16"/>
                <w:color w:val="auto"/>
              </w:rPr>
              <w:t>Former Executive Vice President and CFO, Wal-</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8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80" w:type="dxa"/>
            <w:vAlign w:val="bottom"/>
          </w:tcPr>
          <w:p>
            <w:pPr>
              <w:ind w:left="80"/>
              <w:spacing w:after="0"/>
              <w:rPr>
                <w:sz w:val="20"/>
                <w:szCs w:val="20"/>
                <w:color w:val="auto"/>
              </w:rPr>
            </w:pPr>
            <w:r>
              <w:rPr>
                <w:rFonts w:ascii="Arial" w:cs="Arial" w:eastAsia="Arial" w:hAnsi="Arial"/>
                <w:sz w:val="16"/>
                <w:szCs w:val="16"/>
                <w:color w:val="auto"/>
              </w:rPr>
              <w:t>Mart Stores, Inc.</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0" w:type="dxa"/>
            <w:vAlign w:val="bottom"/>
            <w:tcBorders>
              <w:right w:val="single" w:sz="8" w:color="auto"/>
            </w:tcBorders>
          </w:tcPr>
          <w:p>
            <w:pPr>
              <w:spacing w:after="0"/>
              <w:rPr>
                <w:sz w:val="19"/>
                <w:szCs w:val="19"/>
                <w:color w:val="auto"/>
              </w:rPr>
            </w:pPr>
          </w:p>
        </w:tc>
        <w:tc>
          <w:tcPr>
            <w:tcW w:w="1740" w:type="dxa"/>
            <w:vAlign w:val="bottom"/>
            <w:shd w:val="clear" w:color="auto" w:fill="CCD4DB"/>
          </w:tcPr>
          <w:p>
            <w:pPr>
              <w:ind w:left="20"/>
              <w:spacing w:after="0"/>
              <w:rPr>
                <w:sz w:val="20"/>
                <w:szCs w:val="20"/>
                <w:color w:val="auto"/>
              </w:rPr>
            </w:pPr>
            <w:r>
              <w:rPr>
                <w:rFonts w:ascii="Arial" w:cs="Arial" w:eastAsia="Arial" w:hAnsi="Arial"/>
                <w:sz w:val="16"/>
                <w:szCs w:val="16"/>
                <w:color w:val="auto"/>
              </w:rPr>
              <w:t>James S. Turley</w:t>
            </w:r>
          </w:p>
        </w:tc>
        <w:tc>
          <w:tcPr>
            <w:tcW w:w="420" w:type="dxa"/>
            <w:vAlign w:val="bottom"/>
            <w:shd w:val="clear" w:color="auto" w:fill="CCD4DB"/>
          </w:tcPr>
          <w:p>
            <w:pPr>
              <w:ind w:left="160"/>
              <w:spacing w:after="0"/>
              <w:rPr>
                <w:sz w:val="20"/>
                <w:szCs w:val="20"/>
                <w:color w:val="auto"/>
              </w:rPr>
            </w:pPr>
            <w:r>
              <w:rPr>
                <w:rFonts w:ascii="Arial" w:cs="Arial" w:eastAsia="Arial" w:hAnsi="Arial"/>
                <w:sz w:val="16"/>
                <w:szCs w:val="16"/>
                <w:color w:val="auto"/>
              </w:rPr>
              <w:t>64</w:t>
            </w:r>
          </w:p>
        </w:tc>
        <w:tc>
          <w:tcPr>
            <w:tcW w:w="1120" w:type="dxa"/>
            <w:vAlign w:val="bottom"/>
            <w:shd w:val="clear" w:color="auto" w:fill="CCD4DB"/>
          </w:tcPr>
          <w:p>
            <w:pPr>
              <w:ind w:left="420"/>
              <w:spacing w:after="0"/>
              <w:rPr>
                <w:sz w:val="20"/>
                <w:szCs w:val="20"/>
                <w:color w:val="auto"/>
              </w:rPr>
            </w:pPr>
            <w:r>
              <w:rPr>
                <w:rFonts w:ascii="Arial" w:cs="Arial" w:eastAsia="Arial" w:hAnsi="Arial"/>
                <w:sz w:val="16"/>
                <w:szCs w:val="16"/>
                <w:color w:val="auto"/>
              </w:rPr>
              <w:t>02/2015</w:t>
            </w: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Former Chairman and Chief Executive Officer,</w:t>
            </w:r>
          </w:p>
        </w:tc>
        <w:tc>
          <w:tcPr>
            <w:tcW w:w="620" w:type="dxa"/>
            <w:vAlign w:val="bottom"/>
            <w:shd w:val="clear" w:color="auto" w:fill="CCD4DB"/>
          </w:tcPr>
          <w:p>
            <w:pPr>
              <w:spacing w:after="0"/>
              <w:rPr>
                <w:sz w:val="19"/>
                <w:szCs w:val="19"/>
                <w:color w:val="auto"/>
              </w:rPr>
            </w:pPr>
          </w:p>
        </w:tc>
        <w:tc>
          <w:tcPr>
            <w:tcW w:w="700" w:type="dxa"/>
            <w:vAlign w:val="bottom"/>
            <w:shd w:val="clear" w:color="auto" w:fill="CCD4DB"/>
          </w:tcPr>
          <w:p>
            <w:pPr>
              <w:spacing w:after="0"/>
              <w:rPr>
                <w:sz w:val="19"/>
                <w:szCs w:val="19"/>
                <w:color w:val="auto"/>
              </w:rPr>
            </w:pPr>
          </w:p>
        </w:tc>
        <w:tc>
          <w:tcPr>
            <w:tcW w:w="64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1280" w:type="dxa"/>
            <w:vAlign w:val="bottom"/>
            <w:tcBorders>
              <w:right w:val="single" w:sz="8" w:color="auto"/>
            </w:tcBorders>
            <w:shd w:val="clear" w:color="auto" w:fill="CCD4DB"/>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80" w:type="dxa"/>
            <w:vAlign w:val="bottom"/>
            <w:tcBorders>
              <w:right w:val="single" w:sz="8" w:color="auto"/>
            </w:tcBorders>
          </w:tcPr>
          <w:p>
            <w:pPr>
              <w:spacing w:after="0"/>
              <w:rPr>
                <w:sz w:val="18"/>
                <w:szCs w:val="18"/>
                <w:color w:val="auto"/>
              </w:rPr>
            </w:pPr>
          </w:p>
        </w:tc>
        <w:tc>
          <w:tcPr>
            <w:tcW w:w="1740" w:type="dxa"/>
            <w:vAlign w:val="bottom"/>
            <w:shd w:val="clear" w:color="auto" w:fill="CCD4DB"/>
          </w:tcPr>
          <w:p>
            <w:pPr>
              <w:spacing w:after="0"/>
              <w:rPr>
                <w:sz w:val="18"/>
                <w:szCs w:val="18"/>
                <w:color w:val="auto"/>
              </w:rPr>
            </w:pPr>
          </w:p>
        </w:tc>
        <w:tc>
          <w:tcPr>
            <w:tcW w:w="420" w:type="dxa"/>
            <w:vAlign w:val="bottom"/>
            <w:shd w:val="clear" w:color="auto" w:fill="CCD4DB"/>
          </w:tcPr>
          <w:p>
            <w:pPr>
              <w:spacing w:after="0"/>
              <w:rPr>
                <w:sz w:val="18"/>
                <w:szCs w:val="18"/>
                <w:color w:val="auto"/>
              </w:rPr>
            </w:pPr>
          </w:p>
        </w:tc>
        <w:tc>
          <w:tcPr>
            <w:tcW w:w="1120" w:type="dxa"/>
            <w:vAlign w:val="bottom"/>
            <w:shd w:val="clear" w:color="auto" w:fill="CCD4DB"/>
          </w:tcPr>
          <w:p>
            <w:pPr>
              <w:spacing w:after="0"/>
              <w:rPr>
                <w:sz w:val="18"/>
                <w:szCs w:val="18"/>
                <w:color w:val="auto"/>
              </w:rPr>
            </w:pP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Ernst &amp; Young</w:t>
            </w:r>
          </w:p>
        </w:tc>
        <w:tc>
          <w:tcPr>
            <w:tcW w:w="620" w:type="dxa"/>
            <w:vAlign w:val="bottom"/>
            <w:shd w:val="clear" w:color="auto" w:fill="CCD4DB"/>
          </w:tcPr>
          <w:p>
            <w:pPr>
              <w:spacing w:after="0"/>
              <w:rPr>
                <w:sz w:val="18"/>
                <w:szCs w:val="18"/>
                <w:color w:val="auto"/>
              </w:rPr>
            </w:pPr>
          </w:p>
        </w:tc>
        <w:tc>
          <w:tcPr>
            <w:tcW w:w="700" w:type="dxa"/>
            <w:vAlign w:val="bottom"/>
            <w:shd w:val="clear" w:color="auto" w:fill="CCD4DB"/>
          </w:tcPr>
          <w:p>
            <w:pPr>
              <w:spacing w:after="0"/>
              <w:rPr>
                <w:sz w:val="18"/>
                <w:szCs w:val="18"/>
                <w:color w:val="auto"/>
              </w:rPr>
            </w:pPr>
          </w:p>
        </w:tc>
        <w:tc>
          <w:tcPr>
            <w:tcW w:w="640" w:type="dxa"/>
            <w:vAlign w:val="bottom"/>
            <w:shd w:val="clear" w:color="auto" w:fill="CCD4DB"/>
          </w:tcPr>
          <w:p>
            <w:pPr>
              <w:spacing w:after="0"/>
              <w:rPr>
                <w:sz w:val="18"/>
                <w:szCs w:val="18"/>
                <w:color w:val="auto"/>
              </w:rPr>
            </w:pPr>
          </w:p>
        </w:tc>
        <w:tc>
          <w:tcPr>
            <w:tcW w:w="840" w:type="dxa"/>
            <w:vAlign w:val="bottom"/>
            <w:shd w:val="clear" w:color="auto" w:fill="CCD4DB"/>
          </w:tcPr>
          <w:p>
            <w:pPr>
              <w:spacing w:after="0"/>
              <w:rPr>
                <w:sz w:val="18"/>
                <w:szCs w:val="18"/>
                <w:color w:val="auto"/>
              </w:rPr>
            </w:pPr>
          </w:p>
        </w:tc>
        <w:tc>
          <w:tcPr>
            <w:tcW w:w="1280" w:type="dxa"/>
            <w:vAlign w:val="bottom"/>
            <w:tcBorders>
              <w:right w:val="single" w:sz="8" w:color="auto"/>
            </w:tcBorders>
            <w:shd w:val="clear" w:color="auto" w:fill="CCD4DB"/>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Borders>
              <w:right w:val="single" w:sz="8" w:color="auto"/>
            </w:tcBorders>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6"/>
                <w:szCs w:val="16"/>
                <w:color w:val="auto"/>
              </w:rPr>
              <w:t>Kathy J. Warden</w:t>
            </w:r>
          </w:p>
        </w:tc>
        <w:tc>
          <w:tcPr>
            <w:tcW w:w="420" w:type="dxa"/>
            <w:vAlign w:val="bottom"/>
          </w:tcPr>
          <w:p>
            <w:pPr>
              <w:ind w:left="160"/>
              <w:spacing w:after="0"/>
              <w:rPr>
                <w:sz w:val="20"/>
                <w:szCs w:val="20"/>
                <w:color w:val="auto"/>
              </w:rPr>
            </w:pPr>
            <w:r>
              <w:rPr>
                <w:rFonts w:ascii="Arial" w:cs="Arial" w:eastAsia="Arial" w:hAnsi="Arial"/>
                <w:sz w:val="16"/>
                <w:szCs w:val="16"/>
                <w:color w:val="auto"/>
              </w:rPr>
              <w:t>48</w:t>
            </w:r>
          </w:p>
        </w:tc>
        <w:tc>
          <w:tcPr>
            <w:tcW w:w="1120" w:type="dxa"/>
            <w:vAlign w:val="bottom"/>
          </w:tcPr>
          <w:p>
            <w:pPr>
              <w:ind w:left="420"/>
              <w:spacing w:after="0"/>
              <w:rPr>
                <w:sz w:val="20"/>
                <w:szCs w:val="20"/>
                <w:color w:val="auto"/>
              </w:rPr>
            </w:pPr>
            <w:r>
              <w:rPr>
                <w:rFonts w:ascii="Arial" w:cs="Arial" w:eastAsia="Arial" w:hAnsi="Arial"/>
                <w:sz w:val="16"/>
                <w:szCs w:val="16"/>
                <w:color w:val="auto"/>
              </w:rPr>
              <w:t>07/2018</w:t>
            </w:r>
          </w:p>
        </w:tc>
        <w:tc>
          <w:tcPr>
            <w:tcW w:w="3780" w:type="dxa"/>
            <w:vAlign w:val="bottom"/>
          </w:tcPr>
          <w:p>
            <w:pPr>
              <w:ind w:left="80"/>
              <w:spacing w:after="0"/>
              <w:rPr>
                <w:sz w:val="20"/>
                <w:szCs w:val="20"/>
                <w:color w:val="auto"/>
              </w:rPr>
            </w:pPr>
            <w:r>
              <w:rPr>
                <w:rFonts w:ascii="Arial" w:cs="Arial" w:eastAsia="Arial" w:hAnsi="Arial"/>
                <w:sz w:val="16"/>
                <w:szCs w:val="16"/>
                <w:color w:val="auto"/>
              </w:rPr>
              <w:t>Chairman, Chief Executive Officer and President,</w:t>
            </w:r>
          </w:p>
        </w:tc>
        <w:tc>
          <w:tcPr>
            <w:tcW w:w="6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80" w:type="dxa"/>
            <w:vAlign w:val="bottom"/>
            <w:tcBorders>
              <w:right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80" w:type="dxa"/>
            <w:vAlign w:val="bottom"/>
          </w:tcPr>
          <w:p>
            <w:pPr>
              <w:ind w:left="80"/>
              <w:spacing w:after="0"/>
              <w:rPr>
                <w:sz w:val="20"/>
                <w:szCs w:val="20"/>
                <w:color w:val="auto"/>
              </w:rPr>
            </w:pPr>
            <w:r>
              <w:rPr>
                <w:rFonts w:ascii="Arial" w:cs="Arial" w:eastAsia="Arial" w:hAnsi="Arial"/>
                <w:sz w:val="16"/>
                <w:szCs w:val="16"/>
                <w:color w:val="auto"/>
              </w:rPr>
              <w:t>Northrop Grumman Corporation</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0" w:type="dxa"/>
            <w:vAlign w:val="bottom"/>
            <w:tcBorders>
              <w:right w:val="single" w:sz="8" w:color="auto"/>
            </w:tcBorders>
          </w:tcPr>
          <w:p>
            <w:pPr>
              <w:spacing w:after="0"/>
              <w:rPr>
                <w:sz w:val="19"/>
                <w:szCs w:val="19"/>
                <w:color w:val="auto"/>
              </w:rPr>
            </w:pPr>
          </w:p>
        </w:tc>
        <w:tc>
          <w:tcPr>
            <w:tcW w:w="1740" w:type="dxa"/>
            <w:vAlign w:val="bottom"/>
            <w:shd w:val="clear" w:color="auto" w:fill="CCD4DB"/>
          </w:tcPr>
          <w:p>
            <w:pPr>
              <w:ind w:left="20"/>
              <w:spacing w:after="0"/>
              <w:rPr>
                <w:sz w:val="20"/>
                <w:szCs w:val="20"/>
                <w:color w:val="auto"/>
              </w:rPr>
            </w:pPr>
            <w:r>
              <w:rPr>
                <w:rFonts w:ascii="Arial" w:cs="Arial" w:eastAsia="Arial" w:hAnsi="Arial"/>
                <w:sz w:val="16"/>
                <w:szCs w:val="16"/>
                <w:color w:val="auto"/>
              </w:rPr>
              <w:t>Mark A. Welsh III</w:t>
            </w:r>
          </w:p>
        </w:tc>
        <w:tc>
          <w:tcPr>
            <w:tcW w:w="420" w:type="dxa"/>
            <w:vAlign w:val="bottom"/>
            <w:shd w:val="clear" w:color="auto" w:fill="CCD4DB"/>
          </w:tcPr>
          <w:p>
            <w:pPr>
              <w:ind w:left="160"/>
              <w:spacing w:after="0"/>
              <w:rPr>
                <w:sz w:val="20"/>
                <w:szCs w:val="20"/>
                <w:color w:val="auto"/>
              </w:rPr>
            </w:pPr>
            <w:r>
              <w:rPr>
                <w:rFonts w:ascii="Arial" w:cs="Arial" w:eastAsia="Arial" w:hAnsi="Arial"/>
                <w:sz w:val="16"/>
                <w:szCs w:val="16"/>
                <w:color w:val="auto"/>
              </w:rPr>
              <w:t>66</w:t>
            </w:r>
          </w:p>
        </w:tc>
        <w:tc>
          <w:tcPr>
            <w:tcW w:w="1120" w:type="dxa"/>
            <w:vAlign w:val="bottom"/>
            <w:shd w:val="clear" w:color="auto" w:fill="CCD4DB"/>
          </w:tcPr>
          <w:p>
            <w:pPr>
              <w:ind w:left="420"/>
              <w:spacing w:after="0"/>
              <w:rPr>
                <w:sz w:val="20"/>
                <w:szCs w:val="20"/>
                <w:color w:val="auto"/>
              </w:rPr>
            </w:pPr>
            <w:r>
              <w:rPr>
                <w:rFonts w:ascii="Arial" w:cs="Arial" w:eastAsia="Arial" w:hAnsi="Arial"/>
                <w:sz w:val="16"/>
                <w:szCs w:val="16"/>
                <w:color w:val="auto"/>
              </w:rPr>
              <w:t>12/2016</w:t>
            </w: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Dean of the Bush School of Government and</w:t>
            </w:r>
          </w:p>
        </w:tc>
        <w:tc>
          <w:tcPr>
            <w:tcW w:w="620" w:type="dxa"/>
            <w:vAlign w:val="bottom"/>
            <w:shd w:val="clear" w:color="auto" w:fill="CCD4DB"/>
          </w:tcPr>
          <w:p>
            <w:pPr>
              <w:spacing w:after="0"/>
              <w:rPr>
                <w:sz w:val="19"/>
                <w:szCs w:val="19"/>
                <w:color w:val="auto"/>
              </w:rPr>
            </w:pPr>
          </w:p>
        </w:tc>
        <w:tc>
          <w:tcPr>
            <w:tcW w:w="700" w:type="dxa"/>
            <w:vAlign w:val="bottom"/>
            <w:shd w:val="clear" w:color="auto" w:fill="CCD4DB"/>
          </w:tcPr>
          <w:p>
            <w:pPr>
              <w:spacing w:after="0"/>
              <w:rPr>
                <w:sz w:val="19"/>
                <w:szCs w:val="19"/>
                <w:color w:val="auto"/>
              </w:rPr>
            </w:pPr>
          </w:p>
        </w:tc>
        <w:tc>
          <w:tcPr>
            <w:tcW w:w="64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1280" w:type="dxa"/>
            <w:vAlign w:val="bottom"/>
            <w:tcBorders>
              <w:right w:val="single" w:sz="8" w:color="auto"/>
            </w:tcBorders>
            <w:shd w:val="clear" w:color="auto" w:fill="CCD4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9"/>
        </w:trPr>
        <w:tc>
          <w:tcPr>
            <w:tcW w:w="80" w:type="dxa"/>
            <w:vAlign w:val="bottom"/>
            <w:tcBorders>
              <w:right w:val="single" w:sz="8" w:color="auto"/>
            </w:tcBorders>
          </w:tcPr>
          <w:p>
            <w:pPr>
              <w:spacing w:after="0"/>
              <w:rPr>
                <w:sz w:val="16"/>
                <w:szCs w:val="16"/>
                <w:color w:val="auto"/>
              </w:rPr>
            </w:pPr>
          </w:p>
        </w:tc>
        <w:tc>
          <w:tcPr>
            <w:tcW w:w="1740" w:type="dxa"/>
            <w:vAlign w:val="bottom"/>
            <w:shd w:val="clear" w:color="auto" w:fill="CCD4DB"/>
          </w:tcPr>
          <w:p>
            <w:pPr>
              <w:spacing w:after="0"/>
              <w:rPr>
                <w:sz w:val="16"/>
                <w:szCs w:val="16"/>
                <w:color w:val="auto"/>
              </w:rPr>
            </w:pPr>
          </w:p>
        </w:tc>
        <w:tc>
          <w:tcPr>
            <w:tcW w:w="420" w:type="dxa"/>
            <w:vAlign w:val="bottom"/>
            <w:shd w:val="clear" w:color="auto" w:fill="CCD4DB"/>
          </w:tcPr>
          <w:p>
            <w:pPr>
              <w:spacing w:after="0"/>
              <w:rPr>
                <w:sz w:val="16"/>
                <w:szCs w:val="16"/>
                <w:color w:val="auto"/>
              </w:rPr>
            </w:pPr>
          </w:p>
        </w:tc>
        <w:tc>
          <w:tcPr>
            <w:tcW w:w="1120" w:type="dxa"/>
            <w:vAlign w:val="bottom"/>
            <w:shd w:val="clear" w:color="auto" w:fill="CCD4DB"/>
          </w:tcPr>
          <w:p>
            <w:pPr>
              <w:spacing w:after="0"/>
              <w:rPr>
                <w:sz w:val="16"/>
                <w:szCs w:val="16"/>
                <w:color w:val="auto"/>
              </w:rPr>
            </w:pP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Public Service, Texas A&amp;M University; Retired</w:t>
            </w:r>
          </w:p>
        </w:tc>
        <w:tc>
          <w:tcPr>
            <w:tcW w:w="620" w:type="dxa"/>
            <w:vAlign w:val="bottom"/>
            <w:shd w:val="clear" w:color="auto" w:fill="CCD4DB"/>
          </w:tcPr>
          <w:p>
            <w:pPr>
              <w:spacing w:after="0"/>
              <w:rPr>
                <w:sz w:val="16"/>
                <w:szCs w:val="16"/>
                <w:color w:val="auto"/>
              </w:rPr>
            </w:pPr>
          </w:p>
        </w:tc>
        <w:tc>
          <w:tcPr>
            <w:tcW w:w="700" w:type="dxa"/>
            <w:vAlign w:val="bottom"/>
            <w:shd w:val="clear" w:color="auto" w:fill="CCD4DB"/>
          </w:tcPr>
          <w:p>
            <w:pPr>
              <w:spacing w:after="0"/>
              <w:rPr>
                <w:sz w:val="16"/>
                <w:szCs w:val="16"/>
                <w:color w:val="auto"/>
              </w:rPr>
            </w:pPr>
          </w:p>
        </w:tc>
        <w:tc>
          <w:tcPr>
            <w:tcW w:w="640" w:type="dxa"/>
            <w:vAlign w:val="bottom"/>
            <w:shd w:val="clear" w:color="auto" w:fill="CCD4DB"/>
          </w:tcPr>
          <w:p>
            <w:pPr>
              <w:spacing w:after="0"/>
              <w:rPr>
                <w:sz w:val="16"/>
                <w:szCs w:val="16"/>
                <w:color w:val="auto"/>
              </w:rPr>
            </w:pPr>
          </w:p>
        </w:tc>
        <w:tc>
          <w:tcPr>
            <w:tcW w:w="840" w:type="dxa"/>
            <w:vAlign w:val="bottom"/>
            <w:shd w:val="clear" w:color="auto" w:fill="CCD4DB"/>
          </w:tcPr>
          <w:p>
            <w:pPr>
              <w:spacing w:after="0"/>
              <w:rPr>
                <w:sz w:val="16"/>
                <w:szCs w:val="16"/>
                <w:color w:val="auto"/>
              </w:rPr>
            </w:pPr>
          </w:p>
        </w:tc>
        <w:tc>
          <w:tcPr>
            <w:tcW w:w="1280" w:type="dxa"/>
            <w:vAlign w:val="bottom"/>
            <w:tcBorders>
              <w:right w:val="single" w:sz="8" w:color="auto"/>
            </w:tcBorders>
            <w:shd w:val="clear" w:color="auto" w:fill="CCD4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Borders>
              <w:right w:val="single" w:sz="8" w:color="auto"/>
            </w:tcBorders>
          </w:tcPr>
          <w:p>
            <w:pPr>
              <w:spacing w:after="0"/>
              <w:rPr>
                <w:sz w:val="16"/>
                <w:szCs w:val="16"/>
                <w:color w:val="auto"/>
              </w:rPr>
            </w:pPr>
          </w:p>
        </w:tc>
        <w:tc>
          <w:tcPr>
            <w:tcW w:w="1740" w:type="dxa"/>
            <w:vAlign w:val="bottom"/>
            <w:shd w:val="clear" w:color="auto" w:fill="CCD4DB"/>
          </w:tcPr>
          <w:p>
            <w:pPr>
              <w:spacing w:after="0"/>
              <w:rPr>
                <w:sz w:val="16"/>
                <w:szCs w:val="16"/>
                <w:color w:val="auto"/>
              </w:rPr>
            </w:pPr>
          </w:p>
        </w:tc>
        <w:tc>
          <w:tcPr>
            <w:tcW w:w="420" w:type="dxa"/>
            <w:vAlign w:val="bottom"/>
            <w:shd w:val="clear" w:color="auto" w:fill="CCD4DB"/>
          </w:tcPr>
          <w:p>
            <w:pPr>
              <w:spacing w:after="0"/>
              <w:rPr>
                <w:sz w:val="16"/>
                <w:szCs w:val="16"/>
                <w:color w:val="auto"/>
              </w:rPr>
            </w:pPr>
          </w:p>
        </w:tc>
        <w:tc>
          <w:tcPr>
            <w:tcW w:w="1120" w:type="dxa"/>
            <w:vAlign w:val="bottom"/>
            <w:shd w:val="clear" w:color="auto" w:fill="CCD4DB"/>
          </w:tcPr>
          <w:p>
            <w:pPr>
              <w:spacing w:after="0"/>
              <w:rPr>
                <w:sz w:val="16"/>
                <w:szCs w:val="16"/>
                <w:color w:val="auto"/>
              </w:rPr>
            </w:pPr>
          </w:p>
        </w:tc>
        <w:tc>
          <w:tcPr>
            <w:tcW w:w="3780" w:type="dxa"/>
            <w:vAlign w:val="bottom"/>
            <w:shd w:val="clear" w:color="auto" w:fill="CCD4DB"/>
          </w:tcPr>
          <w:p>
            <w:pPr>
              <w:ind w:left="80"/>
              <w:spacing w:after="0"/>
              <w:rPr>
                <w:sz w:val="20"/>
                <w:szCs w:val="20"/>
                <w:color w:val="auto"/>
              </w:rPr>
            </w:pPr>
            <w:r>
              <w:rPr>
                <w:rFonts w:ascii="Arial" w:cs="Arial" w:eastAsia="Arial" w:hAnsi="Arial"/>
                <w:sz w:val="16"/>
                <w:szCs w:val="16"/>
                <w:color w:val="auto"/>
              </w:rPr>
              <w:t>General, United States Air Force and Former</w:t>
            </w:r>
          </w:p>
        </w:tc>
        <w:tc>
          <w:tcPr>
            <w:tcW w:w="620" w:type="dxa"/>
            <w:vAlign w:val="bottom"/>
            <w:shd w:val="clear" w:color="auto" w:fill="CCD4DB"/>
          </w:tcPr>
          <w:p>
            <w:pPr>
              <w:spacing w:after="0"/>
              <w:rPr>
                <w:sz w:val="16"/>
                <w:szCs w:val="16"/>
                <w:color w:val="auto"/>
              </w:rPr>
            </w:pPr>
          </w:p>
        </w:tc>
        <w:tc>
          <w:tcPr>
            <w:tcW w:w="700" w:type="dxa"/>
            <w:vAlign w:val="bottom"/>
            <w:shd w:val="clear" w:color="auto" w:fill="CCD4DB"/>
          </w:tcPr>
          <w:p>
            <w:pPr>
              <w:spacing w:after="0"/>
              <w:rPr>
                <w:sz w:val="16"/>
                <w:szCs w:val="16"/>
                <w:color w:val="auto"/>
              </w:rPr>
            </w:pPr>
          </w:p>
        </w:tc>
        <w:tc>
          <w:tcPr>
            <w:tcW w:w="640" w:type="dxa"/>
            <w:vAlign w:val="bottom"/>
            <w:shd w:val="clear" w:color="auto" w:fill="CCD4DB"/>
          </w:tcPr>
          <w:p>
            <w:pPr>
              <w:spacing w:after="0"/>
              <w:rPr>
                <w:sz w:val="16"/>
                <w:szCs w:val="16"/>
                <w:color w:val="auto"/>
              </w:rPr>
            </w:pPr>
          </w:p>
        </w:tc>
        <w:tc>
          <w:tcPr>
            <w:tcW w:w="840" w:type="dxa"/>
            <w:vAlign w:val="bottom"/>
            <w:shd w:val="clear" w:color="auto" w:fill="CCD4DB"/>
          </w:tcPr>
          <w:p>
            <w:pPr>
              <w:spacing w:after="0"/>
              <w:rPr>
                <w:sz w:val="16"/>
                <w:szCs w:val="16"/>
                <w:color w:val="auto"/>
              </w:rPr>
            </w:pPr>
          </w:p>
        </w:tc>
        <w:tc>
          <w:tcPr>
            <w:tcW w:w="1280" w:type="dxa"/>
            <w:vAlign w:val="bottom"/>
            <w:tcBorders>
              <w:right w:val="single" w:sz="8" w:color="auto"/>
            </w:tcBorders>
            <w:shd w:val="clear" w:color="auto" w:fill="CCD4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 w:type="dxa"/>
            <w:vAlign w:val="bottom"/>
            <w:tcBorders>
              <w:right w:val="single" w:sz="8" w:color="auto"/>
            </w:tcBorders>
          </w:tcPr>
          <w:p>
            <w:pPr>
              <w:spacing w:after="0"/>
              <w:rPr>
                <w:sz w:val="18"/>
                <w:szCs w:val="18"/>
                <w:color w:val="auto"/>
              </w:rPr>
            </w:pPr>
          </w:p>
        </w:tc>
        <w:tc>
          <w:tcPr>
            <w:tcW w:w="1740" w:type="dxa"/>
            <w:vAlign w:val="bottom"/>
            <w:tcBorders>
              <w:bottom w:val="single" w:sz="8" w:color="auto"/>
            </w:tcBorders>
            <w:shd w:val="clear" w:color="auto" w:fill="CCD4DB"/>
          </w:tcPr>
          <w:p>
            <w:pPr>
              <w:spacing w:after="0"/>
              <w:rPr>
                <w:sz w:val="18"/>
                <w:szCs w:val="18"/>
                <w:color w:val="auto"/>
              </w:rPr>
            </w:pPr>
          </w:p>
        </w:tc>
        <w:tc>
          <w:tcPr>
            <w:tcW w:w="420" w:type="dxa"/>
            <w:vAlign w:val="bottom"/>
            <w:tcBorders>
              <w:bottom w:val="single" w:sz="8" w:color="auto"/>
            </w:tcBorders>
            <w:shd w:val="clear" w:color="auto" w:fill="CCD4DB"/>
          </w:tcPr>
          <w:p>
            <w:pPr>
              <w:spacing w:after="0"/>
              <w:rPr>
                <w:sz w:val="18"/>
                <w:szCs w:val="18"/>
                <w:color w:val="auto"/>
              </w:rPr>
            </w:pPr>
          </w:p>
        </w:tc>
        <w:tc>
          <w:tcPr>
            <w:tcW w:w="1120" w:type="dxa"/>
            <w:vAlign w:val="bottom"/>
            <w:tcBorders>
              <w:bottom w:val="single" w:sz="8" w:color="auto"/>
            </w:tcBorders>
            <w:shd w:val="clear" w:color="auto" w:fill="CCD4DB"/>
          </w:tcPr>
          <w:p>
            <w:pPr>
              <w:spacing w:after="0"/>
              <w:rPr>
                <w:sz w:val="18"/>
                <w:szCs w:val="18"/>
                <w:color w:val="auto"/>
              </w:rPr>
            </w:pPr>
          </w:p>
        </w:tc>
        <w:tc>
          <w:tcPr>
            <w:tcW w:w="3780" w:type="dxa"/>
            <w:vAlign w:val="bottom"/>
            <w:tcBorders>
              <w:bottom w:val="single" w:sz="8" w:color="auto"/>
            </w:tcBorders>
            <w:shd w:val="clear" w:color="auto" w:fill="CCD4DB"/>
          </w:tcPr>
          <w:p>
            <w:pPr>
              <w:ind w:left="80"/>
              <w:spacing w:after="0"/>
              <w:rPr>
                <w:sz w:val="20"/>
                <w:szCs w:val="20"/>
                <w:color w:val="auto"/>
              </w:rPr>
            </w:pPr>
            <w:r>
              <w:rPr>
                <w:rFonts w:ascii="Arial" w:cs="Arial" w:eastAsia="Arial" w:hAnsi="Arial"/>
                <w:sz w:val="16"/>
                <w:szCs w:val="16"/>
                <w:color w:val="auto"/>
              </w:rPr>
              <w:t>Chief of Staff, United States Air Force</w:t>
            </w:r>
          </w:p>
        </w:tc>
        <w:tc>
          <w:tcPr>
            <w:tcW w:w="620" w:type="dxa"/>
            <w:vAlign w:val="bottom"/>
            <w:tcBorders>
              <w:bottom w:val="single" w:sz="8" w:color="auto"/>
            </w:tcBorders>
            <w:shd w:val="clear" w:color="auto" w:fill="CCD4DB"/>
          </w:tcPr>
          <w:p>
            <w:pPr>
              <w:spacing w:after="0"/>
              <w:rPr>
                <w:sz w:val="18"/>
                <w:szCs w:val="18"/>
                <w:color w:val="auto"/>
              </w:rPr>
            </w:pPr>
          </w:p>
        </w:tc>
        <w:tc>
          <w:tcPr>
            <w:tcW w:w="700" w:type="dxa"/>
            <w:vAlign w:val="bottom"/>
            <w:tcBorders>
              <w:bottom w:val="single" w:sz="8" w:color="auto"/>
            </w:tcBorders>
            <w:shd w:val="clear" w:color="auto" w:fill="CCD4DB"/>
          </w:tcPr>
          <w:p>
            <w:pPr>
              <w:spacing w:after="0"/>
              <w:rPr>
                <w:sz w:val="18"/>
                <w:szCs w:val="18"/>
                <w:color w:val="auto"/>
              </w:rPr>
            </w:pPr>
          </w:p>
        </w:tc>
        <w:tc>
          <w:tcPr>
            <w:tcW w:w="640" w:type="dxa"/>
            <w:vAlign w:val="bottom"/>
            <w:tcBorders>
              <w:bottom w:val="single" w:sz="8" w:color="auto"/>
            </w:tcBorders>
            <w:shd w:val="clear" w:color="auto" w:fill="CCD4DB"/>
          </w:tcPr>
          <w:p>
            <w:pPr>
              <w:spacing w:after="0"/>
              <w:rPr>
                <w:sz w:val="18"/>
                <w:szCs w:val="18"/>
                <w:color w:val="auto"/>
              </w:rPr>
            </w:pPr>
          </w:p>
        </w:tc>
        <w:tc>
          <w:tcPr>
            <w:tcW w:w="840" w:type="dxa"/>
            <w:vAlign w:val="bottom"/>
            <w:tcBorders>
              <w:bottom w:val="single" w:sz="8" w:color="auto"/>
            </w:tcBorders>
            <w:shd w:val="clear" w:color="auto" w:fill="CCD4DB"/>
          </w:tcPr>
          <w:p>
            <w:pPr>
              <w:spacing w:after="0"/>
              <w:rPr>
                <w:sz w:val="18"/>
                <w:szCs w:val="18"/>
                <w:color w:val="auto"/>
              </w:rPr>
            </w:pPr>
          </w:p>
        </w:tc>
        <w:tc>
          <w:tcPr>
            <w:tcW w:w="1280" w:type="dxa"/>
            <w:vAlign w:val="bottom"/>
            <w:tcBorders>
              <w:bottom w:val="single" w:sz="8" w:color="auto"/>
              <w:right w:val="single" w:sz="8" w:color="auto"/>
            </w:tcBorders>
            <w:shd w:val="clear" w:color="auto" w:fill="CCD4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gridSpan w:val="2"/>
          </w:tcPr>
          <w:p>
            <w:pPr>
              <w:jc w:val="right"/>
              <w:ind w:right="1539"/>
              <w:spacing w:after="0"/>
              <w:rPr>
                <w:sz w:val="20"/>
                <w:szCs w:val="20"/>
                <w:color w:val="auto"/>
              </w:rPr>
            </w:pPr>
            <w:r>
              <w:rPr>
                <w:rFonts w:ascii="Arial" w:cs="Arial" w:eastAsia="Arial" w:hAnsi="Arial"/>
                <w:sz w:val="16"/>
                <w:szCs w:val="16"/>
                <w:color w:val="auto"/>
                <w:w w:val="91"/>
              </w:rPr>
              <w:t>(1)</w:t>
            </w:r>
          </w:p>
        </w:tc>
        <w:tc>
          <w:tcPr>
            <w:tcW w:w="420" w:type="dxa"/>
            <w:vAlign w:val="bottom"/>
          </w:tcPr>
          <w:p>
            <w:pPr>
              <w:spacing w:after="0"/>
              <w:rPr>
                <w:sz w:val="17"/>
                <w:szCs w:val="17"/>
                <w:color w:val="auto"/>
              </w:rPr>
            </w:pPr>
          </w:p>
        </w:tc>
        <w:tc>
          <w:tcPr>
            <w:tcW w:w="4900" w:type="dxa"/>
            <w:vAlign w:val="bottom"/>
            <w:gridSpan w:val="2"/>
            <w:vMerge w:val="restart"/>
          </w:tcPr>
          <w:p>
            <w:pPr>
              <w:ind w:left="80"/>
              <w:spacing w:after="0"/>
              <w:rPr>
                <w:sz w:val="20"/>
                <w:szCs w:val="20"/>
                <w:color w:val="auto"/>
              </w:rPr>
            </w:pPr>
            <w:r>
              <w:rPr>
                <w:rFonts w:ascii="Arial" w:cs="Arial" w:eastAsia="Arial" w:hAnsi="Arial"/>
                <w:sz w:val="16"/>
                <w:szCs w:val="16"/>
                <w:color w:val="auto"/>
              </w:rPr>
              <w:t>= Chair   = Member</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160" w:type="dxa"/>
            <w:vAlign w:val="bottom"/>
            <w:gridSpan w:val="2"/>
          </w:tcPr>
          <w:p>
            <w:pPr>
              <w:ind w:left="340"/>
              <w:spacing w:after="0"/>
              <w:rPr>
                <w:sz w:val="20"/>
                <w:szCs w:val="20"/>
                <w:color w:val="auto"/>
              </w:rPr>
            </w:pPr>
            <w:r>
              <w:rPr>
                <w:rFonts w:ascii="Arial" w:cs="Arial" w:eastAsia="Arial" w:hAnsi="Arial"/>
                <w:sz w:val="16"/>
                <w:szCs w:val="16"/>
                <w:color w:val="auto"/>
              </w:rPr>
              <w:t>Age as of April 3, 2020.</w:t>
            </w:r>
          </w:p>
        </w:tc>
        <w:tc>
          <w:tcPr>
            <w:tcW w:w="490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-4065270</wp:posOffset>
            </wp:positionV>
            <wp:extent cx="111125"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-4065270</wp:posOffset>
            </wp:positionV>
            <wp:extent cx="111125"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-3670935</wp:posOffset>
            </wp:positionV>
            <wp:extent cx="13716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20574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-3670935</wp:posOffset>
            </wp:positionV>
            <wp:extent cx="13716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20574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-3353435</wp:posOffset>
            </wp:positionV>
            <wp:extent cx="11112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-3353435</wp:posOffset>
            </wp:positionV>
            <wp:extent cx="11112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-3002280</wp:posOffset>
            </wp:positionV>
            <wp:extent cx="13716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20574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-3002280</wp:posOffset>
            </wp:positionV>
            <wp:extent cx="13716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20574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-2684780</wp:posOffset>
            </wp:positionV>
            <wp:extent cx="111125"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-2684780</wp:posOffset>
            </wp:positionV>
            <wp:extent cx="120015"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21463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-2410460</wp:posOffset>
            </wp:positionV>
            <wp:extent cx="14605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050" cy="21463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-2410460</wp:posOffset>
            </wp:positionV>
            <wp:extent cx="14605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050" cy="2146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-2136140</wp:posOffset>
            </wp:positionV>
            <wp:extent cx="111125" cy="213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2139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-2136140</wp:posOffset>
            </wp:positionV>
            <wp:extent cx="111125" cy="213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2139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-1861820</wp:posOffset>
            </wp:positionV>
            <wp:extent cx="13716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21463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-1861820</wp:posOffset>
            </wp:positionV>
            <wp:extent cx="14605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-1587500</wp:posOffset>
            </wp:positionV>
            <wp:extent cx="120015"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2146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-1587500</wp:posOffset>
            </wp:positionV>
            <wp:extent cx="120015"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21463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-1313180</wp:posOffset>
            </wp:positionV>
            <wp:extent cx="14605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050" cy="21463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-1313180</wp:posOffset>
            </wp:positionV>
            <wp:extent cx="14605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050" cy="21463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-627380</wp:posOffset>
            </wp:positionV>
            <wp:extent cx="13716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20574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-627380</wp:posOffset>
            </wp:positionV>
            <wp:extent cx="13716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-224790</wp:posOffset>
            </wp:positionV>
            <wp:extent cx="11176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18034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-224790</wp:posOffset>
            </wp:positionV>
            <wp:extent cx="11112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180340"/>
                    </a:xfrm>
                    <a:prstGeom prst="rect">
                      <a:avLst/>
                    </a:prstGeom>
                    <a:noFill/>
                  </pic:spPr>
                </pic:pic>
              </a:graphicData>
            </a:graphic>
          </wp:anchor>
        </w:drawing>
      </w:r>
    </w:p>
    <w:p>
      <w:pPr>
        <w:sectPr>
          <w:pgSz w:w="11900" w:h="16838" w:orient="portrait"/>
          <w:cols w:equalWidth="0" w:num="1">
            <w:col w:w="11220"/>
          </w:cols>
          <w:pgMar w:left="320" w:top="701" w:right="35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701" w:right="359"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Board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charts below reflect the tenure, independence and broad experience of our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57785</wp:posOffset>
            </wp:positionV>
            <wp:extent cx="6172200" cy="68237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2200" cy="6823710"/>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3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w:t>
      </w:r>
    </w:p>
    <w:p>
      <w:pPr>
        <w:sectPr>
          <w:pgSz w:w="11900" w:h="16838" w:orient="portrait"/>
          <w:cols w:equalWidth="0" w:num="1">
            <w:col w:w="11240"/>
          </w:cols>
          <w:pgMar w:left="320" w:top="701" w:right="3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Governance Highlights (pages 13-25)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340"/>
        <w:spacing w:after="0" w:line="308" w:lineRule="auto"/>
        <w:rPr>
          <w:sz w:val="20"/>
          <w:szCs w:val="20"/>
          <w:color w:val="auto"/>
        </w:rPr>
      </w:pPr>
      <w:r>
        <w:rPr>
          <w:rFonts w:ascii="Arial" w:cs="Arial" w:eastAsia="Arial" w:hAnsi="Arial"/>
          <w:sz w:val="18"/>
          <w:szCs w:val="18"/>
          <w:color w:val="auto"/>
        </w:rPr>
        <w:t>We are committed to high standards of corporate governance and have a robust corporate governance program intended to promote the long-term success of our Company. Some highlights of our corporate governance practices are listed below.</w:t>
      </w:r>
    </w:p>
    <w:p>
      <w:pPr>
        <w:sectPr>
          <w:pgSz w:w="11900" w:h="16838" w:orient="portrait"/>
          <w:cols w:equalWidth="0" w:num="1">
            <w:col w:w="11200"/>
          </w:cols>
          <w:pgMar w:left="320" w:top="70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FFFFFF"/>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-1304925</wp:posOffset>
            </wp:positionV>
            <wp:extent cx="1080135" cy="2786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80135" cy="2786380"/>
                    </a:xfrm>
                    <a:prstGeom prst="rect">
                      <a:avLst/>
                    </a:prstGeom>
                    <a:noFill/>
                  </pic:spPr>
                </pic:pic>
              </a:graphicData>
            </a:graphic>
          </wp:anchor>
        </w:drawing>
      </w:r>
    </w:p>
    <w:p>
      <w:pPr>
        <w:jc w:val="center"/>
        <w:ind w:left="120"/>
        <w:spacing w:after="0"/>
        <w:rPr>
          <w:sz w:val="20"/>
          <w:szCs w:val="20"/>
          <w:color w:val="auto"/>
        </w:rPr>
      </w:pPr>
      <w:r>
        <w:rPr>
          <w:rFonts w:ascii="Arial" w:cs="Arial" w:eastAsia="Arial" w:hAnsi="Arial"/>
          <w:sz w:val="22"/>
          <w:szCs w:val="22"/>
          <w:b w:val="1"/>
          <w:bCs w:val="1"/>
          <w:color w:val="FFFFFF"/>
        </w:rPr>
        <w:t>Structure and</w:t>
      </w:r>
    </w:p>
    <w:p>
      <w:pPr>
        <w:jc w:val="center"/>
        <w:ind w:left="120"/>
        <w:spacing w:after="0"/>
        <w:rPr>
          <w:sz w:val="20"/>
          <w:szCs w:val="20"/>
          <w:color w:val="auto"/>
        </w:rPr>
      </w:pPr>
      <w:r>
        <w:rPr>
          <w:rFonts w:ascii="Arial" w:cs="Arial" w:eastAsia="Arial" w:hAnsi="Arial"/>
          <w:sz w:val="22"/>
          <w:szCs w:val="22"/>
          <w:b w:val="1"/>
          <w:bCs w:val="1"/>
          <w:color w:val="FFFFFF"/>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1240790</wp:posOffset>
            </wp:positionV>
            <wp:extent cx="1080135" cy="1217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8013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FFFFFF"/>
        </w:rPr>
        <w:t>Shareholder</w:t>
      </w:r>
    </w:p>
    <w:p>
      <w:pPr>
        <w:spacing w:after="0" w:line="16"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FFFFFF"/>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1080135" cy="2211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013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FFFFFF"/>
        </w:rPr>
        <w:t>Corporate</w:t>
      </w:r>
    </w:p>
    <w:p>
      <w:pPr>
        <w:spacing w:after="0" w:line="16" w:lineRule="exact"/>
        <w:rPr>
          <w:sz w:val="20"/>
          <w:szCs w:val="20"/>
          <w:color w:val="auto"/>
        </w:rPr>
      </w:pPr>
    </w:p>
    <w:p>
      <w:pPr>
        <w:jc w:val="center"/>
        <w:ind w:left="120"/>
        <w:spacing w:after="0"/>
        <w:rPr>
          <w:sz w:val="20"/>
          <w:szCs w:val="20"/>
          <w:color w:val="auto"/>
        </w:rPr>
      </w:pPr>
      <w:r>
        <w:rPr>
          <w:rFonts w:ascii="Arial" w:cs="Arial" w:eastAsia="Arial" w:hAnsi="Arial"/>
          <w:sz w:val="21"/>
          <w:szCs w:val="21"/>
          <w:b w:val="1"/>
          <w:bCs w:val="1"/>
          <w:color w:val="FFFFFF"/>
        </w:rPr>
        <w:t>Responsibility</w:t>
      </w:r>
    </w:p>
    <w:p>
      <w:pPr>
        <w:jc w:val="center"/>
        <w:ind w:left="120"/>
        <w:spacing w:after="0" w:line="231" w:lineRule="auto"/>
        <w:rPr>
          <w:sz w:val="20"/>
          <w:szCs w:val="20"/>
          <w:color w:val="auto"/>
        </w:rPr>
      </w:pPr>
      <w:r>
        <w:rPr>
          <w:rFonts w:ascii="Arial" w:cs="Arial" w:eastAsia="Arial" w:hAnsi="Arial"/>
          <w:sz w:val="22"/>
          <w:szCs w:val="22"/>
          <w:b w:val="1"/>
          <w:bCs w:val="1"/>
          <w:color w:val="FFFFFF"/>
        </w:rPr>
        <w:t>and</w:t>
      </w:r>
    </w:p>
    <w:p>
      <w:pPr>
        <w:spacing w:after="0" w:line="1"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FFFFFF"/>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872490</wp:posOffset>
            </wp:positionV>
            <wp:extent cx="1080135" cy="4972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01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FFFFFF"/>
        </w:rPr>
        <w:t>Stock</w:t>
      </w:r>
    </w:p>
    <w:p>
      <w:pPr>
        <w:spacing w:after="0" w:line="16"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FFFFFF"/>
        </w:rPr>
        <w:t>Ownership</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309" w:hanging="309"/>
        <w:spacing w:after="0"/>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The Board is approximately </w:t>
      </w:r>
      <w:r>
        <w:rPr>
          <w:rFonts w:ascii="Arial" w:cs="Arial" w:eastAsia="Arial" w:hAnsi="Arial"/>
          <w:sz w:val="18"/>
          <w:szCs w:val="18"/>
          <w:b w:val="1"/>
          <w:bCs w:val="1"/>
          <w:color w:val="auto"/>
        </w:rPr>
        <w:t>92% independent</w:t>
      </w:r>
      <w:r>
        <w:rPr>
          <w:rFonts w:ascii="Arial" w:cs="Arial" w:eastAsia="Arial" w:hAnsi="Arial"/>
          <w:sz w:val="18"/>
          <w:szCs w:val="18"/>
          <w:color w:val="auto"/>
        </w:rPr>
        <w:t>.</w:t>
      </w:r>
    </w:p>
    <w:p>
      <w:pPr>
        <w:spacing w:after="0" w:line="86" w:lineRule="exact"/>
        <w:rPr>
          <w:rFonts w:ascii="MS PGothic" w:cs="MS PGothic" w:eastAsia="MS PGothic" w:hAnsi="MS PGothic"/>
          <w:sz w:val="20"/>
          <w:szCs w:val="20"/>
          <w:color w:val="auto"/>
        </w:rPr>
      </w:pPr>
    </w:p>
    <w:p>
      <w:pPr>
        <w:ind w:left="309" w:right="160" w:hanging="309"/>
        <w:spacing w:after="0" w:line="254"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Each of the Audit, Compensation, Governance and Policy </w:t>
      </w:r>
      <w:r>
        <w:rPr>
          <w:rFonts w:ascii="Arial" w:cs="Arial" w:eastAsia="Arial" w:hAnsi="Arial"/>
          <w:sz w:val="18"/>
          <w:szCs w:val="18"/>
          <w:b w:val="1"/>
          <w:bCs w:val="1"/>
          <w:color w:val="auto"/>
        </w:rPr>
        <w:t>Committees is comprised entirely of 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w:t>
      </w:r>
      <w:r>
        <w:rPr>
          <w:rFonts w:ascii="Arial" w:cs="Arial" w:eastAsia="Arial" w:hAnsi="Arial"/>
          <w:sz w:val="18"/>
          <w:szCs w:val="18"/>
          <w:color w:val="auto"/>
        </w:rPr>
        <w:t>.</w:t>
      </w:r>
    </w:p>
    <w:p>
      <w:pPr>
        <w:spacing w:after="0" w:line="17" w:lineRule="exact"/>
        <w:rPr>
          <w:rFonts w:ascii="MS PGothic" w:cs="MS PGothic" w:eastAsia="MS PGothic" w:hAnsi="MS PGothic"/>
          <w:sz w:val="20"/>
          <w:szCs w:val="20"/>
          <w:color w:val="auto"/>
        </w:rPr>
      </w:pPr>
    </w:p>
    <w:p>
      <w:pPr>
        <w:ind w:left="309" w:right="100" w:hanging="309"/>
        <w:spacing w:after="0" w:line="254"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Our policy </w:t>
      </w:r>
      <w:r>
        <w:rPr>
          <w:rFonts w:ascii="Arial" w:cs="Arial" w:eastAsia="Arial" w:hAnsi="Arial"/>
          <w:sz w:val="18"/>
          <w:szCs w:val="18"/>
          <w:b w:val="1"/>
          <w:bCs w:val="1"/>
          <w:color w:val="auto"/>
        </w:rPr>
        <w:t>limits the number of boards</w:t>
      </w:r>
      <w:r>
        <w:rPr>
          <w:rFonts w:ascii="Arial" w:cs="Arial" w:eastAsia="Arial" w:hAnsi="Arial"/>
          <w:sz w:val="18"/>
          <w:szCs w:val="18"/>
          <w:color w:val="auto"/>
        </w:rPr>
        <w:t xml:space="preserve"> on which our directors serve (no more than three other public company boards without special approval) to </w:t>
      </w:r>
      <w:r>
        <w:rPr>
          <w:rFonts w:ascii="Arial" w:cs="Arial" w:eastAsia="Arial" w:hAnsi="Arial"/>
          <w:sz w:val="18"/>
          <w:szCs w:val="18"/>
          <w:b w:val="1"/>
          <w:bCs w:val="1"/>
          <w:color w:val="auto"/>
        </w:rPr>
        <w:t>avoid overboarding</w:t>
      </w:r>
      <w:r>
        <w:rPr>
          <w:rFonts w:ascii="Arial" w:cs="Arial" w:eastAsia="Arial" w:hAnsi="Arial"/>
          <w:sz w:val="18"/>
          <w:szCs w:val="18"/>
          <w:color w:val="auto"/>
        </w:rPr>
        <w:t>.</w:t>
      </w:r>
    </w:p>
    <w:p>
      <w:pPr>
        <w:spacing w:after="0" w:line="17" w:lineRule="exact"/>
        <w:rPr>
          <w:rFonts w:ascii="MS PGothic" w:cs="MS PGothic" w:eastAsia="MS PGothic" w:hAnsi="MS PGothic"/>
          <w:sz w:val="20"/>
          <w:szCs w:val="20"/>
          <w:color w:val="auto"/>
        </w:rPr>
      </w:pPr>
    </w:p>
    <w:p>
      <w:pPr>
        <w:ind w:left="309" w:right="400" w:hanging="309"/>
        <w:spacing w:after="0" w:line="254"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The independent directors </w:t>
      </w:r>
      <w:r>
        <w:rPr>
          <w:rFonts w:ascii="Arial" w:cs="Arial" w:eastAsia="Arial" w:hAnsi="Arial"/>
          <w:sz w:val="18"/>
          <w:szCs w:val="18"/>
          <w:b w:val="1"/>
          <w:bCs w:val="1"/>
          <w:color w:val="auto"/>
        </w:rPr>
        <w:t>regularly hold both executive sessions</w:t>
      </w:r>
      <w:r>
        <w:rPr>
          <w:rFonts w:ascii="Arial" w:cs="Arial" w:eastAsia="Arial" w:hAnsi="Arial"/>
          <w:sz w:val="18"/>
          <w:szCs w:val="18"/>
          <w:color w:val="auto"/>
        </w:rPr>
        <w:t xml:space="preserve"> led by our Chairman </w:t>
      </w:r>
      <w:r>
        <w:rPr>
          <w:rFonts w:ascii="Arial" w:cs="Arial" w:eastAsia="Arial" w:hAnsi="Arial"/>
          <w:sz w:val="18"/>
          <w:szCs w:val="18"/>
          <w:b w:val="1"/>
          <w:bCs w:val="1"/>
          <w:color w:val="auto"/>
        </w:rPr>
        <w:t>and 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sessions </w:t>
      </w:r>
      <w:r>
        <w:rPr>
          <w:rFonts w:ascii="Arial" w:cs="Arial" w:eastAsia="Arial" w:hAnsi="Arial"/>
          <w:sz w:val="18"/>
          <w:szCs w:val="18"/>
          <w:color w:val="auto"/>
        </w:rPr>
        <w:t>led by our Lead Independent Director.</w:t>
      </w:r>
    </w:p>
    <w:p>
      <w:pPr>
        <w:spacing w:after="0" w:line="17" w:lineRule="exact"/>
        <w:rPr>
          <w:rFonts w:ascii="MS PGothic" w:cs="MS PGothic" w:eastAsia="MS PGothic" w:hAnsi="MS PGothic"/>
          <w:sz w:val="20"/>
          <w:szCs w:val="20"/>
          <w:color w:val="auto"/>
        </w:rPr>
      </w:pPr>
    </w:p>
    <w:p>
      <w:pPr>
        <w:ind w:left="309" w:right="60" w:hanging="309"/>
        <w:spacing w:after="0" w:line="247"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xml:space="preserve">, appointed annually by the independent directors, is empowered </w:t>
      </w:r>
      <w:r>
        <w:rPr>
          <w:rFonts w:ascii="Arial" w:cs="Arial" w:eastAsia="Arial" w:hAnsi="Arial"/>
          <w:sz w:val="18"/>
          <w:szCs w:val="18"/>
          <w:b w:val="1"/>
          <w:bCs w:val="1"/>
          <w:color w:val="auto"/>
        </w:rPr>
        <w:t>with a robust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set of responsibilities </w:t>
      </w:r>
      <w:r>
        <w:rPr>
          <w:rFonts w:ascii="Arial" w:cs="Arial" w:eastAsia="Arial" w:hAnsi="Arial"/>
          <w:sz w:val="18"/>
          <w:szCs w:val="18"/>
          <w:color w:val="auto"/>
        </w:rPr>
        <w:t>and provides additional independent oversight of senior management and Board</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w:t>
      </w:r>
    </w:p>
    <w:p>
      <w:pPr>
        <w:spacing w:after="0" w:line="19" w:lineRule="exact"/>
        <w:rPr>
          <w:rFonts w:ascii="MS PGothic" w:cs="MS PGothic" w:eastAsia="MS PGothic" w:hAnsi="MS PGothic"/>
          <w:sz w:val="20"/>
          <w:szCs w:val="20"/>
          <w:color w:val="auto"/>
        </w:rPr>
      </w:pPr>
    </w:p>
    <w:p>
      <w:pPr>
        <w:ind w:left="309" w:right="680" w:hanging="309"/>
        <w:spacing w:after="0" w:line="268" w:lineRule="auto"/>
        <w:tabs>
          <w:tab w:leader="none" w:pos="309" w:val="left"/>
        </w:tabs>
        <w:numPr>
          <w:ilvl w:val="0"/>
          <w:numId w:val="5"/>
        </w:numPr>
        <w:rPr>
          <w:rFonts w:ascii="MS PGothic" w:cs="MS PGothic" w:eastAsia="MS PGothic" w:hAnsi="MS PGothic"/>
          <w:sz w:val="19"/>
          <w:szCs w:val="19"/>
          <w:color w:val="auto"/>
        </w:rPr>
      </w:pPr>
      <w:r>
        <w:rPr>
          <w:rFonts w:ascii="Arial" w:cs="Arial" w:eastAsia="Arial" w:hAnsi="Arial"/>
          <w:sz w:val="17"/>
          <w:szCs w:val="17"/>
          <w:color w:val="auto"/>
        </w:rPr>
        <w:t xml:space="preserve">All directors are </w:t>
      </w:r>
      <w:r>
        <w:rPr>
          <w:rFonts w:ascii="Arial" w:cs="Arial" w:eastAsia="Arial" w:hAnsi="Arial"/>
          <w:sz w:val="17"/>
          <w:szCs w:val="17"/>
          <w:b w:val="1"/>
          <w:bCs w:val="1"/>
          <w:color w:val="auto"/>
        </w:rPr>
        <w:t>elected annually</w:t>
      </w:r>
      <w:r>
        <w:rPr>
          <w:rFonts w:ascii="Arial" w:cs="Arial" w:eastAsia="Arial" w:hAnsi="Arial"/>
          <w:sz w:val="17"/>
          <w:szCs w:val="17"/>
          <w:color w:val="auto"/>
        </w:rPr>
        <w:t xml:space="preserve"> based on a </w:t>
      </w:r>
      <w:r>
        <w:rPr>
          <w:rFonts w:ascii="Arial" w:cs="Arial" w:eastAsia="Arial" w:hAnsi="Arial"/>
          <w:sz w:val="17"/>
          <w:szCs w:val="17"/>
          <w:b w:val="1"/>
          <w:bCs w:val="1"/>
          <w:color w:val="auto"/>
        </w:rPr>
        <w:t>majority voting standard</w:t>
      </w:r>
      <w:r>
        <w:rPr>
          <w:rFonts w:ascii="Arial" w:cs="Arial" w:eastAsia="Arial" w:hAnsi="Arial"/>
          <w:sz w:val="17"/>
          <w:szCs w:val="17"/>
          <w:color w:val="auto"/>
        </w:rPr>
        <w:t xml:space="preserve"> in uncontested elections, with a </w:t>
      </w:r>
      <w:r>
        <w:rPr>
          <w:rFonts w:ascii="Arial" w:cs="Arial" w:eastAsia="Arial" w:hAnsi="Arial"/>
          <w:sz w:val="17"/>
          <w:szCs w:val="17"/>
          <w:b w:val="1"/>
          <w:bCs w:val="1"/>
          <w:color w:val="auto"/>
        </w:rPr>
        <w:t xml:space="preserve">director resignation policy </w:t>
      </w:r>
      <w:r>
        <w:rPr>
          <w:rFonts w:ascii="Arial" w:cs="Arial" w:eastAsia="Arial" w:hAnsi="Arial"/>
          <w:sz w:val="17"/>
          <w:szCs w:val="17"/>
          <w:color w:val="auto"/>
        </w:rPr>
        <w:t>if a director fails to receive a majority of votes cast "for" his or her election.</w:t>
      </w:r>
    </w:p>
    <w:p>
      <w:pPr>
        <w:spacing w:after="0" w:line="40" w:lineRule="exact"/>
        <w:rPr>
          <w:rFonts w:ascii="MS PGothic" w:cs="MS PGothic" w:eastAsia="MS PGothic" w:hAnsi="MS PGothic"/>
          <w:sz w:val="19"/>
          <w:szCs w:val="19"/>
          <w:color w:val="auto"/>
        </w:rPr>
      </w:pPr>
    </w:p>
    <w:p>
      <w:pPr>
        <w:ind w:left="309" w:right="180" w:hanging="309"/>
        <w:spacing w:after="0" w:line="241"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The Board nominees reflect a balanced mix of directors with deep Company and industry knowledge, and fresh and diverse perspectives, with an </w:t>
      </w:r>
      <w:r>
        <w:rPr>
          <w:rFonts w:ascii="Arial" w:cs="Arial" w:eastAsia="Arial" w:hAnsi="Arial"/>
          <w:sz w:val="18"/>
          <w:szCs w:val="18"/>
          <w:b w:val="1"/>
          <w:bCs w:val="1"/>
          <w:color w:val="auto"/>
        </w:rPr>
        <w:t>average director tenure of 7.3 years</w:t>
      </w:r>
      <w:r>
        <w:rPr>
          <w:rFonts w:ascii="Arial" w:cs="Arial" w:eastAsia="Arial" w:hAnsi="Arial"/>
          <w:sz w:val="18"/>
          <w:szCs w:val="18"/>
          <w:color w:val="auto"/>
        </w:rPr>
        <w:t>.</w:t>
      </w:r>
    </w:p>
    <w:p>
      <w:pPr>
        <w:spacing w:after="0" w:line="18" w:lineRule="exact"/>
        <w:rPr>
          <w:rFonts w:ascii="MS PGothic" w:cs="MS PGothic" w:eastAsia="MS PGothic" w:hAnsi="MS PGothic"/>
          <w:sz w:val="20"/>
          <w:szCs w:val="20"/>
          <w:color w:val="auto"/>
        </w:rPr>
      </w:pPr>
    </w:p>
    <w:p>
      <w:pPr>
        <w:ind w:left="309" w:right="80" w:hanging="309"/>
        <w:spacing w:after="0" w:line="247"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The Board and each Committee annually conduct a </w:t>
      </w:r>
      <w:r>
        <w:rPr>
          <w:rFonts w:ascii="Arial" w:cs="Arial" w:eastAsia="Arial" w:hAnsi="Arial"/>
          <w:sz w:val="18"/>
          <w:szCs w:val="18"/>
          <w:b w:val="1"/>
          <w:bCs w:val="1"/>
          <w:color w:val="auto"/>
        </w:rPr>
        <w:t>thorough self-assessment process focused on Board or</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 performance, respectively</w:t>
      </w:r>
      <w:r>
        <w:rPr>
          <w:rFonts w:ascii="Arial" w:cs="Arial" w:eastAsia="Arial" w:hAnsi="Arial"/>
          <w:sz w:val="18"/>
          <w:szCs w:val="18"/>
          <w:color w:val="auto"/>
        </w:rPr>
        <w:t>. In addition, each director completes an</w:t>
      </w:r>
      <w:r>
        <w:rPr>
          <w:rFonts w:ascii="Arial" w:cs="Arial" w:eastAsia="Arial" w:hAnsi="Arial"/>
          <w:sz w:val="18"/>
          <w:szCs w:val="18"/>
          <w:b w:val="1"/>
          <w:bCs w:val="1"/>
          <w:color w:val="auto"/>
        </w:rPr>
        <w:t xml:space="preserve"> individual director evaluation </w:t>
      </w:r>
      <w:r>
        <w:rPr>
          <w:rFonts w:ascii="Arial" w:cs="Arial" w:eastAsia="Arial" w:hAnsi="Arial"/>
          <w:sz w:val="18"/>
          <w:szCs w:val="18"/>
          <w:color w:val="auto"/>
        </w:rPr>
        <w:t>for each of the other directors and receives feedback on his or her own performance.</w:t>
      </w:r>
    </w:p>
    <w:p>
      <w:pPr>
        <w:spacing w:after="0" w:line="19" w:lineRule="exact"/>
        <w:rPr>
          <w:rFonts w:ascii="MS PGothic" w:cs="MS PGothic" w:eastAsia="MS PGothic" w:hAnsi="MS PGothic"/>
          <w:sz w:val="20"/>
          <w:szCs w:val="20"/>
          <w:color w:val="auto"/>
        </w:rPr>
      </w:pPr>
    </w:p>
    <w:p>
      <w:pPr>
        <w:ind w:left="309" w:right="140" w:hanging="309"/>
        <w:spacing w:after="0" w:line="268"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We are committed to Board refreshment and have a </w:t>
      </w:r>
      <w:r>
        <w:rPr>
          <w:rFonts w:ascii="Arial" w:cs="Arial" w:eastAsia="Arial" w:hAnsi="Arial"/>
          <w:sz w:val="18"/>
          <w:szCs w:val="18"/>
          <w:b w:val="1"/>
          <w:bCs w:val="1"/>
          <w:color w:val="auto"/>
        </w:rPr>
        <w:t>director retirement policy</w:t>
      </w:r>
      <w:r>
        <w:rPr>
          <w:rFonts w:ascii="Arial" w:cs="Arial" w:eastAsia="Arial" w:hAnsi="Arial"/>
          <w:sz w:val="18"/>
          <w:szCs w:val="18"/>
          <w:color w:val="auto"/>
        </w:rPr>
        <w:t xml:space="preserve"> for directors who reach the age of 75; we have added </w:t>
      </w:r>
      <w:r>
        <w:rPr>
          <w:rFonts w:ascii="Arial" w:cs="Arial" w:eastAsia="Arial" w:hAnsi="Arial"/>
          <w:sz w:val="18"/>
          <w:szCs w:val="18"/>
          <w:b w:val="1"/>
          <w:bCs w:val="1"/>
          <w:color w:val="auto"/>
        </w:rPr>
        <w:t>five new directors to the Board since the beginning of 2015</w:t>
      </w:r>
      <w:r>
        <w:rPr>
          <w:rFonts w:ascii="Arial" w:cs="Arial" w:eastAsia="Arial" w:hAnsi="Arial"/>
          <w:sz w:val="18"/>
          <w:szCs w:val="18"/>
          <w:color w:val="auto"/>
        </w:rPr>
        <w:t>.</w:t>
      </w:r>
    </w:p>
    <w:p>
      <w:pPr>
        <w:spacing w:after="0" w:line="141" w:lineRule="exact"/>
        <w:rPr>
          <w:rFonts w:ascii="MS PGothic" w:cs="MS PGothic" w:eastAsia="MS PGothic" w:hAnsi="MS PGothic"/>
          <w:sz w:val="20"/>
          <w:szCs w:val="20"/>
          <w:color w:val="auto"/>
        </w:rPr>
      </w:pPr>
    </w:p>
    <w:p>
      <w:pPr>
        <w:ind w:left="309" w:right="580" w:hanging="309"/>
        <w:spacing w:after="0" w:line="247"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The Board has long adopted a </w:t>
      </w:r>
      <w:r>
        <w:rPr>
          <w:rFonts w:ascii="Arial" w:cs="Arial" w:eastAsia="Arial" w:hAnsi="Arial"/>
          <w:sz w:val="18"/>
          <w:szCs w:val="18"/>
          <w:b w:val="1"/>
          <w:bCs w:val="1"/>
          <w:color w:val="auto"/>
        </w:rPr>
        <w:t>progressive governance structure that includes a proxy access bylaw</w:t>
      </w:r>
      <w:r>
        <w:rPr>
          <w:rFonts w:ascii="Arial" w:cs="Arial" w:eastAsia="Arial" w:hAnsi="Arial"/>
          <w:sz w:val="18"/>
          <w:szCs w:val="18"/>
          <w:color w:val="auto"/>
        </w:rPr>
        <w:t xml:space="preserve"> </w:t>
      </w:r>
      <w:r>
        <w:rPr>
          <w:rFonts w:ascii="Arial" w:cs="Arial" w:eastAsia="Arial" w:hAnsi="Arial"/>
          <w:sz w:val="18"/>
          <w:szCs w:val="18"/>
          <w:b w:val="1"/>
          <w:bCs w:val="1"/>
          <w:color w:val="auto"/>
        </w:rPr>
        <w:t>provision</w:t>
      </w:r>
      <w:r>
        <w:rPr>
          <w:rFonts w:ascii="Arial" w:cs="Arial" w:eastAsia="Arial" w:hAnsi="Arial"/>
          <w:sz w:val="18"/>
          <w:szCs w:val="18"/>
          <w:color w:val="auto"/>
        </w:rPr>
        <w:t>, allowing eligible shareholders to include their own director nominees in the Company's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w:t>
      </w:r>
    </w:p>
    <w:p>
      <w:pPr>
        <w:spacing w:after="0" w:line="19" w:lineRule="exact"/>
        <w:rPr>
          <w:rFonts w:ascii="MS PGothic" w:cs="MS PGothic" w:eastAsia="MS PGothic" w:hAnsi="MS PGothic"/>
          <w:sz w:val="20"/>
          <w:szCs w:val="20"/>
          <w:color w:val="auto"/>
        </w:rPr>
      </w:pPr>
    </w:p>
    <w:p>
      <w:pPr>
        <w:ind w:left="309" w:hanging="309"/>
        <w:spacing w:after="0"/>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Shareholders holding at least 25% of our common stock also have the </w:t>
      </w:r>
      <w:r>
        <w:rPr>
          <w:rFonts w:ascii="Arial" w:cs="Arial" w:eastAsia="Arial" w:hAnsi="Arial"/>
          <w:sz w:val="18"/>
          <w:szCs w:val="18"/>
          <w:b w:val="1"/>
          <w:bCs w:val="1"/>
          <w:color w:val="auto"/>
        </w:rPr>
        <w:t>right to call a special meeting</w:t>
      </w:r>
      <w:r>
        <w:rPr>
          <w:rFonts w:ascii="Arial" w:cs="Arial" w:eastAsia="Arial" w:hAnsi="Arial"/>
          <w:sz w:val="18"/>
          <w:szCs w:val="18"/>
          <w:color w:val="auto"/>
        </w:rPr>
        <w:t>.</w:t>
      </w:r>
    </w:p>
    <w:p>
      <w:pPr>
        <w:spacing w:after="0" w:line="86" w:lineRule="exact"/>
        <w:rPr>
          <w:rFonts w:ascii="MS PGothic" w:cs="MS PGothic" w:eastAsia="MS PGothic" w:hAnsi="MS PGothic"/>
          <w:sz w:val="20"/>
          <w:szCs w:val="20"/>
          <w:color w:val="auto"/>
        </w:rPr>
      </w:pPr>
    </w:p>
    <w:p>
      <w:pPr>
        <w:ind w:left="309" w:hanging="309"/>
        <w:spacing w:after="0"/>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Shareholders holding at least 25% of our common stock also have the right to take </w:t>
      </w:r>
      <w:r>
        <w:rPr>
          <w:rFonts w:ascii="Arial" w:cs="Arial" w:eastAsia="Arial" w:hAnsi="Arial"/>
          <w:sz w:val="18"/>
          <w:szCs w:val="18"/>
          <w:b w:val="1"/>
          <w:bCs w:val="1"/>
          <w:color w:val="auto"/>
        </w:rPr>
        <w:t>action by written consent</w:t>
      </w:r>
      <w:r>
        <w:rPr>
          <w:rFonts w:ascii="Arial" w:cs="Arial" w:eastAsia="Arial" w:hAnsi="Arial"/>
          <w:sz w:val="18"/>
          <w:szCs w:val="18"/>
          <w:color w:val="auto"/>
        </w:rPr>
        <w:t>.</w:t>
      </w:r>
    </w:p>
    <w:p>
      <w:pPr>
        <w:spacing w:after="0" w:line="154" w:lineRule="exact"/>
        <w:rPr>
          <w:rFonts w:ascii="MS PGothic" w:cs="MS PGothic" w:eastAsia="MS PGothic" w:hAnsi="MS PGothic"/>
          <w:sz w:val="20"/>
          <w:szCs w:val="20"/>
          <w:color w:val="auto"/>
        </w:rPr>
      </w:pPr>
    </w:p>
    <w:p>
      <w:pPr>
        <w:ind w:left="309" w:right="420" w:hanging="309"/>
        <w:spacing w:after="0" w:line="268"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Shareholders have the ability to </w:t>
      </w:r>
      <w:r>
        <w:rPr>
          <w:rFonts w:ascii="Arial" w:cs="Arial" w:eastAsia="Arial" w:hAnsi="Arial"/>
          <w:sz w:val="18"/>
          <w:szCs w:val="18"/>
          <w:b w:val="1"/>
          <w:bCs w:val="1"/>
          <w:color w:val="auto"/>
        </w:rPr>
        <w:t>communicate and meet directly with our management and directors</w:t>
      </w:r>
      <w:r>
        <w:rPr>
          <w:rFonts w:ascii="Arial" w:cs="Arial" w:eastAsia="Arial" w:hAnsi="Arial"/>
          <w:sz w:val="18"/>
          <w:szCs w:val="18"/>
          <w:color w:val="auto"/>
        </w:rPr>
        <w:t xml:space="preserve"> as needed.</w:t>
      </w:r>
    </w:p>
    <w:p>
      <w:pPr>
        <w:spacing w:after="0" w:line="249" w:lineRule="exact"/>
        <w:rPr>
          <w:rFonts w:ascii="MS PGothic" w:cs="MS PGothic" w:eastAsia="MS PGothic" w:hAnsi="MS PGothic"/>
          <w:sz w:val="20"/>
          <w:szCs w:val="20"/>
          <w:color w:val="auto"/>
        </w:rPr>
      </w:pPr>
    </w:p>
    <w:p>
      <w:pPr>
        <w:ind w:left="309" w:right="460" w:hanging="309"/>
        <w:spacing w:after="0" w:line="268" w:lineRule="auto"/>
        <w:tabs>
          <w:tab w:leader="none" w:pos="309" w:val="left"/>
        </w:tabs>
        <w:numPr>
          <w:ilvl w:val="0"/>
          <w:numId w:val="5"/>
        </w:numPr>
        <w:rPr>
          <w:rFonts w:ascii="MS PGothic" w:cs="MS PGothic" w:eastAsia="MS PGothic" w:hAnsi="MS PGothic"/>
          <w:sz w:val="19"/>
          <w:szCs w:val="19"/>
          <w:color w:val="auto"/>
        </w:rPr>
      </w:pPr>
      <w:r>
        <w:rPr>
          <w:rFonts w:ascii="Arial" w:cs="Arial" w:eastAsia="Arial" w:hAnsi="Arial"/>
          <w:sz w:val="17"/>
          <w:szCs w:val="17"/>
          <w:color w:val="auto"/>
        </w:rPr>
        <w:t xml:space="preserve">We have a </w:t>
      </w:r>
      <w:r>
        <w:rPr>
          <w:rFonts w:ascii="Arial" w:cs="Arial" w:eastAsia="Arial" w:hAnsi="Arial"/>
          <w:sz w:val="17"/>
          <w:szCs w:val="17"/>
          <w:b w:val="1"/>
          <w:bCs w:val="1"/>
          <w:color w:val="auto"/>
        </w:rPr>
        <w:t>strong ethics program</w:t>
      </w:r>
      <w:r>
        <w:rPr>
          <w:rFonts w:ascii="Arial" w:cs="Arial" w:eastAsia="Arial" w:hAnsi="Arial"/>
          <w:sz w:val="17"/>
          <w:szCs w:val="17"/>
          <w:color w:val="auto"/>
        </w:rPr>
        <w:t xml:space="preserve"> with standards of business conduct that help guide and promote good governance, responsible business practices and the highest standards of integrity throughout the Company.</w:t>
      </w:r>
    </w:p>
    <w:p>
      <w:pPr>
        <w:spacing w:after="0" w:line="18" w:lineRule="exact"/>
        <w:rPr>
          <w:rFonts w:ascii="MS PGothic" w:cs="MS PGothic" w:eastAsia="MS PGothic" w:hAnsi="MS PGothic"/>
          <w:sz w:val="19"/>
          <w:szCs w:val="19"/>
          <w:color w:val="auto"/>
        </w:rPr>
      </w:pPr>
    </w:p>
    <w:p>
      <w:pPr>
        <w:ind w:left="309" w:right="220" w:hanging="309"/>
        <w:spacing w:after="0" w:line="254"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We have a </w:t>
      </w:r>
      <w:r>
        <w:rPr>
          <w:rFonts w:ascii="Arial" w:cs="Arial" w:eastAsia="Arial" w:hAnsi="Arial"/>
          <w:sz w:val="18"/>
          <w:szCs w:val="18"/>
          <w:b w:val="1"/>
          <w:bCs w:val="1"/>
          <w:color w:val="auto"/>
        </w:rPr>
        <w:t>strong corporate culture</w:t>
      </w:r>
      <w:r>
        <w:rPr>
          <w:rFonts w:ascii="Arial" w:cs="Arial" w:eastAsia="Arial" w:hAnsi="Arial"/>
          <w:sz w:val="18"/>
          <w:szCs w:val="18"/>
          <w:color w:val="auto"/>
        </w:rPr>
        <w:t>, focused on ethics, trusted relationships, respect, diversity and inclusion, performance, innovation and delivering extraordinary results.</w:t>
      </w:r>
    </w:p>
    <w:p>
      <w:pPr>
        <w:spacing w:after="0" w:line="17" w:lineRule="exact"/>
        <w:rPr>
          <w:rFonts w:ascii="MS PGothic" w:cs="MS PGothic" w:eastAsia="MS PGothic" w:hAnsi="MS PGothic"/>
          <w:sz w:val="20"/>
          <w:szCs w:val="20"/>
          <w:color w:val="auto"/>
        </w:rPr>
      </w:pPr>
    </w:p>
    <w:p>
      <w:pPr>
        <w:ind w:left="309" w:hanging="309"/>
        <w:spacing w:after="0"/>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We have </w:t>
      </w:r>
      <w:r>
        <w:rPr>
          <w:rFonts w:ascii="Arial" w:cs="Arial" w:eastAsia="Arial" w:hAnsi="Arial"/>
          <w:sz w:val="18"/>
          <w:szCs w:val="18"/>
          <w:b w:val="1"/>
          <w:bCs w:val="1"/>
          <w:color w:val="auto"/>
        </w:rPr>
        <w:t>extensive and long-standing programs to fulfill our commitment to diversity and</w:t>
      </w:r>
    </w:p>
    <w:p>
      <w:pPr>
        <w:spacing w:after="0" w:line="14" w:lineRule="exact"/>
        <w:rPr>
          <w:rFonts w:ascii="MS PGothic" w:cs="MS PGothic" w:eastAsia="MS PGothic" w:hAnsi="MS PGothic"/>
          <w:sz w:val="20"/>
          <w:szCs w:val="20"/>
          <w:color w:val="auto"/>
        </w:rPr>
      </w:pPr>
    </w:p>
    <w:p>
      <w:pPr>
        <w:ind w:left="309"/>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inclusion </w:t>
      </w:r>
      <w:r>
        <w:rPr>
          <w:rFonts w:ascii="Arial" w:cs="Arial" w:eastAsia="Arial" w:hAnsi="Arial"/>
          <w:sz w:val="18"/>
          <w:szCs w:val="18"/>
          <w:color w:val="auto"/>
        </w:rPr>
        <w:t>throughout the Company and support diverse communities, especially in the area of STEM education.</w:t>
      </w:r>
    </w:p>
    <w:p>
      <w:pPr>
        <w:spacing w:after="0" w:line="27" w:lineRule="exact"/>
        <w:rPr>
          <w:rFonts w:ascii="MS PGothic" w:cs="MS PGothic" w:eastAsia="MS PGothic" w:hAnsi="MS PGothic"/>
          <w:sz w:val="20"/>
          <w:szCs w:val="20"/>
          <w:color w:val="auto"/>
        </w:rPr>
      </w:pPr>
    </w:p>
    <w:p>
      <w:pPr>
        <w:jc w:val="both"/>
        <w:ind w:left="309" w:right="660" w:hanging="309"/>
        <w:spacing w:after="0" w:line="247"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We have a </w:t>
      </w:r>
      <w:r>
        <w:rPr>
          <w:rFonts w:ascii="Arial" w:cs="Arial" w:eastAsia="Arial" w:hAnsi="Arial"/>
          <w:sz w:val="18"/>
          <w:szCs w:val="18"/>
          <w:b w:val="1"/>
          <w:bCs w:val="1"/>
          <w:color w:val="auto"/>
        </w:rPr>
        <w:t>robust corporate responsibility and sustainability program</w:t>
      </w:r>
      <w:r>
        <w:rPr>
          <w:rFonts w:ascii="Arial" w:cs="Arial" w:eastAsia="Arial" w:hAnsi="Arial"/>
          <w:sz w:val="18"/>
          <w:szCs w:val="18"/>
          <w:color w:val="auto"/>
        </w:rPr>
        <w:t xml:space="preserve"> and publish an </w:t>
      </w:r>
      <w:r>
        <w:rPr>
          <w:rFonts w:ascii="Arial" w:cs="Arial" w:eastAsia="Arial" w:hAnsi="Arial"/>
          <w:sz w:val="18"/>
          <w:szCs w:val="18"/>
          <w:b w:val="1"/>
          <w:bCs w:val="1"/>
          <w:color w:val="auto"/>
        </w:rPr>
        <w:t>annual report</w:t>
      </w:r>
      <w:r>
        <w:rPr>
          <w:rFonts w:ascii="Arial" w:cs="Arial" w:eastAsia="Arial" w:hAnsi="Arial"/>
          <w:sz w:val="18"/>
          <w:szCs w:val="18"/>
          <w:color w:val="auto"/>
        </w:rPr>
        <w:t xml:space="preserve"> </w:t>
      </w:r>
      <w:r>
        <w:rPr>
          <w:rFonts w:ascii="Arial" w:cs="Arial" w:eastAsia="Arial" w:hAnsi="Arial"/>
          <w:sz w:val="18"/>
          <w:szCs w:val="18"/>
          <w:b w:val="1"/>
          <w:bCs w:val="1"/>
          <w:color w:val="auto"/>
        </w:rPr>
        <w:t>highlighting numerous aspects of our social, environmental and governance performance</w:t>
      </w:r>
      <w:r>
        <w:rPr>
          <w:rFonts w:ascii="Arial" w:cs="Arial" w:eastAsia="Arial" w:hAnsi="Arial"/>
          <w:sz w:val="18"/>
          <w:szCs w:val="18"/>
          <w:color w:val="auto"/>
        </w:rPr>
        <w: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external review panel engaged to provide feedback and advice.</w:t>
      </w:r>
    </w:p>
    <w:p>
      <w:pPr>
        <w:spacing w:after="0" w:line="19" w:lineRule="exact"/>
        <w:rPr>
          <w:rFonts w:ascii="MS PGothic" w:cs="MS PGothic" w:eastAsia="MS PGothic" w:hAnsi="MS PGothic"/>
          <w:sz w:val="20"/>
          <w:szCs w:val="20"/>
          <w:color w:val="auto"/>
        </w:rPr>
      </w:pPr>
    </w:p>
    <w:p>
      <w:pPr>
        <w:ind w:left="309" w:hanging="309"/>
        <w:spacing w:after="0" w:line="247"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integrate our environmental program</w:t>
      </w:r>
      <w:r>
        <w:rPr>
          <w:rFonts w:ascii="Arial" w:cs="Arial" w:eastAsia="Arial" w:hAnsi="Arial"/>
          <w:sz w:val="18"/>
          <w:szCs w:val="18"/>
          <w:color w:val="auto"/>
        </w:rPr>
        <w:t xml:space="preserve"> into our organizational culture, minimizing our environmental footprint and driving affordability. Our executive officers are accountable for achieving environmental sustainability goals, which are </w:t>
      </w:r>
      <w:r>
        <w:rPr>
          <w:rFonts w:ascii="Arial" w:cs="Arial" w:eastAsia="Arial" w:hAnsi="Arial"/>
          <w:sz w:val="18"/>
          <w:szCs w:val="18"/>
          <w:b w:val="1"/>
          <w:bCs w:val="1"/>
          <w:color w:val="auto"/>
        </w:rPr>
        <w:t>one of our seven non-financial corporate performance metrics</w:t>
      </w:r>
      <w:r>
        <w:rPr>
          <w:rFonts w:ascii="Arial" w:cs="Arial" w:eastAsia="Arial" w:hAnsi="Arial"/>
          <w:sz w:val="18"/>
          <w:szCs w:val="18"/>
          <w:color w:val="auto"/>
        </w:rPr>
        <w:t>.</w:t>
      </w:r>
    </w:p>
    <w:p>
      <w:pPr>
        <w:spacing w:after="0" w:line="19" w:lineRule="exact"/>
        <w:rPr>
          <w:rFonts w:ascii="MS PGothic" w:cs="MS PGothic" w:eastAsia="MS PGothic" w:hAnsi="MS PGothic"/>
          <w:sz w:val="20"/>
          <w:szCs w:val="20"/>
          <w:color w:val="auto"/>
        </w:rPr>
      </w:pPr>
    </w:p>
    <w:p>
      <w:pPr>
        <w:ind w:left="309" w:hanging="309"/>
        <w:spacing w:after="0"/>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We disclose our </w:t>
      </w:r>
      <w:r>
        <w:rPr>
          <w:rFonts w:ascii="Arial" w:cs="Arial" w:eastAsia="Arial" w:hAnsi="Arial"/>
          <w:sz w:val="18"/>
          <w:szCs w:val="18"/>
          <w:b w:val="1"/>
          <w:bCs w:val="1"/>
          <w:color w:val="auto"/>
        </w:rPr>
        <w:t>political contributions policy and various trade association memberships on our website</w:t>
      </w:r>
      <w:r>
        <w:rPr>
          <w:rFonts w:ascii="Arial" w:cs="Arial" w:eastAsia="Arial" w:hAnsi="Arial"/>
          <w:sz w:val="18"/>
          <w:szCs w:val="18"/>
          <w:color w:val="auto"/>
        </w:rPr>
        <w:t>.</w:t>
      </w:r>
    </w:p>
    <w:p>
      <w:pPr>
        <w:spacing w:after="0" w:line="86" w:lineRule="exact"/>
        <w:rPr>
          <w:rFonts w:ascii="MS PGothic" w:cs="MS PGothic" w:eastAsia="MS PGothic" w:hAnsi="MS PGothic"/>
          <w:sz w:val="20"/>
          <w:szCs w:val="20"/>
          <w:color w:val="auto"/>
        </w:rPr>
      </w:pPr>
    </w:p>
    <w:p>
      <w:pPr>
        <w:ind w:left="309" w:right="640" w:hanging="309"/>
        <w:spacing w:after="0" w:line="268"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 xml:space="preserve">We have a robust </w:t>
      </w:r>
      <w:r>
        <w:rPr>
          <w:rFonts w:ascii="Arial" w:cs="Arial" w:eastAsia="Arial" w:hAnsi="Arial"/>
          <w:sz w:val="18"/>
          <w:szCs w:val="18"/>
          <w:b w:val="1"/>
          <w:bCs w:val="1"/>
          <w:color w:val="auto"/>
        </w:rPr>
        <w:t>recoupment policy</w:t>
      </w:r>
      <w:r>
        <w:rPr>
          <w:rFonts w:ascii="Arial" w:cs="Arial" w:eastAsia="Arial" w:hAnsi="Arial"/>
          <w:sz w:val="18"/>
          <w:szCs w:val="18"/>
          <w:color w:val="auto"/>
        </w:rPr>
        <w:t xml:space="preserve"> which provides the Board of Directors with the ability to recoup the incentive compensation of elected officers under various circumstances.</w:t>
      </w:r>
    </w:p>
    <w:p>
      <w:pPr>
        <w:spacing w:after="0" w:line="163" w:lineRule="exact"/>
        <w:rPr>
          <w:rFonts w:ascii="MS PGothic" w:cs="MS PGothic" w:eastAsia="MS PGothic" w:hAnsi="MS PGothic"/>
          <w:sz w:val="20"/>
          <w:szCs w:val="20"/>
          <w:color w:val="auto"/>
        </w:rPr>
      </w:pPr>
    </w:p>
    <w:p>
      <w:pPr>
        <w:ind w:left="309" w:right="20" w:hanging="309"/>
        <w:spacing w:after="0" w:line="241" w:lineRule="auto"/>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We have stock ownership guidelines of 7x base salary for the CEO and 3x base salary for other named executive officers, as well as stock holding requirements of three years from the vesting date.</w:t>
      </w:r>
    </w:p>
    <w:p>
      <w:pPr>
        <w:spacing w:after="0" w:line="40" w:lineRule="exact"/>
        <w:rPr>
          <w:rFonts w:ascii="MS PGothic" w:cs="MS PGothic" w:eastAsia="MS PGothic" w:hAnsi="MS PGothic"/>
          <w:sz w:val="20"/>
          <w:szCs w:val="20"/>
          <w:color w:val="auto"/>
        </w:rPr>
      </w:pPr>
    </w:p>
    <w:p>
      <w:pPr>
        <w:ind w:left="309" w:hanging="309"/>
        <w:spacing w:after="0"/>
        <w:tabs>
          <w:tab w:leader="none" w:pos="309" w:val="left"/>
        </w:tabs>
        <w:numPr>
          <w:ilvl w:val="0"/>
          <w:numId w:val="5"/>
        </w:numPr>
        <w:rPr>
          <w:rFonts w:ascii="MS PGothic" w:cs="MS PGothic" w:eastAsia="MS PGothic" w:hAnsi="MS PGothic"/>
          <w:sz w:val="20"/>
          <w:szCs w:val="20"/>
          <w:color w:val="auto"/>
        </w:rPr>
      </w:pPr>
      <w:r>
        <w:rPr>
          <w:rFonts w:ascii="Arial" w:cs="Arial" w:eastAsia="Arial" w:hAnsi="Arial"/>
          <w:sz w:val="18"/>
          <w:szCs w:val="18"/>
          <w:color w:val="auto"/>
        </w:rPr>
        <w:t>We have stock ownership guidelines of 5x the annual cash retainer for our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-6904355</wp:posOffset>
            </wp:positionV>
            <wp:extent cx="5983605" cy="6951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83605" cy="6951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271"/>
            <w:col w:w="9329"/>
          </w:cols>
          <w:pgMar w:left="320" w:top="701" w:right="37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00"/>
          </w:cols>
          <w:pgMar w:left="320" w:top="701" w:right="37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regularly engage with our shareholders to understand their perspectives on our Company, including our strategies, performance, and executive compensation, as well as our cash deployment and our environmental, social and governance practices. This ongoing dialogue, in which both members of management and directors participate, has helped inform the Board's decision-making and ensure we remain well-aligned as we work to promote the long-term interests of our shareholders.</w:t>
      </w:r>
    </w:p>
    <w:p>
      <w:pPr>
        <w:spacing w:after="0" w:line="6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Since our 2019 annual meeting, we have offered to engage on governance-related and other sustainability topics with shareholders representing approximately 65% of our outstanding shares. We have engaged with shareholders representing more than 35% of our outstanding shares to learn their perspectives on the Company and these topics. While a number of our shareholders declined engagement, we believe it is a best practice to offer engagement to shareholders representing a majority of our shares outstanding. These efforts are in addition to normal course outreach conducted by our Investor Relations team and members of senior management with portfolio managers and analysts. We also meet with shareholders at investor conferences held throughout the year.</w:t>
      </w:r>
    </w:p>
    <w:p>
      <w:pPr>
        <w:spacing w:after="0" w:line="7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has a substantial record of adopting provisions or modifying practices with the benefit of, and to reflect, shareholder input. Examples include provisions regarding proxy access, the right of shareholders to call a special meeting and the right of shareholders to act by written consent, as well as the use of full value shares and performance-based long-term incentives for our executives.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701" w:right="319" w:bottom="1440" w:gutter="0" w:footer="0" w:header="0"/>
        </w:sect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May 20, 2020, 8:00 a.m., Eastern Daylight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You can vote if you were a shareholder of record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close of business on March 24, 2020.</w:t>
      </w:r>
    </w:p>
    <w:p>
      <w:pPr>
        <w:spacing w:after="0" w:line="73" w:lineRule="exact"/>
        <w:rPr>
          <w:sz w:val="20"/>
          <w:szCs w:val="20"/>
          <w:color w:val="auto"/>
        </w:rPr>
      </w:pPr>
    </w:p>
    <w:p>
      <w:pPr>
        <w:sectPr>
          <w:pgSz w:w="11900" w:h="16838" w:orient="portrait"/>
          <w:cols w:equalWidth="0" w:num="3">
            <w:col w:w="520" w:space="100"/>
            <w:col w:w="4320" w:space="720"/>
            <w:col w:w="5600"/>
          </w:cols>
          <w:pgMar w:left="320" w:top="701" w:right="31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Northrop Grumman Corporation</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ind w:left="20"/>
        <w:spacing w:after="0"/>
        <w:rPr>
          <w:sz w:val="20"/>
          <w:szCs w:val="20"/>
          <w:color w:val="auto"/>
        </w:rPr>
      </w:pPr>
      <w:r>
        <w:rPr>
          <w:rFonts w:ascii="Arial" w:cs="Arial" w:eastAsia="Arial" w:hAnsi="Arial"/>
          <w:sz w:val="18"/>
          <w:szCs w:val="18"/>
          <w:color w:val="auto"/>
        </w:rPr>
        <w:t>Falls Church, Virginia 22042</w:t>
      </w:r>
    </w:p>
    <w:p>
      <w:pPr>
        <w:spacing w:after="0" w:line="20" w:lineRule="exact"/>
        <w:rPr>
          <w:sz w:val="20"/>
          <w:szCs w:val="20"/>
          <w:color w:val="auto"/>
        </w:rPr>
      </w:pPr>
      <w:r>
        <w:rPr>
          <w:sz w:val="20"/>
          <w:szCs w:val="20"/>
          <w:color w:val="auto"/>
        </w:rPr>
        <w:br w:type="column"/>
      </w:r>
    </w:p>
    <w:p>
      <w:pPr>
        <w:jc w:val="both"/>
        <w:ind w:right="360"/>
        <w:spacing w:after="0" w:line="253" w:lineRule="auto"/>
        <w:rPr>
          <w:sz w:val="20"/>
          <w:szCs w:val="20"/>
          <w:color w:val="auto"/>
        </w:rPr>
      </w:pPr>
      <w:r>
        <w:rPr>
          <w:rFonts w:ascii="Arial" w:cs="Arial" w:eastAsia="Arial" w:hAnsi="Arial"/>
          <w:sz w:val="18"/>
          <w:szCs w:val="18"/>
          <w:b w:val="1"/>
          <w:bCs w:val="1"/>
          <w:color w:val="auto"/>
        </w:rPr>
        <w:t xml:space="preserve">Admission: </w:t>
      </w:r>
      <w:r>
        <w:rPr>
          <w:rFonts w:ascii="Arial" w:cs="Arial" w:eastAsia="Arial" w:hAnsi="Arial"/>
          <w:sz w:val="18"/>
          <w:szCs w:val="18"/>
          <w:color w:val="auto"/>
        </w:rPr>
        <w:t>You will need proof of stock ownership and a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government-issued photo identification. All recording devices are prohibited in the meeting.</w:t>
      </w:r>
    </w:p>
    <w:p>
      <w:pPr>
        <w:spacing w:after="0" w:line="188" w:lineRule="exact"/>
        <w:rPr>
          <w:sz w:val="20"/>
          <w:szCs w:val="20"/>
          <w:color w:val="auto"/>
        </w:rPr>
      </w:pPr>
    </w:p>
    <w:p>
      <w:pPr>
        <w:sectPr>
          <w:pgSz w:w="11900" w:h="16838" w:orient="portrait"/>
          <w:cols w:equalWidth="0" w:num="3">
            <w:col w:w="580" w:space="100"/>
            <w:col w:w="4260" w:space="720"/>
            <w:col w:w="5600"/>
          </w:cols>
          <w:pgMar w:left="320" w:top="701" w:right="319" w:bottom="1440" w:gutter="0" w:footer="0" w:header="0"/>
          <w:type w:val="continuous"/>
        </w:sectPr>
      </w:pPr>
    </w:p>
    <w:p>
      <w:pPr>
        <w:ind w:left="40"/>
        <w:spacing w:after="0"/>
        <w:rPr>
          <w:sz w:val="20"/>
          <w:szCs w:val="20"/>
          <w:color w:val="auto"/>
        </w:rPr>
      </w:pPr>
      <w:r>
        <w:rPr>
          <w:rFonts w:ascii="Arial" w:cs="Arial" w:eastAsia="Arial" w:hAnsi="Arial"/>
          <w:sz w:val="25"/>
          <w:szCs w:val="25"/>
          <w:b w:val="1"/>
          <w:bCs w:val="1"/>
          <w:color w:val="auto"/>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40575" cy="1851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185166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6"/>
                <w:szCs w:val="16"/>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700" w:type="dxa"/>
            <w:vAlign w:val="bottom"/>
            <w:tcBorders>
              <w:bottom w:val="single" w:sz="8" w:color="00249C"/>
            </w:tcBorders>
          </w:tcPr>
          <w:p>
            <w:pPr>
              <w:spacing w:after="0"/>
              <w:rPr>
                <w:sz w:val="19"/>
                <w:szCs w:val="19"/>
                <w:color w:val="auto"/>
              </w:rPr>
            </w:pPr>
          </w:p>
        </w:tc>
        <w:tc>
          <w:tcPr>
            <w:tcW w:w="2520" w:type="dxa"/>
            <w:vAlign w:val="bottom"/>
            <w:tcBorders>
              <w:bottom w:val="single" w:sz="8" w:color="00249C"/>
            </w:tcBorders>
          </w:tcPr>
          <w:p>
            <w:pPr>
              <w:jc w:val="right"/>
              <w:ind w:right="39"/>
              <w:spacing w:after="0"/>
              <w:rPr>
                <w:sz w:val="20"/>
                <w:szCs w:val="20"/>
                <w:color w:val="auto"/>
              </w:rPr>
            </w:pPr>
            <w:r>
              <w:rPr>
                <w:rFonts w:ascii="Arial" w:cs="Arial" w:eastAsia="Arial" w:hAnsi="Arial"/>
                <w:sz w:val="16"/>
                <w:szCs w:val="16"/>
                <w:b w:val="1"/>
                <w:bCs w:val="1"/>
                <w:color w:val="auto"/>
              </w:rPr>
              <w:t>Board Vote Recommendation</w:t>
            </w:r>
          </w:p>
        </w:tc>
        <w:tc>
          <w:tcPr>
            <w:tcW w:w="1020" w:type="dxa"/>
            <w:vAlign w:val="bottom"/>
            <w:tcBorders>
              <w:bottom w:val="single" w:sz="8" w:color="00249C"/>
            </w:tcBorders>
          </w:tcPr>
          <w:p>
            <w:pPr>
              <w:jc w:val="right"/>
              <w:ind w:right="13"/>
              <w:spacing w:after="0"/>
              <w:rPr>
                <w:sz w:val="20"/>
                <w:szCs w:val="20"/>
                <w:color w:val="auto"/>
              </w:rPr>
            </w:pPr>
            <w:r>
              <w:rPr>
                <w:rFonts w:ascii="Arial" w:cs="Arial" w:eastAsia="Arial" w:hAnsi="Arial"/>
                <w:sz w:val="16"/>
                <w:szCs w:val="16"/>
                <w:b w:val="1"/>
                <w:bCs w:val="1"/>
                <w:color w:val="auto"/>
              </w:rPr>
              <w:t>Reference</w:t>
            </w:r>
          </w:p>
        </w:tc>
        <w:tc>
          <w:tcPr>
            <w:tcW w:w="20" w:type="dxa"/>
            <w:vAlign w:val="bottom"/>
            <w:tcBorders>
              <w:bottom w:val="single" w:sz="8" w:color="00249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CD4DB"/>
          </w:tcPr>
          <w:p>
            <w:pPr>
              <w:ind w:left="40"/>
              <w:spacing w:after="0"/>
              <w:rPr>
                <w:sz w:val="20"/>
                <w:szCs w:val="20"/>
                <w:color w:val="auto"/>
              </w:rPr>
            </w:pPr>
            <w:r>
              <w:rPr>
                <w:rFonts w:ascii="Arial" w:cs="Arial" w:eastAsia="Arial" w:hAnsi="Arial"/>
                <w:sz w:val="16"/>
                <w:szCs w:val="16"/>
                <w:color w:val="auto"/>
              </w:rPr>
              <w:t>Proposal One: Election of Directors</w:t>
            </w:r>
          </w:p>
        </w:tc>
        <w:tc>
          <w:tcPr>
            <w:tcW w:w="2520" w:type="dxa"/>
            <w:vAlign w:val="bottom"/>
            <w:shd w:val="clear" w:color="auto" w:fill="CCD4DB"/>
          </w:tcPr>
          <w:p>
            <w:pPr>
              <w:jc w:val="right"/>
              <w:ind w:right="39"/>
              <w:spacing w:after="0"/>
              <w:rPr>
                <w:sz w:val="20"/>
                <w:szCs w:val="20"/>
                <w:color w:val="auto"/>
              </w:rPr>
            </w:pPr>
            <w:r>
              <w:rPr>
                <w:rFonts w:ascii="Arial" w:cs="Arial" w:eastAsia="Arial" w:hAnsi="Arial"/>
                <w:sz w:val="16"/>
                <w:szCs w:val="16"/>
                <w:b w:val="1"/>
                <w:bCs w:val="1"/>
                <w:color w:val="00249C"/>
              </w:rPr>
              <w:t xml:space="preserve">FOR </w:t>
            </w:r>
            <w:r>
              <w:rPr>
                <w:rFonts w:ascii="Arial" w:cs="Arial" w:eastAsia="Arial" w:hAnsi="Arial"/>
                <w:sz w:val="16"/>
                <w:szCs w:val="16"/>
                <w:color w:val="000000"/>
              </w:rPr>
              <w:t>each Director Nominee</w:t>
            </w:r>
          </w:p>
        </w:tc>
        <w:tc>
          <w:tcPr>
            <w:tcW w:w="1020" w:type="dxa"/>
            <w:vAlign w:val="bottom"/>
            <w:shd w:val="clear" w:color="auto" w:fill="CCD4DB"/>
          </w:tcPr>
          <w:p>
            <w:pPr>
              <w:jc w:val="right"/>
              <w:ind w:right="13"/>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7700" w:type="dxa"/>
            <w:vAlign w:val="bottom"/>
            <w:shd w:val="clear" w:color="auto" w:fill="CCD4DB"/>
          </w:tcPr>
          <w:p>
            <w:pPr>
              <w:spacing w:after="0"/>
              <w:rPr>
                <w:sz w:val="8"/>
                <w:szCs w:val="8"/>
                <w:color w:val="auto"/>
              </w:rPr>
            </w:pPr>
          </w:p>
        </w:tc>
        <w:tc>
          <w:tcPr>
            <w:tcW w:w="2520" w:type="dxa"/>
            <w:vAlign w:val="bottom"/>
            <w:shd w:val="clear" w:color="auto" w:fill="CCD4DB"/>
          </w:tcPr>
          <w:p>
            <w:pPr>
              <w:spacing w:after="0"/>
              <w:rPr>
                <w:sz w:val="8"/>
                <w:szCs w:val="8"/>
                <w:color w:val="auto"/>
              </w:rPr>
            </w:pPr>
          </w:p>
        </w:tc>
        <w:tc>
          <w:tcPr>
            <w:tcW w:w="1020" w:type="dxa"/>
            <w:vAlign w:val="bottom"/>
            <w:shd w:val="clear" w:color="auto" w:fill="CCD4D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6"/>
                <w:szCs w:val="16"/>
                <w:color w:val="auto"/>
              </w:rPr>
              <w:t>Proposal Two: Advisory Vote on Compensation of Named Executive Officers</w:t>
            </w:r>
          </w:p>
        </w:tc>
        <w:tc>
          <w:tcPr>
            <w:tcW w:w="2520" w:type="dxa"/>
            <w:vAlign w:val="bottom"/>
          </w:tcPr>
          <w:p>
            <w:pPr>
              <w:jc w:val="right"/>
              <w:ind w:right="39"/>
              <w:spacing w:after="0"/>
              <w:rPr>
                <w:sz w:val="20"/>
                <w:szCs w:val="20"/>
                <w:color w:val="auto"/>
              </w:rPr>
            </w:pPr>
            <w:r>
              <w:rPr>
                <w:rFonts w:ascii="Arial" w:cs="Arial" w:eastAsia="Arial" w:hAnsi="Arial"/>
                <w:sz w:val="16"/>
                <w:szCs w:val="16"/>
                <w:b w:val="1"/>
                <w:bCs w:val="1"/>
                <w:color w:val="00249C"/>
              </w:rPr>
              <w:t>FOR</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77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CD4DB"/>
          </w:tcPr>
          <w:p>
            <w:pPr>
              <w:ind w:left="40"/>
              <w:spacing w:after="0"/>
              <w:rPr>
                <w:sz w:val="20"/>
                <w:szCs w:val="20"/>
                <w:color w:val="auto"/>
              </w:rPr>
            </w:pPr>
            <w:r>
              <w:rPr>
                <w:rFonts w:ascii="Arial" w:cs="Arial" w:eastAsia="Arial" w:hAnsi="Arial"/>
                <w:sz w:val="16"/>
                <w:szCs w:val="16"/>
                <w:color w:val="auto"/>
              </w:rPr>
              <w:t>Proposal Three: Ratification of Appointment of Independent Auditor</w:t>
            </w:r>
          </w:p>
        </w:tc>
        <w:tc>
          <w:tcPr>
            <w:tcW w:w="2520" w:type="dxa"/>
            <w:vAlign w:val="bottom"/>
            <w:shd w:val="clear" w:color="auto" w:fill="CCD4DB"/>
          </w:tcPr>
          <w:p>
            <w:pPr>
              <w:jc w:val="right"/>
              <w:ind w:right="39"/>
              <w:spacing w:after="0"/>
              <w:rPr>
                <w:sz w:val="20"/>
                <w:szCs w:val="20"/>
                <w:color w:val="auto"/>
              </w:rPr>
            </w:pPr>
            <w:r>
              <w:rPr>
                <w:rFonts w:ascii="Arial" w:cs="Arial" w:eastAsia="Arial" w:hAnsi="Arial"/>
                <w:sz w:val="16"/>
                <w:szCs w:val="16"/>
                <w:b w:val="1"/>
                <w:bCs w:val="1"/>
                <w:color w:val="00249C"/>
              </w:rPr>
              <w:t>FOR</w:t>
            </w:r>
          </w:p>
        </w:tc>
        <w:tc>
          <w:tcPr>
            <w:tcW w:w="1020" w:type="dxa"/>
            <w:vAlign w:val="bottom"/>
            <w:shd w:val="clear" w:color="auto" w:fill="CCD4DB"/>
          </w:tcPr>
          <w:p>
            <w:pPr>
              <w:jc w:val="right"/>
              <w:ind w:right="13"/>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7700" w:type="dxa"/>
            <w:vAlign w:val="bottom"/>
            <w:shd w:val="clear" w:color="auto" w:fill="CCD4DB"/>
          </w:tcPr>
          <w:p>
            <w:pPr>
              <w:spacing w:after="0"/>
              <w:rPr>
                <w:sz w:val="8"/>
                <w:szCs w:val="8"/>
                <w:color w:val="auto"/>
              </w:rPr>
            </w:pPr>
          </w:p>
        </w:tc>
        <w:tc>
          <w:tcPr>
            <w:tcW w:w="2520" w:type="dxa"/>
            <w:vAlign w:val="bottom"/>
            <w:shd w:val="clear" w:color="auto" w:fill="CCD4DB"/>
          </w:tcPr>
          <w:p>
            <w:pPr>
              <w:spacing w:after="0"/>
              <w:rPr>
                <w:sz w:val="8"/>
                <w:szCs w:val="8"/>
                <w:color w:val="auto"/>
              </w:rPr>
            </w:pPr>
          </w:p>
        </w:tc>
        <w:tc>
          <w:tcPr>
            <w:tcW w:w="1020" w:type="dxa"/>
            <w:vAlign w:val="bottom"/>
            <w:shd w:val="clear" w:color="auto" w:fill="CCD4D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7700" w:type="dxa"/>
            <w:vAlign w:val="bottom"/>
          </w:tcPr>
          <w:p>
            <w:pPr>
              <w:ind w:left="40"/>
              <w:spacing w:after="0"/>
              <w:rPr>
                <w:sz w:val="20"/>
                <w:szCs w:val="20"/>
                <w:color w:val="auto"/>
              </w:rPr>
            </w:pPr>
            <w:r>
              <w:rPr>
                <w:rFonts w:ascii="Arial" w:cs="Arial" w:eastAsia="Arial" w:hAnsi="Arial"/>
                <w:sz w:val="16"/>
                <w:szCs w:val="16"/>
                <w:color w:val="auto"/>
              </w:rPr>
              <w:t>Proposal Four: Shareholder Proposal That the Company Assess and Report on Potential Human Rights</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40"/>
              <w:spacing w:after="0"/>
              <w:rPr>
                <w:sz w:val="20"/>
                <w:szCs w:val="20"/>
                <w:color w:val="auto"/>
              </w:rPr>
            </w:pPr>
            <w:r>
              <w:rPr>
                <w:rFonts w:ascii="Arial" w:cs="Arial" w:eastAsia="Arial" w:hAnsi="Arial"/>
                <w:sz w:val="16"/>
                <w:szCs w:val="16"/>
                <w:color w:val="auto"/>
              </w:rPr>
              <w:t>Impacts That Could Result from the Governments' Use of Our Products and Services, Including in</w:t>
            </w:r>
          </w:p>
        </w:tc>
        <w:tc>
          <w:tcPr>
            <w:tcW w:w="25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00249C"/>
              </w:rPr>
              <w:t>AGAINST</w:t>
            </w: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00" w:type="dxa"/>
            <w:vAlign w:val="bottom"/>
          </w:tcPr>
          <w:p>
            <w:pPr>
              <w:ind w:left="40"/>
              <w:spacing w:after="0"/>
              <w:rPr>
                <w:sz w:val="20"/>
                <w:szCs w:val="20"/>
                <w:color w:val="auto"/>
              </w:rPr>
            </w:pPr>
            <w:r>
              <w:rPr>
                <w:rFonts w:ascii="Arial" w:cs="Arial" w:eastAsia="Arial" w:hAnsi="Arial"/>
                <w:sz w:val="16"/>
                <w:szCs w:val="16"/>
                <w:color w:val="auto"/>
              </w:rPr>
              <w:t>Conflict-Affected Areas</w:t>
            </w:r>
          </w:p>
        </w:tc>
        <w:tc>
          <w:tcPr>
            <w:tcW w:w="25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77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D4DB"/>
          </w:tcPr>
          <w:p>
            <w:pPr>
              <w:ind w:left="40"/>
              <w:spacing w:after="0"/>
              <w:rPr>
                <w:sz w:val="20"/>
                <w:szCs w:val="20"/>
                <w:color w:val="auto"/>
              </w:rPr>
            </w:pPr>
            <w:r>
              <w:rPr>
                <w:rFonts w:ascii="Arial" w:cs="Arial" w:eastAsia="Arial" w:hAnsi="Arial"/>
                <w:sz w:val="16"/>
                <w:szCs w:val="16"/>
                <w:color w:val="auto"/>
              </w:rPr>
              <w:t>Proposal Five: Shareholder Proposal to Move to a 3% Ownership Threshold for Shareholders to Request</w:t>
            </w:r>
          </w:p>
        </w:tc>
        <w:tc>
          <w:tcPr>
            <w:tcW w:w="2520" w:type="dxa"/>
            <w:vAlign w:val="bottom"/>
            <w:vMerge w:val="restart"/>
            <w:shd w:val="clear" w:color="auto" w:fill="CCD4DB"/>
          </w:tcPr>
          <w:p>
            <w:pPr>
              <w:jc w:val="right"/>
              <w:ind w:right="39"/>
              <w:spacing w:after="0"/>
              <w:rPr>
                <w:sz w:val="20"/>
                <w:szCs w:val="20"/>
                <w:color w:val="auto"/>
              </w:rPr>
            </w:pPr>
            <w:r>
              <w:rPr>
                <w:rFonts w:ascii="Arial" w:cs="Arial" w:eastAsia="Arial" w:hAnsi="Arial"/>
                <w:sz w:val="16"/>
                <w:szCs w:val="16"/>
                <w:b w:val="1"/>
                <w:bCs w:val="1"/>
                <w:color w:val="00249C"/>
              </w:rPr>
              <w:t>AGAINST</w:t>
            </w:r>
          </w:p>
        </w:tc>
        <w:tc>
          <w:tcPr>
            <w:tcW w:w="1020" w:type="dxa"/>
            <w:vAlign w:val="bottom"/>
            <w:vMerge w:val="restart"/>
            <w:shd w:val="clear" w:color="auto" w:fill="CCD4DB"/>
          </w:tcPr>
          <w:p>
            <w:pPr>
              <w:jc w:val="right"/>
              <w:ind w:right="13"/>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00" w:type="dxa"/>
            <w:vAlign w:val="bottom"/>
            <w:shd w:val="clear" w:color="auto" w:fill="CCD4DB"/>
          </w:tcPr>
          <w:p>
            <w:pPr>
              <w:ind w:left="40"/>
              <w:spacing w:after="0"/>
              <w:rPr>
                <w:sz w:val="20"/>
                <w:szCs w:val="20"/>
                <w:color w:val="auto"/>
              </w:rPr>
            </w:pPr>
            <w:r>
              <w:rPr>
                <w:rFonts w:ascii="Arial" w:cs="Arial" w:eastAsia="Arial" w:hAnsi="Arial"/>
                <w:sz w:val="16"/>
                <w:szCs w:val="16"/>
                <w:color w:val="auto"/>
              </w:rPr>
              <w:t>Action by Written Consent</w:t>
            </w:r>
          </w:p>
        </w:tc>
        <w:tc>
          <w:tcPr>
            <w:tcW w:w="2520" w:type="dxa"/>
            <w:vAlign w:val="bottom"/>
            <w:vMerge w:val="continue"/>
            <w:shd w:val="clear" w:color="auto" w:fill="CCD4DB"/>
          </w:tcPr>
          <w:p>
            <w:pPr>
              <w:spacing w:after="0"/>
              <w:rPr>
                <w:sz w:val="17"/>
                <w:szCs w:val="17"/>
                <w:color w:val="auto"/>
              </w:rPr>
            </w:pPr>
          </w:p>
        </w:tc>
        <w:tc>
          <w:tcPr>
            <w:tcW w:w="1020" w:type="dxa"/>
            <w:vAlign w:val="bottom"/>
            <w:vMerge w:val="continue"/>
            <w:shd w:val="clear" w:color="auto" w:fill="CCD4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7700" w:type="dxa"/>
            <w:vAlign w:val="bottom"/>
            <w:shd w:val="clear" w:color="auto" w:fill="CCD4DB"/>
          </w:tcPr>
          <w:p>
            <w:pPr>
              <w:spacing w:after="0"/>
              <w:rPr>
                <w:sz w:val="8"/>
                <w:szCs w:val="8"/>
                <w:color w:val="auto"/>
              </w:rPr>
            </w:pPr>
          </w:p>
        </w:tc>
        <w:tc>
          <w:tcPr>
            <w:tcW w:w="2520" w:type="dxa"/>
            <w:vAlign w:val="bottom"/>
            <w:shd w:val="clear" w:color="auto" w:fill="CCD4DB"/>
          </w:tcPr>
          <w:p>
            <w:pPr>
              <w:spacing w:after="0"/>
              <w:rPr>
                <w:sz w:val="8"/>
                <w:szCs w:val="8"/>
                <w:color w:val="auto"/>
              </w:rPr>
            </w:pPr>
          </w:p>
        </w:tc>
        <w:tc>
          <w:tcPr>
            <w:tcW w:w="1020" w:type="dxa"/>
            <w:vAlign w:val="bottom"/>
            <w:shd w:val="clear" w:color="auto" w:fill="CCD4D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w:t>
      </w:r>
    </w:p>
    <w:p>
      <w:pPr>
        <w:sectPr>
          <w:pgSz w:w="11900" w:h="16838" w:orient="portrait"/>
          <w:cols w:equalWidth="0" w:num="1">
            <w:col w:w="11260"/>
          </w:cols>
          <w:pgMar w:left="320" w:top="701" w:right="31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2020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Board has nominated 12 directors for election at the Annual Meeting. Each of the director nominees has consented to serve, and we do not know of any reason why any of them would be unable to serve, if elected. If a nominee becomes unavailable or unable to serve before the Annual Meeting (for example, due to serious illness), the Board may determine to leave the position vacant, reduce the number of authorized directors or designate a substitute nominee. If any nominee becomes unavailable for election to the Board, an event which is not anticipated, the proxyholders will have full discretion and authority to vote, or refrain from voting, for any other nominee in accordance with their judgment.</w:t>
      </w:r>
    </w:p>
    <w:p>
      <w:pPr>
        <w:spacing w:after="0" w:line="7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following pages contain biographical and other information about each of the nominees. In addition, we have provided information regarding some of the particular experiences, qualifications, attributes and skills that led the Board to conclude that each nominee should serve as a director.</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Unless instructed otherwise, the proxyholders will vote the proxies received by them "FOR" the election of the director nominees listed below.</w:t>
      </w:r>
    </w:p>
    <w:p>
      <w:pPr>
        <w:spacing w:after="0" w:line="23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249C"/>
        </w:rPr>
        <w:t>KATHY J. WARDEN,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5160" cy="7454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745490"/>
                    </a:xfrm>
                    <a:prstGeom prst="rect">
                      <a:avLst/>
                    </a:prstGeom>
                    <a:noFill/>
                  </pic:spPr>
                </pic:pic>
              </a:graphicData>
            </a:graphic>
          </wp:anchor>
        </w:drawing>
      </w:r>
    </w:p>
    <w:p>
      <w:pPr>
        <w:spacing w:after="0" w:line="78"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Chairman, Chief Executive Officer and President, Northrop Grumman Corporation.</w:t>
      </w:r>
    </w:p>
    <w:p>
      <w:pPr>
        <w:spacing w:after="0" w:line="9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Director since 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right="260"/>
        <w:spacing w:after="0" w:line="236" w:lineRule="auto"/>
        <w:rPr>
          <w:sz w:val="20"/>
          <w:szCs w:val="20"/>
          <w:color w:val="auto"/>
        </w:rPr>
      </w:pPr>
      <w:r>
        <w:rPr>
          <w:rFonts w:ascii="Arial" w:cs="Arial" w:eastAsia="Arial" w:hAnsi="Arial"/>
          <w:sz w:val="18"/>
          <w:szCs w:val="18"/>
          <w:color w:val="auto"/>
        </w:rPr>
        <w:t>Ms. Kathy J. Warden has served as Chairman since August 2019 and as Chief Executive Officer and President of the Company since January 2019. She has served on the Board of Directors since July 2018. Prior to becoming CEO, Ms. Warden served as President and Chief Operating Officer of the Company from January 2018 through December 2018, as Corporate Vice President and President of the Company's Mission Systems Sector from 2016 through 2017, as Corporate Vice President and President of the Company's former Information Systems Sector from 2013 to 2015, and as Vice President of the Company's Cyber Intelligence Division from 2011 to 2012. Prior to joining the Company in 2008, Ms. Warden held leadership roles at General Dynamics and Veridian Corporation. Earlier, she was a principal in a venture internet firm and also spent nearly a decade with General Electric Company working in commercial industries. Ms. Warden is a member of the Board of Directors of Merck &amp; Co., Inc. She is also the Chair of the Board of Directors of the Federal Reserve Bank of Richmond and a member of the Board of Visitors of James Madison University.</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280" w:right="640" w:hanging="245"/>
        <w:spacing w:after="0" w:line="246" w:lineRule="auto"/>
        <w:tabs>
          <w:tab w:leader="none" w:pos="323" w:val="left"/>
        </w:tabs>
        <w:numPr>
          <w:ilvl w:val="0"/>
          <w:numId w:val="6"/>
        </w:numPr>
        <w:rPr>
          <w:rFonts w:ascii="Arial" w:cs="Arial" w:eastAsia="Arial" w:hAnsi="Arial"/>
          <w:sz w:val="14"/>
          <w:szCs w:val="14"/>
          <w:color w:val="00249C"/>
        </w:rPr>
      </w:pPr>
      <w:r>
        <w:rPr>
          <w:rFonts w:ascii="Arial" w:cs="Arial" w:eastAsia="Arial" w:hAnsi="Arial"/>
          <w:sz w:val="18"/>
          <w:szCs w:val="18"/>
          <w:color w:val="auto"/>
        </w:rPr>
        <w:t>Extensive experience in operational leadership, strategy, performance and business development in government and commercial markets, including cyber expertise</w:t>
      </w:r>
    </w:p>
    <w:p>
      <w:pPr>
        <w:spacing w:after="0" w:line="115" w:lineRule="exact"/>
        <w:rPr>
          <w:rFonts w:ascii="Arial" w:cs="Arial" w:eastAsia="Arial" w:hAnsi="Arial"/>
          <w:sz w:val="14"/>
          <w:szCs w:val="14"/>
          <w:color w:val="00249C"/>
        </w:rPr>
      </w:pPr>
    </w:p>
    <w:p>
      <w:pPr>
        <w:ind w:left="280" w:right="520" w:hanging="245"/>
        <w:spacing w:after="0" w:line="246" w:lineRule="auto"/>
        <w:tabs>
          <w:tab w:leader="none" w:pos="323" w:val="left"/>
        </w:tabs>
        <w:numPr>
          <w:ilvl w:val="0"/>
          <w:numId w:val="6"/>
        </w:numPr>
        <w:rPr>
          <w:rFonts w:ascii="Arial" w:cs="Arial" w:eastAsia="Arial" w:hAnsi="Arial"/>
          <w:sz w:val="14"/>
          <w:szCs w:val="14"/>
          <w:color w:val="00249C"/>
        </w:rPr>
      </w:pPr>
      <w:r>
        <w:rPr>
          <w:rFonts w:ascii="Arial" w:cs="Arial" w:eastAsia="Arial" w:hAnsi="Arial"/>
          <w:sz w:val="18"/>
          <w:szCs w:val="18"/>
          <w:color w:val="auto"/>
        </w:rPr>
        <w:t>Prior leadership positions within Northrop Grumman (including as President, Chief Operating Officer and President of two business sectors)</w:t>
      </w:r>
    </w:p>
    <w:p>
      <w:pPr>
        <w:spacing w:after="0" w:line="115" w:lineRule="exact"/>
        <w:rPr>
          <w:rFonts w:ascii="Arial" w:cs="Arial" w:eastAsia="Arial" w:hAnsi="Arial"/>
          <w:sz w:val="14"/>
          <w:szCs w:val="14"/>
          <w:color w:val="00249C"/>
        </w:rPr>
      </w:pPr>
    </w:p>
    <w:p>
      <w:pPr>
        <w:ind w:left="320" w:hanging="285"/>
        <w:spacing w:after="0"/>
        <w:tabs>
          <w:tab w:leader="none" w:pos="320" w:val="left"/>
        </w:tabs>
        <w:numPr>
          <w:ilvl w:val="0"/>
          <w:numId w:val="6"/>
        </w:numPr>
        <w:rPr>
          <w:rFonts w:ascii="Arial" w:cs="Arial" w:eastAsia="Arial" w:hAnsi="Arial"/>
          <w:sz w:val="14"/>
          <w:szCs w:val="14"/>
          <w:color w:val="00249C"/>
        </w:rPr>
      </w:pPr>
      <w:r>
        <w:rPr>
          <w:rFonts w:ascii="Arial" w:cs="Arial" w:eastAsia="Arial" w:hAnsi="Arial"/>
          <w:sz w:val="18"/>
          <w:szCs w:val="18"/>
          <w:color w:val="auto"/>
        </w:rPr>
        <w:t>Significant aerospace and defense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701" w:right="359" w:bottom="1440" w:gutter="0" w:footer="0" w:header="0"/>
        </w:sectPr>
      </w:pPr>
    </w:p>
    <w:bookmarkStart w:id="13" w:name="page14"/>
    <w:bookmarkEnd w:id="13"/>
    <w:p>
      <w:pPr>
        <w:ind w:left="5"/>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249C"/>
        </w:rPr>
        <w:t>MARIANNE C. BROWN,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1" w:lineRule="exact"/>
        <w:rPr>
          <w:sz w:val="20"/>
          <w:szCs w:val="20"/>
          <w:color w:val="auto"/>
        </w:rPr>
      </w:pPr>
    </w:p>
    <w:p>
      <w:pPr>
        <w:ind w:left="1445" w:right="740"/>
        <w:spacing w:after="0" w:line="267" w:lineRule="auto"/>
        <w:rPr>
          <w:sz w:val="20"/>
          <w:szCs w:val="20"/>
          <w:color w:val="auto"/>
        </w:rPr>
      </w:pPr>
      <w:r>
        <w:rPr>
          <w:rFonts w:ascii="Arial" w:cs="Arial" w:eastAsia="Arial" w:hAnsi="Arial"/>
          <w:sz w:val="18"/>
          <w:szCs w:val="18"/>
          <w:i w:val="1"/>
          <w:iCs w:val="1"/>
          <w:color w:val="auto"/>
        </w:rPr>
        <w:t>Former Chief Operating Officer, Global Financial Solutions, Fidelity National Information Services, Inc., a financial services technology solutions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20090" cy="720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46"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Director since March 2015</w:t>
      </w:r>
    </w:p>
    <w:p>
      <w:pPr>
        <w:spacing w:after="0" w:line="90"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Member of the Compensation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94615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1" w:lineRule="exact"/>
        <w:rPr>
          <w:sz w:val="20"/>
          <w:szCs w:val="20"/>
          <w:color w:val="auto"/>
        </w:rPr>
      </w:pPr>
    </w:p>
    <w:p>
      <w:pPr>
        <w:ind w:left="5" w:right="260"/>
        <w:spacing w:after="0" w:line="236" w:lineRule="auto"/>
        <w:rPr>
          <w:sz w:val="20"/>
          <w:szCs w:val="20"/>
          <w:color w:val="auto"/>
        </w:rPr>
      </w:pPr>
      <w:r>
        <w:rPr>
          <w:rFonts w:ascii="Arial" w:cs="Arial" w:eastAsia="Arial" w:hAnsi="Arial"/>
          <w:sz w:val="18"/>
          <w:szCs w:val="18"/>
          <w:color w:val="auto"/>
        </w:rPr>
        <w:t>Ms. Marianne C. Brown served as the Chief Operating Officer of Fidelity National Information Services, Inc.'s (FIS) Global Financial Solutions organization from January 2018 until June 2019. Prior to that, Ms. Brown served as Chief Operating Officer, Institutional and Wholesale Business of FIS since December 2015, when it acquired SunGard Financial Systems. Ms. Brown was the Chief Operating Officer of SunGard Financial Systems, a software and IT services provider, from February 2014 to November 2015. Prior to that, Ms. Brown was the CEO and president of Omgeo, a global financial services technology company, from March 2006 to February 2014. Before joining Omgeo, she was the CEO of the Securities Industry Automation Corporation. Ms. Brown began her career at Automatic Data Processing (ADP) and progressed through a series of positions of increasing responsibility culminating in her role as general manager of ADP’s Brokerage Processing Services business, which was subsequently spun off to become Broadridge Financial Solutions. Ms. Brown serves on the Boards of Directors of Akamai Technologies, Inc. and VMWare, Inc.</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285" w:hanging="285"/>
        <w:spacing w:after="0"/>
        <w:tabs>
          <w:tab w:leader="none" w:pos="285" w:val="left"/>
        </w:tabs>
        <w:numPr>
          <w:ilvl w:val="0"/>
          <w:numId w:val="7"/>
        </w:numPr>
        <w:rPr>
          <w:rFonts w:ascii="Arial" w:cs="Arial" w:eastAsia="Arial" w:hAnsi="Arial"/>
          <w:sz w:val="14"/>
          <w:szCs w:val="14"/>
          <w:color w:val="00249C"/>
        </w:rPr>
      </w:pPr>
      <w:r>
        <w:rPr>
          <w:rFonts w:ascii="Arial" w:cs="Arial" w:eastAsia="Arial" w:hAnsi="Arial"/>
          <w:sz w:val="18"/>
          <w:szCs w:val="18"/>
          <w:color w:val="auto"/>
        </w:rPr>
        <w:t>Substantial business experience as Chief Operating Officer and as a former Chief Executive Officer</w:t>
      </w:r>
    </w:p>
    <w:p>
      <w:pPr>
        <w:spacing w:after="0" w:line="130" w:lineRule="exact"/>
        <w:rPr>
          <w:rFonts w:ascii="Arial" w:cs="Arial" w:eastAsia="Arial" w:hAnsi="Arial"/>
          <w:sz w:val="14"/>
          <w:szCs w:val="14"/>
          <w:color w:val="00249C"/>
        </w:rPr>
      </w:pPr>
    </w:p>
    <w:p>
      <w:pPr>
        <w:ind w:left="285" w:hanging="285"/>
        <w:spacing w:after="0"/>
        <w:tabs>
          <w:tab w:leader="none" w:pos="285" w:val="left"/>
        </w:tabs>
        <w:numPr>
          <w:ilvl w:val="0"/>
          <w:numId w:val="7"/>
        </w:numPr>
        <w:rPr>
          <w:rFonts w:ascii="Arial" w:cs="Arial" w:eastAsia="Arial" w:hAnsi="Arial"/>
          <w:sz w:val="14"/>
          <w:szCs w:val="14"/>
          <w:color w:val="00249C"/>
        </w:rPr>
      </w:pPr>
      <w:r>
        <w:rPr>
          <w:rFonts w:ascii="Arial" w:cs="Arial" w:eastAsia="Arial" w:hAnsi="Arial"/>
          <w:sz w:val="18"/>
          <w:szCs w:val="18"/>
          <w:color w:val="auto"/>
        </w:rPr>
        <w:t>Significant experience in IT goods and services and business management</w:t>
      </w:r>
    </w:p>
    <w:p>
      <w:pPr>
        <w:spacing w:after="0" w:line="130" w:lineRule="exact"/>
        <w:rPr>
          <w:rFonts w:ascii="Arial" w:cs="Arial" w:eastAsia="Arial" w:hAnsi="Arial"/>
          <w:sz w:val="14"/>
          <w:szCs w:val="14"/>
          <w:color w:val="00249C"/>
        </w:rPr>
      </w:pPr>
    </w:p>
    <w:p>
      <w:pPr>
        <w:ind w:left="285" w:hanging="285"/>
        <w:spacing w:after="0"/>
        <w:tabs>
          <w:tab w:leader="none" w:pos="285" w:val="left"/>
        </w:tabs>
        <w:numPr>
          <w:ilvl w:val="0"/>
          <w:numId w:val="7"/>
        </w:numPr>
        <w:rPr>
          <w:rFonts w:ascii="Arial" w:cs="Arial" w:eastAsia="Arial" w:hAnsi="Arial"/>
          <w:sz w:val="14"/>
          <w:szCs w:val="14"/>
          <w:color w:val="00249C"/>
        </w:rPr>
      </w:pPr>
      <w:r>
        <w:rPr>
          <w:rFonts w:ascii="Arial" w:cs="Arial" w:eastAsia="Arial" w:hAnsi="Arial"/>
          <w:sz w:val="18"/>
          <w:szCs w:val="18"/>
          <w:color w:val="auto"/>
        </w:rPr>
        <w:t>Community and philanthropic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249C"/>
        </w:rPr>
        <w:t>DONALD E. FELSINGER,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1"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Lead Independent Director of the Board of Directors, 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17220" cy="8229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7220" cy="822960"/>
                    </a:xfrm>
                    <a:prstGeom prst="rect">
                      <a:avLst/>
                    </a:prstGeom>
                    <a:noFill/>
                  </pic:spPr>
                </pic:pic>
              </a:graphicData>
            </a:graphic>
          </wp:anchor>
        </w:drawing>
      </w:r>
    </w:p>
    <w:p>
      <w:pPr>
        <w:spacing w:after="0" w:line="97"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Former Chairman and Chief Executive Officer, Sempra Energy, an energy services holding company.</w:t>
      </w:r>
    </w:p>
    <w:p>
      <w:pPr>
        <w:spacing w:after="0" w:line="117"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Director since February 2007</w:t>
      </w:r>
    </w:p>
    <w:p>
      <w:pPr>
        <w:spacing w:after="0" w:line="90"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Member of the Compensation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1" w:lineRule="exact"/>
        <w:rPr>
          <w:sz w:val="20"/>
          <w:szCs w:val="20"/>
          <w:color w:val="auto"/>
        </w:rPr>
      </w:pPr>
    </w:p>
    <w:p>
      <w:pPr>
        <w:ind w:left="5" w:right="260"/>
        <w:spacing w:after="0" w:line="236" w:lineRule="auto"/>
        <w:rPr>
          <w:sz w:val="20"/>
          <w:szCs w:val="20"/>
          <w:color w:val="auto"/>
        </w:rPr>
      </w:pPr>
      <w:r>
        <w:rPr>
          <w:rFonts w:ascii="Arial" w:cs="Arial" w:eastAsia="Arial" w:hAnsi="Arial"/>
          <w:sz w:val="18"/>
          <w:szCs w:val="18"/>
          <w:color w:val="auto"/>
        </w:rPr>
        <w:t>Mr. Donald E. Felsinger is the former Chairman and Chief Executive Officer of Sempra Energy. From July 2011 through his retirement in November 2012, he served as Executive Chairman of the Board of Directors of Sempra Energy, and from February 2006 through June 2011, he was Sempra's Chairman and CEO. Prior to that, Mr. Felsinger was President and Chief Operating Officer of Sempra Energy from January 2005 to February 2006 and a member of the Board of Directors. From 1998 through 2004, he was Group President and CEO of Sempra Global. Prior to the merger that formed Sempra Energy, he served as President and Chief Operating Officer of Enova Corporation, the parent company of San Diego Gas &amp; Electric (SDG&amp;E). Prior positions included President and Chief Executive Officer of SDG&amp;E, Executive Vice President of Enova Corporation and Executive Vice President of SDG&amp;E. Mr. Felsinger is a member of the Board of Directors of Archer-Daniels-Midland (Lead Independent Director) and served as a director of Gannett Co., Inc. during the last five years.</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245" w:right="960" w:hanging="245"/>
        <w:spacing w:after="0" w:line="246" w:lineRule="auto"/>
        <w:tabs>
          <w:tab w:leader="none" w:pos="288" w:val="left"/>
        </w:tabs>
        <w:numPr>
          <w:ilvl w:val="0"/>
          <w:numId w:val="8"/>
        </w:numPr>
        <w:rPr>
          <w:rFonts w:ascii="Arial" w:cs="Arial" w:eastAsia="Arial" w:hAnsi="Arial"/>
          <w:sz w:val="14"/>
          <w:szCs w:val="14"/>
          <w:color w:val="00249C"/>
        </w:rPr>
      </w:pPr>
      <w:r>
        <w:rPr>
          <w:rFonts w:ascii="Arial" w:cs="Arial" w:eastAsia="Arial" w:hAnsi="Arial"/>
          <w:sz w:val="18"/>
          <w:szCs w:val="18"/>
          <w:color w:val="auto"/>
        </w:rPr>
        <w:t>Extensive business experience as Chief Executive Officer, a board member and Chairman of other Fortune 500 companies in regulated industries</w:t>
      </w:r>
    </w:p>
    <w:p>
      <w:pPr>
        <w:spacing w:after="0" w:line="115" w:lineRule="exact"/>
        <w:rPr>
          <w:rFonts w:ascii="Arial" w:cs="Arial" w:eastAsia="Arial" w:hAnsi="Arial"/>
          <w:sz w:val="14"/>
          <w:szCs w:val="14"/>
          <w:color w:val="00249C"/>
        </w:rPr>
      </w:pPr>
    </w:p>
    <w:p>
      <w:pPr>
        <w:ind w:left="285" w:hanging="285"/>
        <w:spacing w:after="0"/>
        <w:tabs>
          <w:tab w:leader="none" w:pos="285" w:val="left"/>
        </w:tabs>
        <w:numPr>
          <w:ilvl w:val="0"/>
          <w:numId w:val="8"/>
        </w:numPr>
        <w:rPr>
          <w:rFonts w:ascii="Arial" w:cs="Arial" w:eastAsia="Arial" w:hAnsi="Arial"/>
          <w:sz w:val="14"/>
          <w:szCs w:val="14"/>
          <w:color w:val="00249C"/>
        </w:rPr>
      </w:pPr>
      <w:r>
        <w:rPr>
          <w:rFonts w:ascii="Arial" w:cs="Arial" w:eastAsia="Arial" w:hAnsi="Arial"/>
          <w:sz w:val="18"/>
          <w:szCs w:val="18"/>
          <w:color w:val="auto"/>
        </w:rPr>
        <w:t>Significant experience in corporate governance and strategy, and as Lead Independent Director of a Fortune 250 company</w:t>
      </w:r>
    </w:p>
    <w:p>
      <w:pPr>
        <w:spacing w:after="0" w:line="130" w:lineRule="exact"/>
        <w:rPr>
          <w:rFonts w:ascii="Arial" w:cs="Arial" w:eastAsia="Arial" w:hAnsi="Arial"/>
          <w:sz w:val="14"/>
          <w:szCs w:val="14"/>
          <w:color w:val="00249C"/>
        </w:rPr>
      </w:pPr>
    </w:p>
    <w:p>
      <w:pPr>
        <w:ind w:left="285" w:hanging="285"/>
        <w:spacing w:after="0"/>
        <w:tabs>
          <w:tab w:leader="none" w:pos="285" w:val="left"/>
        </w:tabs>
        <w:numPr>
          <w:ilvl w:val="0"/>
          <w:numId w:val="8"/>
        </w:numPr>
        <w:rPr>
          <w:rFonts w:ascii="Arial" w:cs="Arial" w:eastAsia="Arial" w:hAnsi="Arial"/>
          <w:sz w:val="14"/>
          <w:szCs w:val="14"/>
          <w:color w:val="00249C"/>
        </w:rPr>
      </w:pPr>
      <w:r>
        <w:rPr>
          <w:rFonts w:ascii="Arial" w:cs="Arial" w:eastAsia="Arial" w:hAnsi="Arial"/>
          <w:sz w:val="18"/>
          <w:szCs w:val="18"/>
          <w:color w:val="auto"/>
        </w:rPr>
        <w:t>In-depth knowledge of executive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w:t>
      </w:r>
    </w:p>
    <w:p>
      <w:pPr>
        <w:sectPr>
          <w:pgSz w:w="11900" w:h="16838" w:orient="portrait"/>
          <w:cols w:equalWidth="0" w:num="1">
            <w:col w:w="11205"/>
          </w:cols>
          <w:pgMar w:left="355" w:top="701" w:right="339" w:bottom="1440" w:gutter="0" w:footer="0" w:header="0"/>
        </w:sectPr>
      </w:pPr>
    </w:p>
    <w:bookmarkStart w:id="14" w:name="page15"/>
    <w:bookmarkEnd w:id="14"/>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249C"/>
        </w:rPr>
        <w:t>ANN M. FUDGE,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1" w:lineRule="exact"/>
        <w:rPr>
          <w:sz w:val="20"/>
          <w:szCs w:val="20"/>
          <w:color w:val="auto"/>
        </w:rPr>
      </w:pPr>
    </w:p>
    <w:p>
      <w:pPr>
        <w:ind w:left="1480" w:right="480"/>
        <w:spacing w:after="0" w:line="344" w:lineRule="auto"/>
        <w:rPr>
          <w:sz w:val="20"/>
          <w:szCs w:val="20"/>
          <w:color w:val="auto"/>
        </w:rPr>
      </w:pPr>
      <w:r>
        <w:rPr>
          <w:rFonts w:ascii="Arial" w:cs="Arial" w:eastAsia="Arial" w:hAnsi="Arial"/>
          <w:sz w:val="18"/>
          <w:szCs w:val="18"/>
          <w:i w:val="1"/>
          <w:iCs w:val="1"/>
          <w:color w:val="auto"/>
        </w:rPr>
        <w:t>Former Chairman and Chief Executive Officer, Young &amp; Rubicam Brands, a marketing communications company. Director since 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-363855</wp:posOffset>
            </wp:positionV>
            <wp:extent cx="685800" cy="685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i w:val="1"/>
          <w:iCs w:val="1"/>
          <w:color w:val="auto"/>
        </w:rPr>
        <w:t>Member of the Audit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0" w:right="20"/>
        <w:spacing w:after="0" w:line="237" w:lineRule="auto"/>
        <w:rPr>
          <w:sz w:val="20"/>
          <w:szCs w:val="20"/>
          <w:color w:val="auto"/>
        </w:rPr>
      </w:pPr>
      <w:r>
        <w:rPr>
          <w:rFonts w:ascii="Arial" w:cs="Arial" w:eastAsia="Arial" w:hAnsi="Arial"/>
          <w:sz w:val="18"/>
          <w:szCs w:val="18"/>
          <w:color w:val="auto"/>
        </w:rPr>
        <w:t>Ms. Ann M. Fudge served as Chairman and Chief Executive Officer of Young &amp; Rubicam Brands at WPP Group PLC from May 2003 to December 2006. Prior to that, she served in various leadership positions at Kraft Foods from 1986 to 2001, including President of Beverages, Desserts and Post Divisions, and President of Maxwell House Coffee and Kraft General Foods. From 1977 to 1986, Ms. Fudge held a variety of marketing positions at General Mills. She is a director of Novartis AG, and served as a director of General Electric Company and Unilever during the last five years. Ms. Fudge is the Chair of the Board of Trustees of WGBH Public Media and a trustee of the Brookings Institution.</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320" w:hanging="285"/>
        <w:spacing w:after="0"/>
        <w:tabs>
          <w:tab w:leader="none" w:pos="320" w:val="left"/>
        </w:tabs>
        <w:numPr>
          <w:ilvl w:val="0"/>
          <w:numId w:val="9"/>
        </w:numPr>
        <w:rPr>
          <w:rFonts w:ascii="Arial" w:cs="Arial" w:eastAsia="Arial" w:hAnsi="Arial"/>
          <w:sz w:val="14"/>
          <w:szCs w:val="14"/>
          <w:color w:val="00249C"/>
        </w:rPr>
      </w:pPr>
      <w:r>
        <w:rPr>
          <w:rFonts w:ascii="Arial" w:cs="Arial" w:eastAsia="Arial" w:hAnsi="Arial"/>
          <w:sz w:val="18"/>
          <w:szCs w:val="18"/>
          <w:color w:val="auto"/>
        </w:rPr>
        <w:t>Extensive business experience as former Chief Executive Officer and former president of leading consumer products business units</w:t>
      </w:r>
    </w:p>
    <w:p>
      <w:pPr>
        <w:spacing w:after="0" w:line="130" w:lineRule="exact"/>
        <w:rPr>
          <w:rFonts w:ascii="Arial" w:cs="Arial" w:eastAsia="Arial" w:hAnsi="Arial"/>
          <w:sz w:val="14"/>
          <w:szCs w:val="14"/>
          <w:color w:val="00249C"/>
        </w:rPr>
      </w:pPr>
    </w:p>
    <w:p>
      <w:pPr>
        <w:ind w:left="280" w:right="220" w:hanging="245"/>
        <w:spacing w:after="0" w:line="246" w:lineRule="auto"/>
        <w:tabs>
          <w:tab w:leader="none" w:pos="323" w:val="left"/>
        </w:tabs>
        <w:numPr>
          <w:ilvl w:val="0"/>
          <w:numId w:val="9"/>
        </w:numPr>
        <w:rPr>
          <w:rFonts w:ascii="Arial" w:cs="Arial" w:eastAsia="Arial" w:hAnsi="Arial"/>
          <w:sz w:val="14"/>
          <w:szCs w:val="14"/>
          <w:color w:val="00249C"/>
        </w:rPr>
      </w:pPr>
      <w:r>
        <w:rPr>
          <w:rFonts w:ascii="Arial" w:cs="Arial" w:eastAsia="Arial" w:hAnsi="Arial"/>
          <w:sz w:val="18"/>
          <w:szCs w:val="18"/>
          <w:color w:val="auto"/>
        </w:rPr>
        <w:t>Substantial international experience through service as an executive and director of a large multinational company and a director of other large multinational companies</w:t>
      </w:r>
    </w:p>
    <w:p>
      <w:pPr>
        <w:spacing w:after="0" w:line="115" w:lineRule="exact"/>
        <w:rPr>
          <w:rFonts w:ascii="Arial" w:cs="Arial" w:eastAsia="Arial" w:hAnsi="Arial"/>
          <w:sz w:val="14"/>
          <w:szCs w:val="14"/>
          <w:color w:val="00249C"/>
        </w:rPr>
      </w:pPr>
    </w:p>
    <w:p>
      <w:pPr>
        <w:ind w:left="320" w:hanging="285"/>
        <w:spacing w:after="0"/>
        <w:tabs>
          <w:tab w:leader="none" w:pos="320" w:val="left"/>
        </w:tabs>
        <w:numPr>
          <w:ilvl w:val="0"/>
          <w:numId w:val="9"/>
        </w:numPr>
        <w:rPr>
          <w:rFonts w:ascii="Arial" w:cs="Arial" w:eastAsia="Arial" w:hAnsi="Arial"/>
          <w:sz w:val="14"/>
          <w:szCs w:val="14"/>
          <w:color w:val="00249C"/>
        </w:rPr>
      </w:pPr>
      <w:r>
        <w:rPr>
          <w:rFonts w:ascii="Arial" w:cs="Arial" w:eastAsia="Arial" w:hAnsi="Arial"/>
          <w:sz w:val="18"/>
          <w:szCs w:val="18"/>
          <w:color w:val="auto"/>
        </w:rPr>
        <w:t>Significant public company board experience</w:t>
      </w:r>
    </w:p>
    <w:p>
      <w:pPr>
        <w:spacing w:after="0" w:line="130" w:lineRule="exact"/>
        <w:rPr>
          <w:rFonts w:ascii="Arial" w:cs="Arial" w:eastAsia="Arial" w:hAnsi="Arial"/>
          <w:sz w:val="14"/>
          <w:szCs w:val="14"/>
          <w:color w:val="00249C"/>
        </w:rPr>
      </w:pPr>
    </w:p>
    <w:p>
      <w:pPr>
        <w:ind w:left="320" w:hanging="285"/>
        <w:spacing w:after="0"/>
        <w:tabs>
          <w:tab w:leader="none" w:pos="320" w:val="left"/>
        </w:tabs>
        <w:numPr>
          <w:ilvl w:val="0"/>
          <w:numId w:val="9"/>
        </w:numPr>
        <w:rPr>
          <w:rFonts w:ascii="Arial" w:cs="Arial" w:eastAsia="Arial" w:hAnsi="Arial"/>
          <w:sz w:val="14"/>
          <w:szCs w:val="14"/>
          <w:color w:val="00249C"/>
        </w:rPr>
      </w:pPr>
      <w:r>
        <w:rPr>
          <w:rFonts w:ascii="Arial" w:cs="Arial" w:eastAsia="Arial" w:hAnsi="Arial"/>
          <w:sz w:val="18"/>
          <w:szCs w:val="18"/>
          <w:color w:val="auto"/>
        </w:rPr>
        <w:t>Experience with talent development and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249C"/>
        </w:rPr>
        <w:t>BRUCE S. GORDON,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1" w:lineRule="exact"/>
        <w:rPr>
          <w:sz w:val="20"/>
          <w:szCs w:val="20"/>
          <w:color w:val="auto"/>
        </w:rPr>
      </w:pPr>
    </w:p>
    <w:p>
      <w:pPr>
        <w:ind w:left="1480" w:right="220"/>
        <w:spacing w:after="0" w:line="267" w:lineRule="auto"/>
        <w:rPr>
          <w:sz w:val="20"/>
          <w:szCs w:val="20"/>
          <w:color w:val="auto"/>
        </w:rPr>
      </w:pPr>
      <w:r>
        <w:rPr>
          <w:rFonts w:ascii="Arial" w:cs="Arial" w:eastAsia="Arial" w:hAnsi="Arial"/>
          <w:sz w:val="18"/>
          <w:szCs w:val="18"/>
          <w:i w:val="1"/>
          <w:iCs w:val="1"/>
          <w:color w:val="auto"/>
        </w:rPr>
        <w:t>Former President, Retail Markets Group, Verizon Communications Inc., a telecommunications company, and Former President &amp; CEO, NAACP.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-280035</wp:posOffset>
            </wp:positionV>
            <wp:extent cx="617220" cy="8229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7220" cy="822960"/>
                    </a:xfrm>
                    <a:prstGeom prst="rect">
                      <a:avLst/>
                    </a:prstGeom>
                    <a:noFill/>
                  </pic:spPr>
                </pic:pic>
              </a:graphicData>
            </a:graphic>
          </wp:anchor>
        </w:drawing>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Director since October 2008</w:t>
      </w:r>
    </w:p>
    <w:p>
      <w:pPr>
        <w:spacing w:after="0" w:line="9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Member of the Compensation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0"/>
        <w:spacing w:after="0" w:line="237" w:lineRule="auto"/>
        <w:rPr>
          <w:sz w:val="20"/>
          <w:szCs w:val="20"/>
          <w:color w:val="auto"/>
        </w:rPr>
      </w:pPr>
      <w:r>
        <w:rPr>
          <w:rFonts w:ascii="Arial" w:cs="Arial" w:eastAsia="Arial" w:hAnsi="Arial"/>
          <w:sz w:val="18"/>
          <w:szCs w:val="18"/>
          <w:color w:val="auto"/>
        </w:rPr>
        <w:t>Mr. Bruce S. Gordon served as President and Chief Executive Officer of the National Association for the Advancement of Colored People from June 2005 to March 2007. In 2003, Mr. Gordon retired from Verizon Communications Inc., where he had served as President, Retail Markets Group since 2000. Prior to that, Mr. Gordon served as Group President of the Enterprise Business Unit, President of Consumer Services, Vice President of Marketing and Sales and Vice President of Sales for Bell Atlantic Corporation (Verizon's predecessor). He is a member of the board of directors of the Newport Festival Foundation and a member of the Executive Leadership Council. Mr. Gordon served as a director of CBS Corporation and as the Non-Executive Chair of The ADT Corporation during the last five years. He currently serves as a diversity consultant to several Fortune 500 companies.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300" w:hanging="265"/>
        <w:spacing w:after="0"/>
        <w:tabs>
          <w:tab w:leader="none" w:pos="300" w:val="left"/>
        </w:tabs>
        <w:numPr>
          <w:ilvl w:val="0"/>
          <w:numId w:val="10"/>
        </w:numPr>
        <w:rPr>
          <w:rFonts w:ascii="Arial" w:cs="Arial" w:eastAsia="Arial" w:hAnsi="Arial"/>
          <w:sz w:val="14"/>
          <w:szCs w:val="14"/>
          <w:color w:val="00249C"/>
        </w:rPr>
      </w:pPr>
      <w:r>
        <w:rPr>
          <w:rFonts w:ascii="Arial" w:cs="Arial" w:eastAsia="Arial" w:hAnsi="Arial"/>
          <w:sz w:val="18"/>
          <w:szCs w:val="18"/>
          <w:color w:val="auto"/>
        </w:rPr>
        <w:t>Extensive leadership and business skills acquired from his experience with corporate and non-profit enterprises</w:t>
      </w:r>
    </w:p>
    <w:p>
      <w:pPr>
        <w:spacing w:after="0" w:line="130" w:lineRule="exact"/>
        <w:rPr>
          <w:rFonts w:ascii="Arial" w:cs="Arial" w:eastAsia="Arial" w:hAnsi="Arial"/>
          <w:sz w:val="14"/>
          <w:szCs w:val="14"/>
          <w:color w:val="00249C"/>
        </w:rPr>
      </w:pPr>
    </w:p>
    <w:p>
      <w:pPr>
        <w:ind w:left="300" w:hanging="265"/>
        <w:spacing w:after="0"/>
        <w:tabs>
          <w:tab w:leader="none" w:pos="300" w:val="left"/>
        </w:tabs>
        <w:numPr>
          <w:ilvl w:val="0"/>
          <w:numId w:val="10"/>
        </w:numPr>
        <w:rPr>
          <w:rFonts w:ascii="Arial" w:cs="Arial" w:eastAsia="Arial" w:hAnsi="Arial"/>
          <w:sz w:val="14"/>
          <w:szCs w:val="14"/>
          <w:color w:val="00249C"/>
        </w:rPr>
      </w:pPr>
      <w:r>
        <w:rPr>
          <w:rFonts w:ascii="Arial" w:cs="Arial" w:eastAsia="Arial" w:hAnsi="Arial"/>
          <w:sz w:val="18"/>
          <w:szCs w:val="18"/>
          <w:color w:val="auto"/>
        </w:rPr>
        <w:t>National leader on issues of diversity and inclusion</w:t>
      </w:r>
    </w:p>
    <w:p>
      <w:pPr>
        <w:spacing w:after="0" w:line="130" w:lineRule="exact"/>
        <w:rPr>
          <w:rFonts w:ascii="Arial" w:cs="Arial" w:eastAsia="Arial" w:hAnsi="Arial"/>
          <w:sz w:val="14"/>
          <w:szCs w:val="14"/>
          <w:color w:val="00249C"/>
        </w:rPr>
      </w:pPr>
    </w:p>
    <w:p>
      <w:pPr>
        <w:ind w:left="320" w:hanging="285"/>
        <w:spacing w:after="0"/>
        <w:tabs>
          <w:tab w:leader="none" w:pos="320" w:val="left"/>
        </w:tabs>
        <w:numPr>
          <w:ilvl w:val="0"/>
          <w:numId w:val="10"/>
        </w:numPr>
        <w:rPr>
          <w:rFonts w:ascii="Arial" w:cs="Arial" w:eastAsia="Arial" w:hAnsi="Arial"/>
          <w:sz w:val="14"/>
          <w:szCs w:val="14"/>
          <w:color w:val="00249C"/>
        </w:rPr>
      </w:pPr>
      <w:r>
        <w:rPr>
          <w:rFonts w:ascii="Arial" w:cs="Arial" w:eastAsia="Arial" w:hAnsi="Arial"/>
          <w:sz w:val="18"/>
          <w:szCs w:val="18"/>
          <w:color w:val="auto"/>
        </w:rPr>
        <w:t>Significant board experience, including as non-executive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0960"/>
          </w:cols>
          <w:pgMar w:left="320" w:top="701" w:right="619" w:bottom="1440" w:gutter="0" w:footer="0" w:header="0"/>
        </w:sectPr>
      </w:pPr>
    </w:p>
    <w:bookmarkStart w:id="15" w:name="page16"/>
    <w:bookmarkEnd w:id="15"/>
    <w:p>
      <w:pPr>
        <w:ind w:left="5"/>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249C"/>
        </w:rPr>
        <w:t>WILLIAM H. HERNANDEZ,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1" w:lineRule="exact"/>
        <w:rPr>
          <w:sz w:val="20"/>
          <w:szCs w:val="20"/>
          <w:color w:val="auto"/>
        </w:rPr>
      </w:pPr>
    </w:p>
    <w:p>
      <w:pPr>
        <w:ind w:left="1445" w:right="920"/>
        <w:spacing w:after="0" w:line="267" w:lineRule="auto"/>
        <w:rPr>
          <w:sz w:val="20"/>
          <w:szCs w:val="20"/>
          <w:color w:val="auto"/>
        </w:rPr>
      </w:pPr>
      <w:r>
        <w:rPr>
          <w:rFonts w:ascii="Arial" w:cs="Arial" w:eastAsia="Arial" w:hAnsi="Arial"/>
          <w:sz w:val="18"/>
          <w:szCs w:val="18"/>
          <w:i w:val="1"/>
          <w:iCs w:val="1"/>
          <w:color w:val="auto"/>
        </w:rPr>
        <w:t>Former Senior Vice President and Chief Financial Officer, PPG Industries, Inc., a manufacturer of chemical and industrial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617220" cy="8229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7220" cy="822960"/>
                    </a:xfrm>
                    <a:prstGeom prst="rect">
                      <a:avLst/>
                    </a:prstGeom>
                    <a:noFill/>
                  </pic:spPr>
                </pic:pic>
              </a:graphicData>
            </a:graphic>
          </wp:anchor>
        </w:drawing>
      </w:r>
    </w:p>
    <w:p>
      <w:pPr>
        <w:spacing w:after="0" w:line="19"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Director since September 2013</w:t>
      </w:r>
    </w:p>
    <w:p>
      <w:pPr>
        <w:spacing w:after="0" w:line="90"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Member of the Audit Committee (Chair)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214630</wp:posOffset>
            </wp:positionV>
            <wp:extent cx="6995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 w:right="300"/>
        <w:spacing w:after="0" w:line="238" w:lineRule="auto"/>
        <w:rPr>
          <w:sz w:val="20"/>
          <w:szCs w:val="20"/>
          <w:color w:val="auto"/>
        </w:rPr>
      </w:pPr>
      <w:r>
        <w:rPr>
          <w:rFonts w:ascii="Arial" w:cs="Arial" w:eastAsia="Arial" w:hAnsi="Arial"/>
          <w:sz w:val="18"/>
          <w:szCs w:val="18"/>
          <w:color w:val="auto"/>
        </w:rPr>
        <w:t>Mr. William H. Hernandez served as Senior Vice President, Finance, and Chief Financial Officer of PPG Industries, Inc. (PPG), from 1995 until his retirement in 2009. Prior to that, he was PPG's corporate controller from 1990 to 1994. Mr. Hernandez previously held a number of positions with Borg-Warner Corporation and Ford Motor Company. Mr. Hernandez is a certified management accountant and has taught finance and management courses at Marietta College. He is a member of the Board of Directors of Albemarle Corporation and served as a director of Black Box Corporation and USG Corporation during the last five years.</w:t>
      </w:r>
    </w:p>
    <w:p>
      <w:pPr>
        <w:spacing w:after="0" w:line="103"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245" w:right="380" w:hanging="245"/>
        <w:spacing w:after="0" w:line="246" w:lineRule="auto"/>
        <w:tabs>
          <w:tab w:leader="none" w:pos="278" w:val="left"/>
        </w:tabs>
        <w:numPr>
          <w:ilvl w:val="0"/>
          <w:numId w:val="11"/>
        </w:numPr>
        <w:rPr>
          <w:rFonts w:ascii="Arial" w:cs="Arial" w:eastAsia="Arial" w:hAnsi="Arial"/>
          <w:sz w:val="14"/>
          <w:szCs w:val="14"/>
          <w:color w:val="00249C"/>
        </w:rPr>
      </w:pPr>
      <w:r>
        <w:rPr>
          <w:rFonts w:ascii="Arial" w:cs="Arial" w:eastAsia="Arial" w:hAnsi="Arial"/>
          <w:sz w:val="18"/>
          <w:szCs w:val="18"/>
          <w:color w:val="auto"/>
        </w:rPr>
        <w:t>Extensive experience and expertise in areas of finance, accounting and business management acquired as Chief Financial Officer of PPG Industries</w:t>
      </w:r>
    </w:p>
    <w:p>
      <w:pPr>
        <w:spacing w:after="0" w:line="115" w:lineRule="exact"/>
        <w:rPr>
          <w:rFonts w:ascii="Arial" w:cs="Arial" w:eastAsia="Arial" w:hAnsi="Arial"/>
          <w:sz w:val="14"/>
          <w:szCs w:val="14"/>
          <w:color w:val="00249C"/>
        </w:rPr>
      </w:pPr>
    </w:p>
    <w:p>
      <w:pPr>
        <w:ind w:left="285" w:hanging="285"/>
        <w:spacing w:after="0"/>
        <w:tabs>
          <w:tab w:leader="none" w:pos="285" w:val="left"/>
        </w:tabs>
        <w:numPr>
          <w:ilvl w:val="0"/>
          <w:numId w:val="11"/>
        </w:numPr>
        <w:rPr>
          <w:rFonts w:ascii="Arial" w:cs="Arial" w:eastAsia="Arial" w:hAnsi="Arial"/>
          <w:sz w:val="14"/>
          <w:szCs w:val="14"/>
          <w:color w:val="00249C"/>
        </w:rPr>
      </w:pPr>
      <w:r>
        <w:rPr>
          <w:rFonts w:ascii="Arial" w:cs="Arial" w:eastAsia="Arial" w:hAnsi="Arial"/>
          <w:sz w:val="18"/>
          <w:szCs w:val="18"/>
          <w:color w:val="auto"/>
        </w:rPr>
        <w:t>Significant experience in areas of risk management</w:t>
      </w:r>
    </w:p>
    <w:p>
      <w:pPr>
        <w:spacing w:after="0" w:line="130" w:lineRule="exact"/>
        <w:rPr>
          <w:rFonts w:ascii="Arial" w:cs="Arial" w:eastAsia="Arial" w:hAnsi="Arial"/>
          <w:sz w:val="14"/>
          <w:szCs w:val="14"/>
          <w:color w:val="00249C"/>
        </w:rPr>
      </w:pPr>
    </w:p>
    <w:p>
      <w:pPr>
        <w:ind w:left="285" w:hanging="285"/>
        <w:spacing w:after="0"/>
        <w:tabs>
          <w:tab w:leader="none" w:pos="285" w:val="left"/>
        </w:tabs>
        <w:numPr>
          <w:ilvl w:val="0"/>
          <w:numId w:val="11"/>
        </w:numPr>
        <w:rPr>
          <w:rFonts w:ascii="Arial" w:cs="Arial" w:eastAsia="Arial" w:hAnsi="Arial"/>
          <w:sz w:val="14"/>
          <w:szCs w:val="14"/>
          <w:color w:val="00249C"/>
        </w:rPr>
      </w:pPr>
      <w:r>
        <w:rPr>
          <w:rFonts w:ascii="Arial" w:cs="Arial" w:eastAsia="Arial" w:hAnsi="Arial"/>
          <w:sz w:val="18"/>
          <w:szCs w:val="1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249C"/>
        </w:rPr>
        <w:t>MADELEINE A. KLEINER,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1" w:lineRule="exact"/>
        <w:rPr>
          <w:sz w:val="20"/>
          <w:szCs w:val="20"/>
          <w:color w:val="auto"/>
        </w:rPr>
      </w:pPr>
    </w:p>
    <w:p>
      <w:pPr>
        <w:ind w:left="1445" w:right="960"/>
        <w:spacing w:after="0" w:line="344" w:lineRule="auto"/>
        <w:rPr>
          <w:sz w:val="20"/>
          <w:szCs w:val="20"/>
          <w:color w:val="auto"/>
        </w:rPr>
      </w:pPr>
      <w:r>
        <w:rPr>
          <w:rFonts w:ascii="Arial" w:cs="Arial" w:eastAsia="Arial" w:hAnsi="Arial"/>
          <w:sz w:val="18"/>
          <w:szCs w:val="18"/>
          <w:i w:val="1"/>
          <w:iCs w:val="1"/>
          <w:color w:val="auto"/>
        </w:rPr>
        <w:t>Former Executive Vice President and General Counsel, Hilton Hotels Corporation, a hotel and resort company. Director since October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17220" cy="8229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 cy="822960"/>
                    </a:xfrm>
                    <a:prstGeom prst="rect">
                      <a:avLst/>
                    </a:prstGeom>
                    <a:noFill/>
                  </pic:spPr>
                </pic:pic>
              </a:graphicData>
            </a:graphic>
          </wp:anchor>
        </w:drawing>
      </w:r>
    </w:p>
    <w:p>
      <w:pPr>
        <w:ind w:left="1445"/>
        <w:spacing w:after="0"/>
        <w:rPr>
          <w:sz w:val="20"/>
          <w:szCs w:val="20"/>
          <w:color w:val="auto"/>
        </w:rPr>
      </w:pPr>
      <w:r>
        <w:rPr>
          <w:rFonts w:ascii="Arial" w:cs="Arial" w:eastAsia="Arial" w:hAnsi="Arial"/>
          <w:sz w:val="18"/>
          <w:szCs w:val="18"/>
          <w:i w:val="1"/>
          <w:iCs w:val="1"/>
          <w:color w:val="auto"/>
        </w:rPr>
        <w:t>Member of the Audit Committee and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343535</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 w:right="300"/>
        <w:spacing w:after="0" w:line="237" w:lineRule="auto"/>
        <w:rPr>
          <w:sz w:val="20"/>
          <w:szCs w:val="20"/>
          <w:color w:val="auto"/>
        </w:rPr>
      </w:pPr>
      <w:r>
        <w:rPr>
          <w:rFonts w:ascii="Arial" w:cs="Arial" w:eastAsia="Arial" w:hAnsi="Arial"/>
          <w:sz w:val="18"/>
          <w:szCs w:val="18"/>
          <w:color w:val="auto"/>
        </w:rPr>
        <w:t>Ms. Madeleine A. Kleiner served as Executive Vice President, General Counsel and Corporate Secretary for Hilton Hotels Corporation from January 2001 until February 2008. From 1999 through 2001, she served as a director of a number of Merrill Lynch mutual funds operating under the Hotchkis and Wiley name. Ms. Kleiner served as Senior Executive Vice President, Chief Administrative Officer and General Counsel of H.F. Ahmanson &amp; Company and its subsidiary, Home Savings of America, until the company was acquired in 1998, and prior to that was a partner at the law firm of Gibson, Dunn and Crutcher where she advised corporations and their boards primarily in the areas of mergers and acquisitions, corporate governance and securities transactions and compliance. Ms. Kleiner currently serves on the Board of Directors of Jack in the Box Inc.</w:t>
      </w:r>
    </w:p>
    <w:p>
      <w:pPr>
        <w:spacing w:after="0" w:line="104"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285" w:hanging="285"/>
        <w:spacing w:after="0"/>
        <w:tabs>
          <w:tab w:leader="none" w:pos="285" w:val="left"/>
        </w:tabs>
        <w:numPr>
          <w:ilvl w:val="0"/>
          <w:numId w:val="12"/>
        </w:numPr>
        <w:rPr>
          <w:rFonts w:ascii="Arial" w:cs="Arial" w:eastAsia="Arial" w:hAnsi="Arial"/>
          <w:sz w:val="14"/>
          <w:szCs w:val="14"/>
          <w:color w:val="00249C"/>
        </w:rPr>
      </w:pPr>
      <w:r>
        <w:rPr>
          <w:rFonts w:ascii="Arial" w:cs="Arial" w:eastAsia="Arial" w:hAnsi="Arial"/>
          <w:sz w:val="18"/>
          <w:szCs w:val="18"/>
          <w:color w:val="auto"/>
        </w:rPr>
        <w:t>Expertise in corporate governance, Sarbanes-Oxley controls, risk management, securities transactions and mergers and acquisitions</w:t>
      </w:r>
    </w:p>
    <w:p>
      <w:pPr>
        <w:spacing w:after="0" w:line="130" w:lineRule="exact"/>
        <w:rPr>
          <w:rFonts w:ascii="Arial" w:cs="Arial" w:eastAsia="Arial" w:hAnsi="Arial"/>
          <w:sz w:val="14"/>
          <w:szCs w:val="14"/>
          <w:color w:val="00249C"/>
        </w:rPr>
      </w:pPr>
    </w:p>
    <w:p>
      <w:pPr>
        <w:ind w:left="245" w:right="500" w:hanging="245"/>
        <w:spacing w:after="0" w:line="246" w:lineRule="auto"/>
        <w:tabs>
          <w:tab w:leader="none" w:pos="279" w:val="left"/>
        </w:tabs>
        <w:numPr>
          <w:ilvl w:val="0"/>
          <w:numId w:val="12"/>
        </w:numPr>
        <w:rPr>
          <w:rFonts w:ascii="Arial" w:cs="Arial" w:eastAsia="Arial" w:hAnsi="Arial"/>
          <w:sz w:val="14"/>
          <w:szCs w:val="14"/>
          <w:color w:val="00249C"/>
        </w:rPr>
      </w:pPr>
      <w:r>
        <w:rPr>
          <w:rFonts w:ascii="Arial" w:cs="Arial" w:eastAsia="Arial" w:hAnsi="Arial"/>
          <w:sz w:val="18"/>
          <w:szCs w:val="18"/>
          <w:color w:val="auto"/>
        </w:rPr>
        <w:t>Significant experience from past roles as general counsel for two public companies, outside counsel to numerous public companies and through service on another public company board</w:t>
      </w:r>
    </w:p>
    <w:p>
      <w:pPr>
        <w:spacing w:after="0" w:line="115" w:lineRule="exact"/>
        <w:rPr>
          <w:rFonts w:ascii="Arial" w:cs="Arial" w:eastAsia="Arial" w:hAnsi="Arial"/>
          <w:sz w:val="14"/>
          <w:szCs w:val="14"/>
          <w:color w:val="00249C"/>
        </w:rPr>
      </w:pPr>
    </w:p>
    <w:p>
      <w:pPr>
        <w:ind w:left="285" w:hanging="285"/>
        <w:spacing w:after="0"/>
        <w:tabs>
          <w:tab w:leader="none" w:pos="285" w:val="left"/>
        </w:tabs>
        <w:numPr>
          <w:ilvl w:val="0"/>
          <w:numId w:val="12"/>
        </w:numPr>
        <w:rPr>
          <w:rFonts w:ascii="Arial" w:cs="Arial" w:eastAsia="Arial" w:hAnsi="Arial"/>
          <w:sz w:val="14"/>
          <w:szCs w:val="14"/>
          <w:color w:val="00249C"/>
        </w:rPr>
      </w:pPr>
      <w:r>
        <w:rPr>
          <w:rFonts w:ascii="Arial" w:cs="Arial" w:eastAsia="Arial" w:hAnsi="Arial"/>
          <w:sz w:val="18"/>
          <w:szCs w:val="1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9</w:t>
      </w:r>
    </w:p>
    <w:p>
      <w:pPr>
        <w:sectPr>
          <w:pgSz w:w="11900" w:h="16838" w:orient="portrait"/>
          <w:cols w:equalWidth="0" w:num="1">
            <w:col w:w="11205"/>
          </w:cols>
          <w:pgMar w:left="355" w:top="701" w:right="339" w:bottom="1440" w:gutter="0" w:footer="0" w:header="0"/>
        </w:sectPr>
      </w:pPr>
    </w:p>
    <w:bookmarkStart w:id="16" w:name="page17"/>
    <w:bookmarkEnd w:id="16"/>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249C"/>
        </w:rPr>
        <w:t>KARL J. KRAPEK,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1" w:lineRule="exact"/>
        <w:rPr>
          <w:sz w:val="20"/>
          <w:szCs w:val="20"/>
          <w:color w:val="auto"/>
        </w:rPr>
      </w:pPr>
    </w:p>
    <w:p>
      <w:pPr>
        <w:ind w:left="1480" w:right="140"/>
        <w:spacing w:after="0" w:line="267" w:lineRule="auto"/>
        <w:rPr>
          <w:sz w:val="20"/>
          <w:szCs w:val="20"/>
          <w:color w:val="auto"/>
        </w:rPr>
      </w:pPr>
      <w:r>
        <w:rPr>
          <w:rFonts w:ascii="Arial" w:cs="Arial" w:eastAsia="Arial" w:hAnsi="Arial"/>
          <w:sz w:val="18"/>
          <w:szCs w:val="18"/>
          <w:i w:val="1"/>
          <w:iCs w:val="1"/>
          <w:color w:val="auto"/>
        </w:rPr>
        <w:t>Former President and Chief Operating Officer, United Technologies Corporation, an aerospace and building systems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-280035</wp:posOffset>
            </wp:positionV>
            <wp:extent cx="617220" cy="8229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7220" cy="822960"/>
                    </a:xfrm>
                    <a:prstGeom prst="rect">
                      <a:avLst/>
                    </a:prstGeom>
                    <a:noFill/>
                  </pic:spPr>
                </pic:pic>
              </a:graphicData>
            </a:graphic>
          </wp:anchor>
        </w:drawing>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Director since September 2008</w:t>
      </w:r>
    </w:p>
    <w:p>
      <w:pPr>
        <w:spacing w:after="0" w:line="9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Member of the Compensation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0" w:right="40"/>
        <w:spacing w:after="0" w:line="236" w:lineRule="auto"/>
        <w:rPr>
          <w:sz w:val="20"/>
          <w:szCs w:val="20"/>
          <w:color w:val="auto"/>
        </w:rPr>
      </w:pPr>
      <w:r>
        <w:rPr>
          <w:rFonts w:ascii="Arial" w:cs="Arial" w:eastAsia="Arial" w:hAnsi="Arial"/>
          <w:sz w:val="18"/>
          <w:szCs w:val="18"/>
          <w:color w:val="auto"/>
        </w:rPr>
        <w:t>Mr. Karl J. Krapek served as President and Chief Operating Officer of United Technologies Corporation from 1999 until his retirement in January 2002. At United Technologies Corporation, he served for 20 years in various leadership positions, including as Executive Vice President and director in 1997, President and Chief Executive Officer of Pratt &amp; Whitney in 1992, Chairman, President and Chief Executive Officer of Carrier Corporation in 1990 and President of Otis Elevator Company in 1989. Prior to joining United Technologies Corporation, he was Manager of Car Assembly Operations for the Pontiac Motor Car Division of General Motors Corporation. In 2002, Mr. Krapek became a co-founder of The Keystone Companies, which develops residential and commercial real estate. He serves on the Board of Directors of Trinity Health of New England. Mr. Krapek is a member of the the Boards of Directors of Prudential Financial, Inc. and Pensare Acquisition Corp.</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320" w:hanging="285"/>
        <w:spacing w:after="0"/>
        <w:tabs>
          <w:tab w:leader="none" w:pos="320" w:val="left"/>
        </w:tabs>
        <w:numPr>
          <w:ilvl w:val="0"/>
          <w:numId w:val="13"/>
        </w:numPr>
        <w:rPr>
          <w:rFonts w:ascii="Arial" w:cs="Arial" w:eastAsia="Arial" w:hAnsi="Arial"/>
          <w:sz w:val="14"/>
          <w:szCs w:val="14"/>
          <w:color w:val="00249C"/>
        </w:rPr>
      </w:pPr>
      <w:r>
        <w:rPr>
          <w:rFonts w:ascii="Arial" w:cs="Arial" w:eastAsia="Arial" w:hAnsi="Arial"/>
          <w:sz w:val="18"/>
          <w:szCs w:val="18"/>
          <w:color w:val="auto"/>
        </w:rPr>
        <w:t>Extensive industry experience and leadership skills</w:t>
      </w:r>
    </w:p>
    <w:p>
      <w:pPr>
        <w:spacing w:after="0" w:line="130" w:lineRule="exact"/>
        <w:rPr>
          <w:rFonts w:ascii="Arial" w:cs="Arial" w:eastAsia="Arial" w:hAnsi="Arial"/>
          <w:sz w:val="14"/>
          <w:szCs w:val="14"/>
          <w:color w:val="00249C"/>
        </w:rPr>
      </w:pPr>
    </w:p>
    <w:p>
      <w:pPr>
        <w:ind w:left="280" w:right="280" w:hanging="245"/>
        <w:spacing w:after="0" w:line="246" w:lineRule="auto"/>
        <w:tabs>
          <w:tab w:leader="none" w:pos="323" w:val="left"/>
        </w:tabs>
        <w:numPr>
          <w:ilvl w:val="0"/>
          <w:numId w:val="13"/>
        </w:numPr>
        <w:rPr>
          <w:rFonts w:ascii="Arial" w:cs="Arial" w:eastAsia="Arial" w:hAnsi="Arial"/>
          <w:sz w:val="14"/>
          <w:szCs w:val="14"/>
          <w:color w:val="00249C"/>
        </w:rPr>
      </w:pPr>
      <w:r>
        <w:rPr>
          <w:rFonts w:ascii="Arial" w:cs="Arial" w:eastAsia="Arial" w:hAnsi="Arial"/>
          <w:sz w:val="18"/>
          <w:szCs w:val="18"/>
          <w:color w:val="auto"/>
        </w:rPr>
        <w:t>Deep operational experience in aerospace and defense, domestic and international business operations and technology and lean manufacturing</w:t>
      </w:r>
    </w:p>
    <w:p>
      <w:pPr>
        <w:spacing w:after="0" w:line="115" w:lineRule="exact"/>
        <w:rPr>
          <w:rFonts w:ascii="Arial" w:cs="Arial" w:eastAsia="Arial" w:hAnsi="Arial"/>
          <w:sz w:val="14"/>
          <w:szCs w:val="14"/>
          <w:color w:val="00249C"/>
        </w:rPr>
      </w:pPr>
    </w:p>
    <w:p>
      <w:pPr>
        <w:ind w:left="320" w:hanging="285"/>
        <w:spacing w:after="0"/>
        <w:tabs>
          <w:tab w:leader="none" w:pos="320" w:val="left"/>
        </w:tabs>
        <w:numPr>
          <w:ilvl w:val="0"/>
          <w:numId w:val="13"/>
        </w:numPr>
        <w:rPr>
          <w:rFonts w:ascii="Arial" w:cs="Arial" w:eastAsia="Arial" w:hAnsi="Arial"/>
          <w:sz w:val="14"/>
          <w:szCs w:val="14"/>
          <w:color w:val="00249C"/>
        </w:rPr>
      </w:pPr>
      <w:r>
        <w:rPr>
          <w:rFonts w:ascii="Arial" w:cs="Arial" w:eastAsia="Arial" w:hAnsi="Arial"/>
          <w:sz w:val="18"/>
          <w:szCs w:val="18"/>
          <w:color w:val="auto"/>
        </w:rPr>
        <w:t>Significant public company board experience, including serving as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249C"/>
        </w:rPr>
        <w:t>GARY ROUGHEAD,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1"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Admiral, United States Navy (Ret.) and Former Chief of Naval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-118745</wp:posOffset>
            </wp:positionV>
            <wp:extent cx="617220" cy="8229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220" cy="822960"/>
                    </a:xfrm>
                    <a:prstGeom prst="rect">
                      <a:avLst/>
                    </a:prstGeom>
                    <a:noFill/>
                  </pic:spPr>
                </pic:pic>
              </a:graphicData>
            </a:graphic>
          </wp:anchor>
        </w:drawing>
      </w:r>
    </w:p>
    <w:p>
      <w:pPr>
        <w:spacing w:after="0" w:line="7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Director since February 2012</w:t>
      </w:r>
    </w:p>
    <w:p>
      <w:pPr>
        <w:spacing w:after="0" w:line="9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Member of the Compensation Committee and Policy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line="236" w:lineRule="auto"/>
        <w:rPr>
          <w:sz w:val="20"/>
          <w:szCs w:val="20"/>
          <w:color w:val="auto"/>
        </w:rPr>
      </w:pPr>
      <w:r>
        <w:rPr>
          <w:rFonts w:ascii="Arial" w:cs="Arial" w:eastAsia="Arial" w:hAnsi="Arial"/>
          <w:sz w:val="18"/>
          <w:szCs w:val="18"/>
          <w:color w:val="auto"/>
        </w:rPr>
        <w:t>Admiral Gary Roughead retired from his position as the 29th Chief of Naval Operations in September 2011, after serving in that position for four years. The Chief of Naval Operations is the senior military position in the United States Navy. As Chief of Naval Operations, Admiral Roughead stabilized and accelerated ship and aircraft procurement plans and the Navy's capability and capacity in ballistic missile defense and unmanned air and underwater systems. He restructured the Navy to address the challenges and opportunities in cyber operations. Prior to becoming the Chief of Naval Operations, he held six operational commands (including commanding both the Atlantic and Pacific Fleets). Admiral Roughead is a Robert and Marion Oster Distinguished Military Fellow at the Hoover Institution. He is a director of Maersk Line, Limited and Chairman of the Board of Directors of Fincantieri Marinette Marine Corporation. He also serves as a trustee of the Dodge and Cox Funds. In addition, Admiral Roughead is a trustee of Johns Hopkins University and serves on the Board of Managers of the Johns Hopkins University Applied Physics Laboratory.</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280" w:right="460" w:hanging="245"/>
        <w:spacing w:after="0" w:line="246" w:lineRule="auto"/>
        <w:tabs>
          <w:tab w:leader="none" w:pos="323" w:val="left"/>
        </w:tabs>
        <w:numPr>
          <w:ilvl w:val="0"/>
          <w:numId w:val="14"/>
        </w:numPr>
        <w:rPr>
          <w:rFonts w:ascii="Arial" w:cs="Arial" w:eastAsia="Arial" w:hAnsi="Arial"/>
          <w:sz w:val="14"/>
          <w:szCs w:val="14"/>
          <w:color w:val="00249C"/>
        </w:rPr>
      </w:pPr>
      <w:r>
        <w:rPr>
          <w:rFonts w:ascii="Arial" w:cs="Arial" w:eastAsia="Arial" w:hAnsi="Arial"/>
          <w:sz w:val="18"/>
          <w:szCs w:val="18"/>
          <w:color w:val="auto"/>
        </w:rPr>
        <w:t>Extensive career as a senior military officer with the United States Navy, including numerous operational commands, as well as leadership positions, most recently as the 29th Chief of Naval Operations</w:t>
      </w:r>
    </w:p>
    <w:p>
      <w:pPr>
        <w:spacing w:after="0" w:line="115" w:lineRule="exact"/>
        <w:rPr>
          <w:rFonts w:ascii="Arial" w:cs="Arial" w:eastAsia="Arial" w:hAnsi="Arial"/>
          <w:sz w:val="14"/>
          <w:szCs w:val="14"/>
          <w:color w:val="00249C"/>
        </w:rPr>
      </w:pPr>
    </w:p>
    <w:p>
      <w:pPr>
        <w:ind w:left="320" w:hanging="285"/>
        <w:spacing w:after="0"/>
        <w:tabs>
          <w:tab w:leader="none" w:pos="320" w:val="left"/>
        </w:tabs>
        <w:numPr>
          <w:ilvl w:val="0"/>
          <w:numId w:val="14"/>
        </w:numPr>
        <w:rPr>
          <w:rFonts w:ascii="Arial" w:cs="Arial" w:eastAsia="Arial" w:hAnsi="Arial"/>
          <w:sz w:val="14"/>
          <w:szCs w:val="14"/>
          <w:color w:val="00249C"/>
        </w:rPr>
      </w:pPr>
      <w:r>
        <w:rPr>
          <w:rFonts w:ascii="Arial" w:cs="Arial" w:eastAsia="Arial" w:hAnsi="Arial"/>
          <w:sz w:val="18"/>
          <w:szCs w:val="18"/>
          <w:color w:val="auto"/>
        </w:rPr>
        <w:t>Significant expertise in national security, information warfare, cyber operations and global security issues</w:t>
      </w:r>
    </w:p>
    <w:p>
      <w:pPr>
        <w:spacing w:after="0" w:line="130" w:lineRule="exact"/>
        <w:rPr>
          <w:rFonts w:ascii="Arial" w:cs="Arial" w:eastAsia="Arial" w:hAnsi="Arial"/>
          <w:sz w:val="14"/>
          <w:szCs w:val="14"/>
          <w:color w:val="00249C"/>
        </w:rPr>
      </w:pPr>
    </w:p>
    <w:p>
      <w:pPr>
        <w:ind w:left="320" w:hanging="285"/>
        <w:spacing w:after="0"/>
        <w:tabs>
          <w:tab w:leader="none" w:pos="320" w:val="left"/>
        </w:tabs>
        <w:numPr>
          <w:ilvl w:val="0"/>
          <w:numId w:val="14"/>
        </w:numPr>
        <w:rPr>
          <w:rFonts w:ascii="Arial" w:cs="Arial" w:eastAsia="Arial" w:hAnsi="Arial"/>
          <w:sz w:val="14"/>
          <w:szCs w:val="14"/>
          <w:color w:val="00249C"/>
        </w:rPr>
      </w:pPr>
      <w:r>
        <w:rPr>
          <w:rFonts w:ascii="Arial" w:cs="Arial" w:eastAsia="Arial" w:hAnsi="Arial"/>
          <w:sz w:val="18"/>
          <w:szCs w:val="18"/>
          <w:color w:val="auto"/>
        </w:rPr>
        <w:t>Broad experience in leadership and matters of global relations, particularly in the Pacific region, Europe and the Middle East</w:t>
      </w:r>
    </w:p>
    <w:p>
      <w:pPr>
        <w:spacing w:after="0" w:line="130" w:lineRule="exact"/>
        <w:rPr>
          <w:rFonts w:ascii="Arial" w:cs="Arial" w:eastAsia="Arial" w:hAnsi="Arial"/>
          <w:sz w:val="14"/>
          <w:szCs w:val="14"/>
          <w:color w:val="00249C"/>
        </w:rPr>
      </w:pPr>
    </w:p>
    <w:p>
      <w:pPr>
        <w:ind w:left="320" w:hanging="285"/>
        <w:spacing w:after="0"/>
        <w:tabs>
          <w:tab w:leader="none" w:pos="320" w:val="left"/>
        </w:tabs>
        <w:numPr>
          <w:ilvl w:val="0"/>
          <w:numId w:val="14"/>
        </w:numPr>
        <w:rPr>
          <w:rFonts w:ascii="Arial" w:cs="Arial" w:eastAsia="Arial" w:hAnsi="Arial"/>
          <w:sz w:val="14"/>
          <w:szCs w:val="14"/>
          <w:color w:val="00249C"/>
        </w:rPr>
      </w:pPr>
      <w:r>
        <w:rPr>
          <w:rFonts w:ascii="Arial" w:cs="Arial" w:eastAsia="Arial" w:hAnsi="Arial"/>
          <w:sz w:val="18"/>
          <w:szCs w:val="18"/>
          <w:color w:val="auto"/>
        </w:rPr>
        <w:t>Experience with talent development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80"/>
          </w:cols>
          <w:pgMar w:left="320" w:top="701" w:right="69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0880"/>
          </w:cols>
          <w:pgMar w:left="320" w:top="701" w:right="699" w:bottom="1440" w:gutter="0" w:footer="0" w:header="0"/>
          <w:type w:val="continuous"/>
        </w:sectPr>
      </w:pPr>
    </w:p>
    <w:bookmarkStart w:id="17" w:name="page18"/>
    <w:bookmarkEnd w:id="17"/>
    <w:p>
      <w:pPr>
        <w:ind w:left="5"/>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249C"/>
        </w:rPr>
        <w:t>THOMAS M. SCHOEWE,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1" w:lineRule="exact"/>
        <w:rPr>
          <w:sz w:val="20"/>
          <w:szCs w:val="20"/>
          <w:color w:val="auto"/>
        </w:rPr>
      </w:pPr>
    </w:p>
    <w:p>
      <w:pPr>
        <w:ind w:left="1445" w:right="940"/>
        <w:spacing w:after="0" w:line="344" w:lineRule="auto"/>
        <w:rPr>
          <w:sz w:val="20"/>
          <w:szCs w:val="20"/>
          <w:color w:val="auto"/>
        </w:rPr>
      </w:pPr>
      <w:r>
        <w:rPr>
          <w:rFonts w:ascii="Arial" w:cs="Arial" w:eastAsia="Arial" w:hAnsi="Arial"/>
          <w:sz w:val="18"/>
          <w:szCs w:val="18"/>
          <w:i w:val="1"/>
          <w:iCs w:val="1"/>
          <w:color w:val="auto"/>
        </w:rPr>
        <w:t>Former Executive Vice President and Chief Financial Officer, Wal-Mart Stores, Inc., an operator of retail stores. Director since August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51510" cy="8229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1510" cy="822960"/>
                    </a:xfrm>
                    <a:prstGeom prst="rect">
                      <a:avLst/>
                    </a:prstGeom>
                    <a:noFill/>
                  </pic:spPr>
                </pic:pic>
              </a:graphicData>
            </a:graphic>
          </wp:anchor>
        </w:drawing>
      </w:r>
    </w:p>
    <w:p>
      <w:pPr>
        <w:ind w:left="1445"/>
        <w:spacing w:after="0"/>
        <w:rPr>
          <w:sz w:val="20"/>
          <w:szCs w:val="20"/>
          <w:color w:val="auto"/>
        </w:rPr>
      </w:pPr>
      <w:r>
        <w:rPr>
          <w:rFonts w:ascii="Arial" w:cs="Arial" w:eastAsia="Arial" w:hAnsi="Arial"/>
          <w:sz w:val="18"/>
          <w:szCs w:val="18"/>
          <w:i w:val="1"/>
          <w:iCs w:val="1"/>
          <w:color w:val="auto"/>
        </w:rPr>
        <w:t>Member of the Compensation Committee (Chair)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343535</wp:posOffset>
            </wp:positionV>
            <wp:extent cx="6995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 w:right="260"/>
        <w:spacing w:after="0" w:line="234" w:lineRule="auto"/>
        <w:rPr>
          <w:sz w:val="20"/>
          <w:szCs w:val="20"/>
          <w:color w:val="auto"/>
        </w:rPr>
      </w:pPr>
      <w:r>
        <w:rPr>
          <w:rFonts w:ascii="Arial" w:cs="Arial" w:eastAsia="Arial" w:hAnsi="Arial"/>
          <w:sz w:val="18"/>
          <w:szCs w:val="18"/>
          <w:color w:val="auto"/>
        </w:rPr>
        <w:t>Mr. Thomas M. Schoewe was Executive Vice President and Chief Financial Officer of Wal-Mart Stores Inc. from 2000 to 2011. Prior to his employment with Wal-Mart, he held several roles at the Black and Decker Corporation, including Senior Vice President and Chief Financial Officer from 1996 to 1999, Vice President and Chief Financial Officer from 1993 to 1999, Vice President of Finance from 1989 to 1993 and Vice President of Business Planning and Analysis from 1986 to 1989. Before joining Black and Decker, Mr. Schoewe worked for Beatrice Companies, where he was Chief Financial Officer and Controller of one of its subsidiaries, Beatrice Consumer Durables Inc.</w:t>
      </w:r>
    </w:p>
    <w:p>
      <w:pPr>
        <w:spacing w:after="0" w:line="3" w:lineRule="exact"/>
        <w:rPr>
          <w:sz w:val="20"/>
          <w:szCs w:val="20"/>
          <w:color w:val="auto"/>
        </w:rPr>
      </w:pPr>
    </w:p>
    <w:p>
      <w:pPr>
        <w:ind w:left="5" w:right="240"/>
        <w:spacing w:after="0" w:line="246" w:lineRule="auto"/>
        <w:rPr>
          <w:sz w:val="20"/>
          <w:szCs w:val="20"/>
          <w:color w:val="auto"/>
        </w:rPr>
      </w:pPr>
      <w:r>
        <w:rPr>
          <w:rFonts w:ascii="Arial" w:cs="Arial" w:eastAsia="Arial" w:hAnsi="Arial"/>
          <w:sz w:val="18"/>
          <w:szCs w:val="18"/>
          <w:color w:val="auto"/>
        </w:rPr>
        <w:t>Mr. Schoewe serves on the Boards of Directors of General Motors Corporation and KKR &amp; Co. Inc. Mr. Schoewe also serves on the board of the Ladies Professional Golf Association.</w:t>
      </w:r>
    </w:p>
    <w:p>
      <w:pPr>
        <w:spacing w:after="0" w:line="98"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245" w:right="620" w:hanging="245"/>
        <w:spacing w:after="0" w:line="246" w:lineRule="auto"/>
        <w:tabs>
          <w:tab w:leader="none" w:pos="288" w:val="left"/>
        </w:tabs>
        <w:numPr>
          <w:ilvl w:val="0"/>
          <w:numId w:val="15"/>
        </w:numPr>
        <w:rPr>
          <w:rFonts w:ascii="Arial" w:cs="Arial" w:eastAsia="Arial" w:hAnsi="Arial"/>
          <w:sz w:val="14"/>
          <w:szCs w:val="14"/>
          <w:color w:val="00249C"/>
        </w:rPr>
      </w:pPr>
      <w:r>
        <w:rPr>
          <w:rFonts w:ascii="Arial" w:cs="Arial" w:eastAsia="Arial" w:hAnsi="Arial"/>
          <w:sz w:val="18"/>
          <w:szCs w:val="18"/>
          <w:color w:val="auto"/>
        </w:rPr>
        <w:t>Extensive financial experience acquired through positions held as the Chief Financial Officer of large public companies, as well as expertise in Sarbanes-Oxley controls, risk management and mergers and acquisitions</w:t>
      </w:r>
    </w:p>
    <w:p>
      <w:pPr>
        <w:spacing w:after="0" w:line="115" w:lineRule="exact"/>
        <w:rPr>
          <w:rFonts w:ascii="Arial" w:cs="Arial" w:eastAsia="Arial" w:hAnsi="Arial"/>
          <w:sz w:val="14"/>
          <w:szCs w:val="14"/>
          <w:color w:val="00249C"/>
        </w:rPr>
      </w:pPr>
    </w:p>
    <w:p>
      <w:pPr>
        <w:ind w:left="245" w:right="860" w:hanging="245"/>
        <w:spacing w:after="0" w:line="246" w:lineRule="auto"/>
        <w:tabs>
          <w:tab w:leader="none" w:pos="288" w:val="left"/>
        </w:tabs>
        <w:numPr>
          <w:ilvl w:val="0"/>
          <w:numId w:val="15"/>
        </w:numPr>
        <w:rPr>
          <w:rFonts w:ascii="Arial" w:cs="Arial" w:eastAsia="Arial" w:hAnsi="Arial"/>
          <w:sz w:val="14"/>
          <w:szCs w:val="14"/>
          <w:color w:val="00249C"/>
        </w:rPr>
      </w:pPr>
      <w:r>
        <w:rPr>
          <w:rFonts w:ascii="Arial" w:cs="Arial" w:eastAsia="Arial" w:hAnsi="Arial"/>
          <w:sz w:val="18"/>
          <w:szCs w:val="18"/>
          <w:color w:val="auto"/>
        </w:rPr>
        <w:t>Significant international experience through his service as an executive of large public companies with substantial international operations</w:t>
      </w:r>
    </w:p>
    <w:p>
      <w:pPr>
        <w:spacing w:after="0" w:line="115" w:lineRule="exact"/>
        <w:rPr>
          <w:rFonts w:ascii="Arial" w:cs="Arial" w:eastAsia="Arial" w:hAnsi="Arial"/>
          <w:sz w:val="14"/>
          <w:szCs w:val="14"/>
          <w:color w:val="00249C"/>
        </w:rPr>
      </w:pPr>
    </w:p>
    <w:p>
      <w:pPr>
        <w:ind w:left="285" w:hanging="285"/>
        <w:spacing w:after="0"/>
        <w:tabs>
          <w:tab w:leader="none" w:pos="285" w:val="left"/>
        </w:tabs>
        <w:numPr>
          <w:ilvl w:val="0"/>
          <w:numId w:val="15"/>
        </w:numPr>
        <w:rPr>
          <w:rFonts w:ascii="Arial" w:cs="Arial" w:eastAsia="Arial" w:hAnsi="Arial"/>
          <w:sz w:val="14"/>
          <w:szCs w:val="14"/>
          <w:color w:val="00249C"/>
        </w:rPr>
      </w:pPr>
      <w:r>
        <w:rPr>
          <w:rFonts w:ascii="Arial" w:cs="Arial" w:eastAsia="Arial" w:hAnsi="Arial"/>
          <w:sz w:val="18"/>
          <w:szCs w:val="18"/>
          <w:color w:val="auto"/>
        </w:rPr>
        <w:t>Experience at Wal-Mart and Black and Decker on large-scale transformational enterprise information technology implementations</w:t>
      </w:r>
    </w:p>
    <w:p>
      <w:pPr>
        <w:spacing w:after="0" w:line="130" w:lineRule="exact"/>
        <w:rPr>
          <w:rFonts w:ascii="Arial" w:cs="Arial" w:eastAsia="Arial" w:hAnsi="Arial"/>
          <w:sz w:val="14"/>
          <w:szCs w:val="14"/>
          <w:color w:val="00249C"/>
        </w:rPr>
      </w:pPr>
    </w:p>
    <w:p>
      <w:pPr>
        <w:ind w:left="285" w:hanging="285"/>
        <w:spacing w:after="0"/>
        <w:tabs>
          <w:tab w:leader="none" w:pos="285" w:val="left"/>
        </w:tabs>
        <w:numPr>
          <w:ilvl w:val="0"/>
          <w:numId w:val="15"/>
        </w:numPr>
        <w:rPr>
          <w:rFonts w:ascii="Arial" w:cs="Arial" w:eastAsia="Arial" w:hAnsi="Arial"/>
          <w:sz w:val="14"/>
          <w:szCs w:val="14"/>
          <w:color w:val="00249C"/>
        </w:rPr>
      </w:pPr>
      <w:r>
        <w:rPr>
          <w:rFonts w:ascii="Arial" w:cs="Arial" w:eastAsia="Arial" w:hAnsi="Arial"/>
          <w:sz w:val="18"/>
          <w:szCs w:val="18"/>
          <w:color w:val="auto"/>
        </w:rPr>
        <w:t>Extensive experience as a member of the audit, risk, compensation and policy committees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249C"/>
        </w:rPr>
        <w:t>JAMES S. TURLEY,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1"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Former Chairman and Chief Executive Officer, Ernst &amp; Young, a professional services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591185" cy="831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1185" cy="831850"/>
                    </a:xfrm>
                    <a:prstGeom prst="rect">
                      <a:avLst/>
                    </a:prstGeom>
                    <a:noFill/>
                  </pic:spPr>
                </pic:pic>
              </a:graphicData>
            </a:graphic>
          </wp:anchor>
        </w:drawing>
      </w:r>
    </w:p>
    <w:p>
      <w:pPr>
        <w:spacing w:after="0" w:line="70"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Director since February 2015</w:t>
      </w:r>
    </w:p>
    <w:p>
      <w:pPr>
        <w:spacing w:after="0" w:line="90" w:lineRule="exact"/>
        <w:rPr>
          <w:sz w:val="20"/>
          <w:szCs w:val="20"/>
          <w:color w:val="auto"/>
        </w:rPr>
      </w:pPr>
    </w:p>
    <w:p>
      <w:pPr>
        <w:ind w:left="1445"/>
        <w:spacing w:after="0"/>
        <w:rPr>
          <w:sz w:val="20"/>
          <w:szCs w:val="20"/>
          <w:color w:val="auto"/>
        </w:rPr>
      </w:pPr>
      <w:r>
        <w:rPr>
          <w:rFonts w:ascii="Arial" w:cs="Arial" w:eastAsia="Arial" w:hAnsi="Arial"/>
          <w:sz w:val="18"/>
          <w:szCs w:val="18"/>
          <w:i w:val="1"/>
          <w:iCs w:val="1"/>
          <w:color w:val="auto"/>
        </w:rPr>
        <w:t>Member of the Audit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351790</wp:posOffset>
            </wp:positionV>
            <wp:extent cx="6995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 w:right="420"/>
        <w:spacing w:after="0" w:line="255" w:lineRule="auto"/>
        <w:rPr>
          <w:sz w:val="20"/>
          <w:szCs w:val="20"/>
          <w:color w:val="auto"/>
        </w:rPr>
      </w:pPr>
      <w:r>
        <w:rPr>
          <w:rFonts w:ascii="Arial" w:cs="Arial" w:eastAsia="Arial" w:hAnsi="Arial"/>
          <w:sz w:val="17"/>
          <w:szCs w:val="17"/>
          <w:color w:val="auto"/>
        </w:rPr>
        <w:t>Mr. James S. Turley served as Chairman and Chief Executive Officer of Ernst &amp; Young from 2001 until his retirement in 2013. Mr. Turley joined Ernst &amp; Young in 1977 and held various positions there until being named regional managing partner for the Upper Midwest in 1994, and for New York in 1998. He was named Deputy Chairman in 2000. He currently serves on the Boards of Directors of Citigroup, Emerson Electric Company and Precigen, Inc. He also serves on the Board of Directors of the Boy Scouts of America. Mr. Turley is a board member of Kohler Co. and the St. Louis Trust Company and serves as Non-Executive Chair of Sita Capital Partners LLP.</w:t>
      </w:r>
    </w:p>
    <w:p>
      <w:pPr>
        <w:spacing w:after="0" w:line="91"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4" w:lineRule="exact"/>
        <w:rPr>
          <w:sz w:val="20"/>
          <w:szCs w:val="20"/>
          <w:color w:val="auto"/>
        </w:rPr>
      </w:pPr>
    </w:p>
    <w:p>
      <w:pPr>
        <w:ind w:left="285" w:hanging="285"/>
        <w:spacing w:after="0"/>
        <w:tabs>
          <w:tab w:leader="none" w:pos="285" w:val="left"/>
        </w:tabs>
        <w:numPr>
          <w:ilvl w:val="0"/>
          <w:numId w:val="16"/>
        </w:numPr>
        <w:rPr>
          <w:rFonts w:ascii="Arial" w:cs="Arial" w:eastAsia="Arial" w:hAnsi="Arial"/>
          <w:sz w:val="14"/>
          <w:szCs w:val="14"/>
          <w:color w:val="00249C"/>
        </w:rPr>
      </w:pPr>
      <w:r>
        <w:rPr>
          <w:rFonts w:ascii="Arial" w:cs="Arial" w:eastAsia="Arial" w:hAnsi="Arial"/>
          <w:sz w:val="18"/>
          <w:szCs w:val="18"/>
          <w:color w:val="auto"/>
        </w:rPr>
        <w:t>Extensive experience and expertise in areas of finance, accounting and business management acquired over 36-year career at Ernst</w:t>
      </w:r>
    </w:p>
    <w:p>
      <w:pPr>
        <w:ind w:left="405" w:hanging="162"/>
        <w:spacing w:after="0"/>
        <w:tabs>
          <w:tab w:leader="none" w:pos="4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Young, including serving as Chairman and Chief Executive Officer of Ernst &amp; Young</w:t>
      </w:r>
    </w:p>
    <w:p>
      <w:pPr>
        <w:spacing w:after="0" w:line="130" w:lineRule="exact"/>
        <w:rPr>
          <w:rFonts w:ascii="Arial" w:cs="Arial" w:eastAsia="Arial" w:hAnsi="Arial"/>
          <w:sz w:val="18"/>
          <w:szCs w:val="18"/>
          <w:color w:val="auto"/>
        </w:rPr>
      </w:pPr>
    </w:p>
    <w:p>
      <w:pPr>
        <w:ind w:left="285" w:hanging="285"/>
        <w:spacing w:after="0"/>
        <w:tabs>
          <w:tab w:leader="none" w:pos="285" w:val="left"/>
        </w:tabs>
        <w:numPr>
          <w:ilvl w:val="0"/>
          <w:numId w:val="16"/>
        </w:numPr>
        <w:rPr>
          <w:rFonts w:ascii="Arial" w:cs="Arial" w:eastAsia="Arial" w:hAnsi="Arial"/>
          <w:sz w:val="14"/>
          <w:szCs w:val="14"/>
          <w:color w:val="00249C"/>
        </w:rPr>
      </w:pPr>
      <w:r>
        <w:rPr>
          <w:rFonts w:ascii="Arial" w:cs="Arial" w:eastAsia="Arial" w:hAnsi="Arial"/>
          <w:sz w:val="18"/>
          <w:szCs w:val="18"/>
          <w:color w:val="auto"/>
        </w:rPr>
        <w:t>Significant experience in areas of risk management</w:t>
      </w:r>
    </w:p>
    <w:p>
      <w:pPr>
        <w:spacing w:after="0" w:line="130" w:lineRule="exact"/>
        <w:rPr>
          <w:rFonts w:ascii="Arial" w:cs="Arial" w:eastAsia="Arial" w:hAnsi="Arial"/>
          <w:sz w:val="14"/>
          <w:szCs w:val="14"/>
          <w:color w:val="00249C"/>
        </w:rPr>
      </w:pPr>
    </w:p>
    <w:p>
      <w:pPr>
        <w:ind w:left="285" w:hanging="285"/>
        <w:spacing w:after="0"/>
        <w:tabs>
          <w:tab w:leader="none" w:pos="285" w:val="left"/>
        </w:tabs>
        <w:numPr>
          <w:ilvl w:val="0"/>
          <w:numId w:val="16"/>
        </w:numPr>
        <w:rPr>
          <w:rFonts w:ascii="Arial" w:cs="Arial" w:eastAsia="Arial" w:hAnsi="Arial"/>
          <w:sz w:val="14"/>
          <w:szCs w:val="14"/>
          <w:color w:val="00249C"/>
        </w:rPr>
      </w:pPr>
      <w:r>
        <w:rPr>
          <w:rFonts w:ascii="Arial" w:cs="Arial" w:eastAsia="Arial" w:hAnsi="Arial"/>
          <w:sz w:val="18"/>
          <w:szCs w:val="18"/>
          <w:color w:val="auto"/>
        </w:rPr>
        <w:t>Extensive experience as a member of the audit committee of other public companies</w:t>
      </w:r>
    </w:p>
    <w:p>
      <w:pPr>
        <w:spacing w:after="0" w:line="130" w:lineRule="exact"/>
        <w:rPr>
          <w:rFonts w:ascii="Arial" w:cs="Arial" w:eastAsia="Arial" w:hAnsi="Arial"/>
          <w:sz w:val="14"/>
          <w:szCs w:val="14"/>
          <w:color w:val="00249C"/>
        </w:rPr>
      </w:pPr>
    </w:p>
    <w:p>
      <w:pPr>
        <w:ind w:left="285" w:hanging="285"/>
        <w:spacing w:after="0"/>
        <w:tabs>
          <w:tab w:leader="none" w:pos="285" w:val="left"/>
        </w:tabs>
        <w:numPr>
          <w:ilvl w:val="0"/>
          <w:numId w:val="16"/>
        </w:numPr>
        <w:rPr>
          <w:rFonts w:ascii="Arial" w:cs="Arial" w:eastAsia="Arial" w:hAnsi="Arial"/>
          <w:sz w:val="14"/>
          <w:szCs w:val="14"/>
          <w:color w:val="00249C"/>
        </w:rPr>
      </w:pPr>
      <w:r>
        <w:rPr>
          <w:rFonts w:ascii="Arial" w:cs="Arial" w:eastAsia="Arial" w:hAnsi="Arial"/>
          <w:sz w:val="18"/>
          <w:szCs w:val="1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11</w:t>
      </w:r>
    </w:p>
    <w:p>
      <w:pPr>
        <w:sectPr>
          <w:pgSz w:w="11900" w:h="16838" w:orient="portrait"/>
          <w:cols w:equalWidth="0" w:num="1">
            <w:col w:w="11205"/>
          </w:cols>
          <w:pgMar w:left="355" w:top="701"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249C"/>
        </w:rPr>
        <w:t>MARK A. WELSH III,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5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1" w:lineRule="exact"/>
        <w:rPr>
          <w:sz w:val="20"/>
          <w:szCs w:val="20"/>
          <w:color w:val="auto"/>
        </w:rPr>
      </w:pPr>
    </w:p>
    <w:p>
      <w:pPr>
        <w:ind w:left="1480" w:right="380"/>
        <w:spacing w:after="0" w:line="267" w:lineRule="auto"/>
        <w:rPr>
          <w:sz w:val="20"/>
          <w:szCs w:val="20"/>
          <w:color w:val="auto"/>
        </w:rPr>
      </w:pPr>
      <w:r>
        <w:rPr>
          <w:rFonts w:ascii="Arial" w:cs="Arial" w:eastAsia="Arial" w:hAnsi="Arial"/>
          <w:sz w:val="18"/>
          <w:szCs w:val="18"/>
          <w:i w:val="1"/>
          <w:iCs w:val="1"/>
          <w:color w:val="auto"/>
        </w:rPr>
        <w:t>Dean of the Bush School of Government and Public Service, Texas A&amp;M University; General, United States Air Force (Ret.); Former Chief of Staff, United States Air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-280035</wp:posOffset>
            </wp:positionV>
            <wp:extent cx="548640" cy="8229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8640" cy="822960"/>
                    </a:xfrm>
                    <a:prstGeom prst="rect">
                      <a:avLst/>
                    </a:prstGeom>
                    <a:noFill/>
                  </pic:spPr>
                </pic:pic>
              </a:graphicData>
            </a:graphic>
          </wp:anchor>
        </w:drawing>
      </w:r>
    </w:p>
    <w:p>
      <w:pPr>
        <w:spacing w:after="0" w:line="19"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Director since December 2016</w:t>
      </w:r>
    </w:p>
    <w:p>
      <w:pPr>
        <w:spacing w:after="0" w:line="9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Member of the Audit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0" w:right="280"/>
        <w:spacing w:after="0" w:line="237" w:lineRule="auto"/>
        <w:rPr>
          <w:sz w:val="20"/>
          <w:szCs w:val="20"/>
          <w:color w:val="auto"/>
        </w:rPr>
      </w:pPr>
      <w:r>
        <w:rPr>
          <w:rFonts w:ascii="Arial" w:cs="Arial" w:eastAsia="Arial" w:hAnsi="Arial"/>
          <w:sz w:val="18"/>
          <w:szCs w:val="18"/>
          <w:color w:val="auto"/>
        </w:rPr>
        <w:t>General Mark A. Welsh III has been the Dean of the Bush School of Government and Public Service at Texas A&amp;M University since August 2016. Prior to his current position, General Welsh served as Chief of Staff of the United States Air Force, the senior uniformed Air Force officer responsible for the organization, training and equipping of active-duty, Guard, Reserve and civilian forces serving in the United States and overseas. During his long career, General Welsh also served as a member of the Joint Chiefs of Staff, Commander of the United States Air Forces in Europe and Commander of NATO's Air Command, Associate Director for Military Affairs at the Central Intelligence Agency and Commandant of the United States Air Force Academy. General Welsh is a member of the Board of Managers of Peak NanoSystems, LLC. He is also a director of the Air Force Association.</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49" w:lineRule="exact"/>
        <w:rPr>
          <w:sz w:val="20"/>
          <w:szCs w:val="20"/>
          <w:color w:val="auto"/>
        </w:rPr>
      </w:pPr>
    </w:p>
    <w:p>
      <w:pPr>
        <w:ind w:left="280" w:right="480" w:hanging="245"/>
        <w:spacing w:after="0" w:line="246" w:lineRule="auto"/>
        <w:tabs>
          <w:tab w:leader="none" w:pos="313" w:val="left"/>
        </w:tabs>
        <w:numPr>
          <w:ilvl w:val="0"/>
          <w:numId w:val="17"/>
        </w:numPr>
        <w:rPr>
          <w:rFonts w:ascii="Arial" w:cs="Arial" w:eastAsia="Arial" w:hAnsi="Arial"/>
          <w:sz w:val="14"/>
          <w:szCs w:val="14"/>
          <w:color w:val="00249C"/>
        </w:rPr>
      </w:pPr>
      <w:r>
        <w:rPr>
          <w:rFonts w:ascii="Arial" w:cs="Arial" w:eastAsia="Arial" w:hAnsi="Arial"/>
          <w:sz w:val="18"/>
          <w:szCs w:val="18"/>
          <w:color w:val="auto"/>
        </w:rPr>
        <w:t>Extensive career as a senior military officer and member of the Joint Chiefs of Staff, having held leadership positions at the highest levels of the United States Air Force</w:t>
      </w:r>
    </w:p>
    <w:p>
      <w:pPr>
        <w:spacing w:after="0" w:line="115" w:lineRule="exact"/>
        <w:rPr>
          <w:rFonts w:ascii="Arial" w:cs="Arial" w:eastAsia="Arial" w:hAnsi="Arial"/>
          <w:sz w:val="14"/>
          <w:szCs w:val="14"/>
          <w:color w:val="00249C"/>
        </w:rPr>
      </w:pPr>
    </w:p>
    <w:p>
      <w:pPr>
        <w:ind w:left="320" w:hanging="285"/>
        <w:spacing w:after="0"/>
        <w:tabs>
          <w:tab w:leader="none" w:pos="320" w:val="left"/>
        </w:tabs>
        <w:numPr>
          <w:ilvl w:val="0"/>
          <w:numId w:val="17"/>
        </w:numPr>
        <w:rPr>
          <w:rFonts w:ascii="Arial" w:cs="Arial" w:eastAsia="Arial" w:hAnsi="Arial"/>
          <w:sz w:val="14"/>
          <w:szCs w:val="14"/>
          <w:color w:val="00249C"/>
        </w:rPr>
      </w:pPr>
      <w:r>
        <w:rPr>
          <w:rFonts w:ascii="Arial" w:cs="Arial" w:eastAsia="Arial" w:hAnsi="Arial"/>
          <w:sz w:val="18"/>
          <w:szCs w:val="18"/>
          <w:color w:val="auto"/>
        </w:rPr>
        <w:t>Extensive experience and in-depth knowledge of issues related to global security and the intelligence community</w:t>
      </w:r>
    </w:p>
    <w:p>
      <w:pPr>
        <w:spacing w:after="0" w:line="130" w:lineRule="exact"/>
        <w:rPr>
          <w:rFonts w:ascii="Arial" w:cs="Arial" w:eastAsia="Arial" w:hAnsi="Arial"/>
          <w:sz w:val="14"/>
          <w:szCs w:val="14"/>
          <w:color w:val="00249C"/>
        </w:rPr>
      </w:pPr>
    </w:p>
    <w:p>
      <w:pPr>
        <w:ind w:left="320" w:hanging="285"/>
        <w:spacing w:after="0"/>
        <w:tabs>
          <w:tab w:leader="none" w:pos="320" w:val="left"/>
        </w:tabs>
        <w:numPr>
          <w:ilvl w:val="0"/>
          <w:numId w:val="17"/>
        </w:numPr>
        <w:rPr>
          <w:rFonts w:ascii="Arial" w:cs="Arial" w:eastAsia="Arial" w:hAnsi="Arial"/>
          <w:sz w:val="14"/>
          <w:szCs w:val="14"/>
          <w:color w:val="00249C"/>
        </w:rPr>
      </w:pPr>
      <w:r>
        <w:rPr>
          <w:rFonts w:ascii="Arial" w:cs="Arial" w:eastAsia="Arial" w:hAnsi="Arial"/>
          <w:sz w:val="18"/>
          <w:szCs w:val="18"/>
          <w:color w:val="auto"/>
        </w:rPr>
        <w:t>Broad leadership experience and international experience, particularly in Europe</w:t>
      </w:r>
    </w:p>
    <w:p>
      <w:pPr>
        <w:spacing w:after="0" w:line="130" w:lineRule="exact"/>
        <w:rPr>
          <w:rFonts w:ascii="Arial" w:cs="Arial" w:eastAsia="Arial" w:hAnsi="Arial"/>
          <w:sz w:val="14"/>
          <w:szCs w:val="14"/>
          <w:color w:val="00249C"/>
        </w:rPr>
      </w:pPr>
    </w:p>
    <w:p>
      <w:pPr>
        <w:ind w:left="320" w:hanging="285"/>
        <w:spacing w:after="0"/>
        <w:tabs>
          <w:tab w:leader="none" w:pos="320" w:val="left"/>
        </w:tabs>
        <w:numPr>
          <w:ilvl w:val="0"/>
          <w:numId w:val="17"/>
        </w:numPr>
        <w:rPr>
          <w:rFonts w:ascii="Arial" w:cs="Arial" w:eastAsia="Arial" w:hAnsi="Arial"/>
          <w:sz w:val="14"/>
          <w:szCs w:val="14"/>
          <w:color w:val="00249C"/>
        </w:rPr>
      </w:pPr>
      <w:r>
        <w:rPr>
          <w:rFonts w:ascii="Arial" w:cs="Arial" w:eastAsia="Arial" w:hAnsi="Arial"/>
          <w:sz w:val="18"/>
          <w:szCs w:val="18"/>
          <w:color w:val="auto"/>
        </w:rPr>
        <w:t>Experience with talent development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be elected, a nominee must receive more votes cast "for" than votes cast "against" his or her election. Abstentions and broker non-votes will have no effect on this proposal. If a nominee is not re-elected, he or she will remain in office until a successor is elected or until his or her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40575" cy="3600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0575" cy="360045"/>
                    </a:xfrm>
                    <a:prstGeom prst="rect">
                      <a:avLst/>
                    </a:prstGeom>
                    <a:noFill/>
                  </pic:spPr>
                </pic:pic>
              </a:graphicData>
            </a:graphic>
          </wp:anchor>
        </w:drawing>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00249C"/>
        </w:rPr>
        <w:t>THE BOARD OF DIRECTORS UNANIMOUSLY RECOMMENDS THAT YOU VOTE</w:t>
      </w:r>
    </w:p>
    <w:p>
      <w:pPr>
        <w:jc w:val="center"/>
        <w:ind w:right="-79"/>
        <w:spacing w:after="0"/>
        <w:rPr>
          <w:sz w:val="20"/>
          <w:szCs w:val="20"/>
          <w:color w:val="auto"/>
        </w:rPr>
      </w:pPr>
      <w:r>
        <w:rPr>
          <w:rFonts w:ascii="Arial" w:cs="Arial" w:eastAsia="Arial" w:hAnsi="Arial"/>
          <w:sz w:val="22"/>
          <w:szCs w:val="22"/>
          <w:color w:val="00249C"/>
        </w:rPr>
        <w:t>"FOR" THE 12 NOMINEES FOR DIRECTOR LISTED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180"/>
          </w:cols>
          <w:pgMar w:left="320" w:top="701" w:right="399" w:bottom="1440" w:gutter="0" w:footer="0" w:header="0"/>
        </w:sectPr>
      </w:pPr>
    </w:p>
    <w:bookmarkStart w:id="19" w:name="page20"/>
    <w:bookmarkEnd w:id="19"/>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40575" cy="11061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0575" cy="1106170"/>
                    </a:xfrm>
                    <a:prstGeom prst="rect">
                      <a:avLst/>
                    </a:prstGeom>
                    <a:noFill/>
                  </pic:spPr>
                </pic:pic>
              </a:graphicData>
            </a:graphic>
          </wp:anchor>
        </w:drawing>
      </w:r>
    </w:p>
    <w:p>
      <w:pPr>
        <w:spacing w:after="0" w:line="311" w:lineRule="exact"/>
        <w:rPr>
          <w:sz w:val="20"/>
          <w:szCs w:val="20"/>
          <w:color w:val="auto"/>
        </w:rPr>
      </w:pPr>
    </w:p>
    <w:p>
      <w:pPr>
        <w:jc w:val="center"/>
        <w:ind w:left="360" w:right="160"/>
        <w:spacing w:after="0" w:line="234" w:lineRule="auto"/>
        <w:rPr>
          <w:sz w:val="20"/>
          <w:szCs w:val="20"/>
          <w:color w:val="auto"/>
        </w:rPr>
      </w:pPr>
      <w:r>
        <w:rPr>
          <w:rFonts w:ascii="Arial" w:cs="Arial" w:eastAsia="Arial" w:hAnsi="Arial"/>
          <w:sz w:val="22"/>
          <w:szCs w:val="22"/>
          <w:color w:val="00249C"/>
        </w:rPr>
        <w:t>We are committed to maintaining high standards of corporate governance, aligned with our focus on performance and long-term, profitable growth, and our core values of ethics and integrity. With strong oversight from the Board, our corporate governance regime is intended to promote the long-term success of our Company to benefit our shareholders, customers, employees, communities and suppliers.</w:t>
      </w:r>
    </w:p>
    <w:p>
      <w:pPr>
        <w:spacing w:after="0" w:line="162" w:lineRule="exact"/>
        <w:rPr>
          <w:sz w:val="20"/>
          <w:szCs w:val="20"/>
          <w:color w:val="auto"/>
        </w:rPr>
      </w:pPr>
    </w:p>
    <w:p>
      <w:pPr>
        <w:jc w:val="center"/>
        <w:ind w:left="360" w:right="420"/>
        <w:spacing w:after="0" w:line="261" w:lineRule="auto"/>
        <w:rPr>
          <w:sz w:val="20"/>
          <w:szCs w:val="20"/>
          <w:color w:val="auto"/>
        </w:rPr>
      </w:pPr>
      <w:r>
        <w:rPr>
          <w:rFonts w:ascii="Arial" w:cs="Arial" w:eastAsia="Arial" w:hAnsi="Arial"/>
          <w:sz w:val="22"/>
          <w:szCs w:val="22"/>
          <w:color w:val="00249C"/>
        </w:rPr>
        <w:t xml:space="preserve">Our Company has adopted </w:t>
      </w:r>
      <w:r>
        <w:rPr>
          <w:rFonts w:ascii="Arial" w:cs="Arial" w:eastAsia="Arial" w:hAnsi="Arial"/>
          <w:sz w:val="22"/>
          <w:szCs w:val="22"/>
          <w:b w:val="1"/>
          <w:bCs w:val="1"/>
          <w:color w:val="00249C"/>
        </w:rPr>
        <w:t>Principles of Corporate Governance</w:t>
      </w:r>
      <w:r>
        <w:rPr>
          <w:rFonts w:ascii="Arial" w:cs="Arial" w:eastAsia="Arial" w:hAnsi="Arial"/>
          <w:sz w:val="22"/>
          <w:szCs w:val="22"/>
          <w:color w:val="00249C"/>
        </w:rPr>
        <w:t xml:space="preserve"> and </w:t>
      </w:r>
      <w:r>
        <w:rPr>
          <w:rFonts w:ascii="Arial" w:cs="Arial" w:eastAsia="Arial" w:hAnsi="Arial"/>
          <w:sz w:val="22"/>
          <w:szCs w:val="22"/>
          <w:b w:val="1"/>
          <w:bCs w:val="1"/>
          <w:color w:val="00249C"/>
        </w:rPr>
        <w:t>Standards of Business Conduct</w:t>
      </w:r>
      <w:r>
        <w:rPr>
          <w:rFonts w:ascii="Arial" w:cs="Arial" w:eastAsia="Arial" w:hAnsi="Arial"/>
          <w:sz w:val="22"/>
          <w:szCs w:val="22"/>
          <w:color w:val="00249C"/>
        </w:rPr>
        <w:t xml:space="preserve"> to help guide and promote our good corporate governance and responsible business practices.</w:t>
      </w:r>
    </w:p>
    <w:p>
      <w:pPr>
        <w:spacing w:after="0" w:line="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Principles of Corporate Governance outline the role and responsibilities of our Board and the high standards our directors maintain. They set forth additional independence requirements for our directors and provide guidelines for Board leadership and Board and Committee membership, among other items. The Board reviews these principles at least annually and considers opportunities for improvement and modification.</w:t>
      </w:r>
    </w:p>
    <w:p>
      <w:pPr>
        <w:spacing w:after="0" w:line="6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Standards of Business Conduct reflect and reinforce our commitment to ethics and integrity in all we do. They apply to our directors, officers and employees.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our Standards of Business Conduct:</w:t>
      </w:r>
    </w:p>
    <w:p>
      <w:pPr>
        <w:spacing w:after="0" w:line="8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color w:val="00249C"/>
        </w:rPr>
      </w:pPr>
      <w:r>
        <w:rPr>
          <w:rFonts w:ascii="Arial" w:cs="Arial" w:eastAsia="Arial" w:hAnsi="Arial"/>
          <w:sz w:val="18"/>
          <w:szCs w:val="18"/>
          <w:color w:val="auto"/>
        </w:rPr>
        <w:t>require high ethical standards in all aspects of our business;</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8"/>
        </w:numPr>
        <w:rPr>
          <w:rFonts w:ascii="Arial" w:cs="Arial" w:eastAsia="Arial" w:hAnsi="Arial"/>
          <w:sz w:val="22"/>
          <w:szCs w:val="22"/>
          <w:color w:val="00249C"/>
        </w:rPr>
      </w:pPr>
      <w:r>
        <w:rPr>
          <w:rFonts w:ascii="Arial" w:cs="Arial" w:eastAsia="Arial" w:hAnsi="Arial"/>
          <w:sz w:val="18"/>
          <w:szCs w:val="18"/>
          <w:color w:val="auto"/>
        </w:rPr>
        <w:t>require strict adherence to all applicable laws and regulations;</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8"/>
        </w:numPr>
        <w:rPr>
          <w:rFonts w:ascii="Arial" w:cs="Arial" w:eastAsia="Arial" w:hAnsi="Arial"/>
          <w:sz w:val="22"/>
          <w:szCs w:val="22"/>
          <w:color w:val="00249C"/>
        </w:rPr>
      </w:pPr>
      <w:r>
        <w:rPr>
          <w:rFonts w:ascii="Arial" w:cs="Arial" w:eastAsia="Arial" w:hAnsi="Arial"/>
          <w:sz w:val="18"/>
          <w:szCs w:val="18"/>
          <w:color w:val="auto"/>
        </w:rPr>
        <w:t>reflect our commitment to maintaining a culture that values and promotes diversity and inclusion;</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8"/>
        </w:numPr>
        <w:rPr>
          <w:rFonts w:ascii="Arial" w:cs="Arial" w:eastAsia="Arial" w:hAnsi="Arial"/>
          <w:sz w:val="22"/>
          <w:szCs w:val="22"/>
          <w:color w:val="00249C"/>
        </w:rPr>
      </w:pPr>
      <w:r>
        <w:rPr>
          <w:rFonts w:ascii="Arial" w:cs="Arial" w:eastAsia="Arial" w:hAnsi="Arial"/>
          <w:sz w:val="18"/>
          <w:szCs w:val="18"/>
          <w:color w:val="auto"/>
        </w:rPr>
        <w:t>reinforce our commitment to being a responsible corporate citizen;</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8"/>
        </w:numPr>
        <w:rPr>
          <w:rFonts w:ascii="Arial" w:cs="Arial" w:eastAsia="Arial" w:hAnsi="Arial"/>
          <w:sz w:val="22"/>
          <w:szCs w:val="22"/>
          <w:color w:val="00249C"/>
        </w:rPr>
      </w:pPr>
      <w:r>
        <w:rPr>
          <w:rFonts w:ascii="Arial" w:cs="Arial" w:eastAsia="Arial" w:hAnsi="Arial"/>
          <w:sz w:val="18"/>
          <w:szCs w:val="18"/>
          <w:color w:val="auto"/>
        </w:rPr>
        <w:t>reflect our commitment to our work environment and the global communities where we live, work and serve;</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8"/>
        </w:numPr>
        <w:rPr>
          <w:rFonts w:ascii="Arial" w:cs="Arial" w:eastAsia="Arial" w:hAnsi="Arial"/>
          <w:sz w:val="22"/>
          <w:szCs w:val="22"/>
          <w:color w:val="00249C"/>
        </w:rPr>
      </w:pPr>
      <w:r>
        <w:rPr>
          <w:rFonts w:ascii="Arial" w:cs="Arial" w:eastAsia="Arial" w:hAnsi="Arial"/>
          <w:sz w:val="18"/>
          <w:szCs w:val="18"/>
          <w:color w:val="auto"/>
        </w:rPr>
        <w:t>reflect our broad and deep commitment to sustainability;</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8"/>
        </w:numPr>
        <w:rPr>
          <w:rFonts w:ascii="Arial" w:cs="Arial" w:eastAsia="Arial" w:hAnsi="Arial"/>
          <w:sz w:val="22"/>
          <w:szCs w:val="22"/>
          <w:color w:val="00249C"/>
        </w:rPr>
      </w:pPr>
      <w:r>
        <w:rPr>
          <w:rFonts w:ascii="Arial" w:cs="Arial" w:eastAsia="Arial" w:hAnsi="Arial"/>
          <w:sz w:val="18"/>
          <w:szCs w:val="18"/>
          <w:color w:val="auto"/>
        </w:rPr>
        <w:t>require a focus on performance and the consistent production of quality results;</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8"/>
        </w:numPr>
        <w:rPr>
          <w:rFonts w:ascii="Arial" w:cs="Arial" w:eastAsia="Arial" w:hAnsi="Arial"/>
          <w:sz w:val="22"/>
          <w:szCs w:val="22"/>
          <w:color w:val="00249C"/>
        </w:rPr>
      </w:pPr>
      <w:r>
        <w:rPr>
          <w:rFonts w:ascii="Arial" w:cs="Arial" w:eastAsia="Arial" w:hAnsi="Arial"/>
          <w:sz w:val="18"/>
          <w:szCs w:val="18"/>
          <w:color w:val="auto"/>
        </w:rPr>
        <w:t>reflect our commitment to the safety of our people and products; and</w:t>
      </w:r>
    </w:p>
    <w:p>
      <w:pPr>
        <w:spacing w:after="0" w:line="107" w:lineRule="exact"/>
        <w:rPr>
          <w:rFonts w:ascii="Arial" w:cs="Arial" w:eastAsia="Arial" w:hAnsi="Arial"/>
          <w:sz w:val="22"/>
          <w:szCs w:val="22"/>
          <w:color w:val="00249C"/>
        </w:rPr>
      </w:pPr>
    </w:p>
    <w:p>
      <w:pPr>
        <w:ind w:right="2700" w:firstLine="8"/>
        <w:spacing w:after="0" w:line="302" w:lineRule="auto"/>
        <w:tabs>
          <w:tab w:leader="none" w:pos="324" w:val="left"/>
        </w:tabs>
        <w:numPr>
          <w:ilvl w:val="0"/>
          <w:numId w:val="18"/>
        </w:numPr>
        <w:rPr>
          <w:rFonts w:ascii="Arial" w:cs="Arial" w:eastAsia="Arial" w:hAnsi="Arial"/>
          <w:sz w:val="22"/>
          <w:szCs w:val="22"/>
          <w:color w:val="00249C"/>
        </w:rPr>
      </w:pPr>
      <w:r>
        <w:rPr>
          <w:rFonts w:ascii="Arial" w:cs="Arial" w:eastAsia="Arial" w:hAnsi="Arial"/>
          <w:sz w:val="18"/>
          <w:szCs w:val="18"/>
          <w:color w:val="auto"/>
        </w:rPr>
        <w:t>call upon all employees to raise any questions or issues of concern (including on an anonymous basis). We report amendments to provisions of our Standards of Business Conduct on our website.</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primary responsibility of our Board is to foster the long-term success of the Company, promoting the interests of our shareholders. Our directors exercise their business judgment in a manner they reasonably believe to be in the best interests of the Company and our shareholders and in a manner consistent with their fiduciary responsibilities. The responsibilities of the Board include, but are not limited to, the following:</w:t>
      </w:r>
    </w:p>
    <w:p>
      <w:pPr>
        <w:spacing w:after="0" w:line="6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2"/>
          <w:szCs w:val="22"/>
          <w:color w:val="00249C"/>
        </w:rPr>
      </w:pPr>
      <w:r>
        <w:rPr>
          <w:rFonts w:ascii="Arial" w:cs="Arial" w:eastAsia="Arial" w:hAnsi="Arial"/>
          <w:sz w:val="18"/>
          <w:szCs w:val="18"/>
          <w:color w:val="auto"/>
        </w:rPr>
        <w:t>oversee our long-term business strategies, operations and performance;</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9"/>
        </w:numPr>
        <w:rPr>
          <w:rFonts w:ascii="Arial" w:cs="Arial" w:eastAsia="Arial" w:hAnsi="Arial"/>
          <w:sz w:val="22"/>
          <w:szCs w:val="22"/>
          <w:color w:val="00249C"/>
        </w:rPr>
      </w:pPr>
      <w:r>
        <w:rPr>
          <w:rFonts w:ascii="Arial" w:cs="Arial" w:eastAsia="Arial" w:hAnsi="Arial"/>
          <w:sz w:val="18"/>
          <w:szCs w:val="18"/>
          <w:color w:val="auto"/>
        </w:rPr>
        <w:t>execute robust succession planning, including selecting the Chief Executive Officer, and electing officers of the Company;</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9"/>
        </w:numPr>
        <w:rPr>
          <w:rFonts w:ascii="Arial" w:cs="Arial" w:eastAsia="Arial" w:hAnsi="Arial"/>
          <w:sz w:val="22"/>
          <w:szCs w:val="22"/>
          <w:color w:val="00249C"/>
        </w:rPr>
      </w:pPr>
      <w:r>
        <w:rPr>
          <w:rFonts w:ascii="Arial" w:cs="Arial" w:eastAsia="Arial" w:hAnsi="Arial"/>
          <w:sz w:val="18"/>
          <w:szCs w:val="18"/>
          <w:color w:val="auto"/>
        </w:rPr>
        <w:t>oversee management of each of our major risks and the enterprise risk management processes overall, including audit functions;</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9"/>
        </w:numPr>
        <w:rPr>
          <w:rFonts w:ascii="Arial" w:cs="Arial" w:eastAsia="Arial" w:hAnsi="Arial"/>
          <w:sz w:val="22"/>
          <w:szCs w:val="22"/>
          <w:color w:val="00249C"/>
        </w:rPr>
      </w:pPr>
      <w:r>
        <w:rPr>
          <w:rFonts w:ascii="Arial" w:cs="Arial" w:eastAsia="Arial" w:hAnsi="Arial"/>
          <w:sz w:val="18"/>
          <w:szCs w:val="18"/>
          <w:color w:val="auto"/>
        </w:rPr>
        <w:t>oversee human capital strategy;</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9"/>
        </w:numPr>
        <w:rPr>
          <w:rFonts w:ascii="Arial" w:cs="Arial" w:eastAsia="Arial" w:hAnsi="Arial"/>
          <w:sz w:val="22"/>
          <w:szCs w:val="22"/>
          <w:color w:val="00249C"/>
        </w:rPr>
      </w:pPr>
      <w:r>
        <w:rPr>
          <w:rFonts w:ascii="Arial" w:cs="Arial" w:eastAsia="Arial" w:hAnsi="Arial"/>
          <w:sz w:val="18"/>
          <w:szCs w:val="18"/>
          <w:color w:val="auto"/>
        </w:rPr>
        <w:t>ensure a strong culture;</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9"/>
        </w:numPr>
        <w:rPr>
          <w:rFonts w:ascii="Arial" w:cs="Arial" w:eastAsia="Arial" w:hAnsi="Arial"/>
          <w:sz w:val="22"/>
          <w:szCs w:val="22"/>
          <w:color w:val="00249C"/>
        </w:rPr>
      </w:pPr>
      <w:r>
        <w:rPr>
          <w:rFonts w:ascii="Arial" w:cs="Arial" w:eastAsia="Arial" w:hAnsi="Arial"/>
          <w:sz w:val="18"/>
          <w:szCs w:val="18"/>
          <w:color w:val="auto"/>
        </w:rPr>
        <w:t>ensure an effective corporate governance practice;</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9"/>
        </w:numPr>
        <w:rPr>
          <w:rFonts w:ascii="Arial" w:cs="Arial" w:eastAsia="Arial" w:hAnsi="Arial"/>
          <w:sz w:val="22"/>
          <w:szCs w:val="22"/>
          <w:color w:val="00249C"/>
        </w:rPr>
      </w:pPr>
      <w:r>
        <w:rPr>
          <w:rFonts w:ascii="Arial" w:cs="Arial" w:eastAsia="Arial" w:hAnsi="Arial"/>
          <w:sz w:val="18"/>
          <w:szCs w:val="18"/>
          <w:color w:val="auto"/>
        </w:rPr>
        <w:t>elect directors to fill vacant positions between Annual Meetings;</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9"/>
        </w:numPr>
        <w:rPr>
          <w:rFonts w:ascii="Arial" w:cs="Arial" w:eastAsia="Arial" w:hAnsi="Arial"/>
          <w:sz w:val="22"/>
          <w:szCs w:val="22"/>
          <w:color w:val="00249C"/>
        </w:rPr>
      </w:pPr>
      <w:r>
        <w:rPr>
          <w:rFonts w:ascii="Arial" w:cs="Arial" w:eastAsia="Arial" w:hAnsi="Arial"/>
          <w:sz w:val="18"/>
          <w:szCs w:val="18"/>
          <w:color w:val="auto"/>
        </w:rPr>
        <w:t>review and approve executive compensation;</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19"/>
        </w:numPr>
        <w:rPr>
          <w:rFonts w:ascii="Arial" w:cs="Arial" w:eastAsia="Arial" w:hAnsi="Arial"/>
          <w:sz w:val="22"/>
          <w:szCs w:val="22"/>
          <w:color w:val="00249C"/>
        </w:rPr>
      </w:pPr>
      <w:r>
        <w:rPr>
          <w:rFonts w:ascii="Arial" w:cs="Arial" w:eastAsia="Arial" w:hAnsi="Arial"/>
          <w:sz w:val="18"/>
          <w:szCs w:val="18"/>
          <w:color w:val="auto"/>
        </w:rPr>
        <w:t>review and approve significant corporate actions;</w:t>
      </w:r>
    </w:p>
    <w:p>
      <w:pPr>
        <w:sectPr>
          <w:pgSz w:w="11900" w:h="16838" w:orient="portrait"/>
          <w:cols w:equalWidth="0" w:num="1">
            <w:col w:w="11240"/>
          </w:cols>
          <w:pgMar w:left="320" w:top="701" w:right="339" w:bottom="1440" w:gutter="0" w:footer="0" w:header="0"/>
        </w:sectPr>
      </w:pPr>
    </w:p>
    <w:p>
      <w:pPr>
        <w:spacing w:after="0" w:line="296"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13</w:t>
      </w:r>
    </w:p>
    <w:p>
      <w:pPr>
        <w:sectPr>
          <w:pgSz w:w="11900" w:h="16838" w:orient="portrait"/>
          <w:cols w:equalWidth="0" w:num="1">
            <w:col w:w="11240"/>
          </w:cols>
          <w:pgMar w:left="320" w:top="701" w:right="339" w:bottom="144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548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2"/>
          <w:szCs w:val="22"/>
          <w:color w:val="00249C"/>
        </w:rPr>
      </w:pPr>
      <w:r>
        <w:rPr>
          <w:rFonts w:ascii="Arial" w:cs="Arial" w:eastAsia="Arial" w:hAnsi="Arial"/>
          <w:sz w:val="18"/>
          <w:szCs w:val="18"/>
          <w:color w:val="auto"/>
        </w:rPr>
        <w:t>review and enhance Board performance;</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20"/>
        </w:numPr>
        <w:rPr>
          <w:rFonts w:ascii="Arial" w:cs="Arial" w:eastAsia="Arial" w:hAnsi="Arial"/>
          <w:sz w:val="22"/>
          <w:szCs w:val="22"/>
          <w:color w:val="00249C"/>
        </w:rPr>
      </w:pPr>
      <w:r>
        <w:rPr>
          <w:rFonts w:ascii="Arial" w:cs="Arial" w:eastAsia="Arial" w:hAnsi="Arial"/>
          <w:sz w:val="18"/>
          <w:szCs w:val="18"/>
          <w:color w:val="auto"/>
        </w:rPr>
        <w:t>oversee our ethics and compliance programs;</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20"/>
        </w:numPr>
        <w:rPr>
          <w:rFonts w:ascii="Arial" w:cs="Arial" w:eastAsia="Arial" w:hAnsi="Arial"/>
          <w:sz w:val="22"/>
          <w:szCs w:val="22"/>
          <w:color w:val="00249C"/>
        </w:rPr>
      </w:pPr>
      <w:r>
        <w:rPr>
          <w:rFonts w:ascii="Arial" w:cs="Arial" w:eastAsia="Arial" w:hAnsi="Arial"/>
          <w:sz w:val="18"/>
          <w:szCs w:val="18"/>
          <w:color w:val="auto"/>
        </w:rPr>
        <w:t>oversee our diversity and inclusion programs;</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20"/>
        </w:numPr>
        <w:rPr>
          <w:rFonts w:ascii="Arial" w:cs="Arial" w:eastAsia="Arial" w:hAnsi="Arial"/>
          <w:sz w:val="22"/>
          <w:szCs w:val="22"/>
          <w:color w:val="00249C"/>
        </w:rPr>
      </w:pPr>
      <w:r>
        <w:rPr>
          <w:rFonts w:ascii="Arial" w:cs="Arial" w:eastAsia="Arial" w:hAnsi="Arial"/>
          <w:sz w:val="18"/>
          <w:szCs w:val="18"/>
          <w:color w:val="auto"/>
        </w:rPr>
        <w:t>oversee effective management of cyber and other security risks;</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20"/>
        </w:numPr>
        <w:rPr>
          <w:rFonts w:ascii="Arial" w:cs="Arial" w:eastAsia="Arial" w:hAnsi="Arial"/>
          <w:sz w:val="22"/>
          <w:szCs w:val="22"/>
          <w:color w:val="00249C"/>
        </w:rPr>
      </w:pPr>
      <w:r>
        <w:rPr>
          <w:rFonts w:ascii="Arial" w:cs="Arial" w:eastAsia="Arial" w:hAnsi="Arial"/>
          <w:sz w:val="18"/>
          <w:szCs w:val="18"/>
          <w:color w:val="auto"/>
        </w:rPr>
        <w:t>oversee a strong focus on sustainability; and</w:t>
      </w:r>
    </w:p>
    <w:p>
      <w:pPr>
        <w:spacing w:after="0" w:line="71" w:lineRule="exact"/>
        <w:rPr>
          <w:rFonts w:ascii="Arial" w:cs="Arial" w:eastAsia="Arial" w:hAnsi="Arial"/>
          <w:sz w:val="22"/>
          <w:szCs w:val="22"/>
          <w:color w:val="00249C"/>
        </w:rPr>
      </w:pPr>
    </w:p>
    <w:p>
      <w:pPr>
        <w:ind w:left="340" w:hanging="332"/>
        <w:spacing w:after="0"/>
        <w:tabs>
          <w:tab w:leader="none" w:pos="340" w:val="left"/>
        </w:tabs>
        <w:numPr>
          <w:ilvl w:val="0"/>
          <w:numId w:val="20"/>
        </w:numPr>
        <w:rPr>
          <w:rFonts w:ascii="Arial" w:cs="Arial" w:eastAsia="Arial" w:hAnsi="Arial"/>
          <w:sz w:val="22"/>
          <w:szCs w:val="22"/>
          <w:color w:val="00249C"/>
        </w:rPr>
      </w:pPr>
      <w:r>
        <w:rPr>
          <w:rFonts w:ascii="Arial" w:cs="Arial" w:eastAsia="Arial" w:hAnsi="Arial"/>
          <w:sz w:val="18"/>
          <w:szCs w:val="18"/>
          <w:color w:val="auto"/>
        </w:rPr>
        <w:t>provide advice to management.</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Board's Role in Risk Oversight</w:t>
      </w:r>
    </w:p>
    <w:p>
      <w:pPr>
        <w:spacing w:after="0" w:line="10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noted above, the Board is responsible for overseeing our enterprise risk management activities, among other duties. Each of our Board committees assists the Board in this role.</w:t>
      </w:r>
    </w:p>
    <w:p>
      <w:pPr>
        <w:spacing w:after="0" w:line="90" w:lineRule="exact"/>
        <w:rPr>
          <w:sz w:val="20"/>
          <w:szCs w:val="20"/>
          <w:color w:val="auto"/>
        </w:rPr>
      </w:pPr>
    </w:p>
    <w:p>
      <w:pPr>
        <w:ind w:left="340" w:right="120" w:hanging="332"/>
        <w:spacing w:after="0" w:line="290" w:lineRule="auto"/>
        <w:tabs>
          <w:tab w:leader="none" w:pos="340" w:val="left"/>
        </w:tabs>
        <w:numPr>
          <w:ilvl w:val="0"/>
          <w:numId w:val="21"/>
        </w:numPr>
        <w:rPr>
          <w:rFonts w:ascii="Arial" w:cs="Arial" w:eastAsia="Arial" w:hAnsi="Arial"/>
          <w:sz w:val="22"/>
          <w:szCs w:val="22"/>
          <w:color w:val="00249C"/>
        </w:rPr>
      </w:pPr>
      <w:r>
        <w:rPr>
          <w:rFonts w:ascii="Arial" w:cs="Arial" w:eastAsia="Arial" w:hAnsi="Arial"/>
          <w:sz w:val="18"/>
          <w:szCs w:val="18"/>
          <w:color w:val="auto"/>
        </w:rPr>
        <w:t>The Audit and Risk Committee focuses on risks tied most directly to our financial performance, and those related to the environment, disasters and security, including cybersecurity. The Audit and Risk Committee is also responsible for assisting the Board in its oversight of enterprise risk management overall. The Audit and Risk Committee receives multiple regular reports, including (1) from the Chief Financial Officer and members of the Finance Department addressing our financial risk management processes, systems and internal controls, the nature of the material financial risks the Company faces and how the Company responds to and mitigates these risks; (2) from our General Counsel on legal and other compliance risks and how the Company is addressing and mitigating those risks; (3) from our Chief Compliance Officer on the Company's compliance program overall; (4) from the Vice President, Global Corporate Responsibility on complaints filed with the Company's OpenLine; and (5) from the Company's Vice President and Chief Information Security Officer, among others.</w:t>
      </w:r>
    </w:p>
    <w:p>
      <w:pPr>
        <w:spacing w:after="0" w:line="82" w:lineRule="exact"/>
        <w:rPr>
          <w:rFonts w:ascii="Arial" w:cs="Arial" w:eastAsia="Arial" w:hAnsi="Arial"/>
          <w:sz w:val="22"/>
          <w:szCs w:val="22"/>
          <w:color w:val="00249C"/>
        </w:rPr>
      </w:pPr>
    </w:p>
    <w:p>
      <w:pPr>
        <w:ind w:left="340" w:right="20" w:hanging="332"/>
        <w:spacing w:after="0" w:line="272" w:lineRule="auto"/>
        <w:tabs>
          <w:tab w:leader="none" w:pos="340" w:val="left"/>
        </w:tabs>
        <w:numPr>
          <w:ilvl w:val="0"/>
          <w:numId w:val="21"/>
        </w:numPr>
        <w:rPr>
          <w:rFonts w:ascii="Arial" w:cs="Arial" w:eastAsia="Arial" w:hAnsi="Arial"/>
          <w:sz w:val="22"/>
          <w:szCs w:val="22"/>
          <w:color w:val="00249C"/>
        </w:rPr>
      </w:pPr>
      <w:r>
        <w:rPr>
          <w:rFonts w:ascii="Arial" w:cs="Arial" w:eastAsia="Arial" w:hAnsi="Arial"/>
          <w:sz w:val="18"/>
          <w:szCs w:val="18"/>
          <w:color w:val="auto"/>
        </w:rPr>
        <w:t>The Compensation Committee reviews at least annually a risk assessment of the Company's compensation programs and, together with its independent compensation consultant, evaluates the mix of at-risk compensation linked to stock appreciation. The Compensation Committee reviews the Company's diversity and inclusion program, and oversees management of its human capital risk.</w:t>
      </w:r>
    </w:p>
    <w:p>
      <w:pPr>
        <w:spacing w:after="0" w:line="94" w:lineRule="exact"/>
        <w:rPr>
          <w:rFonts w:ascii="Arial" w:cs="Arial" w:eastAsia="Arial" w:hAnsi="Arial"/>
          <w:sz w:val="22"/>
          <w:szCs w:val="22"/>
          <w:color w:val="00249C"/>
        </w:rPr>
      </w:pPr>
    </w:p>
    <w:p>
      <w:pPr>
        <w:ind w:left="340" w:right="80" w:hanging="332"/>
        <w:spacing w:after="0" w:line="284" w:lineRule="auto"/>
        <w:tabs>
          <w:tab w:leader="none" w:pos="340" w:val="left"/>
        </w:tabs>
        <w:numPr>
          <w:ilvl w:val="0"/>
          <w:numId w:val="21"/>
        </w:numPr>
        <w:rPr>
          <w:rFonts w:ascii="Arial" w:cs="Arial" w:eastAsia="Arial" w:hAnsi="Arial"/>
          <w:sz w:val="22"/>
          <w:szCs w:val="22"/>
          <w:color w:val="00249C"/>
        </w:rPr>
      </w:pPr>
      <w:r>
        <w:rPr>
          <w:rFonts w:ascii="Arial" w:cs="Arial" w:eastAsia="Arial" w:hAnsi="Arial"/>
          <w:sz w:val="18"/>
          <w:szCs w:val="18"/>
          <w:color w:val="auto"/>
        </w:rPr>
        <w:t>The Policy Committee assists the Board in identifying and evaluating global security, political, budgetary and technological issues and trends that could impact the Company's business. The Policy Committee reviews the Company's external relations and receives regular reports from the Vice President, Global Corporate Responsibility on the Company’s ethics and corporate responsibility programs. The Policy Committee reviews and oversees the Company's commitment to environmental and social aspects of sustainability, including the Company's human rights policy.</w:t>
      </w:r>
    </w:p>
    <w:p>
      <w:pPr>
        <w:spacing w:after="0" w:line="84" w:lineRule="exact"/>
        <w:rPr>
          <w:rFonts w:ascii="Arial" w:cs="Arial" w:eastAsia="Arial" w:hAnsi="Arial"/>
          <w:sz w:val="22"/>
          <w:szCs w:val="22"/>
          <w:color w:val="00249C"/>
        </w:rPr>
      </w:pPr>
    </w:p>
    <w:p>
      <w:pPr>
        <w:ind w:left="340" w:right="160" w:hanging="332"/>
        <w:spacing w:after="0" w:line="280" w:lineRule="auto"/>
        <w:tabs>
          <w:tab w:leader="none" w:pos="340" w:val="left"/>
        </w:tabs>
        <w:numPr>
          <w:ilvl w:val="0"/>
          <w:numId w:val="21"/>
        </w:numPr>
        <w:rPr>
          <w:rFonts w:ascii="Arial" w:cs="Arial" w:eastAsia="Arial" w:hAnsi="Arial"/>
          <w:sz w:val="22"/>
          <w:szCs w:val="22"/>
          <w:color w:val="00249C"/>
        </w:rPr>
      </w:pPr>
      <w:r>
        <w:rPr>
          <w:rFonts w:ascii="Arial" w:cs="Arial" w:eastAsia="Arial" w:hAnsi="Arial"/>
          <w:sz w:val="18"/>
          <w:szCs w:val="18"/>
          <w:color w:val="auto"/>
        </w:rPr>
        <w:t>The Governance Committee regularly reviews the Company's policies and practices on issues of corporate governance, and considers issues of succession and composition of the Board, recommending proposed changes to the full Board for approval. The Governance Committee oversees and reviews the Company's management of its governance related risks, including risks related to corporate culture.</w:t>
      </w:r>
    </w:p>
    <w:p>
      <w:pPr>
        <w:spacing w:after="0" w:line="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and its Committees provide oversight of the Company's risk management processes, including the Enterprise Risk Management Council (ERMC). The ERMC is comprised of all members of the Executive Leadership Team, the Chief Accounting Officer, Chief Compliance Officer, Corporate Secretary, head of Internal Audit and Treasurer. The ERMC seeks to ensure that the Company has identified the most significant risks and implemented effective mitigation plans for each. The full Board has ultimate responsibility for the Company's oversight of risk, and receives updates from each of the committees, as well as periodic reports from management addressing the various risks, including those related to financial and other performance, cybersecurity and culture.</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Chairman of the Board</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Bylaws provide that our directors will designate a Chairman of the Board from among its members. The Chairman presides at all Board and shareholder meetings. The Chairman interacts directly with all members of the Board and assists the Board to fulfill its responsibilities. As the Principles of Corporate Governance provide, the Board believes it is in the best interests of the Company and the shareholders for the Board to have flexibility to determine the best director to serve as Chairman of the Board at the time, based on consideration of all relevant factors.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00"/>
          </w:cols>
          <w:pgMar w:left="320" w:top="674" w:right="379" w:bottom="1440" w:gutter="0" w:footer="0" w:header="0"/>
        </w:sectPr>
      </w:pPr>
    </w:p>
    <w:bookmarkStart w:id="21" w:name="page22"/>
    <w:bookmarkEnd w:id="21"/>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548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July 2019, the Board elected Ms. Warden, our Chief Executive Officer and President, to serve as Chairman, effective August 1, 2019. Ms. Warden succeeded Mr. Bush, who had served as Chairman since July 2011 and had also served as Chief Executive Officer of the Company from January 2010 through December 2018. Mr. Bush retired from the Company and resigned from the Board on July 31, 2019.</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At least once every year, the Board considers who will best serve as Chairman, and whether that person should be an independent director, given the environment and needs of the Company. The Board has concluded that having Ms. Warden, our Chief Executive Officer, serve as Chairman is the most appropriate leadership structure for the Company and best positions the Company to be innovative, compete successfully, present one face to our customer and advance shareholder interests in today's environment. The Board believes that Ms. Warden's deep understanding of the Company's business, day-to-day operations, growth opportunities, challenges and risk management practices gained through various leadership positions enables her to provide strong and effective leadership to the Board and to ensure that the Board is informed of important issues facing the Company. The Board consists entirely of independent directors, other than Ms. Warden, and continues to exercise a strong, independent oversight function, with fully independent Board Committees and a strong Lead Independent Director with clearly articulated responsibilities. The Board will continue to review and discuss the leadership structure of the Board and determine the leadership structure, including the Chairman, that best meets the needs of the Company.</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 Independent Director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If the Chairman is not independent, the independent directors will designate annually from among them a Lead Independent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Following our 2019 Annual Meeting, the independent directors designated Mr. Felsinger as Lead Independent Director.</w:t>
      </w:r>
    </w:p>
    <w:p>
      <w:pPr>
        <w:spacing w:after="0" w:line="9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Our Principles of Corporate Governance set forth specific duties and responsibilities of the Lead Independent Director, which include the following:</w:t>
      </w:r>
    </w:p>
    <w:p>
      <w:pPr>
        <w:spacing w:after="0" w:line="90" w:lineRule="exact"/>
        <w:rPr>
          <w:sz w:val="20"/>
          <w:szCs w:val="20"/>
          <w:color w:val="auto"/>
        </w:rPr>
      </w:pPr>
    </w:p>
    <w:p>
      <w:pPr>
        <w:ind w:left="340" w:right="280" w:hanging="332"/>
        <w:spacing w:after="0" w:line="255" w:lineRule="auto"/>
        <w:tabs>
          <w:tab w:leader="none" w:pos="34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preside at meetings of the Board at which the Chairman is not present, including executive sessions of the independent directors, and advise the Chairman and CEO on decisions reached and suggestions made;</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advise the Chairman on and approve meeting agendas and information sent to the Board;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advise the Chairman on and approve the schedule of Board meetings, assuring there is sufficient time for discussion of all agenda items;</w:t>
      </w:r>
    </w:p>
    <w:p>
      <w:pPr>
        <w:spacing w:after="0" w:line="120" w:lineRule="exact"/>
        <w:rPr>
          <w:rFonts w:ascii="Arial" w:cs="Arial" w:eastAsia="Arial" w:hAnsi="Arial"/>
          <w:sz w:val="22"/>
          <w:szCs w:val="22"/>
          <w:color w:val="00249C"/>
        </w:rPr>
      </w:pPr>
    </w:p>
    <w:p>
      <w:pPr>
        <w:ind w:left="340" w:right="140" w:hanging="332"/>
        <w:spacing w:after="0" w:line="255" w:lineRule="auto"/>
        <w:tabs>
          <w:tab w:leader="none" w:pos="34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provide the Chairman with input as to the preparation of Board and committee meeting agendas, taking into account the requests of the other Board and committee members;</w:t>
      </w:r>
    </w:p>
    <w:p>
      <w:pPr>
        <w:spacing w:after="0" w:line="105" w:lineRule="exact"/>
        <w:rPr>
          <w:rFonts w:ascii="Arial" w:cs="Arial" w:eastAsia="Arial" w:hAnsi="Arial"/>
          <w:sz w:val="22"/>
          <w:szCs w:val="22"/>
          <w:color w:val="00249C"/>
        </w:rPr>
      </w:pPr>
    </w:p>
    <w:p>
      <w:pPr>
        <w:ind w:left="340" w:right="220" w:hanging="332"/>
        <w:spacing w:after="0" w:line="255" w:lineRule="auto"/>
        <w:tabs>
          <w:tab w:leader="none" w:pos="34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interview, along with the Chairman and the Chairman of the Governance Committee, Board candidates and make recommendations to the Governance Committee and the Board;</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call meetings of the independent directors;</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support and facilitate engagement between the Chairman and the independent directors; and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if requested by major shareholders, ensure that he or she is available for consultation and direct communication.</w:t>
      </w:r>
    </w:p>
    <w:p>
      <w:pPr>
        <w:spacing w:after="0" w:line="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Lead Independent Director is empowered to and does actively engage with our Chairman and Chief Executive Officer to help enable a strong and effective Board of Directors.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Board has four standing committees: the Audit and Risk Committee, the Compensation Committee, the Governance Committee and the Policy Committee. The membership of these committees is typically determined at the organizational meeting of the Board held in conjunction with the annual meeting. All the committees are composed entirely of independent directors. The primary responsibilities of each of the committees, as of the date of this Proxy Statement, are summarized below, together with a table listing the membership and Chairman of each committee. The charters for each standing committee can be found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15</w:t>
      </w:r>
    </w:p>
    <w:p>
      <w:pPr>
        <w:sectPr>
          <w:pgSz w:w="11900" w:h="16838" w:orient="portrait"/>
          <w:cols w:equalWidth="0" w:num="1">
            <w:col w:w="11240"/>
          </w:cols>
          <w:pgMar w:left="320" w:top="674" w:right="339" w:bottom="1440" w:gutter="0" w:footer="0" w:header="0"/>
        </w:sectPr>
      </w:pPr>
    </w:p>
    <w:bookmarkStart w:id="22" w:name="page23"/>
    <w:bookmarkEnd w:id="22"/>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40575" cy="48863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0575" cy="488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0249C"/>
        </w:rPr>
        <w:t>Audit and Risk Committee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900" w:type="dxa"/>
            <w:vAlign w:val="bottom"/>
            <w:shd w:val="clear" w:color="auto" w:fill="CCD4DB"/>
          </w:tcPr>
          <w:p>
            <w:pPr>
              <w:ind w:left="40"/>
              <w:spacing w:after="0"/>
              <w:rPr>
                <w:sz w:val="20"/>
                <w:szCs w:val="20"/>
                <w:color w:val="auto"/>
              </w:rPr>
            </w:pPr>
            <w:r>
              <w:rPr>
                <w:rFonts w:ascii="Arial" w:cs="Arial" w:eastAsia="Arial" w:hAnsi="Arial"/>
                <w:sz w:val="18"/>
                <w:szCs w:val="18"/>
                <w:b w:val="1"/>
                <w:bCs w:val="1"/>
                <w:color w:val="00249C"/>
              </w:rPr>
              <w:t>Roles and Responsibilities</w:t>
            </w:r>
          </w:p>
        </w:tc>
        <w:tc>
          <w:tcPr>
            <w:tcW w:w="2240" w:type="dxa"/>
            <w:vAlign w:val="bottom"/>
          </w:tcPr>
          <w:p>
            <w:pPr>
              <w:ind w:left="40"/>
              <w:spacing w:after="0"/>
              <w:rPr>
                <w:sz w:val="20"/>
                <w:szCs w:val="20"/>
                <w:color w:val="auto"/>
              </w:rPr>
            </w:pPr>
            <w:r>
              <w:rPr>
                <w:rFonts w:ascii="Arial" w:cs="Arial" w:eastAsia="Arial" w:hAnsi="Arial"/>
                <w:sz w:val="18"/>
                <w:szCs w:val="18"/>
                <w:b w:val="1"/>
                <w:bCs w:val="1"/>
                <w:color w:val="00249C"/>
              </w:rPr>
              <w:t>Committee Members</w:t>
            </w:r>
          </w:p>
        </w:tc>
        <w:tc>
          <w:tcPr>
            <w:tcW w:w="0" w:type="dxa"/>
            <w:vAlign w:val="bottom"/>
          </w:tcPr>
          <w:p>
            <w:pPr>
              <w:spacing w:after="0"/>
              <w:rPr>
                <w:sz w:val="1"/>
                <w:szCs w:val="1"/>
                <w:color w:val="auto"/>
              </w:rPr>
            </w:pPr>
          </w:p>
        </w:tc>
      </w:tr>
      <w:tr>
        <w:trPr>
          <w:trHeight w:val="321"/>
        </w:trPr>
        <w:tc>
          <w:tcPr>
            <w:tcW w:w="8900" w:type="dxa"/>
            <w:vAlign w:val="bottom"/>
            <w:shd w:val="clear" w:color="auto" w:fill="CCD4DB"/>
          </w:tcPr>
          <w:p>
            <w:pPr>
              <w:ind w:left="40"/>
              <w:spacing w:after="0"/>
              <w:rPr>
                <w:sz w:val="20"/>
                <w:szCs w:val="20"/>
                <w:color w:val="auto"/>
              </w:rPr>
            </w:pPr>
            <w:r>
              <w:rPr>
                <w:rFonts w:ascii="Arial" w:cs="Arial" w:eastAsia="Arial" w:hAnsi="Arial"/>
                <w:sz w:val="18"/>
                <w:szCs w:val="18"/>
                <w:color w:val="auto"/>
              </w:rPr>
              <w:t>Assist the Board in overseeing the Company's financial and enterprise-related risk activities by :</w:t>
            </w:r>
          </w:p>
        </w:tc>
        <w:tc>
          <w:tcPr>
            <w:tcW w:w="2240" w:type="dxa"/>
            <w:vAlign w:val="bottom"/>
          </w:tcPr>
          <w:p>
            <w:pPr>
              <w:ind w:left="40"/>
              <w:spacing w:after="0"/>
              <w:rPr>
                <w:sz w:val="20"/>
                <w:szCs w:val="20"/>
                <w:color w:val="auto"/>
              </w:rPr>
            </w:pPr>
            <w:r>
              <w:rPr>
                <w:rFonts w:ascii="Arial" w:cs="Arial" w:eastAsia="Arial" w:hAnsi="Arial"/>
                <w:sz w:val="18"/>
                <w:szCs w:val="18"/>
                <w:color w:val="auto"/>
              </w:rPr>
              <w:t>William H. Hernandez</w:t>
            </w:r>
          </w:p>
        </w:tc>
        <w:tc>
          <w:tcPr>
            <w:tcW w:w="0" w:type="dxa"/>
            <w:vAlign w:val="bottom"/>
          </w:tcPr>
          <w:p>
            <w:pPr>
              <w:spacing w:after="0"/>
              <w:rPr>
                <w:sz w:val="1"/>
                <w:szCs w:val="1"/>
                <w:color w:val="auto"/>
              </w:rPr>
            </w:pPr>
          </w:p>
        </w:tc>
      </w:tr>
      <w:tr>
        <w:trPr>
          <w:trHeight w:val="203"/>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assisting the Board in its oversight of enterprise risk management (including through the different board</w:t>
            </w:r>
          </w:p>
        </w:tc>
        <w:tc>
          <w:tcPr>
            <w:tcW w:w="2240" w:type="dxa"/>
            <w:vAlign w:val="bottom"/>
          </w:tcPr>
          <w:p>
            <w:pPr>
              <w:ind w:left="40"/>
              <w:spacing w:after="0" w:line="202" w:lineRule="exact"/>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135"/>
        </w:trPr>
        <w:tc>
          <w:tcPr>
            <w:tcW w:w="8900" w:type="dxa"/>
            <w:vAlign w:val="bottom"/>
            <w:vMerge w:val="continue"/>
            <w:shd w:val="clear" w:color="auto" w:fill="CCD4DB"/>
          </w:tcPr>
          <w:p>
            <w:pPr>
              <w:spacing w:after="0"/>
              <w:rPr>
                <w:sz w:val="11"/>
                <w:szCs w:val="11"/>
                <w:color w:val="auto"/>
              </w:rPr>
            </w:pPr>
          </w:p>
        </w:tc>
        <w:tc>
          <w:tcPr>
            <w:tcW w:w="224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Ann M. Fudge</w:t>
            </w:r>
          </w:p>
        </w:tc>
        <w:tc>
          <w:tcPr>
            <w:tcW w:w="0" w:type="dxa"/>
            <w:vAlign w:val="bottom"/>
          </w:tcPr>
          <w:p>
            <w:pPr>
              <w:spacing w:after="0"/>
              <w:rPr>
                <w:sz w:val="1"/>
                <w:szCs w:val="1"/>
                <w:color w:val="auto"/>
              </w:rPr>
            </w:pPr>
          </w:p>
        </w:tc>
      </w:tr>
      <w:tr>
        <w:trPr>
          <w:trHeight w:val="68"/>
        </w:trPr>
        <w:tc>
          <w:tcPr>
            <w:tcW w:w="8900" w:type="dxa"/>
            <w:vAlign w:val="bottom"/>
            <w:vMerge w:val="restart"/>
            <w:shd w:val="clear" w:color="auto" w:fill="CCD4DB"/>
          </w:tcPr>
          <w:p>
            <w:pPr>
              <w:ind w:left="300"/>
              <w:spacing w:after="0" w:line="202" w:lineRule="exact"/>
              <w:rPr>
                <w:sz w:val="20"/>
                <w:szCs w:val="20"/>
                <w:color w:val="auto"/>
              </w:rPr>
            </w:pPr>
            <w:r>
              <w:rPr>
                <w:rFonts w:ascii="Arial" w:cs="Arial" w:eastAsia="Arial" w:hAnsi="Arial"/>
                <w:sz w:val="18"/>
                <w:szCs w:val="18"/>
                <w:color w:val="auto"/>
              </w:rPr>
              <w:t>committees), including reviewing at least annually the overall risk management process at the Company</w:t>
            </w: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900" w:type="dxa"/>
            <w:vAlign w:val="bottom"/>
            <w:vMerge w:val="continue"/>
            <w:shd w:val="clear" w:color="auto" w:fill="CCD4DB"/>
          </w:tcPr>
          <w:p>
            <w:pPr>
              <w:spacing w:after="0"/>
              <w:rPr>
                <w:sz w:val="11"/>
                <w:szCs w:val="11"/>
                <w:color w:val="auto"/>
              </w:rPr>
            </w:pPr>
          </w:p>
        </w:tc>
        <w:tc>
          <w:tcPr>
            <w:tcW w:w="224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Madeleine A. Kleiner</w:t>
            </w:r>
          </w:p>
        </w:tc>
        <w:tc>
          <w:tcPr>
            <w:tcW w:w="0" w:type="dxa"/>
            <w:vAlign w:val="bottom"/>
          </w:tcPr>
          <w:p>
            <w:pPr>
              <w:spacing w:after="0"/>
              <w:rPr>
                <w:sz w:val="1"/>
                <w:szCs w:val="1"/>
                <w:color w:val="auto"/>
              </w:rPr>
            </w:pPr>
          </w:p>
        </w:tc>
      </w:tr>
      <w:tr>
        <w:trPr>
          <w:trHeight w:val="68"/>
        </w:trPr>
        <w:tc>
          <w:tcPr>
            <w:tcW w:w="8900" w:type="dxa"/>
            <w:vAlign w:val="bottom"/>
            <w:vMerge w:val="restart"/>
            <w:shd w:val="clear" w:color="auto" w:fill="CCD4DB"/>
          </w:tcPr>
          <w:p>
            <w:pPr>
              <w:ind w:left="300"/>
              <w:spacing w:after="0"/>
              <w:rPr>
                <w:sz w:val="20"/>
                <w:szCs w:val="20"/>
                <w:color w:val="auto"/>
              </w:rPr>
            </w:pPr>
            <w:r>
              <w:rPr>
                <w:rFonts w:ascii="Arial" w:cs="Arial" w:eastAsia="Arial" w:hAnsi="Arial"/>
                <w:sz w:val="18"/>
                <w:szCs w:val="18"/>
                <w:color w:val="auto"/>
              </w:rPr>
              <w:t>level</w:t>
            </w: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900" w:type="dxa"/>
            <w:vAlign w:val="bottom"/>
            <w:vMerge w:val="continue"/>
            <w:shd w:val="clear" w:color="auto" w:fill="CCD4DB"/>
          </w:tcPr>
          <w:p>
            <w:pPr>
              <w:spacing w:after="0"/>
              <w:rPr>
                <w:sz w:val="12"/>
                <w:szCs w:val="12"/>
                <w:color w:val="auto"/>
              </w:rPr>
            </w:pPr>
          </w:p>
        </w:tc>
        <w:tc>
          <w:tcPr>
            <w:tcW w:w="224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James S. Turley</w:t>
            </w:r>
          </w:p>
        </w:tc>
        <w:tc>
          <w:tcPr>
            <w:tcW w:w="0" w:type="dxa"/>
            <w:vAlign w:val="bottom"/>
          </w:tcPr>
          <w:p>
            <w:pPr>
              <w:spacing w:after="0"/>
              <w:rPr>
                <w:sz w:val="1"/>
                <w:szCs w:val="1"/>
                <w:color w:val="auto"/>
              </w:rPr>
            </w:pPr>
          </w:p>
        </w:tc>
      </w:tr>
      <w:tr>
        <w:trPr>
          <w:trHeight w:val="53"/>
        </w:trPr>
        <w:tc>
          <w:tcPr>
            <w:tcW w:w="8900" w:type="dxa"/>
            <w:vAlign w:val="bottom"/>
            <w:shd w:val="clear" w:color="auto" w:fill="CCD4DB"/>
          </w:tcPr>
          <w:p>
            <w:pPr>
              <w:spacing w:after="0"/>
              <w:rPr>
                <w:sz w:val="4"/>
                <w:szCs w:val="4"/>
                <w:color w:val="auto"/>
              </w:rPr>
            </w:pPr>
          </w:p>
        </w:tc>
        <w:tc>
          <w:tcPr>
            <w:tcW w:w="2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appointing, retaining, overseeing, evaluating and terminating, if necessary, the independent auditor</w:t>
            </w:r>
          </w:p>
        </w:tc>
        <w:tc>
          <w:tcPr>
            <w:tcW w:w="2240" w:type="dxa"/>
            <w:vAlign w:val="bottom"/>
          </w:tcPr>
          <w:p>
            <w:pPr>
              <w:ind w:left="40"/>
              <w:spacing w:after="0"/>
              <w:rPr>
                <w:sz w:val="20"/>
                <w:szCs w:val="20"/>
                <w:color w:val="auto"/>
              </w:rPr>
            </w:pPr>
            <w:r>
              <w:rPr>
                <w:rFonts w:ascii="Arial" w:cs="Arial" w:eastAsia="Arial" w:hAnsi="Arial"/>
                <w:sz w:val="18"/>
                <w:szCs w:val="18"/>
                <w:color w:val="auto"/>
              </w:rPr>
              <w:t>Mark A. Welsh III</w:t>
            </w:r>
          </w:p>
        </w:tc>
        <w:tc>
          <w:tcPr>
            <w:tcW w:w="0" w:type="dxa"/>
            <w:vAlign w:val="bottom"/>
          </w:tcPr>
          <w:p>
            <w:pPr>
              <w:spacing w:after="0"/>
              <w:rPr>
                <w:sz w:val="1"/>
                <w:szCs w:val="1"/>
                <w:color w:val="auto"/>
              </w:rPr>
            </w:pPr>
          </w:p>
        </w:tc>
      </w:tr>
      <w:tr>
        <w:trPr>
          <w:trHeight w:val="68"/>
        </w:trPr>
        <w:tc>
          <w:tcPr>
            <w:tcW w:w="8900" w:type="dxa"/>
            <w:vAlign w:val="bottom"/>
            <w:vMerge w:val="continue"/>
            <w:shd w:val="clear" w:color="auto" w:fill="CCD4DB"/>
          </w:tcPr>
          <w:p>
            <w:pPr>
              <w:spacing w:after="0"/>
              <w:rPr>
                <w:sz w:val="5"/>
                <w:szCs w:val="5"/>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b w:val="1"/>
                <w:bCs w:val="1"/>
                <w:color w:val="00249C"/>
              </w:rPr>
              <w:t>Number of meetings in</w:t>
            </w:r>
          </w:p>
        </w:tc>
        <w:tc>
          <w:tcPr>
            <w:tcW w:w="0" w:type="dxa"/>
            <w:vAlign w:val="bottom"/>
          </w:tcPr>
          <w:p>
            <w:pPr>
              <w:spacing w:after="0"/>
              <w:rPr>
                <w:sz w:val="1"/>
                <w:szCs w:val="1"/>
                <w:color w:val="auto"/>
              </w:rPr>
            </w:pPr>
          </w:p>
        </w:tc>
      </w:tr>
      <w:tr>
        <w:trPr>
          <w:trHeight w:val="193"/>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and pre-approving audit and permitted non-audit services and related fees for the independent</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900" w:type="dxa"/>
            <w:vAlign w:val="bottom"/>
            <w:vMerge w:val="continue"/>
            <w:shd w:val="clear" w:color="auto" w:fill="CCD4DB"/>
          </w:tcPr>
          <w:p>
            <w:pPr>
              <w:spacing w:after="0"/>
              <w:rPr>
                <w:sz w:val="11"/>
                <w:szCs w:val="11"/>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b w:val="1"/>
                <w:bCs w:val="1"/>
                <w:color w:val="00249C"/>
              </w:rPr>
              <w:t xml:space="preserve">2019: </w:t>
            </w:r>
            <w:r>
              <w:rPr>
                <w:rFonts w:ascii="Arial" w:cs="Arial" w:eastAsia="Arial" w:hAnsi="Arial"/>
                <w:sz w:val="18"/>
                <w:szCs w:val="18"/>
                <w:color w:val="000000"/>
              </w:rPr>
              <w:t>8</w:t>
            </w:r>
          </w:p>
        </w:tc>
        <w:tc>
          <w:tcPr>
            <w:tcW w:w="0" w:type="dxa"/>
            <w:vAlign w:val="bottom"/>
          </w:tcPr>
          <w:p>
            <w:pPr>
              <w:spacing w:after="0"/>
              <w:rPr>
                <w:sz w:val="1"/>
                <w:szCs w:val="1"/>
                <w:color w:val="auto"/>
              </w:rPr>
            </w:pPr>
          </w:p>
        </w:tc>
      </w:tr>
      <w:tr>
        <w:trPr>
          <w:trHeight w:val="109"/>
        </w:trPr>
        <w:tc>
          <w:tcPr>
            <w:tcW w:w="8900" w:type="dxa"/>
            <w:vAlign w:val="bottom"/>
            <w:vMerge w:val="restart"/>
            <w:shd w:val="clear" w:color="auto" w:fill="CCD4DB"/>
          </w:tcPr>
          <w:p>
            <w:pPr>
              <w:ind w:left="300"/>
              <w:spacing w:after="0"/>
              <w:rPr>
                <w:sz w:val="20"/>
                <w:szCs w:val="20"/>
                <w:color w:val="auto"/>
              </w:rPr>
            </w:pPr>
            <w:r>
              <w:rPr>
                <w:rFonts w:ascii="Arial" w:cs="Arial" w:eastAsia="Arial" w:hAnsi="Arial"/>
                <w:sz w:val="18"/>
                <w:szCs w:val="18"/>
                <w:color w:val="auto"/>
              </w:rPr>
              <w:t>auditor</w:t>
            </w: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900" w:type="dxa"/>
            <w:vAlign w:val="bottom"/>
            <w:vMerge w:val="continue"/>
            <w:shd w:val="clear" w:color="auto" w:fill="CCD4DB"/>
          </w:tcPr>
          <w:p>
            <w:pPr>
              <w:spacing w:after="0"/>
              <w:rPr>
                <w:sz w:val="9"/>
                <w:szCs w:val="9"/>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b w:val="1"/>
                <w:bCs w:val="1"/>
                <w:color w:val="00249C"/>
              </w:rPr>
              <w:t>Independence, Financial</w:t>
            </w:r>
          </w:p>
        </w:tc>
        <w:tc>
          <w:tcPr>
            <w:tcW w:w="0" w:type="dxa"/>
            <w:vAlign w:val="bottom"/>
          </w:tcPr>
          <w:p>
            <w:pPr>
              <w:spacing w:after="0"/>
              <w:rPr>
                <w:sz w:val="1"/>
                <w:szCs w:val="1"/>
                <w:color w:val="auto"/>
              </w:rPr>
            </w:pPr>
          </w:p>
        </w:tc>
      </w:tr>
      <w:tr>
        <w:trPr>
          <w:trHeight w:val="153"/>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and discussing the Company's Annual Reports on Form 10-K and Quarterly Reports on Form</w:t>
            </w:r>
          </w:p>
        </w:tc>
        <w:tc>
          <w:tcPr>
            <w:tcW w:w="2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900" w:type="dxa"/>
            <w:vAlign w:val="bottom"/>
            <w:vMerge w:val="continue"/>
            <w:shd w:val="clear" w:color="auto" w:fill="CCD4DB"/>
          </w:tcPr>
          <w:p>
            <w:pPr>
              <w:spacing w:after="0"/>
              <w:rPr>
                <w:sz w:val="16"/>
                <w:szCs w:val="16"/>
                <w:color w:val="auto"/>
              </w:rPr>
            </w:pPr>
          </w:p>
        </w:tc>
        <w:tc>
          <w:tcPr>
            <w:tcW w:w="2240" w:type="dxa"/>
            <w:vAlign w:val="bottom"/>
          </w:tcPr>
          <w:p>
            <w:pPr>
              <w:ind w:left="40"/>
              <w:spacing w:after="0" w:line="185" w:lineRule="exact"/>
              <w:rPr>
                <w:sz w:val="20"/>
                <w:szCs w:val="20"/>
                <w:color w:val="auto"/>
              </w:rPr>
            </w:pPr>
            <w:r>
              <w:rPr>
                <w:rFonts w:ascii="Arial" w:cs="Arial" w:eastAsia="Arial" w:hAnsi="Arial"/>
                <w:sz w:val="18"/>
                <w:szCs w:val="18"/>
                <w:b w:val="1"/>
                <w:bCs w:val="1"/>
                <w:color w:val="00249C"/>
              </w:rPr>
              <w:t>Literacy and Audit</w:t>
            </w:r>
          </w:p>
        </w:tc>
        <w:tc>
          <w:tcPr>
            <w:tcW w:w="0" w:type="dxa"/>
            <w:vAlign w:val="bottom"/>
          </w:tcPr>
          <w:p>
            <w:pPr>
              <w:spacing w:after="0"/>
              <w:rPr>
                <w:sz w:val="1"/>
                <w:szCs w:val="1"/>
                <w:color w:val="auto"/>
              </w:rPr>
            </w:pPr>
          </w:p>
        </w:tc>
      </w:tr>
      <w:tr>
        <w:trPr>
          <w:trHeight w:val="220"/>
        </w:trPr>
        <w:tc>
          <w:tcPr>
            <w:tcW w:w="8900" w:type="dxa"/>
            <w:vAlign w:val="bottom"/>
            <w:shd w:val="clear" w:color="auto" w:fill="CCD4DB"/>
          </w:tcPr>
          <w:p>
            <w:pPr>
              <w:ind w:left="300"/>
              <w:spacing w:after="0"/>
              <w:rPr>
                <w:sz w:val="20"/>
                <w:szCs w:val="20"/>
                <w:color w:val="auto"/>
              </w:rPr>
            </w:pPr>
            <w:r>
              <w:rPr>
                <w:rFonts w:ascii="Arial" w:cs="Arial" w:eastAsia="Arial" w:hAnsi="Arial"/>
                <w:sz w:val="18"/>
                <w:szCs w:val="18"/>
                <w:color w:val="auto"/>
              </w:rPr>
              <w:t>10-Q</w:t>
            </w:r>
          </w:p>
        </w:tc>
        <w:tc>
          <w:tcPr>
            <w:tcW w:w="2240" w:type="dxa"/>
            <w:vAlign w:val="bottom"/>
          </w:tcPr>
          <w:p>
            <w:pPr>
              <w:ind w:left="40"/>
              <w:spacing w:after="0"/>
              <w:rPr>
                <w:sz w:val="20"/>
                <w:szCs w:val="20"/>
                <w:color w:val="auto"/>
              </w:rPr>
            </w:pPr>
            <w:r>
              <w:rPr>
                <w:rFonts w:ascii="Arial" w:cs="Arial" w:eastAsia="Arial" w:hAnsi="Arial"/>
                <w:sz w:val="18"/>
                <w:szCs w:val="18"/>
                <w:b w:val="1"/>
                <w:bCs w:val="1"/>
                <w:color w:val="00249C"/>
              </w:rPr>
              <w:t>Committee Financial</w:t>
            </w:r>
          </w:p>
        </w:tc>
        <w:tc>
          <w:tcPr>
            <w:tcW w:w="0" w:type="dxa"/>
            <w:vAlign w:val="bottom"/>
          </w:tcPr>
          <w:p>
            <w:pPr>
              <w:spacing w:after="0"/>
              <w:rPr>
                <w:sz w:val="1"/>
                <w:szCs w:val="1"/>
                <w:color w:val="auto"/>
              </w:rPr>
            </w:pPr>
          </w:p>
        </w:tc>
      </w:tr>
      <w:tr>
        <w:trPr>
          <w:trHeight w:val="305"/>
        </w:trPr>
        <w:tc>
          <w:tcPr>
            <w:tcW w:w="8900" w:type="dxa"/>
            <w:vAlign w:val="bottom"/>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and discussing management's assessment of, and report on, the effectiveness of the Company's</w:t>
            </w:r>
          </w:p>
        </w:tc>
        <w:tc>
          <w:tcPr>
            <w:tcW w:w="2240" w:type="dxa"/>
            <w:vAlign w:val="bottom"/>
          </w:tcPr>
          <w:p>
            <w:pPr>
              <w:ind w:left="40"/>
              <w:spacing w:after="0"/>
              <w:rPr>
                <w:sz w:val="20"/>
                <w:szCs w:val="20"/>
                <w:color w:val="auto"/>
              </w:rPr>
            </w:pPr>
            <w:r>
              <w:rPr>
                <w:rFonts w:ascii="Arial" w:cs="Arial" w:eastAsia="Arial" w:hAnsi="Arial"/>
                <w:sz w:val="18"/>
                <w:szCs w:val="18"/>
                <w:b w:val="1"/>
                <w:bCs w:val="1"/>
                <w:color w:val="00249C"/>
              </w:rPr>
              <w:t>Experts</w:t>
            </w:r>
          </w:p>
        </w:tc>
        <w:tc>
          <w:tcPr>
            <w:tcW w:w="0" w:type="dxa"/>
            <w:vAlign w:val="bottom"/>
          </w:tcPr>
          <w:p>
            <w:pPr>
              <w:spacing w:after="0"/>
              <w:rPr>
                <w:sz w:val="1"/>
                <w:szCs w:val="1"/>
                <w:color w:val="auto"/>
              </w:rPr>
            </w:pPr>
          </w:p>
        </w:tc>
      </w:tr>
      <w:tr>
        <w:trPr>
          <w:trHeight w:val="216"/>
        </w:trPr>
        <w:tc>
          <w:tcPr>
            <w:tcW w:w="8900" w:type="dxa"/>
            <w:vAlign w:val="bottom"/>
            <w:shd w:val="clear" w:color="auto" w:fill="CCD4DB"/>
          </w:tcPr>
          <w:p>
            <w:pPr>
              <w:ind w:left="300"/>
              <w:spacing w:after="0"/>
              <w:rPr>
                <w:sz w:val="20"/>
                <w:szCs w:val="20"/>
                <w:color w:val="auto"/>
              </w:rPr>
            </w:pPr>
            <w:r>
              <w:rPr>
                <w:rFonts w:ascii="Arial" w:cs="Arial" w:eastAsia="Arial" w:hAnsi="Arial"/>
                <w:sz w:val="18"/>
                <w:szCs w:val="18"/>
                <w:color w:val="auto"/>
              </w:rPr>
              <w:t>internal control over financial reporting at least annually and the independent auditor's related report</w:t>
            </w:r>
          </w:p>
        </w:tc>
        <w:tc>
          <w:tcPr>
            <w:tcW w:w="2240" w:type="dxa"/>
            <w:vAlign w:val="bottom"/>
          </w:tcPr>
          <w:p>
            <w:pPr>
              <w:ind w:left="40"/>
              <w:spacing w:after="0"/>
              <w:rPr>
                <w:sz w:val="20"/>
                <w:szCs w:val="20"/>
                <w:color w:val="auto"/>
              </w:rPr>
            </w:pPr>
            <w:r>
              <w:rPr>
                <w:rFonts w:ascii="Arial" w:cs="Arial" w:eastAsia="Arial" w:hAnsi="Arial"/>
                <w:sz w:val="18"/>
                <w:szCs w:val="18"/>
                <w:color w:val="auto"/>
              </w:rPr>
              <w:t>All members are</w:t>
            </w:r>
          </w:p>
        </w:tc>
        <w:tc>
          <w:tcPr>
            <w:tcW w:w="0" w:type="dxa"/>
            <w:vAlign w:val="bottom"/>
          </w:tcPr>
          <w:p>
            <w:pPr>
              <w:spacing w:after="0"/>
              <w:rPr>
                <w:sz w:val="1"/>
                <w:szCs w:val="1"/>
                <w:color w:val="auto"/>
              </w:rPr>
            </w:pPr>
          </w:p>
        </w:tc>
      </w:tr>
      <w:tr>
        <w:trPr>
          <w:trHeight w:val="203"/>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and discussing with the independent auditor any critical audit matters identified by the</w:t>
            </w:r>
          </w:p>
        </w:tc>
        <w:tc>
          <w:tcPr>
            <w:tcW w:w="2240" w:type="dxa"/>
            <w:vAlign w:val="bottom"/>
          </w:tcPr>
          <w:p>
            <w:pPr>
              <w:ind w:left="40"/>
              <w:spacing w:after="0" w:line="202" w:lineRule="exact"/>
              <w:rPr>
                <w:sz w:val="20"/>
                <w:szCs w:val="20"/>
                <w:color w:val="auto"/>
              </w:rPr>
            </w:pPr>
            <w:r>
              <w:rPr>
                <w:rFonts w:ascii="Arial" w:cs="Arial" w:eastAsia="Arial" w:hAnsi="Arial"/>
                <w:sz w:val="18"/>
                <w:szCs w:val="18"/>
                <w:color w:val="auto"/>
                <w:w w:val="99"/>
              </w:rPr>
              <w:t>independent and financially</w:t>
            </w:r>
          </w:p>
        </w:tc>
        <w:tc>
          <w:tcPr>
            <w:tcW w:w="0" w:type="dxa"/>
            <w:vAlign w:val="bottom"/>
          </w:tcPr>
          <w:p>
            <w:pPr>
              <w:spacing w:after="0"/>
              <w:rPr>
                <w:sz w:val="1"/>
                <w:szCs w:val="1"/>
                <w:color w:val="auto"/>
              </w:rPr>
            </w:pPr>
          </w:p>
        </w:tc>
      </w:tr>
      <w:tr>
        <w:trPr>
          <w:trHeight w:val="122"/>
        </w:trPr>
        <w:tc>
          <w:tcPr>
            <w:tcW w:w="8900" w:type="dxa"/>
            <w:vAlign w:val="bottom"/>
            <w:vMerge w:val="continue"/>
            <w:shd w:val="clear" w:color="auto" w:fill="CCD4DB"/>
          </w:tcPr>
          <w:p>
            <w:pPr>
              <w:spacing w:after="0"/>
              <w:rPr>
                <w:sz w:val="10"/>
                <w:szCs w:val="10"/>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color w:val="auto"/>
              </w:rPr>
              <w:t>literate</w:t>
            </w:r>
          </w:p>
        </w:tc>
        <w:tc>
          <w:tcPr>
            <w:tcW w:w="0" w:type="dxa"/>
            <w:vAlign w:val="bottom"/>
          </w:tcPr>
          <w:p>
            <w:pPr>
              <w:spacing w:after="0"/>
              <w:rPr>
                <w:sz w:val="1"/>
                <w:szCs w:val="1"/>
                <w:color w:val="auto"/>
              </w:rPr>
            </w:pPr>
          </w:p>
        </w:tc>
      </w:tr>
      <w:tr>
        <w:trPr>
          <w:trHeight w:val="95"/>
        </w:trPr>
        <w:tc>
          <w:tcPr>
            <w:tcW w:w="8900" w:type="dxa"/>
            <w:vAlign w:val="bottom"/>
            <w:vMerge w:val="restart"/>
            <w:shd w:val="clear" w:color="auto" w:fill="CCD4DB"/>
          </w:tcPr>
          <w:p>
            <w:pPr>
              <w:ind w:left="300"/>
              <w:spacing w:after="0" w:line="202" w:lineRule="exact"/>
              <w:rPr>
                <w:sz w:val="20"/>
                <w:szCs w:val="20"/>
                <w:color w:val="auto"/>
              </w:rPr>
            </w:pPr>
            <w:r>
              <w:rPr>
                <w:rFonts w:ascii="Arial" w:cs="Arial" w:eastAsia="Arial" w:hAnsi="Arial"/>
                <w:sz w:val="18"/>
                <w:szCs w:val="18"/>
                <w:color w:val="auto"/>
              </w:rPr>
              <w:t>independent auditor, the Company's critical accounting policies, and material written communications with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8900" w:type="dxa"/>
            <w:vAlign w:val="bottom"/>
            <w:vMerge w:val="continue"/>
            <w:shd w:val="clear" w:color="auto" w:fill="CCD4DB"/>
          </w:tcPr>
          <w:p>
            <w:pPr>
              <w:spacing w:after="0"/>
              <w:rPr>
                <w:sz w:val="9"/>
                <w:szCs w:val="9"/>
                <w:color w:val="auto"/>
              </w:rPr>
            </w:pPr>
          </w:p>
        </w:tc>
        <w:tc>
          <w:tcPr>
            <w:tcW w:w="2240" w:type="dxa"/>
            <w:vAlign w:val="bottom"/>
            <w:vMerge w:val="restart"/>
          </w:tcPr>
          <w:p>
            <w:pPr>
              <w:ind w:left="40"/>
              <w:spacing w:after="0"/>
              <w:rPr>
                <w:sz w:val="20"/>
                <w:szCs w:val="20"/>
                <w:color w:val="auto"/>
              </w:rPr>
            </w:pPr>
            <w:r>
              <w:rPr>
                <w:rFonts w:ascii="Arial" w:cs="Arial" w:eastAsia="Arial" w:hAnsi="Arial"/>
                <w:sz w:val="18"/>
                <w:szCs w:val="18"/>
                <w:color w:val="auto"/>
              </w:rPr>
              <w:t>Ms. Kleiner and Messrs.</w:t>
            </w:r>
          </w:p>
        </w:tc>
        <w:tc>
          <w:tcPr>
            <w:tcW w:w="0" w:type="dxa"/>
            <w:vAlign w:val="bottom"/>
          </w:tcPr>
          <w:p>
            <w:pPr>
              <w:spacing w:after="0"/>
              <w:rPr>
                <w:sz w:val="1"/>
                <w:szCs w:val="1"/>
                <w:color w:val="auto"/>
              </w:rPr>
            </w:pPr>
          </w:p>
        </w:tc>
      </w:tr>
      <w:tr>
        <w:trPr>
          <w:trHeight w:val="175"/>
        </w:trPr>
        <w:tc>
          <w:tcPr>
            <w:tcW w:w="8900" w:type="dxa"/>
            <w:vAlign w:val="bottom"/>
            <w:shd w:val="clear" w:color="auto" w:fill="CCD4DB"/>
          </w:tcPr>
          <w:p>
            <w:pPr>
              <w:ind w:left="300"/>
              <w:spacing w:after="0" w:line="176" w:lineRule="exact"/>
              <w:rPr>
                <w:sz w:val="20"/>
                <w:szCs w:val="20"/>
                <w:color w:val="auto"/>
              </w:rPr>
            </w:pPr>
            <w:r>
              <w:rPr>
                <w:rFonts w:ascii="Arial" w:cs="Arial" w:eastAsia="Arial" w:hAnsi="Arial"/>
                <w:sz w:val="18"/>
                <w:szCs w:val="18"/>
                <w:color w:val="auto"/>
              </w:rPr>
              <w:t>management</w:t>
            </w: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with the General Counsel, at least annually, the status of significant pending litigation and various</w:t>
            </w:r>
          </w:p>
        </w:tc>
        <w:tc>
          <w:tcPr>
            <w:tcW w:w="2240" w:type="dxa"/>
            <w:vAlign w:val="bottom"/>
          </w:tcPr>
          <w:p>
            <w:pPr>
              <w:ind w:left="40"/>
              <w:spacing w:after="0" w:line="202" w:lineRule="exact"/>
              <w:rPr>
                <w:sz w:val="20"/>
                <w:szCs w:val="20"/>
                <w:color w:val="auto"/>
              </w:rPr>
            </w:pPr>
            <w:r>
              <w:rPr>
                <w:rFonts w:ascii="Arial" w:cs="Arial" w:eastAsia="Arial" w:hAnsi="Arial"/>
                <w:sz w:val="18"/>
                <w:szCs w:val="18"/>
                <w:color w:val="auto"/>
                <w:w w:val="98"/>
              </w:rPr>
              <w:t>Hernandez and Turley each</w:t>
            </w:r>
          </w:p>
        </w:tc>
        <w:tc>
          <w:tcPr>
            <w:tcW w:w="0" w:type="dxa"/>
            <w:vAlign w:val="bottom"/>
          </w:tcPr>
          <w:p>
            <w:pPr>
              <w:spacing w:after="0"/>
              <w:rPr>
                <w:sz w:val="1"/>
                <w:szCs w:val="1"/>
                <w:color w:val="auto"/>
              </w:rPr>
            </w:pPr>
          </w:p>
        </w:tc>
      </w:tr>
      <w:tr>
        <w:trPr>
          <w:trHeight w:val="163"/>
        </w:trPr>
        <w:tc>
          <w:tcPr>
            <w:tcW w:w="8900" w:type="dxa"/>
            <w:vAlign w:val="bottom"/>
            <w:vMerge w:val="continue"/>
            <w:shd w:val="clear" w:color="auto" w:fill="CCD4DB"/>
          </w:tcPr>
          <w:p>
            <w:pPr>
              <w:spacing w:after="0"/>
              <w:rPr>
                <w:sz w:val="14"/>
                <w:szCs w:val="14"/>
                <w:color w:val="auto"/>
              </w:rPr>
            </w:pPr>
          </w:p>
        </w:tc>
        <w:tc>
          <w:tcPr>
            <w:tcW w:w="2240" w:type="dxa"/>
            <w:vAlign w:val="bottom"/>
          </w:tcPr>
          <w:p>
            <w:pPr>
              <w:ind w:left="40"/>
              <w:spacing w:after="0" w:line="163" w:lineRule="exact"/>
              <w:rPr>
                <w:sz w:val="20"/>
                <w:szCs w:val="20"/>
                <w:color w:val="auto"/>
              </w:rPr>
            </w:pPr>
            <w:r>
              <w:rPr>
                <w:rFonts w:ascii="Arial" w:cs="Arial" w:eastAsia="Arial" w:hAnsi="Arial"/>
                <w:sz w:val="18"/>
                <w:szCs w:val="18"/>
                <w:color w:val="auto"/>
              </w:rPr>
              <w:t>qualifies as an Audit</w:t>
            </w:r>
          </w:p>
        </w:tc>
        <w:tc>
          <w:tcPr>
            <w:tcW w:w="0" w:type="dxa"/>
            <w:vAlign w:val="bottom"/>
          </w:tcPr>
          <w:p>
            <w:pPr>
              <w:spacing w:after="0"/>
              <w:rPr>
                <w:sz w:val="1"/>
                <w:szCs w:val="1"/>
                <w:color w:val="auto"/>
              </w:rPr>
            </w:pPr>
          </w:p>
        </w:tc>
      </w:tr>
      <w:tr>
        <w:trPr>
          <w:trHeight w:val="256"/>
        </w:trPr>
        <w:tc>
          <w:tcPr>
            <w:tcW w:w="8900" w:type="dxa"/>
            <w:vAlign w:val="bottom"/>
            <w:shd w:val="clear" w:color="auto" w:fill="CCD4DB"/>
          </w:tcPr>
          <w:p>
            <w:pPr>
              <w:ind w:left="300"/>
              <w:spacing w:after="0"/>
              <w:rPr>
                <w:sz w:val="20"/>
                <w:szCs w:val="20"/>
                <w:color w:val="auto"/>
              </w:rPr>
            </w:pPr>
            <w:r>
              <w:rPr>
                <w:rFonts w:ascii="Arial" w:cs="Arial" w:eastAsia="Arial" w:hAnsi="Arial"/>
                <w:sz w:val="18"/>
                <w:szCs w:val="18"/>
                <w:color w:val="auto"/>
              </w:rPr>
              <w:t>other significant legal, compliance or regulatory matters</w:t>
            </w:r>
          </w:p>
        </w:tc>
        <w:tc>
          <w:tcPr>
            <w:tcW w:w="2240" w:type="dxa"/>
            <w:vAlign w:val="bottom"/>
          </w:tcPr>
          <w:p>
            <w:pPr>
              <w:ind w:left="40"/>
              <w:spacing w:after="0"/>
              <w:rPr>
                <w:sz w:val="20"/>
                <w:szCs w:val="20"/>
                <w:color w:val="auto"/>
              </w:rPr>
            </w:pPr>
            <w:r>
              <w:rPr>
                <w:rFonts w:ascii="Arial" w:cs="Arial" w:eastAsia="Arial" w:hAnsi="Arial"/>
                <w:sz w:val="18"/>
                <w:szCs w:val="18"/>
                <w:color w:val="auto"/>
                <w:w w:val="98"/>
              </w:rPr>
              <w:t>Committee Financial Expert</w:t>
            </w:r>
          </w:p>
        </w:tc>
        <w:tc>
          <w:tcPr>
            <w:tcW w:w="0" w:type="dxa"/>
            <w:vAlign w:val="bottom"/>
          </w:tcPr>
          <w:p>
            <w:pPr>
              <w:spacing w:after="0"/>
              <w:rPr>
                <w:sz w:val="1"/>
                <w:szCs w:val="1"/>
                <w:color w:val="auto"/>
              </w:rPr>
            </w:pPr>
          </w:p>
        </w:tc>
      </w:tr>
      <w:tr>
        <w:trPr>
          <w:trHeight w:val="283"/>
        </w:trPr>
        <w:tc>
          <w:tcPr>
            <w:tcW w:w="8900" w:type="dxa"/>
            <w:vAlign w:val="bottom"/>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with the Chief Compliance Officer, at least annually, the Company's compliance program, and</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00" w:type="dxa"/>
            <w:vAlign w:val="bottom"/>
            <w:shd w:val="clear" w:color="auto" w:fill="CCD4DB"/>
          </w:tcPr>
          <w:p>
            <w:pPr>
              <w:ind w:left="300"/>
              <w:spacing w:after="0"/>
              <w:rPr>
                <w:sz w:val="20"/>
                <w:szCs w:val="20"/>
                <w:color w:val="auto"/>
              </w:rPr>
            </w:pPr>
            <w:r>
              <w:rPr>
                <w:rFonts w:ascii="Arial" w:cs="Arial" w:eastAsia="Arial" w:hAnsi="Arial"/>
                <w:sz w:val="18"/>
                <w:szCs w:val="18"/>
                <w:color w:val="auto"/>
              </w:rPr>
              <w:t>implementation of global compliance policies, practices and programs</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00" w:type="dxa"/>
            <w:vAlign w:val="bottom"/>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providing oversight and reviewing periodically the Company's management of its financial risks, as well as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D4DB"/>
          </w:tcPr>
          <w:p>
            <w:pPr>
              <w:ind w:left="300"/>
              <w:spacing w:after="0" w:line="202" w:lineRule="exact"/>
              <w:rPr>
                <w:sz w:val="20"/>
                <w:szCs w:val="20"/>
                <w:color w:val="auto"/>
              </w:rPr>
            </w:pPr>
            <w:r>
              <w:rPr>
                <w:rFonts w:ascii="Arial" w:cs="Arial" w:eastAsia="Arial" w:hAnsi="Arial"/>
                <w:sz w:val="18"/>
                <w:szCs w:val="18"/>
                <w:color w:val="auto"/>
              </w:rPr>
              <w:t>the Company's management of its risks related to cybersecurity, insurance, supplier, nuclear, natural and</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00" w:type="dxa"/>
            <w:vAlign w:val="bottom"/>
            <w:shd w:val="clear" w:color="auto" w:fill="CCD4DB"/>
          </w:tcPr>
          <w:p>
            <w:pPr>
              <w:ind w:left="300"/>
              <w:spacing w:after="0"/>
              <w:rPr>
                <w:sz w:val="20"/>
                <w:szCs w:val="20"/>
                <w:color w:val="auto"/>
              </w:rPr>
            </w:pPr>
            <w:r>
              <w:rPr>
                <w:rFonts w:ascii="Arial" w:cs="Arial" w:eastAsia="Arial" w:hAnsi="Arial"/>
                <w:sz w:val="18"/>
                <w:szCs w:val="18"/>
                <w:color w:val="auto"/>
              </w:rPr>
              <w:t>environmental matters</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00" w:type="dxa"/>
            <w:vAlign w:val="bottom"/>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any significant issues raised by the internal audit function and, as appropriate, management's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00" w:type="dxa"/>
            <w:vAlign w:val="bottom"/>
            <w:shd w:val="clear" w:color="auto" w:fill="CCD4DB"/>
          </w:tcPr>
          <w:p>
            <w:pPr>
              <w:ind w:left="300"/>
              <w:spacing w:after="0"/>
              <w:rPr>
                <w:sz w:val="20"/>
                <w:szCs w:val="20"/>
                <w:color w:val="auto"/>
              </w:rPr>
            </w:pPr>
            <w:r>
              <w:rPr>
                <w:rFonts w:ascii="Arial" w:cs="Arial" w:eastAsia="Arial" w:hAnsi="Arial"/>
                <w:sz w:val="18"/>
                <w:szCs w:val="18"/>
                <w:color w:val="auto"/>
              </w:rPr>
              <w:t>actions for remediation</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00" w:type="dxa"/>
            <w:vAlign w:val="bottom"/>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establishing and periodically reviewing and discussing with management the Company's procedures for the</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D4DB"/>
          </w:tcPr>
          <w:p>
            <w:pPr>
              <w:ind w:left="300"/>
              <w:spacing w:after="0" w:line="202" w:lineRule="exact"/>
              <w:rPr>
                <w:sz w:val="20"/>
                <w:szCs w:val="20"/>
                <w:color w:val="auto"/>
              </w:rPr>
            </w:pPr>
            <w:r>
              <w:rPr>
                <w:rFonts w:ascii="Arial" w:cs="Arial" w:eastAsia="Arial" w:hAnsi="Arial"/>
                <w:sz w:val="18"/>
                <w:szCs w:val="18"/>
                <w:color w:val="auto"/>
              </w:rPr>
              <w:t>receipt, retention and treatment of complaints regarding accounting, internal accounting controls or auditing</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00" w:type="dxa"/>
            <w:vAlign w:val="bottom"/>
            <w:shd w:val="clear" w:color="auto" w:fill="CCD4DB"/>
          </w:tcPr>
          <w:p>
            <w:pPr>
              <w:ind w:left="300"/>
              <w:spacing w:after="0"/>
              <w:rPr>
                <w:sz w:val="20"/>
                <w:szCs w:val="20"/>
                <w:color w:val="auto"/>
              </w:rPr>
            </w:pPr>
            <w:r>
              <w:rPr>
                <w:rFonts w:ascii="Arial" w:cs="Arial" w:eastAsia="Arial" w:hAnsi="Arial"/>
                <w:sz w:val="18"/>
                <w:szCs w:val="18"/>
                <w:color w:val="auto"/>
              </w:rPr>
              <w:t>matters</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8900" w:type="dxa"/>
            <w:vAlign w:val="bottom"/>
            <w:shd w:val="clear" w:color="auto" w:fill="CCD4DB"/>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40575" cy="33000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0575" cy="3300095"/>
                    </a:xfrm>
                    <a:prstGeom prst="rect">
                      <a:avLst/>
                    </a:prstGeom>
                    <a:noFill/>
                  </pic:spPr>
                </pic:pic>
              </a:graphicData>
            </a:graphic>
          </wp:anchor>
        </w:drawing>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0249C"/>
        </w:rPr>
        <w:t>Compensation Committee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900" w:type="dxa"/>
            <w:vAlign w:val="bottom"/>
            <w:shd w:val="clear" w:color="auto" w:fill="CCD4DB"/>
          </w:tcPr>
          <w:p>
            <w:pPr>
              <w:ind w:left="40"/>
              <w:spacing w:after="0"/>
              <w:rPr>
                <w:sz w:val="20"/>
                <w:szCs w:val="20"/>
                <w:color w:val="auto"/>
              </w:rPr>
            </w:pPr>
            <w:r>
              <w:rPr>
                <w:rFonts w:ascii="Arial" w:cs="Arial" w:eastAsia="Arial" w:hAnsi="Arial"/>
                <w:sz w:val="18"/>
                <w:szCs w:val="18"/>
                <w:b w:val="1"/>
                <w:bCs w:val="1"/>
                <w:color w:val="00249C"/>
              </w:rPr>
              <w:t>Roles and Responsibilities</w:t>
            </w:r>
          </w:p>
        </w:tc>
        <w:tc>
          <w:tcPr>
            <w:tcW w:w="2280" w:type="dxa"/>
            <w:vAlign w:val="bottom"/>
          </w:tcPr>
          <w:p>
            <w:pPr>
              <w:ind w:left="40"/>
              <w:spacing w:after="0"/>
              <w:rPr>
                <w:sz w:val="20"/>
                <w:szCs w:val="20"/>
                <w:color w:val="auto"/>
              </w:rPr>
            </w:pPr>
            <w:r>
              <w:rPr>
                <w:rFonts w:ascii="Arial" w:cs="Arial" w:eastAsia="Arial" w:hAnsi="Arial"/>
                <w:sz w:val="18"/>
                <w:szCs w:val="18"/>
                <w:b w:val="1"/>
                <w:bCs w:val="1"/>
                <w:color w:val="00249C"/>
              </w:rPr>
              <w:t>Committee Members</w:t>
            </w:r>
          </w:p>
        </w:tc>
        <w:tc>
          <w:tcPr>
            <w:tcW w:w="0" w:type="dxa"/>
            <w:vAlign w:val="bottom"/>
          </w:tcPr>
          <w:p>
            <w:pPr>
              <w:spacing w:after="0"/>
              <w:rPr>
                <w:sz w:val="1"/>
                <w:szCs w:val="1"/>
                <w:color w:val="auto"/>
              </w:rPr>
            </w:pPr>
          </w:p>
        </w:tc>
      </w:tr>
      <w:tr>
        <w:trPr>
          <w:trHeight w:val="321"/>
        </w:trPr>
        <w:tc>
          <w:tcPr>
            <w:tcW w:w="8900" w:type="dxa"/>
            <w:vAlign w:val="bottom"/>
            <w:shd w:val="clear" w:color="auto" w:fill="CCD4DB"/>
          </w:tcPr>
          <w:p>
            <w:pPr>
              <w:ind w:left="40"/>
              <w:spacing w:after="0"/>
              <w:rPr>
                <w:sz w:val="20"/>
                <w:szCs w:val="20"/>
                <w:color w:val="auto"/>
              </w:rPr>
            </w:pPr>
            <w:r>
              <w:rPr>
                <w:rFonts w:ascii="Arial" w:cs="Arial" w:eastAsia="Arial" w:hAnsi="Arial"/>
                <w:sz w:val="18"/>
                <w:szCs w:val="18"/>
                <w:color w:val="auto"/>
              </w:rPr>
              <w:t>Assist the Board in overseeing the Company's compensation policies and practices by:</w:t>
            </w:r>
          </w:p>
        </w:tc>
        <w:tc>
          <w:tcPr>
            <w:tcW w:w="2280" w:type="dxa"/>
            <w:vAlign w:val="bottom"/>
          </w:tcPr>
          <w:p>
            <w:pPr>
              <w:ind w:left="40"/>
              <w:spacing w:after="0"/>
              <w:rPr>
                <w:sz w:val="20"/>
                <w:szCs w:val="20"/>
                <w:color w:val="auto"/>
              </w:rPr>
            </w:pPr>
            <w:r>
              <w:rPr>
                <w:rFonts w:ascii="Arial" w:cs="Arial" w:eastAsia="Arial" w:hAnsi="Arial"/>
                <w:sz w:val="18"/>
                <w:szCs w:val="18"/>
                <w:color w:val="auto"/>
                <w:w w:val="98"/>
              </w:rPr>
              <w:t>Thomas M. Schoewe (chair)</w:t>
            </w:r>
          </w:p>
        </w:tc>
        <w:tc>
          <w:tcPr>
            <w:tcW w:w="0" w:type="dxa"/>
            <w:vAlign w:val="bottom"/>
          </w:tcPr>
          <w:p>
            <w:pPr>
              <w:spacing w:after="0"/>
              <w:rPr>
                <w:sz w:val="1"/>
                <w:szCs w:val="1"/>
                <w:color w:val="auto"/>
              </w:rPr>
            </w:pPr>
          </w:p>
        </w:tc>
      </w:tr>
      <w:tr>
        <w:trPr>
          <w:trHeight w:val="203"/>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overseeing and reviewing at least annually a risk assessment of the Company's compensation plans</w:t>
            </w:r>
          </w:p>
        </w:tc>
        <w:tc>
          <w:tcPr>
            <w:tcW w:w="2280" w:type="dxa"/>
            <w:vAlign w:val="bottom"/>
          </w:tcPr>
          <w:p>
            <w:pPr>
              <w:ind w:left="40"/>
              <w:spacing w:after="0" w:line="202" w:lineRule="exact"/>
              <w:rPr>
                <w:sz w:val="20"/>
                <w:szCs w:val="20"/>
                <w:color w:val="auto"/>
              </w:rPr>
            </w:pPr>
            <w:r>
              <w:rPr>
                <w:rFonts w:ascii="Arial" w:cs="Arial" w:eastAsia="Arial" w:hAnsi="Arial"/>
                <w:sz w:val="18"/>
                <w:szCs w:val="18"/>
                <w:color w:val="auto"/>
              </w:rPr>
              <w:t>Marianne C. Brown</w:t>
            </w:r>
          </w:p>
        </w:tc>
        <w:tc>
          <w:tcPr>
            <w:tcW w:w="0" w:type="dxa"/>
            <w:vAlign w:val="bottom"/>
          </w:tcPr>
          <w:p>
            <w:pPr>
              <w:spacing w:after="0"/>
              <w:rPr>
                <w:sz w:val="1"/>
                <w:szCs w:val="1"/>
                <w:color w:val="auto"/>
              </w:rPr>
            </w:pPr>
          </w:p>
        </w:tc>
      </w:tr>
      <w:tr>
        <w:trPr>
          <w:trHeight w:val="149"/>
        </w:trPr>
        <w:tc>
          <w:tcPr>
            <w:tcW w:w="8900" w:type="dxa"/>
            <w:vAlign w:val="bottom"/>
            <w:vMerge w:val="continue"/>
            <w:shd w:val="clear" w:color="auto" w:fill="CCD4DB"/>
          </w:tcPr>
          <w:p>
            <w:pPr>
              <w:spacing w:after="0"/>
              <w:rPr>
                <w:sz w:val="12"/>
                <w:szCs w:val="12"/>
                <w:color w:val="auto"/>
              </w:rPr>
            </w:pPr>
          </w:p>
        </w:tc>
        <w:tc>
          <w:tcPr>
            <w:tcW w:w="22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Donald E. Felsinger</w:t>
            </w:r>
          </w:p>
        </w:tc>
        <w:tc>
          <w:tcPr>
            <w:tcW w:w="0" w:type="dxa"/>
            <w:vAlign w:val="bottom"/>
          </w:tcPr>
          <w:p>
            <w:pPr>
              <w:spacing w:after="0"/>
              <w:rPr>
                <w:sz w:val="1"/>
                <w:szCs w:val="1"/>
                <w:color w:val="auto"/>
              </w:rPr>
            </w:pPr>
          </w:p>
        </w:tc>
      </w:tr>
      <w:tr>
        <w:trPr>
          <w:trHeight w:val="53"/>
        </w:trPr>
        <w:tc>
          <w:tcPr>
            <w:tcW w:w="8900" w:type="dxa"/>
            <w:vAlign w:val="bottom"/>
            <w:shd w:val="clear" w:color="auto" w:fill="CCD4DB"/>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approving the compensation for elected officers (other than the Chief Executive Officer, whose</w:t>
            </w:r>
          </w:p>
        </w:tc>
        <w:tc>
          <w:tcPr>
            <w:tcW w:w="2280" w:type="dxa"/>
            <w:vAlign w:val="bottom"/>
          </w:tcPr>
          <w:p>
            <w:pPr>
              <w:ind w:left="40"/>
              <w:spacing w:after="0" w:line="202" w:lineRule="exact"/>
              <w:rPr>
                <w:sz w:val="20"/>
                <w:szCs w:val="20"/>
                <w:color w:val="auto"/>
              </w:rPr>
            </w:pPr>
            <w:r>
              <w:rPr>
                <w:rFonts w:ascii="Arial" w:cs="Arial" w:eastAsia="Arial" w:hAnsi="Arial"/>
                <w:sz w:val="18"/>
                <w:szCs w:val="18"/>
                <w:color w:val="auto"/>
              </w:rPr>
              <w:t>Bruce S. Gordon</w:t>
            </w:r>
          </w:p>
        </w:tc>
        <w:tc>
          <w:tcPr>
            <w:tcW w:w="0" w:type="dxa"/>
            <w:vAlign w:val="bottom"/>
          </w:tcPr>
          <w:p>
            <w:pPr>
              <w:spacing w:after="0"/>
              <w:rPr>
                <w:sz w:val="1"/>
                <w:szCs w:val="1"/>
                <w:color w:val="auto"/>
              </w:rPr>
            </w:pPr>
          </w:p>
        </w:tc>
      </w:tr>
      <w:tr>
        <w:trPr>
          <w:trHeight w:val="68"/>
        </w:trPr>
        <w:tc>
          <w:tcPr>
            <w:tcW w:w="8900" w:type="dxa"/>
            <w:vAlign w:val="bottom"/>
            <w:vMerge w:val="continue"/>
            <w:shd w:val="clear" w:color="auto" w:fill="CCD4DB"/>
          </w:tcPr>
          <w:p>
            <w:pPr>
              <w:spacing w:after="0"/>
              <w:rPr>
                <w:sz w:val="5"/>
                <w:szCs w:val="5"/>
                <w:color w:val="auto"/>
              </w:rPr>
            </w:pPr>
          </w:p>
        </w:tc>
        <w:tc>
          <w:tcPr>
            <w:tcW w:w="228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Karl J. Krapek</w:t>
            </w:r>
          </w:p>
        </w:tc>
        <w:tc>
          <w:tcPr>
            <w:tcW w:w="0" w:type="dxa"/>
            <w:vAlign w:val="bottom"/>
          </w:tcPr>
          <w:p>
            <w:pPr>
              <w:spacing w:after="0"/>
              <w:rPr>
                <w:sz w:val="1"/>
                <w:szCs w:val="1"/>
                <w:color w:val="auto"/>
              </w:rPr>
            </w:pPr>
          </w:p>
        </w:tc>
      </w:tr>
      <w:tr>
        <w:trPr>
          <w:trHeight w:val="135"/>
        </w:trPr>
        <w:tc>
          <w:tcPr>
            <w:tcW w:w="8900" w:type="dxa"/>
            <w:vAlign w:val="bottom"/>
            <w:vMerge w:val="restart"/>
            <w:shd w:val="clear" w:color="auto" w:fill="CCD4DB"/>
          </w:tcPr>
          <w:p>
            <w:pPr>
              <w:ind w:left="300"/>
              <w:spacing w:after="0"/>
              <w:rPr>
                <w:sz w:val="20"/>
                <w:szCs w:val="20"/>
                <w:color w:val="auto"/>
              </w:rPr>
            </w:pPr>
            <w:r>
              <w:rPr>
                <w:rFonts w:ascii="Arial" w:cs="Arial" w:eastAsia="Arial" w:hAnsi="Arial"/>
                <w:sz w:val="18"/>
                <w:szCs w:val="18"/>
                <w:color w:val="auto"/>
              </w:rPr>
              <w:t>compensation is recommended by the Committee and approved by all the independent directors)</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8900" w:type="dxa"/>
            <w:vAlign w:val="bottom"/>
            <w:vMerge w:val="continue"/>
            <w:shd w:val="clear" w:color="auto" w:fill="CCD4DB"/>
          </w:tcPr>
          <w:p>
            <w:pPr>
              <w:spacing w:after="0"/>
              <w:rPr>
                <w:sz w:val="7"/>
                <w:szCs w:val="7"/>
                <w:color w:val="auto"/>
              </w:rPr>
            </w:pPr>
          </w:p>
        </w:tc>
        <w:tc>
          <w:tcPr>
            <w:tcW w:w="2280" w:type="dxa"/>
            <w:vAlign w:val="bottom"/>
            <w:vMerge w:val="restart"/>
          </w:tcPr>
          <w:p>
            <w:pPr>
              <w:ind w:left="40"/>
              <w:spacing w:after="0"/>
              <w:rPr>
                <w:sz w:val="20"/>
                <w:szCs w:val="20"/>
                <w:color w:val="auto"/>
              </w:rPr>
            </w:pPr>
            <w:r>
              <w:rPr>
                <w:rFonts w:ascii="Arial" w:cs="Arial" w:eastAsia="Arial" w:hAnsi="Arial"/>
                <w:sz w:val="18"/>
                <w:szCs w:val="18"/>
                <w:color w:val="auto"/>
              </w:rPr>
              <w:t>Gary Roughead</w:t>
            </w:r>
          </w:p>
        </w:tc>
        <w:tc>
          <w:tcPr>
            <w:tcW w:w="0" w:type="dxa"/>
            <w:vAlign w:val="bottom"/>
          </w:tcPr>
          <w:p>
            <w:pPr>
              <w:spacing w:after="0"/>
              <w:rPr>
                <w:sz w:val="1"/>
                <w:szCs w:val="1"/>
                <w:color w:val="auto"/>
              </w:rPr>
            </w:pPr>
          </w:p>
        </w:tc>
      </w:tr>
      <w:tr>
        <w:trPr>
          <w:trHeight w:val="135"/>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administering incentive and equity compensation plans and approving payments or grants under these</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900" w:type="dxa"/>
            <w:vAlign w:val="bottom"/>
            <w:vMerge w:val="continue"/>
            <w:shd w:val="clear" w:color="auto" w:fill="CCD4DB"/>
          </w:tcPr>
          <w:p>
            <w:pPr>
              <w:spacing w:after="0"/>
              <w:rPr>
                <w:sz w:val="16"/>
                <w:szCs w:val="16"/>
                <w:color w:val="auto"/>
              </w:rPr>
            </w:pPr>
          </w:p>
        </w:tc>
        <w:tc>
          <w:tcPr>
            <w:tcW w:w="2280" w:type="dxa"/>
            <w:vAlign w:val="bottom"/>
            <w:vMerge w:val="restart"/>
          </w:tcPr>
          <w:p>
            <w:pPr>
              <w:ind w:left="40"/>
              <w:spacing w:after="0"/>
              <w:rPr>
                <w:sz w:val="20"/>
                <w:szCs w:val="20"/>
                <w:color w:val="auto"/>
              </w:rPr>
            </w:pPr>
            <w:r>
              <w:rPr>
                <w:rFonts w:ascii="Arial" w:cs="Arial" w:eastAsia="Arial" w:hAnsi="Arial"/>
                <w:sz w:val="18"/>
                <w:szCs w:val="18"/>
                <w:b w:val="1"/>
                <w:bCs w:val="1"/>
                <w:color w:val="00249C"/>
              </w:rPr>
              <w:t>Number of meetings in</w:t>
            </w:r>
          </w:p>
        </w:tc>
        <w:tc>
          <w:tcPr>
            <w:tcW w:w="0" w:type="dxa"/>
            <w:vAlign w:val="bottom"/>
          </w:tcPr>
          <w:p>
            <w:pPr>
              <w:spacing w:after="0"/>
              <w:rPr>
                <w:sz w:val="1"/>
                <w:szCs w:val="1"/>
                <w:color w:val="auto"/>
              </w:rPr>
            </w:pPr>
          </w:p>
        </w:tc>
      </w:tr>
      <w:tr>
        <w:trPr>
          <w:trHeight w:val="73"/>
        </w:trPr>
        <w:tc>
          <w:tcPr>
            <w:tcW w:w="8900" w:type="dxa"/>
            <w:vAlign w:val="bottom"/>
            <w:vMerge w:val="restart"/>
            <w:shd w:val="clear" w:color="auto" w:fill="CCD4DB"/>
          </w:tcPr>
          <w:p>
            <w:pPr>
              <w:ind w:left="300"/>
              <w:spacing w:after="0" w:line="202" w:lineRule="exact"/>
              <w:rPr>
                <w:sz w:val="20"/>
                <w:szCs w:val="20"/>
                <w:color w:val="auto"/>
              </w:rPr>
            </w:pPr>
            <w:r>
              <w:rPr>
                <w:rFonts w:ascii="Arial" w:cs="Arial" w:eastAsia="Arial" w:hAnsi="Arial"/>
                <w:sz w:val="18"/>
                <w:szCs w:val="18"/>
                <w:color w:val="auto"/>
              </w:rPr>
              <w:t>plans for elected officers (other than the Chief Executive Officer, whose payments or grants are</w:t>
            </w:r>
          </w:p>
        </w:tc>
        <w:tc>
          <w:tcPr>
            <w:tcW w:w="2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8900" w:type="dxa"/>
            <w:vAlign w:val="bottom"/>
            <w:vMerge w:val="continue"/>
            <w:shd w:val="clear" w:color="auto" w:fill="CCD4DB"/>
          </w:tcPr>
          <w:p>
            <w:pPr>
              <w:spacing w:after="0"/>
              <w:rPr>
                <w:sz w:val="11"/>
                <w:szCs w:val="11"/>
                <w:color w:val="auto"/>
              </w:rPr>
            </w:pPr>
          </w:p>
        </w:tc>
        <w:tc>
          <w:tcPr>
            <w:tcW w:w="2280" w:type="dxa"/>
            <w:vAlign w:val="bottom"/>
            <w:vMerge w:val="restart"/>
          </w:tcPr>
          <w:p>
            <w:pPr>
              <w:ind w:left="40"/>
              <w:spacing w:after="0"/>
              <w:rPr>
                <w:sz w:val="20"/>
                <w:szCs w:val="20"/>
                <w:color w:val="auto"/>
              </w:rPr>
            </w:pPr>
            <w:r>
              <w:rPr>
                <w:rFonts w:ascii="Arial" w:cs="Arial" w:eastAsia="Arial" w:hAnsi="Arial"/>
                <w:sz w:val="18"/>
                <w:szCs w:val="18"/>
                <w:b w:val="1"/>
                <w:bCs w:val="1"/>
                <w:color w:val="00249C"/>
              </w:rPr>
              <w:t xml:space="preserve">2019: </w:t>
            </w:r>
            <w:r>
              <w:rPr>
                <w:rFonts w:ascii="Arial" w:cs="Arial" w:eastAsia="Arial" w:hAnsi="Arial"/>
                <w:sz w:val="18"/>
                <w:szCs w:val="18"/>
                <w:color w:val="000000"/>
              </w:rPr>
              <w:t>5</w:t>
            </w:r>
          </w:p>
        </w:tc>
        <w:tc>
          <w:tcPr>
            <w:tcW w:w="0" w:type="dxa"/>
            <w:vAlign w:val="bottom"/>
          </w:tcPr>
          <w:p>
            <w:pPr>
              <w:spacing w:after="0"/>
              <w:rPr>
                <w:sz w:val="1"/>
                <w:szCs w:val="1"/>
                <w:color w:val="auto"/>
              </w:rPr>
            </w:pPr>
          </w:p>
        </w:tc>
      </w:tr>
      <w:tr>
        <w:trPr>
          <w:trHeight w:val="109"/>
        </w:trPr>
        <w:tc>
          <w:tcPr>
            <w:tcW w:w="8900" w:type="dxa"/>
            <w:vAlign w:val="bottom"/>
            <w:vMerge w:val="restart"/>
            <w:shd w:val="clear" w:color="auto" w:fill="CCD4DB"/>
          </w:tcPr>
          <w:p>
            <w:pPr>
              <w:ind w:left="300"/>
              <w:spacing w:after="0"/>
              <w:rPr>
                <w:sz w:val="20"/>
                <w:szCs w:val="20"/>
                <w:color w:val="auto"/>
              </w:rPr>
            </w:pPr>
            <w:r>
              <w:rPr>
                <w:rFonts w:ascii="Arial" w:cs="Arial" w:eastAsia="Arial" w:hAnsi="Arial"/>
                <w:sz w:val="18"/>
                <w:szCs w:val="18"/>
                <w:color w:val="auto"/>
              </w:rPr>
              <w:t>recommended by the Committee and approved by all the independent directors)</w:t>
            </w: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900" w:type="dxa"/>
            <w:vAlign w:val="bottom"/>
            <w:vMerge w:val="continue"/>
            <w:shd w:val="clear" w:color="auto" w:fill="CCD4DB"/>
          </w:tcPr>
          <w:p>
            <w:pPr>
              <w:spacing w:after="0"/>
              <w:rPr>
                <w:sz w:val="9"/>
                <w:szCs w:val="9"/>
                <w:color w:val="auto"/>
              </w:rPr>
            </w:pPr>
          </w:p>
        </w:tc>
        <w:tc>
          <w:tcPr>
            <w:tcW w:w="2280" w:type="dxa"/>
            <w:vAlign w:val="bottom"/>
            <w:vMerge w:val="restart"/>
          </w:tcPr>
          <w:p>
            <w:pPr>
              <w:ind w:left="40"/>
              <w:spacing w:after="0"/>
              <w:rPr>
                <w:sz w:val="20"/>
                <w:szCs w:val="20"/>
                <w:color w:val="auto"/>
              </w:rPr>
            </w:pPr>
            <w:r>
              <w:rPr>
                <w:rFonts w:ascii="Arial" w:cs="Arial" w:eastAsia="Arial" w:hAnsi="Arial"/>
                <w:sz w:val="18"/>
                <w:szCs w:val="18"/>
                <w:b w:val="1"/>
                <w:bCs w:val="1"/>
                <w:color w:val="00249C"/>
              </w:rPr>
              <w:t>Independence</w:t>
            </w:r>
          </w:p>
        </w:tc>
        <w:tc>
          <w:tcPr>
            <w:tcW w:w="0" w:type="dxa"/>
            <w:vAlign w:val="bottom"/>
          </w:tcPr>
          <w:p>
            <w:pPr>
              <w:spacing w:after="0"/>
              <w:rPr>
                <w:sz w:val="1"/>
                <w:szCs w:val="1"/>
                <w:color w:val="auto"/>
              </w:rPr>
            </w:pPr>
          </w:p>
        </w:tc>
      </w:tr>
      <w:tr>
        <w:trPr>
          <w:trHeight w:val="189"/>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recommending for approval compensation for the non-employee directors, after consultation with the</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900" w:type="dxa"/>
            <w:vAlign w:val="bottom"/>
            <w:vMerge w:val="continue"/>
            <w:shd w:val="clear" w:color="auto" w:fill="CCD4DB"/>
          </w:tcPr>
          <w:p>
            <w:pPr>
              <w:spacing w:after="0"/>
              <w:rPr>
                <w:sz w:val="11"/>
                <w:szCs w:val="11"/>
                <w:color w:val="auto"/>
              </w:rPr>
            </w:pPr>
          </w:p>
        </w:tc>
        <w:tc>
          <w:tcPr>
            <w:tcW w:w="2280" w:type="dxa"/>
            <w:vAlign w:val="bottom"/>
            <w:vMerge w:val="restart"/>
          </w:tcPr>
          <w:p>
            <w:pPr>
              <w:ind w:left="40"/>
              <w:spacing w:after="0"/>
              <w:rPr>
                <w:sz w:val="20"/>
                <w:szCs w:val="20"/>
                <w:color w:val="auto"/>
              </w:rPr>
            </w:pPr>
            <w:r>
              <w:rPr>
                <w:rFonts w:ascii="Arial" w:cs="Arial" w:eastAsia="Arial" w:hAnsi="Arial"/>
                <w:sz w:val="18"/>
                <w:szCs w:val="18"/>
                <w:color w:val="auto"/>
              </w:rPr>
              <w:t>All members are</w:t>
            </w:r>
          </w:p>
        </w:tc>
        <w:tc>
          <w:tcPr>
            <w:tcW w:w="0" w:type="dxa"/>
            <w:vAlign w:val="bottom"/>
          </w:tcPr>
          <w:p>
            <w:pPr>
              <w:spacing w:after="0"/>
              <w:rPr>
                <w:sz w:val="1"/>
                <w:szCs w:val="1"/>
                <w:color w:val="auto"/>
              </w:rPr>
            </w:pPr>
          </w:p>
        </w:tc>
      </w:tr>
      <w:tr>
        <w:trPr>
          <w:trHeight w:val="163"/>
        </w:trPr>
        <w:tc>
          <w:tcPr>
            <w:tcW w:w="8900" w:type="dxa"/>
            <w:vAlign w:val="bottom"/>
            <w:shd w:val="clear" w:color="auto" w:fill="CCD4DB"/>
          </w:tcPr>
          <w:p>
            <w:pPr>
              <w:ind w:left="300"/>
              <w:spacing w:after="0" w:line="163" w:lineRule="exact"/>
              <w:rPr>
                <w:sz w:val="20"/>
                <w:szCs w:val="20"/>
                <w:color w:val="auto"/>
              </w:rPr>
            </w:pPr>
            <w:r>
              <w:rPr>
                <w:rFonts w:ascii="Arial" w:cs="Arial" w:eastAsia="Arial" w:hAnsi="Arial"/>
                <w:sz w:val="18"/>
                <w:szCs w:val="18"/>
                <w:color w:val="auto"/>
              </w:rPr>
              <w:t>independent compensation consultant</w:t>
            </w: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90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overseeing and reviewing the Company's management of its human capital risk</w:t>
            </w:r>
          </w:p>
        </w:tc>
        <w:tc>
          <w:tcPr>
            <w:tcW w:w="2280" w:type="dxa"/>
            <w:vAlign w:val="bottom"/>
          </w:tcPr>
          <w:p>
            <w:pPr>
              <w:ind w:left="40"/>
              <w:spacing w:after="0"/>
              <w:rPr>
                <w:sz w:val="20"/>
                <w:szCs w:val="20"/>
                <w:color w:val="auto"/>
              </w:rPr>
            </w:pPr>
            <w:r>
              <w:rPr>
                <w:rFonts w:ascii="Arial" w:cs="Arial" w:eastAsia="Arial" w:hAnsi="Arial"/>
                <w:sz w:val="18"/>
                <w:szCs w:val="18"/>
                <w:color w:val="auto"/>
              </w:rPr>
              <w:t>independent</w:t>
            </w:r>
          </w:p>
        </w:tc>
        <w:tc>
          <w:tcPr>
            <w:tcW w:w="0" w:type="dxa"/>
            <w:vAlign w:val="bottom"/>
          </w:tcPr>
          <w:p>
            <w:pPr>
              <w:spacing w:after="0"/>
              <w:rPr>
                <w:sz w:val="1"/>
                <w:szCs w:val="1"/>
                <w:color w:val="auto"/>
              </w:rPr>
            </w:pPr>
          </w:p>
        </w:tc>
      </w:tr>
      <w:tr>
        <w:trPr>
          <w:trHeight w:val="175"/>
        </w:trPr>
        <w:tc>
          <w:tcPr>
            <w:tcW w:w="8900" w:type="dxa"/>
            <w:vAlign w:val="bottom"/>
            <w:vMerge w:val="continue"/>
            <w:shd w:val="clear" w:color="auto" w:fill="CCD4DB"/>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8900" w:type="dxa"/>
            <w:vAlign w:val="bottom"/>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and monitoring the Company's diversity and inclusion programs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900" w:type="dxa"/>
            <w:vAlign w:val="bottom"/>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conducting an annual evaluation of the compensation consultant and reporting results of the evaluation to</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00" w:type="dxa"/>
            <w:vAlign w:val="bottom"/>
            <w:shd w:val="clear" w:color="auto" w:fill="CCD4DB"/>
          </w:tcPr>
          <w:p>
            <w:pPr>
              <w:ind w:left="300"/>
              <w:spacing w:after="0"/>
              <w:rPr>
                <w:sz w:val="20"/>
                <w:szCs w:val="20"/>
                <w:color w:val="auto"/>
              </w:rPr>
            </w:pPr>
            <w:r>
              <w:rPr>
                <w:rFonts w:ascii="Arial" w:cs="Arial" w:eastAsia="Arial" w:hAnsi="Arial"/>
                <w:sz w:val="18"/>
                <w:szCs w:val="18"/>
                <w:color w:val="auto"/>
              </w:rPr>
              <w:t>the Board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8900" w:type="dxa"/>
            <w:vAlign w:val="bottom"/>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producing an annual report on executive compensation for inclusion in the proxy statement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900" w:type="dxa"/>
            <w:vAlign w:val="bottom"/>
            <w:shd w:val="clear" w:color="auto" w:fill="CCD4DB"/>
          </w:tcPr>
          <w:p>
            <w:pPr>
              <w:ind w:left="40"/>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establishing stock ownership guidelines and reviewing ownership levels on an annual basis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900" w:type="dxa"/>
            <w:vAlign w:val="bottom"/>
            <w:shd w:val="clear" w:color="auto" w:fill="CCD4DB"/>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701" w:right="399" w:bottom="794" w:gutter="0" w:footer="0" w:header="0"/>
        </w:sect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180"/>
          </w:cols>
          <w:pgMar w:left="320" w:top="701" w:right="399" w:bottom="794" w:gutter="0" w:footer="0" w:header="0"/>
          <w:type w:val="continuous"/>
        </w:sectPr>
      </w:pPr>
    </w:p>
    <w:bookmarkStart w:id="23" w:name="page24"/>
    <w:bookmarkEnd w:id="23"/>
    <w:p>
      <w:pP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477520</wp:posOffset>
            </wp:positionV>
            <wp:extent cx="7140575" cy="4072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0575" cy="407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00249C"/>
        </w:rPr>
        <w:t>Governance Committee</w:t>
      </w:r>
    </w:p>
    <w:p>
      <w:pPr>
        <w:spacing w:after="0" w:line="166" w:lineRule="exact"/>
        <w:rPr>
          <w:sz w:val="20"/>
          <w:szCs w:val="20"/>
          <w:color w:val="auto"/>
        </w:rPr>
      </w:pPr>
    </w:p>
    <w:p>
      <w:pPr>
        <w:spacing w:after="0"/>
        <w:tabs>
          <w:tab w:leader="none" w:pos="8860" w:val="left"/>
        </w:tabs>
        <w:rPr>
          <w:sz w:val="20"/>
          <w:szCs w:val="20"/>
          <w:color w:val="auto"/>
        </w:rPr>
      </w:pPr>
      <w:r>
        <w:rPr>
          <w:rFonts w:ascii="Arial" w:cs="Arial" w:eastAsia="Arial" w:hAnsi="Arial"/>
          <w:sz w:val="18"/>
          <w:szCs w:val="18"/>
          <w:b w:val="1"/>
          <w:bCs w:val="1"/>
          <w:color w:val="00249C"/>
        </w:rPr>
        <w:t>Roles and Responsibilities</w:t>
      </w:r>
      <w:r>
        <w:rPr>
          <w:sz w:val="20"/>
          <w:szCs w:val="20"/>
          <w:color w:val="auto"/>
        </w:rPr>
        <w:tab/>
      </w:r>
      <w:r>
        <w:rPr>
          <w:rFonts w:ascii="Arial" w:cs="Arial" w:eastAsia="Arial" w:hAnsi="Arial"/>
          <w:sz w:val="17"/>
          <w:szCs w:val="17"/>
          <w:b w:val="1"/>
          <w:bCs w:val="1"/>
          <w:color w:val="00249C"/>
        </w:rPr>
        <w:t>Committee Members</w:t>
      </w:r>
    </w:p>
    <w:p>
      <w:pPr>
        <w:sectPr>
          <w:pgSz w:w="11900" w:h="16838" w:orient="portrait"/>
          <w:cols w:equalWidth="0" w:num="1">
            <w:col w:w="11200"/>
          </w:cols>
          <w:pgMar w:left="360" w:top="701"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Assist the Board in overseeing the Company's corporate governance practices by:</w:t>
      </w:r>
    </w:p>
    <w:p>
      <w:pPr>
        <w:spacing w:after="0" w:line="131" w:lineRule="exact"/>
        <w:rPr>
          <w:sz w:val="20"/>
          <w:szCs w:val="20"/>
          <w:color w:val="auto"/>
        </w:rPr>
      </w:pPr>
    </w:p>
    <w:p>
      <w:pPr>
        <w:ind w:left="260" w:right="340" w:hanging="252"/>
        <w:spacing w:after="0" w:line="246" w:lineRule="auto"/>
        <w:tabs>
          <w:tab w:leader="none" w:pos="303" w:val="left"/>
        </w:tabs>
        <w:numPr>
          <w:ilvl w:val="0"/>
          <w:numId w:val="23"/>
        </w:numPr>
        <w:rPr>
          <w:rFonts w:ascii="Arial" w:cs="Arial" w:eastAsia="Arial" w:hAnsi="Arial"/>
          <w:sz w:val="14"/>
          <w:szCs w:val="14"/>
          <w:color w:val="00249C"/>
        </w:rPr>
      </w:pPr>
      <w:r>
        <w:rPr>
          <w:rFonts w:ascii="Arial" w:cs="Arial" w:eastAsia="Arial" w:hAnsi="Arial"/>
          <w:sz w:val="18"/>
          <w:szCs w:val="18"/>
          <w:color w:val="auto"/>
        </w:rPr>
        <w:t>overseeing and reviewing the Company's management of governance-related risks, including the risks related to corporate culture</w:t>
      </w:r>
    </w:p>
    <w:p>
      <w:pPr>
        <w:spacing w:after="0" w:line="115" w:lineRule="exact"/>
        <w:rPr>
          <w:rFonts w:ascii="Arial" w:cs="Arial" w:eastAsia="Arial" w:hAnsi="Arial"/>
          <w:sz w:val="14"/>
          <w:szCs w:val="14"/>
          <w:color w:val="00249C"/>
        </w:rPr>
      </w:pPr>
    </w:p>
    <w:p>
      <w:pPr>
        <w:ind w:left="260" w:right="120" w:hanging="252"/>
        <w:spacing w:after="0" w:line="246" w:lineRule="auto"/>
        <w:tabs>
          <w:tab w:leader="none" w:pos="304" w:val="left"/>
        </w:tabs>
        <w:numPr>
          <w:ilvl w:val="0"/>
          <w:numId w:val="23"/>
        </w:numPr>
        <w:rPr>
          <w:rFonts w:ascii="Arial" w:cs="Arial" w:eastAsia="Arial" w:hAnsi="Arial"/>
          <w:sz w:val="14"/>
          <w:szCs w:val="14"/>
          <w:color w:val="00249C"/>
        </w:rPr>
      </w:pPr>
      <w:r>
        <w:rPr>
          <w:rFonts w:ascii="Arial" w:cs="Arial" w:eastAsia="Arial" w:hAnsi="Arial"/>
          <w:sz w:val="18"/>
          <w:szCs w:val="18"/>
          <w:color w:val="auto"/>
        </w:rPr>
        <w:t>regularly reviewing the Company's corporate governance policies and practices, including the Company's Bylaws and other corporate documents</w:t>
      </w:r>
    </w:p>
    <w:p>
      <w:pPr>
        <w:spacing w:after="0" w:line="115" w:lineRule="exact"/>
        <w:rPr>
          <w:rFonts w:ascii="Arial" w:cs="Arial" w:eastAsia="Arial" w:hAnsi="Arial"/>
          <w:sz w:val="14"/>
          <w:szCs w:val="14"/>
          <w:color w:val="00249C"/>
        </w:rPr>
      </w:pPr>
    </w:p>
    <w:p>
      <w:pPr>
        <w:ind w:left="260" w:right="560" w:hanging="252"/>
        <w:spacing w:after="0" w:line="246" w:lineRule="auto"/>
        <w:tabs>
          <w:tab w:leader="none" w:pos="304" w:val="left"/>
        </w:tabs>
        <w:numPr>
          <w:ilvl w:val="0"/>
          <w:numId w:val="23"/>
        </w:numPr>
        <w:rPr>
          <w:rFonts w:ascii="Arial" w:cs="Arial" w:eastAsia="Arial" w:hAnsi="Arial"/>
          <w:sz w:val="14"/>
          <w:szCs w:val="14"/>
          <w:color w:val="00249C"/>
        </w:rPr>
      </w:pPr>
      <w:r>
        <w:rPr>
          <w:rFonts w:ascii="Arial" w:cs="Arial" w:eastAsia="Arial" w:hAnsi="Arial"/>
          <w:sz w:val="18"/>
          <w:szCs w:val="18"/>
          <w:color w:val="auto"/>
        </w:rPr>
        <w:t>regularly reviewing and considering corporate governance developments, emerging trends and best practices and recommending changes to the Board</w:t>
      </w:r>
    </w:p>
    <w:p>
      <w:pPr>
        <w:spacing w:after="0" w:line="115" w:lineRule="exact"/>
        <w:rPr>
          <w:rFonts w:ascii="Arial" w:cs="Arial" w:eastAsia="Arial" w:hAnsi="Arial"/>
          <w:sz w:val="14"/>
          <w:szCs w:val="14"/>
          <w:color w:val="00249C"/>
        </w:rPr>
      </w:pPr>
    </w:p>
    <w:p>
      <w:pPr>
        <w:ind w:left="260" w:right="100" w:hanging="252"/>
        <w:spacing w:after="0" w:line="246" w:lineRule="auto"/>
        <w:tabs>
          <w:tab w:leader="none" w:pos="304" w:val="left"/>
        </w:tabs>
        <w:numPr>
          <w:ilvl w:val="0"/>
          <w:numId w:val="23"/>
        </w:numPr>
        <w:rPr>
          <w:rFonts w:ascii="Arial" w:cs="Arial" w:eastAsia="Arial" w:hAnsi="Arial"/>
          <w:sz w:val="14"/>
          <w:szCs w:val="14"/>
          <w:color w:val="00249C"/>
        </w:rPr>
      </w:pPr>
      <w:r>
        <w:rPr>
          <w:rFonts w:ascii="Arial" w:cs="Arial" w:eastAsia="Arial" w:hAnsi="Arial"/>
          <w:sz w:val="18"/>
          <w:szCs w:val="18"/>
          <w:color w:val="auto"/>
        </w:rPr>
        <w:t>reviewing and making recommendations to the Board with respect to the corporate governance section of the annual proxy statement, including proposed responses to shareholder proposals</w:t>
      </w:r>
    </w:p>
    <w:p>
      <w:pPr>
        <w:spacing w:after="0" w:line="115" w:lineRule="exact"/>
        <w:rPr>
          <w:rFonts w:ascii="Arial" w:cs="Arial" w:eastAsia="Arial" w:hAnsi="Arial"/>
          <w:sz w:val="14"/>
          <w:szCs w:val="14"/>
          <w:color w:val="00249C"/>
        </w:rPr>
      </w:pPr>
    </w:p>
    <w:p>
      <w:pPr>
        <w:ind w:left="260" w:right="820" w:hanging="252"/>
        <w:spacing w:after="0" w:line="246" w:lineRule="auto"/>
        <w:tabs>
          <w:tab w:leader="none" w:pos="303" w:val="left"/>
        </w:tabs>
        <w:numPr>
          <w:ilvl w:val="0"/>
          <w:numId w:val="23"/>
        </w:numPr>
        <w:rPr>
          <w:rFonts w:ascii="Arial" w:cs="Arial" w:eastAsia="Arial" w:hAnsi="Arial"/>
          <w:sz w:val="14"/>
          <w:szCs w:val="14"/>
          <w:color w:val="00249C"/>
        </w:rPr>
      </w:pPr>
      <w:r>
        <w:rPr>
          <w:rFonts w:ascii="Arial" w:cs="Arial" w:eastAsia="Arial" w:hAnsi="Arial"/>
          <w:sz w:val="18"/>
          <w:szCs w:val="18"/>
          <w:color w:val="auto"/>
        </w:rPr>
        <w:t>meeting with shareholders and proxy advisory groups, as needed, to discuss issues of corporate governance</w:t>
      </w:r>
    </w:p>
    <w:p>
      <w:pPr>
        <w:spacing w:after="0" w:line="115" w:lineRule="exact"/>
        <w:rPr>
          <w:rFonts w:ascii="Arial" w:cs="Arial" w:eastAsia="Arial" w:hAnsi="Arial"/>
          <w:sz w:val="14"/>
          <w:szCs w:val="14"/>
          <w:color w:val="00249C"/>
        </w:rPr>
      </w:pPr>
    </w:p>
    <w:p>
      <w:pPr>
        <w:ind w:left="260" w:right="160" w:hanging="252"/>
        <w:spacing w:after="0"/>
        <w:tabs>
          <w:tab w:leader="none" w:pos="304" w:val="left"/>
        </w:tabs>
        <w:numPr>
          <w:ilvl w:val="0"/>
          <w:numId w:val="23"/>
        </w:numPr>
        <w:rPr>
          <w:rFonts w:ascii="Arial" w:cs="Arial" w:eastAsia="Arial" w:hAnsi="Arial"/>
          <w:sz w:val="14"/>
          <w:szCs w:val="14"/>
          <w:color w:val="00249C"/>
        </w:rPr>
      </w:pPr>
      <w:r>
        <w:rPr>
          <w:rFonts w:ascii="Arial" w:cs="Arial" w:eastAsia="Arial" w:hAnsi="Arial"/>
          <w:sz w:val="18"/>
          <w:szCs w:val="18"/>
          <w:color w:val="auto"/>
        </w:rPr>
        <w:t>regularly reviewing and making recommendations to the Board regarding the composition and size of the Board and the criteria for Board membership, which should include, among other things, diversity, experience and integrity</w:t>
      </w:r>
    </w:p>
    <w:p>
      <w:pPr>
        <w:spacing w:after="0" w:line="121" w:lineRule="exact"/>
        <w:rPr>
          <w:rFonts w:ascii="Arial" w:cs="Arial" w:eastAsia="Arial" w:hAnsi="Arial"/>
          <w:sz w:val="14"/>
          <w:szCs w:val="14"/>
          <w:color w:val="00249C"/>
        </w:rPr>
      </w:pPr>
    </w:p>
    <w:p>
      <w:pPr>
        <w:ind w:left="260" w:hanging="252"/>
        <w:spacing w:after="0"/>
        <w:tabs>
          <w:tab w:leader="none" w:pos="304" w:val="left"/>
        </w:tabs>
        <w:numPr>
          <w:ilvl w:val="0"/>
          <w:numId w:val="23"/>
        </w:numPr>
        <w:rPr>
          <w:rFonts w:ascii="Arial" w:cs="Arial" w:eastAsia="Arial" w:hAnsi="Arial"/>
          <w:sz w:val="14"/>
          <w:szCs w:val="14"/>
          <w:color w:val="00249C"/>
        </w:rPr>
      </w:pPr>
      <w:r>
        <w:rPr>
          <w:rFonts w:ascii="Arial" w:cs="Arial" w:eastAsia="Arial" w:hAnsi="Arial"/>
          <w:sz w:val="18"/>
          <w:szCs w:val="18"/>
          <w:color w:val="auto"/>
        </w:rPr>
        <w:t>providing effective board succession planning, identifying and recommending to the Board qualified potential candidates to serve on the Board and its committees and, if applicable, meeting with proxy access nominees nominated through the Company's proxy access bylaw provision</w:t>
      </w:r>
    </w:p>
    <w:p>
      <w:pPr>
        <w:spacing w:after="0" w:line="121" w:lineRule="exact"/>
        <w:rPr>
          <w:rFonts w:ascii="Arial" w:cs="Arial" w:eastAsia="Arial" w:hAnsi="Arial"/>
          <w:sz w:val="14"/>
          <w:szCs w:val="14"/>
          <w:color w:val="00249C"/>
        </w:rPr>
      </w:pPr>
    </w:p>
    <w:p>
      <w:pPr>
        <w:ind w:left="260" w:right="100" w:hanging="252"/>
        <w:spacing w:after="0" w:line="246" w:lineRule="auto"/>
        <w:tabs>
          <w:tab w:leader="none" w:pos="303" w:val="left"/>
        </w:tabs>
        <w:numPr>
          <w:ilvl w:val="0"/>
          <w:numId w:val="23"/>
        </w:numPr>
        <w:rPr>
          <w:rFonts w:ascii="Arial" w:cs="Arial" w:eastAsia="Arial" w:hAnsi="Arial"/>
          <w:sz w:val="14"/>
          <w:szCs w:val="14"/>
          <w:color w:val="00249C"/>
        </w:rPr>
      </w:pPr>
      <w:r>
        <w:rPr>
          <w:rFonts w:ascii="Arial" w:cs="Arial" w:eastAsia="Arial" w:hAnsi="Arial"/>
          <w:sz w:val="18"/>
          <w:szCs w:val="18"/>
          <w:color w:val="auto"/>
        </w:rPr>
        <w:t>reviewing and determining whether a director's service on another board or elsewhere is likely to interfere with the director's duties and responsibilities as a member of the Board</w:t>
      </w:r>
    </w:p>
    <w:p>
      <w:pPr>
        <w:spacing w:after="0" w:line="115" w:lineRule="exact"/>
        <w:rPr>
          <w:rFonts w:ascii="Arial" w:cs="Arial" w:eastAsia="Arial" w:hAnsi="Arial"/>
          <w:sz w:val="14"/>
          <w:szCs w:val="14"/>
          <w:color w:val="00249C"/>
        </w:rPr>
      </w:pPr>
    </w:p>
    <w:p>
      <w:pPr>
        <w:ind w:left="260" w:right="280" w:hanging="252"/>
        <w:spacing w:after="0" w:line="246" w:lineRule="auto"/>
        <w:tabs>
          <w:tab w:leader="none" w:pos="303" w:val="left"/>
        </w:tabs>
        <w:numPr>
          <w:ilvl w:val="0"/>
          <w:numId w:val="23"/>
        </w:numPr>
        <w:rPr>
          <w:rFonts w:ascii="Arial" w:cs="Arial" w:eastAsia="Arial" w:hAnsi="Arial"/>
          <w:sz w:val="14"/>
          <w:szCs w:val="14"/>
          <w:color w:val="00249C"/>
        </w:rPr>
      </w:pPr>
      <w:r>
        <w:rPr>
          <w:rFonts w:ascii="Arial" w:cs="Arial" w:eastAsia="Arial" w:hAnsi="Arial"/>
          <w:sz w:val="18"/>
          <w:szCs w:val="18"/>
          <w:color w:val="auto"/>
        </w:rPr>
        <w:t>reviewing and recommending board, director and committee evaluation processes and coordinating the process for the Board to evaluate its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202565</wp:posOffset>
            </wp:positionV>
            <wp:extent cx="7140575" cy="2348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0575" cy="2348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Madeleine A. Kleiner (chair) Donald E. Felsinger Ann M. Fudge William H. Hernandez Karl J. Krapek James S. Turley</w:t>
      </w:r>
    </w:p>
    <w:p>
      <w:pPr>
        <w:spacing w:after="0" w:line="25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00249C"/>
        </w:rPr>
        <w:t xml:space="preserve">Number of meetings in 2019: </w:t>
      </w:r>
      <w:r>
        <w:rPr>
          <w:rFonts w:ascii="Arial" w:cs="Arial" w:eastAsia="Arial" w:hAnsi="Arial"/>
          <w:sz w:val="18"/>
          <w:szCs w:val="18"/>
          <w:color w:val="000000"/>
        </w:rPr>
        <w:t>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00249C"/>
        </w:rPr>
        <w:t>Independence</w:t>
      </w:r>
    </w:p>
    <w:p>
      <w:pPr>
        <w:spacing w:after="0" w:line="112" w:lineRule="exact"/>
        <w:rPr>
          <w:sz w:val="20"/>
          <w:szCs w:val="20"/>
          <w:color w:val="auto"/>
        </w:rPr>
      </w:pPr>
    </w:p>
    <w:p>
      <w:pPr>
        <w:ind w:right="1020"/>
        <w:spacing w:after="0" w:line="274" w:lineRule="auto"/>
        <w:rPr>
          <w:sz w:val="20"/>
          <w:szCs w:val="20"/>
          <w:color w:val="auto"/>
        </w:rPr>
      </w:pPr>
      <w:r>
        <w:rPr>
          <w:rFonts w:ascii="Arial" w:cs="Arial" w:eastAsia="Arial" w:hAnsi="Arial"/>
          <w:sz w:val="17"/>
          <w:szCs w:val="17"/>
          <w:color w:val="auto"/>
        </w:rPr>
        <w:t>All members are independent</w:t>
      </w:r>
    </w:p>
    <w:p>
      <w:pPr>
        <w:spacing w:after="0" w:line="3134" w:lineRule="exact"/>
        <w:rPr>
          <w:sz w:val="20"/>
          <w:szCs w:val="20"/>
          <w:color w:val="auto"/>
        </w:rPr>
      </w:pPr>
    </w:p>
    <w:p>
      <w:pPr>
        <w:sectPr>
          <w:pgSz w:w="11900" w:h="16838" w:orient="portrait"/>
          <w:cols w:equalWidth="0" w:num="2">
            <w:col w:w="8780" w:space="100"/>
            <w:col w:w="2320"/>
          </w:cols>
          <w:pgMar w:left="360" w:top="701"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00249C"/>
        </w:rPr>
        <w:t>Policy Committee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00" w:type="dxa"/>
            <w:vAlign w:val="bottom"/>
          </w:tcPr>
          <w:p>
            <w:pPr>
              <w:spacing w:after="0"/>
              <w:rPr>
                <w:sz w:val="20"/>
                <w:szCs w:val="20"/>
                <w:color w:val="auto"/>
              </w:rPr>
            </w:pPr>
            <w:r>
              <w:rPr>
                <w:rFonts w:ascii="Arial" w:cs="Arial" w:eastAsia="Arial" w:hAnsi="Arial"/>
                <w:sz w:val="18"/>
                <w:szCs w:val="18"/>
                <w:b w:val="1"/>
                <w:bCs w:val="1"/>
                <w:color w:val="00249C"/>
              </w:rPr>
              <w:t>Roles and Responsibilities</w:t>
            </w:r>
          </w:p>
        </w:tc>
        <w:tc>
          <w:tcPr>
            <w:tcW w:w="2020" w:type="dxa"/>
            <w:vAlign w:val="bottom"/>
          </w:tcPr>
          <w:p>
            <w:pPr>
              <w:ind w:left="80"/>
              <w:spacing w:after="0"/>
              <w:rPr>
                <w:sz w:val="20"/>
                <w:szCs w:val="20"/>
                <w:color w:val="auto"/>
              </w:rPr>
            </w:pPr>
            <w:r>
              <w:rPr>
                <w:rFonts w:ascii="Arial" w:cs="Arial" w:eastAsia="Arial" w:hAnsi="Arial"/>
                <w:sz w:val="18"/>
                <w:szCs w:val="18"/>
                <w:b w:val="1"/>
                <w:bCs w:val="1"/>
                <w:color w:val="00249C"/>
              </w:rPr>
              <w:t>Committee Members</w:t>
            </w:r>
          </w:p>
        </w:tc>
        <w:tc>
          <w:tcPr>
            <w:tcW w:w="0" w:type="dxa"/>
            <w:vAlign w:val="bottom"/>
          </w:tcPr>
          <w:p>
            <w:pPr>
              <w:spacing w:after="0"/>
              <w:rPr>
                <w:sz w:val="1"/>
                <w:szCs w:val="1"/>
                <w:color w:val="auto"/>
              </w:rPr>
            </w:pPr>
          </w:p>
        </w:tc>
      </w:tr>
      <w:tr>
        <w:trPr>
          <w:trHeight w:val="323"/>
        </w:trPr>
        <w:tc>
          <w:tcPr>
            <w:tcW w:w="8800" w:type="dxa"/>
            <w:vAlign w:val="bottom"/>
          </w:tcPr>
          <w:p>
            <w:pPr>
              <w:spacing w:after="0"/>
              <w:rPr>
                <w:sz w:val="20"/>
                <w:szCs w:val="20"/>
                <w:color w:val="auto"/>
              </w:rPr>
            </w:pPr>
            <w:r>
              <w:rPr>
                <w:rFonts w:ascii="Arial" w:cs="Arial" w:eastAsia="Arial" w:hAnsi="Arial"/>
                <w:sz w:val="18"/>
                <w:szCs w:val="18"/>
                <w:color w:val="auto"/>
              </w:rPr>
              <w:t>Assist the Board in overseeing policy, government relations and corporate responsibility by:</w:t>
            </w:r>
          </w:p>
        </w:tc>
        <w:tc>
          <w:tcPr>
            <w:tcW w:w="2020" w:type="dxa"/>
            <w:vAlign w:val="bottom"/>
          </w:tcPr>
          <w:p>
            <w:pPr>
              <w:ind w:left="80"/>
              <w:spacing w:after="0"/>
              <w:rPr>
                <w:sz w:val="20"/>
                <w:szCs w:val="20"/>
                <w:color w:val="auto"/>
              </w:rPr>
            </w:pPr>
            <w:r>
              <w:rPr>
                <w:rFonts w:ascii="Arial" w:cs="Arial" w:eastAsia="Arial" w:hAnsi="Arial"/>
                <w:sz w:val="18"/>
                <w:szCs w:val="18"/>
                <w:color w:val="auto"/>
              </w:rPr>
              <w:t>Gary Roughead (chair)</w:t>
            </w:r>
          </w:p>
        </w:tc>
        <w:tc>
          <w:tcPr>
            <w:tcW w:w="0" w:type="dxa"/>
            <w:vAlign w:val="bottom"/>
          </w:tcPr>
          <w:p>
            <w:pPr>
              <w:spacing w:after="0"/>
              <w:rPr>
                <w:sz w:val="1"/>
                <w:szCs w:val="1"/>
                <w:color w:val="auto"/>
              </w:rPr>
            </w:pPr>
          </w:p>
        </w:tc>
      </w:tr>
      <w:tr>
        <w:trPr>
          <w:trHeight w:val="163"/>
        </w:trPr>
        <w:tc>
          <w:tcPr>
            <w:tcW w:w="8800" w:type="dxa"/>
            <w:vAlign w:val="bottom"/>
          </w:tcPr>
          <w:p>
            <w:pPr>
              <w:spacing w:after="0"/>
              <w:rPr>
                <w:sz w:val="14"/>
                <w:szCs w:val="14"/>
                <w:color w:val="auto"/>
              </w:rPr>
            </w:pPr>
          </w:p>
        </w:tc>
        <w:tc>
          <w:tcPr>
            <w:tcW w:w="2020" w:type="dxa"/>
            <w:vAlign w:val="bottom"/>
          </w:tcPr>
          <w:p>
            <w:pPr>
              <w:ind w:left="80"/>
              <w:spacing w:after="0" w:line="163" w:lineRule="exact"/>
              <w:rPr>
                <w:sz w:val="20"/>
                <w:szCs w:val="20"/>
                <w:color w:val="auto"/>
              </w:rPr>
            </w:pPr>
            <w:r>
              <w:rPr>
                <w:rFonts w:ascii="Arial" w:cs="Arial" w:eastAsia="Arial" w:hAnsi="Arial"/>
                <w:sz w:val="18"/>
                <w:szCs w:val="18"/>
                <w:color w:val="auto"/>
              </w:rPr>
              <w:t>Marianne C. Brown</w:t>
            </w:r>
          </w:p>
        </w:tc>
        <w:tc>
          <w:tcPr>
            <w:tcW w:w="0" w:type="dxa"/>
            <w:vAlign w:val="bottom"/>
          </w:tcPr>
          <w:p>
            <w:pPr>
              <w:spacing w:after="0"/>
              <w:rPr>
                <w:sz w:val="1"/>
                <w:szCs w:val="1"/>
                <w:color w:val="auto"/>
              </w:rPr>
            </w:pPr>
          </w:p>
        </w:tc>
      </w:tr>
      <w:tr>
        <w:trPr>
          <w:trHeight w:val="203"/>
        </w:trPr>
        <w:tc>
          <w:tcPr>
            <w:tcW w:w="10820" w:type="dxa"/>
            <w:vAlign w:val="bottom"/>
            <w:gridSpan w:val="2"/>
          </w:tcPr>
          <w:p>
            <w:pPr>
              <w:spacing w:after="0" w:line="202" w:lineRule="exact"/>
              <w:rPr>
                <w:sz w:val="20"/>
                <w:szCs w:val="20"/>
                <w:color w:val="auto"/>
              </w:rPr>
            </w:pPr>
            <w:r>
              <w:rPr>
                <w:rFonts w:ascii="Arial" w:cs="Arial" w:eastAsia="Arial" w:hAnsi="Arial"/>
                <w:sz w:val="12"/>
                <w:szCs w:val="12"/>
                <w:color w:val="00249C"/>
              </w:rPr>
              <w:t xml:space="preserve">●  </w:t>
            </w:r>
            <w:r>
              <w:rPr>
                <w:rFonts w:ascii="Arial" w:cs="Arial" w:eastAsia="Arial" w:hAnsi="Arial"/>
                <w:sz w:val="13"/>
                <w:szCs w:val="13"/>
                <w:color w:val="000000"/>
              </w:rPr>
              <w:t>identifying and evaluating global security, political, budgetary, technological and other issues and trends that</w:t>
            </w:r>
            <w:r>
              <w:rPr>
                <w:rFonts w:ascii="Arial" w:cs="Arial" w:eastAsia="Arial" w:hAnsi="Arial"/>
                <w:sz w:val="12"/>
                <w:szCs w:val="12"/>
                <w:color w:val="00249C"/>
              </w:rPr>
              <w:t xml:space="preserve"> </w:t>
            </w:r>
            <w:r>
              <w:rPr>
                <w:rFonts w:ascii="Arial" w:cs="Arial" w:eastAsia="Arial" w:hAnsi="Arial"/>
                <w:sz w:val="23"/>
                <w:szCs w:val="23"/>
                <w:color w:val="000000"/>
                <w:vertAlign w:val="subscript"/>
              </w:rPr>
              <w:t>Bruce S. Gordon</w:t>
            </w:r>
          </w:p>
        </w:tc>
        <w:tc>
          <w:tcPr>
            <w:tcW w:w="0" w:type="dxa"/>
            <w:vAlign w:val="bottom"/>
          </w:tcPr>
          <w:p>
            <w:pPr>
              <w:spacing w:after="0"/>
              <w:rPr>
                <w:sz w:val="1"/>
                <w:szCs w:val="1"/>
                <w:color w:val="auto"/>
              </w:rPr>
            </w:pPr>
          </w:p>
        </w:tc>
      </w:tr>
      <w:tr>
        <w:trPr>
          <w:trHeight w:val="203"/>
        </w:trPr>
        <w:tc>
          <w:tcPr>
            <w:tcW w:w="8800" w:type="dxa"/>
            <w:vAlign w:val="bottom"/>
          </w:tcPr>
          <w:p>
            <w:pPr>
              <w:ind w:left="260"/>
              <w:spacing w:after="0" w:line="202" w:lineRule="exact"/>
              <w:rPr>
                <w:sz w:val="20"/>
                <w:szCs w:val="20"/>
                <w:color w:val="auto"/>
              </w:rPr>
            </w:pPr>
            <w:r>
              <w:rPr>
                <w:rFonts w:ascii="Arial" w:cs="Arial" w:eastAsia="Arial" w:hAnsi="Arial"/>
                <w:sz w:val="18"/>
                <w:szCs w:val="18"/>
                <w:color w:val="auto"/>
              </w:rPr>
              <w:t>could impact the Company's business activities and performance</w:t>
            </w:r>
          </w:p>
        </w:tc>
        <w:tc>
          <w:tcPr>
            <w:tcW w:w="2020" w:type="dxa"/>
            <w:vAlign w:val="bottom"/>
            <w:vMerge w:val="restart"/>
          </w:tcPr>
          <w:p>
            <w:pPr>
              <w:ind w:left="80"/>
              <w:spacing w:after="0"/>
              <w:rPr>
                <w:sz w:val="20"/>
                <w:szCs w:val="20"/>
                <w:color w:val="auto"/>
              </w:rPr>
            </w:pPr>
            <w:r>
              <w:rPr>
                <w:rFonts w:ascii="Arial" w:cs="Arial" w:eastAsia="Arial" w:hAnsi="Arial"/>
                <w:sz w:val="18"/>
                <w:szCs w:val="18"/>
                <w:color w:val="auto"/>
              </w:rPr>
              <w:t>Thomas M. Schoewe</w:t>
            </w:r>
          </w:p>
        </w:tc>
        <w:tc>
          <w:tcPr>
            <w:tcW w:w="0" w:type="dxa"/>
            <w:vAlign w:val="bottom"/>
          </w:tcPr>
          <w:p>
            <w:pPr>
              <w:spacing w:after="0"/>
              <w:rPr>
                <w:sz w:val="1"/>
                <w:szCs w:val="1"/>
                <w:color w:val="auto"/>
              </w:rPr>
            </w:pPr>
          </w:p>
        </w:tc>
      </w:tr>
      <w:tr>
        <w:trPr>
          <w:trHeight w:val="40"/>
        </w:trPr>
        <w:tc>
          <w:tcPr>
            <w:tcW w:w="8800" w:type="dxa"/>
            <w:vAlign w:val="bottom"/>
          </w:tcPr>
          <w:p>
            <w:pPr>
              <w:spacing w:after="0"/>
              <w:rPr>
                <w:sz w:val="3"/>
                <w:szCs w:val="3"/>
                <w:color w:val="auto"/>
              </w:rPr>
            </w:pPr>
          </w:p>
        </w:tc>
        <w:tc>
          <w:tcPr>
            <w:tcW w:w="2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Pr>
          <w:p>
            <w:pPr>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and providing oversight of the Company's programs regarding environmental and social aspects</w:t>
            </w:r>
          </w:p>
        </w:tc>
        <w:tc>
          <w:tcPr>
            <w:tcW w:w="2020" w:type="dxa"/>
            <w:vAlign w:val="bottom"/>
          </w:tcPr>
          <w:p>
            <w:pPr>
              <w:ind w:left="80"/>
              <w:spacing w:after="0"/>
              <w:rPr>
                <w:sz w:val="20"/>
                <w:szCs w:val="20"/>
                <w:color w:val="auto"/>
              </w:rPr>
            </w:pPr>
            <w:r>
              <w:rPr>
                <w:rFonts w:ascii="Arial" w:cs="Arial" w:eastAsia="Arial" w:hAnsi="Arial"/>
                <w:sz w:val="18"/>
                <w:szCs w:val="18"/>
                <w:color w:val="auto"/>
              </w:rPr>
              <w:t>Mark A. Welsh III</w:t>
            </w:r>
          </w:p>
        </w:tc>
        <w:tc>
          <w:tcPr>
            <w:tcW w:w="0" w:type="dxa"/>
            <w:vAlign w:val="bottom"/>
          </w:tcPr>
          <w:p>
            <w:pPr>
              <w:spacing w:after="0"/>
              <w:rPr>
                <w:sz w:val="1"/>
                <w:szCs w:val="1"/>
                <w:color w:val="auto"/>
              </w:rPr>
            </w:pPr>
          </w:p>
        </w:tc>
      </w:tr>
      <w:tr>
        <w:trPr>
          <w:trHeight w:val="207"/>
        </w:trPr>
        <w:tc>
          <w:tcPr>
            <w:tcW w:w="8800" w:type="dxa"/>
            <w:vAlign w:val="bottom"/>
          </w:tcPr>
          <w:p>
            <w:pPr>
              <w:ind w:left="260"/>
              <w:spacing w:after="0"/>
              <w:rPr>
                <w:sz w:val="20"/>
                <w:szCs w:val="20"/>
                <w:color w:val="auto"/>
              </w:rPr>
            </w:pPr>
            <w:r>
              <w:rPr>
                <w:rFonts w:ascii="Arial" w:cs="Arial" w:eastAsia="Arial" w:hAnsi="Arial"/>
                <w:sz w:val="18"/>
                <w:szCs w:val="18"/>
                <w:color w:val="auto"/>
              </w:rPr>
              <w:t>of sustainability, including environmental matters, human rights, health and safety</w:t>
            </w:r>
          </w:p>
        </w:tc>
        <w:tc>
          <w:tcPr>
            <w:tcW w:w="2020" w:type="dxa"/>
            <w:vAlign w:val="bottom"/>
          </w:tcPr>
          <w:p>
            <w:pPr>
              <w:ind w:left="80"/>
              <w:spacing w:after="0"/>
              <w:rPr>
                <w:sz w:val="20"/>
                <w:szCs w:val="20"/>
                <w:color w:val="auto"/>
              </w:rPr>
            </w:pPr>
            <w:r>
              <w:rPr>
                <w:rFonts w:ascii="Arial" w:cs="Arial" w:eastAsia="Arial" w:hAnsi="Arial"/>
                <w:sz w:val="18"/>
                <w:szCs w:val="18"/>
                <w:b w:val="1"/>
                <w:bCs w:val="1"/>
                <w:color w:val="00249C"/>
                <w:w w:val="98"/>
              </w:rPr>
              <w:t>Number of meetings in</w:t>
            </w:r>
          </w:p>
        </w:tc>
        <w:tc>
          <w:tcPr>
            <w:tcW w:w="0" w:type="dxa"/>
            <w:vAlign w:val="bottom"/>
          </w:tcPr>
          <w:p>
            <w:pPr>
              <w:spacing w:after="0"/>
              <w:rPr>
                <w:sz w:val="1"/>
                <w:szCs w:val="1"/>
                <w:color w:val="auto"/>
              </w:rPr>
            </w:pPr>
          </w:p>
        </w:tc>
      </w:tr>
      <w:tr>
        <w:trPr>
          <w:trHeight w:val="239"/>
        </w:trPr>
        <w:tc>
          <w:tcPr>
            <w:tcW w:w="8800" w:type="dxa"/>
            <w:vAlign w:val="bottom"/>
            <w:vMerge w:val="restart"/>
          </w:tcPr>
          <w:p>
            <w:pPr>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and providing oversight over the Company's ethics and corporate social responsibility policies</w:t>
            </w:r>
          </w:p>
        </w:tc>
        <w:tc>
          <w:tcPr>
            <w:tcW w:w="2020" w:type="dxa"/>
            <w:vAlign w:val="bottom"/>
          </w:tcPr>
          <w:p>
            <w:pPr>
              <w:ind w:left="80"/>
              <w:spacing w:after="0"/>
              <w:rPr>
                <w:sz w:val="20"/>
                <w:szCs w:val="20"/>
                <w:color w:val="auto"/>
              </w:rPr>
            </w:pPr>
            <w:r>
              <w:rPr>
                <w:rFonts w:ascii="Arial" w:cs="Arial" w:eastAsia="Arial" w:hAnsi="Arial"/>
                <w:sz w:val="18"/>
                <w:szCs w:val="18"/>
                <w:b w:val="1"/>
                <w:bCs w:val="1"/>
                <w:color w:val="00249C"/>
              </w:rPr>
              <w:t xml:space="preserve">2019: </w:t>
            </w:r>
            <w:r>
              <w:rPr>
                <w:rFonts w:ascii="Arial" w:cs="Arial" w:eastAsia="Arial" w:hAnsi="Arial"/>
                <w:sz w:val="18"/>
                <w:szCs w:val="18"/>
                <w:color w:val="000000"/>
              </w:rPr>
              <w:t>4</w:t>
            </w:r>
          </w:p>
        </w:tc>
        <w:tc>
          <w:tcPr>
            <w:tcW w:w="0" w:type="dxa"/>
            <w:vAlign w:val="bottom"/>
          </w:tcPr>
          <w:p>
            <w:pPr>
              <w:spacing w:after="0"/>
              <w:rPr>
                <w:sz w:val="1"/>
                <w:szCs w:val="1"/>
                <w:color w:val="auto"/>
              </w:rPr>
            </w:pPr>
          </w:p>
        </w:tc>
      </w:tr>
      <w:tr>
        <w:trPr>
          <w:trHeight w:val="94"/>
        </w:trPr>
        <w:tc>
          <w:tcPr>
            <w:tcW w:w="8800" w:type="dxa"/>
            <w:vAlign w:val="bottom"/>
            <w:vMerge w:val="continue"/>
          </w:tcPr>
          <w:p>
            <w:pPr>
              <w:spacing w:after="0"/>
              <w:rPr>
                <w:sz w:val="8"/>
                <w:szCs w:val="8"/>
                <w:color w:val="auto"/>
              </w:rPr>
            </w:pPr>
          </w:p>
        </w:tc>
        <w:tc>
          <w:tcPr>
            <w:tcW w:w="2020" w:type="dxa"/>
            <w:vAlign w:val="bottom"/>
            <w:vMerge w:val="restart"/>
          </w:tcPr>
          <w:p>
            <w:pPr>
              <w:ind w:left="80"/>
              <w:spacing w:after="0"/>
              <w:rPr>
                <w:sz w:val="20"/>
                <w:szCs w:val="20"/>
                <w:color w:val="auto"/>
              </w:rPr>
            </w:pPr>
            <w:r>
              <w:rPr>
                <w:rFonts w:ascii="Arial" w:cs="Arial" w:eastAsia="Arial" w:hAnsi="Arial"/>
                <w:sz w:val="18"/>
                <w:szCs w:val="18"/>
                <w:b w:val="1"/>
                <w:bCs w:val="1"/>
                <w:color w:val="00249C"/>
              </w:rPr>
              <w:t>Independence</w:t>
            </w:r>
          </w:p>
        </w:tc>
        <w:tc>
          <w:tcPr>
            <w:tcW w:w="0" w:type="dxa"/>
            <w:vAlign w:val="bottom"/>
          </w:tcPr>
          <w:p>
            <w:pPr>
              <w:spacing w:after="0"/>
              <w:rPr>
                <w:sz w:val="1"/>
                <w:szCs w:val="1"/>
                <w:color w:val="auto"/>
              </w:rPr>
            </w:pPr>
          </w:p>
        </w:tc>
      </w:tr>
      <w:tr>
        <w:trPr>
          <w:trHeight w:val="217"/>
        </w:trPr>
        <w:tc>
          <w:tcPr>
            <w:tcW w:w="8800" w:type="dxa"/>
            <w:vAlign w:val="bottom"/>
          </w:tcPr>
          <w:p>
            <w:pPr>
              <w:ind w:left="260"/>
              <w:spacing w:after="0"/>
              <w:rPr>
                <w:sz w:val="20"/>
                <w:szCs w:val="20"/>
                <w:color w:val="auto"/>
              </w:rPr>
            </w:pPr>
            <w:r>
              <w:rPr>
                <w:rFonts w:ascii="Arial" w:cs="Arial" w:eastAsia="Arial" w:hAnsi="Arial"/>
                <w:sz w:val="18"/>
                <w:szCs w:val="18"/>
                <w:color w:val="auto"/>
              </w:rPr>
              <w:t>and programs</w:t>
            </w: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800" w:type="dxa"/>
            <w:vAlign w:val="bottom"/>
          </w:tcPr>
          <w:p>
            <w:pPr>
              <w:spacing w:after="0"/>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the Company's public relations strategy</w:t>
            </w:r>
          </w:p>
        </w:tc>
        <w:tc>
          <w:tcPr>
            <w:tcW w:w="2020" w:type="dxa"/>
            <w:vAlign w:val="bottom"/>
          </w:tcPr>
          <w:p>
            <w:pPr>
              <w:ind w:left="80"/>
              <w:spacing w:after="0"/>
              <w:rPr>
                <w:sz w:val="20"/>
                <w:szCs w:val="20"/>
                <w:color w:val="auto"/>
              </w:rPr>
            </w:pPr>
            <w:r>
              <w:rPr>
                <w:rFonts w:ascii="Arial" w:cs="Arial" w:eastAsia="Arial" w:hAnsi="Arial"/>
                <w:sz w:val="18"/>
                <w:szCs w:val="18"/>
                <w:color w:val="auto"/>
              </w:rPr>
              <w:t>All members are</w:t>
            </w:r>
          </w:p>
        </w:tc>
        <w:tc>
          <w:tcPr>
            <w:tcW w:w="0" w:type="dxa"/>
            <w:vAlign w:val="bottom"/>
          </w:tcPr>
          <w:p>
            <w:pPr>
              <w:spacing w:after="0"/>
              <w:rPr>
                <w:sz w:val="1"/>
                <w:szCs w:val="1"/>
                <w:color w:val="auto"/>
              </w:rPr>
            </w:pPr>
          </w:p>
        </w:tc>
      </w:tr>
    </w:tbl>
    <w:p>
      <w:pPr>
        <w:ind w:left="8880"/>
        <w:spacing w:after="0" w:line="219" w:lineRule="auto"/>
        <w:rPr>
          <w:sz w:val="20"/>
          <w:szCs w:val="20"/>
          <w:color w:val="auto"/>
        </w:rPr>
      </w:pPr>
      <w:r>
        <w:rPr>
          <w:rFonts w:ascii="Arial" w:cs="Arial" w:eastAsia="Arial" w:hAnsi="Arial"/>
          <w:sz w:val="18"/>
          <w:szCs w:val="18"/>
          <w:color w:val="auto"/>
        </w:rPr>
        <w:t>independent</w:t>
      </w:r>
    </w:p>
    <w:p>
      <w:pPr>
        <w:ind w:right="2820"/>
        <w:spacing w:after="0" w:line="440" w:lineRule="auto"/>
        <w:rPr>
          <w:sz w:val="20"/>
          <w:szCs w:val="20"/>
          <w:color w:val="auto"/>
        </w:rPr>
      </w:pPr>
      <w:r>
        <w:rPr>
          <w:rFonts w:ascii="Arial" w:cs="Arial" w:eastAsia="Arial" w:hAnsi="Arial"/>
          <w:sz w:val="14"/>
          <w:szCs w:val="14"/>
          <w:color w:val="00249C"/>
        </w:rPr>
        <w:t xml:space="preserve">● </w:t>
      </w:r>
      <w:r>
        <w:rPr>
          <w:rFonts w:ascii="Arial" w:cs="Arial" w:eastAsia="Arial" w:hAnsi="Arial"/>
          <w:sz w:val="17"/>
          <w:szCs w:val="17"/>
          <w:color w:val="000000"/>
        </w:rPr>
        <w:t>reviewing and monitoring the Company's government relations strategy and political action committee</w:t>
      </w:r>
      <w:r>
        <w:rPr>
          <w:rFonts w:ascii="Arial" w:cs="Arial" w:eastAsia="Arial" w:hAnsi="Arial"/>
          <w:sz w:val="14"/>
          <w:szCs w:val="14"/>
          <w:color w:val="00249C"/>
        </w:rPr>
        <w:t xml:space="preserve"> ● </w:t>
      </w:r>
      <w:r>
        <w:rPr>
          <w:rFonts w:ascii="Arial" w:cs="Arial" w:eastAsia="Arial" w:hAnsi="Arial"/>
          <w:sz w:val="17"/>
          <w:szCs w:val="17"/>
          <w:color w:val="000000"/>
        </w:rPr>
        <w:t>reviewing the Company's community relations and charitable activities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17</w:t>
      </w:r>
    </w:p>
    <w:p>
      <w:pPr>
        <w:sectPr>
          <w:pgSz w:w="11900" w:h="16838" w:orient="portrait"/>
          <w:cols w:equalWidth="0" w:num="1">
            <w:col w:w="11200"/>
          </w:cols>
          <w:pgMar w:left="360" w:top="701" w:right="339"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Board Meetings and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Board meets no fewer than nine times each year (including via telephonic meetings). Special meetings of the Board may be called from time to time as appropriate. On an annual basis, the Board holds an extended meeting to review our long-term strategy.</w:t>
      </w:r>
    </w:p>
    <w:p>
      <w:pPr>
        <w:spacing w:after="0" w:line="63"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The Board holds its meetings at Company locations other than our corporate headquarters on a regular basis to provide the directors with a first-hand view of different elements of our business and an opportunity to interact with local management and employees at various levels.</w:t>
      </w:r>
    </w:p>
    <w:p>
      <w:pPr>
        <w:spacing w:after="0" w:line="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Board meets in executive session (with the directors only and then with the independent directors only) following each in-person Board meeting and on other occasions as needed. The non-executive Chairman or the Lead Independent Director presides over the executive sessions of the independent directors. The Audit and Risk Committee meets in executive session at each in-person Audit and Risk Committee meeting, and regularly requests separate executive sessions with representatives of our independent auditor and our senior management, including our Chief Financial Officer, General Counsel and our Vice President, Internal Audit. The Compensation Committee also meets in executive session from time to time and regularly receives a report from the Compensation Committee's independent compensation consultant. The Governance and Policy Committees also meet in executive session as they deem necessary.</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2019, the Board held nine meetings. Each incumbent director serving in 2019 attended 75% or more of the total number of Board and committee meetings he or she was eligible to attend. Board members are expected to attend each annual meeting, except where the failure to attend is due to unavoidable circumstances. All of our then-serving directors attended the 2019 Annual Meeting.</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Board and the Governance Committee annually review the relevant relationships or arrangements between the Company and our directors or parties related to the directors in determining whether such directors are independent. No director is considered independent unless the Board has determined that the director meets the independence requirements under applicable New York Stock Exchange (NYSE) and SEC rules and under our categorical independence standards, which are described in our Principles of Corporate Governance. For a director to be considered independent, the Board must determine that a director has no material relationship with the Company other than as a director.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Principles of Corporate Governance provide that a director may be found not to qualify as an independent director if the director:</w:t>
      </w:r>
    </w:p>
    <w:p>
      <w:pPr>
        <w:spacing w:after="0" w:line="117" w:lineRule="exact"/>
        <w:rPr>
          <w:sz w:val="20"/>
          <w:szCs w:val="20"/>
          <w:color w:val="auto"/>
        </w:rPr>
      </w:pPr>
    </w:p>
    <w:p>
      <w:pPr>
        <w:ind w:left="340" w:hanging="332"/>
        <w:spacing w:after="0" w:line="280" w:lineRule="auto"/>
        <w:tabs>
          <w:tab w:leader="none" w:pos="34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has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director;</w:t>
      </w:r>
    </w:p>
    <w:p>
      <w:pPr>
        <w:spacing w:after="0" w:line="87" w:lineRule="exact"/>
        <w:rPr>
          <w:rFonts w:ascii="Arial" w:cs="Arial" w:eastAsia="Arial" w:hAnsi="Arial"/>
          <w:sz w:val="22"/>
          <w:szCs w:val="22"/>
          <w:color w:val="00249C"/>
        </w:rPr>
      </w:pPr>
    </w:p>
    <w:p>
      <w:pPr>
        <w:ind w:left="340" w:hanging="332"/>
        <w:spacing w:after="0" w:line="284" w:lineRule="auto"/>
        <w:tabs>
          <w:tab w:leader="none" w:pos="34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has, or has an immediate family member who has, within the prior three years been employed by, a partner in or otherwise affiliated with any law firm or investment bank in which the director's or the immediate family member's compensation was contingent on the services performed for the Company or in which the director or the immediate family member personally performed services for the Company and the annual fees paid by the Company during the preceding fiscal year exceeded the greater of $1 million or 2% of the gross annual revenues of such firm; or</w:t>
      </w:r>
    </w:p>
    <w:p>
      <w:pPr>
        <w:spacing w:after="0" w:line="84" w:lineRule="exact"/>
        <w:rPr>
          <w:rFonts w:ascii="Arial" w:cs="Arial" w:eastAsia="Arial" w:hAnsi="Arial"/>
          <w:sz w:val="22"/>
          <w:szCs w:val="22"/>
          <w:color w:val="00249C"/>
        </w:rPr>
      </w:pPr>
    </w:p>
    <w:p>
      <w:pPr>
        <w:ind w:left="340" w:right="180" w:hanging="332"/>
        <w:spacing w:after="0" w:line="272" w:lineRule="auto"/>
        <w:tabs>
          <w:tab w:leader="none" w:pos="34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has, or has an immediate family member who has, within the prior three years owned, either directly or indirectly as a partner, shareholder or officer of another company, more than 5% of the equity of an organization that has a material business relationship with (including significant purchasers of goods or services), or more than 5% ownership in,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00"/>
          </w:cols>
          <w:pgMar w:left="320" w:top="701" w:right="379" w:bottom="1440" w:gutter="0" w:footer="0" w:header="0"/>
        </w:sectPr>
      </w:pPr>
    </w:p>
    <w:bookmarkStart w:id="25" w:name="page26"/>
    <w:bookmarkEnd w:id="25"/>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Independence Determination</w:t>
      </w:r>
    </w:p>
    <w:p>
      <w:pPr>
        <w:spacing w:after="0" w:line="107"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connection with their annual independence review, the Board and Governance Committee considered the following relationships with organizations to which we have made payments or from which we have received payments in the usual course of our business in 2019.</w:t>
      </w:r>
    </w:p>
    <w:p>
      <w:pPr>
        <w:spacing w:after="0" w:line="5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Ms. Brown's service as a member of the Board of Directors of VMWare;</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Ms. Fudge's service as a trustee of the Brookings Institution;</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Mr. Gordon's service as a member of the Executive Leadership Council;</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Mr. Hernandez's service as a member of the Board of Directors of Albemarle Corporation;</w:t>
      </w:r>
    </w:p>
    <w:p>
      <w:pPr>
        <w:spacing w:after="0" w:line="120" w:lineRule="exact"/>
        <w:rPr>
          <w:rFonts w:ascii="Arial" w:cs="Arial" w:eastAsia="Arial" w:hAnsi="Arial"/>
          <w:sz w:val="22"/>
          <w:szCs w:val="22"/>
          <w:color w:val="00249C"/>
        </w:rPr>
      </w:pPr>
    </w:p>
    <w:p>
      <w:pPr>
        <w:ind w:left="340" w:right="700" w:hanging="332"/>
        <w:spacing w:after="0" w:line="255" w:lineRule="auto"/>
        <w:tabs>
          <w:tab w:leader="none" w:pos="340"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Admiral Roughead's service as a trustee of Johns Hopkins University and a member of the Board of Managers of Johns Hopkins University Applied Physics Laboratory;</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Mr. Schoewe's service as a member of the Board of Directors of General Motors;</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Mr. Turley's service as a member of the Board of Directors of Citigroup and Emerson Electric; and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General Welsh's service as a member of the Board of Directors of the Air Force Association.</w:t>
      </w:r>
    </w:p>
    <w:p>
      <w:pPr>
        <w:spacing w:after="0" w:line="9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Board of Directors considered that Ms. Fudge, Mr. Gordon, Admiral Roughead and General Welsh served as members of the boards of organizations to which the Company made contributions during 2019 in the usual course of our charitable contributions program, as well as in connection with our matching gifts program (which limits the contributions to $10,000 per year per director). The amounts paid were below the applicable thresholds under NYSE rules and our Principles of Corporate Governance.</w:t>
      </w:r>
    </w:p>
    <w:p>
      <w:pPr>
        <w:spacing w:after="0" w:line="69"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Following its review and the recommendation of the Governance Committee, the Board affirmatively determined that all of the directors, except Ms. Warden, are independent. The independent directors constitute approximately 92% of the members of our Board. The Board previously determined that Wesley G. Bush, who served as Chairman of the Board until his retirement from the Company and resignation from the Board on July 31, 2019, was not independent during the time he was a director.</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Director 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Bylaws and Certificate of Incorporation provide for the annual election of directors. Each director will hold office until the next annual meeting of shareholders or until his or her earlier resignation or removal. Generally, in order to be elected, a director must receive more votes cast "for" than "against" his or her election, unless one or more shareholders provide notice of an intention to nominate one or more candidates to compete with the Board's nominees for election in accordance with the procedures set forth in the Company's corporate governance documents.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Board Composition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Governance Committee actively considers the composition and diversity of the Board to ensure it is well positioned to serve the best interests of the Company and its shareholders. The Governance Committee regularly assesses what skills, experiences and other attributes can best contribute to the effective operation of the Board, particularly in light of the evolving needs of the Company. The Committee also seeks to balance experience and new perspectives. The Governance Committee identifies director candidates from a wide range of sources and may employ a third-party search firm to assist in the process.</w:t>
      </w:r>
    </w:p>
    <w:p>
      <w:pPr>
        <w:spacing w:after="0" w:line="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Governance Committee evaluates potential director candidates on the basis of the candidate's background, qualifications and experience. The Governance Committee carefully considers whether each potential candidate would be able to fulfill his or her duties to the Company consistent with Delaware law and the Company’s governing documents, including the Principles of Corporate Governance and security requirements. The Committee recommends to the full Board nominees for election.</w:t>
      </w:r>
    </w:p>
    <w:p>
      <w:pPr>
        <w:spacing w:after="0" w:line="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Shareholders may recommend director candidates for consideration by the Governance Committee pursuant to our Principles of Corporate Governance. The Governance Committee considers such director candidates recommended by shareholders similarly to other potential director candidates brought to the attention of the Governance Committee. Shareholder recommendations for director candidates under our Principles of Corporate Governance must be addressed to the Governance Committee in care of the Corporate Secretary. In addition, and as discussed immediately below, shareholders may also directly nominate director candidates in accordance with our Bylaws.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19</w:t>
      </w:r>
    </w:p>
    <w:p>
      <w:pPr>
        <w:sectPr>
          <w:pgSz w:w="11900" w:h="16838" w:orient="portrait"/>
          <w:cols w:equalWidth="0" w:num="1">
            <w:col w:w="11240"/>
          </w:cols>
          <w:pgMar w:left="320" w:top="701" w:right="339" w:bottom="1440" w:gutter="0" w:footer="0" w:header="0"/>
        </w:sectPr>
      </w:pPr>
    </w:p>
    <w:bookmarkStart w:id="26" w:name="page27"/>
    <w:bookmarkEnd w:id="26"/>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Access</w:t>
      </w:r>
    </w:p>
    <w:p>
      <w:pPr>
        <w:spacing w:after="0" w:line="11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Several years ago, the Board carefully considered the issue of proxy access. The Board and management engaged extensively with shareholders and monitored developments and best practices regarding proxy access. Management solicited and received input from shareholders, our customers and other stakeholders. The Board amended our Bylaws to provide our shareholders the right to proxy access, reflecting this extensive consideration and input.</w:t>
      </w:r>
    </w:p>
    <w:p>
      <w:pPr>
        <w:spacing w:after="0" w:line="6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Company’s proxy access bylaws, a shareholder, or a group of up to 20 shareholders, that has maintained continuous ownership of 3% or more of the Company's outstanding common stock for at least three years may include in the Company's proxy materials director nominees constituting up to the greater of two nominees or nominees constituting 20% of the number of directors in office. Director nominees may receive compensation from third parties for their candidacy, up to the total annual compensation paid to directors of the Company, as well as reimbursement for reasonable expenses, provided there is full disclosure of such compensation. Under the Company’s bylaw provisions, directors are treated similarly, whether nominated through proxy access or otherwise, and held to the same high fiduciary standards to serve all shareholders.</w:t>
      </w:r>
    </w:p>
    <w:p>
      <w:pPr>
        <w:spacing w:after="0" w:line="7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Company's Bylaws provide our shareholders with broad and meaningful access to the Company’s proxy materials while enhancing transparency, protecting the interests of all shareholders and ensuring good governance. The terms of the Company’s proxy access bylaw provisions are also broadly consistent with the terms of proxy access bylaws adopted by other Fortune 500 companies, reflecting best practices.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Governance Committee is responsible for establishing the criteria for Board membership. In nominating directors, the Governance Committee bears in mind that the foremost responsibility of a director is to represent the interests of our shareholders as a whole. The activities and associations of candidates are reviewed for any legal impediment, conflict of interest or other consideration that might prevent or interfere with service on our Board.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In evaluating candidates, the Governance Committee considers:</w:t>
      </w:r>
    </w:p>
    <w:p>
      <w:pPr>
        <w:spacing w:after="0" w:line="8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the personal integrity and the professional reputation of the individual;</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the education, professional background and particular skills and experience most beneficial to service on our Board;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how the nominee brings diversity, experience and skills valuable to the Company and Board at the time; and</w:t>
      </w:r>
    </w:p>
    <w:p>
      <w:pPr>
        <w:spacing w:after="0" w:line="120" w:lineRule="exact"/>
        <w:rPr>
          <w:rFonts w:ascii="Arial" w:cs="Arial" w:eastAsia="Arial" w:hAnsi="Arial"/>
          <w:sz w:val="22"/>
          <w:szCs w:val="22"/>
          <w:color w:val="00249C"/>
        </w:rPr>
      </w:pPr>
    </w:p>
    <w:p>
      <w:pPr>
        <w:ind w:left="340" w:right="380" w:hanging="332"/>
        <w:spacing w:after="0" w:line="255" w:lineRule="auto"/>
        <w:tabs>
          <w:tab w:leader="none" w:pos="340"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whether a director candidate is willing to submit to and obtain a background check necessary for obtaining and retaining a top secret security clearance.</w:t>
      </w:r>
    </w:p>
    <w:p>
      <w:pPr>
        <w:spacing w:after="0" w:line="7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evaluating director candidates, the Governance Committee aims to foster diversity of thought on our Board. The Governance Committee seeks to ensure diversity, including in race and gender, as well as in perspective, professional experience, education, skill and other qualities that contribute to our Board and the long-term interests of our Company and shareholders.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All new directors to the Board receive in-person orientation and training that is individually tailored, taking into account the director's experience, background, education and committee assignments. The orientation program is led by members of senior management and covers a review of our strategy and operating plans, financial statements, corporate governance and key policies and practices, as well as the roles and responsibilities of our directors.</w:t>
      </w:r>
    </w:p>
    <w:p>
      <w:pPr>
        <w:spacing w:after="0" w:line="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directors receive regular in-person training regarding our Company policies and procedures, and broad exposure to our operations and the teams. Members of senior management review with the Board the operating plan for each of our business sectors and the Company as a whole. The Board also conducts periodic site visits to our facilities as part of its regularly scheduled Board meetings. These visits allow directors to interact with a broader group of our executives and employees and gain firsthand insights into our operations.</w:t>
      </w:r>
    </w:p>
    <w:p>
      <w:pPr>
        <w:spacing w:after="0" w:line="6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Directors may also attend outside director and other continuing education programs to assist them in staying current on developments in corporate governance, our industry, the global environment and issues critical to the operation of public company boards.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701" w:right="359" w:bottom="1440" w:gutter="0" w:footer="0" w:header="0"/>
        </w:sectPr>
      </w:pPr>
    </w:p>
    <w:bookmarkStart w:id="27" w:name="page28"/>
    <w:bookmarkEnd w:id="27"/>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Board Membership and External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Directors are required to ensure that their other commitments, including for example, other board memberships, employment, partnerships and consulting arrangements, do not interfere with their duties and responsibilities as members of the Board. Directors provide notice to the General Counsel prior to accepting an invitation to serve on the board of any other organization or agreeing to other new commitments that could interfere with their duties and responsibilities as a member of the Board, and the General Counsel advises the Chairman of the Governance Committee (or the Chairman of the Board, if notice is from the Chairman of the Governance Committee). A director should not accept the new commitment until advised by the Chairman of the Governance Committee (or Chairman of the Board, as appropriate) that such engagement will not unacceptably create conflicts of interest or regulatory issues, conflict with Company policies or otherwise interfere with the director's duties and responsibilities as a member of the Board. Directors are also required promptly to inform the General Counsel if a conflict of interest arises, or they are concerned that a conflict may arise or circumstances could otherwise interfere with their duties and responsibilities as a director. Directors are required to seek to avoid even an appearance of an improper conflict of interest.</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Directors may not serve on more than three other boards of publicly traded companies in addition to our Board without the written approval of the Chairman of the Governance Committee (or Chairman of the Board, as appropriate). A director who is a full-time employee of our Company may not serve on the board of more than one other public company unless approved by the Board. When a director's principal occupation or business association changes substantially during his or her tenure as a director, the Board expects the director to tender his or her resignation for consideration by the Governance Committee, which subsequently will recommend to the Board what action to take.</w:t>
      </w:r>
    </w:p>
    <w:p>
      <w:pPr>
        <w:spacing w:after="0" w:line="7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have a retirement policy whereby a director will retire at the annual meeting following his or her 75th birthday, unless the Board determines, based on special circumstances, that it is in the Company's best interest to request that the director serve beyond such date.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Effect of Failure to Receive the Required Vote or Obtain and Retain Security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Each director is required to tender a resignation that will be effective upon (i) the failure to receive the required vote at any future meeting at which such director faces re-election, the failure to obtain top secret security clearance within 12 months of election or appointment to the Board or the failure to retain a top secret security clearance once obtained and (ii) the Board's acceptance of such resignation. If an incumbent director fails to receive the required vote for re-election or fails to obtain and retain a top secret security clearance, the Governance Committee will consider whether the Board should accept the director's resignation and will submit a recommendation for prompt consideration by the Board. The Board will decide whether to accept or reject a resignation within 90 days, unless the Board determines that compelling circumstances require additional time. The Governance Committee and the Board may consider any factor they deem relevant in deciding whether to accept a resignation, including, without limitation, any harm to our Company that may result from accepting the resignation, and the underlying reasons for the action at issue.</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Board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Board conducts annually thorough self-assessment processes at the full board level, within each committee, and at the individual director level. These processes are intended to ensure and enhance the effective operation of the Board.</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self-assessment of the full Board is overseen by the Governance Committee. As part of this assessment, the Lead Independent Director and Chairman of the Governance Committee facilitate a broad discussion of Board performance, held in executive session. Among other topics, the Board considers:</w:t>
      </w:r>
    </w:p>
    <w:p>
      <w:pPr>
        <w:spacing w:after="0" w:line="5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2"/>
          <w:szCs w:val="22"/>
          <w:color w:val="00249C"/>
        </w:rPr>
      </w:pPr>
      <w:r>
        <w:rPr>
          <w:rFonts w:ascii="Arial" w:cs="Arial" w:eastAsia="Arial" w:hAnsi="Arial"/>
          <w:sz w:val="18"/>
          <w:szCs w:val="18"/>
          <w:color w:val="auto"/>
        </w:rPr>
        <w:t>the Board's effectiveness in evaluating and monitoring the Company's business plan, long-term strategy and risks;</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7"/>
        </w:numPr>
        <w:rPr>
          <w:rFonts w:ascii="Arial" w:cs="Arial" w:eastAsia="Arial" w:hAnsi="Arial"/>
          <w:sz w:val="22"/>
          <w:szCs w:val="22"/>
          <w:color w:val="00249C"/>
        </w:rPr>
      </w:pPr>
      <w:r>
        <w:rPr>
          <w:rFonts w:ascii="Arial" w:cs="Arial" w:eastAsia="Arial" w:hAnsi="Arial"/>
          <w:sz w:val="18"/>
          <w:szCs w:val="18"/>
          <w:color w:val="auto"/>
        </w:rPr>
        <w:t>whether strategic and critical issues are being addressed by the Board in a timely manner;</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7"/>
        </w:numPr>
        <w:rPr>
          <w:rFonts w:ascii="Arial" w:cs="Arial" w:eastAsia="Arial" w:hAnsi="Arial"/>
          <w:sz w:val="22"/>
          <w:szCs w:val="22"/>
          <w:color w:val="00249C"/>
        </w:rPr>
      </w:pPr>
      <w:r>
        <w:rPr>
          <w:rFonts w:ascii="Arial" w:cs="Arial" w:eastAsia="Arial" w:hAnsi="Arial"/>
          <w:sz w:val="18"/>
          <w:szCs w:val="18"/>
          <w:color w:val="auto"/>
        </w:rPr>
        <w:t>whether the Board’s expectations and concerns are openly communicated to and discussed with the Chief Executive Officer;</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7"/>
        </w:numPr>
        <w:rPr>
          <w:rFonts w:ascii="Arial" w:cs="Arial" w:eastAsia="Arial" w:hAnsi="Arial"/>
          <w:sz w:val="22"/>
          <w:szCs w:val="22"/>
          <w:color w:val="00249C"/>
        </w:rPr>
      </w:pPr>
      <w:r>
        <w:rPr>
          <w:rFonts w:ascii="Arial" w:cs="Arial" w:eastAsia="Arial" w:hAnsi="Arial"/>
          <w:sz w:val="18"/>
          <w:szCs w:val="18"/>
          <w:color w:val="auto"/>
        </w:rPr>
        <w:t>whether there is adequate contact between the Board and members of senior management;</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7"/>
        </w:numPr>
        <w:rPr>
          <w:rFonts w:ascii="Arial" w:cs="Arial" w:eastAsia="Arial" w:hAnsi="Arial"/>
          <w:sz w:val="22"/>
          <w:szCs w:val="22"/>
          <w:color w:val="00249C"/>
        </w:rPr>
      </w:pPr>
      <w:r>
        <w:rPr>
          <w:rFonts w:ascii="Arial" w:cs="Arial" w:eastAsia="Arial" w:hAnsi="Arial"/>
          <w:sz w:val="18"/>
          <w:szCs w:val="18"/>
          <w:color w:val="auto"/>
        </w:rPr>
        <w:t>whether the directors collectively operate effectively as a Board;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7"/>
        </w:numPr>
        <w:rPr>
          <w:rFonts w:ascii="Arial" w:cs="Arial" w:eastAsia="Arial" w:hAnsi="Arial"/>
          <w:sz w:val="22"/>
          <w:szCs w:val="22"/>
          <w:color w:val="00249C"/>
        </w:rPr>
      </w:pPr>
      <w:r>
        <w:rPr>
          <w:rFonts w:ascii="Arial" w:cs="Arial" w:eastAsia="Arial" w:hAnsi="Arial"/>
          <w:sz w:val="18"/>
          <w:szCs w:val="18"/>
          <w:color w:val="auto"/>
        </w:rPr>
        <w:t>whether the individual directors have the appropriate mix of attributes and skills to fulfill their duties as directors of the Company;</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21</w:t>
      </w:r>
    </w:p>
    <w:p>
      <w:pPr>
        <w:sectPr>
          <w:pgSz w:w="11900" w:h="16838" w:orient="portrait"/>
          <w:cols w:equalWidth="0" w:num="1">
            <w:col w:w="11240"/>
          </w:cols>
          <w:pgMar w:left="320" w:top="701" w:right="339" w:bottom="1440" w:gutter="0" w:footer="0" w:header="0"/>
        </w:sectPr>
      </w:pPr>
    </w:p>
    <w:bookmarkStart w:id="28" w:name="page29"/>
    <w:bookmarkEnd w:id="28"/>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2"/>
          <w:szCs w:val="22"/>
          <w:color w:val="00249C"/>
        </w:rPr>
      </w:pPr>
      <w:r>
        <w:rPr>
          <w:rFonts w:ascii="Arial" w:cs="Arial" w:eastAsia="Arial" w:hAnsi="Arial"/>
          <w:sz w:val="18"/>
          <w:szCs w:val="18"/>
          <w:color w:val="auto"/>
        </w:rPr>
        <w:t>whether there are adequate opportunities to raise questions and comments on issues, both inside and outside of Board meetings;</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8"/>
        </w:numPr>
        <w:rPr>
          <w:rFonts w:ascii="Arial" w:cs="Arial" w:eastAsia="Arial" w:hAnsi="Arial"/>
          <w:sz w:val="22"/>
          <w:szCs w:val="22"/>
          <w:color w:val="00249C"/>
        </w:rPr>
      </w:pPr>
      <w:r>
        <w:rPr>
          <w:rFonts w:ascii="Arial" w:cs="Arial" w:eastAsia="Arial" w:hAnsi="Arial"/>
          <w:sz w:val="18"/>
          <w:szCs w:val="18"/>
          <w:color w:val="auto"/>
        </w:rPr>
        <w:t>whether the Board has focused adequately on succession planning; and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8"/>
        </w:numPr>
        <w:rPr>
          <w:rFonts w:ascii="Arial" w:cs="Arial" w:eastAsia="Arial" w:hAnsi="Arial"/>
          <w:sz w:val="22"/>
          <w:szCs w:val="22"/>
          <w:color w:val="00249C"/>
        </w:rPr>
      </w:pPr>
      <w:r>
        <w:rPr>
          <w:rFonts w:ascii="Arial" w:cs="Arial" w:eastAsia="Arial" w:hAnsi="Arial"/>
          <w:sz w:val="18"/>
          <w:szCs w:val="18"/>
          <w:color w:val="auto"/>
        </w:rPr>
        <w:t>whether the Board is adequately responsive to shareholder communication.</w:t>
      </w:r>
    </w:p>
    <w:p>
      <w:pPr>
        <w:spacing w:after="0" w:line="94"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Following this review, the Board discusses the results and identifies opportunities for improvement, including any necessary steps to implement such improvements.</w:t>
      </w:r>
    </w:p>
    <w:p>
      <w:pPr>
        <w:spacing w:after="0" w:line="6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Each of the Committees also conducts an annual self-assessment. During an executive session led by the Committee chairperson, each Committee discusses, among other topics: whether the quality of participation and discussion at the Committee meetings is effective in facilitating the Committee’s obligations under its charter; the opportunity to engage in strategic discussion; and whether the Committee is covering the right topics in the right amount of detail. Following this discussion, the Committee develops and implements a list of action items, as appropriate.</w:t>
      </w:r>
    </w:p>
    <w:p>
      <w:pPr>
        <w:spacing w:after="0" w:line="7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Also as part of the annual self-assessment process, each non-employee director completes an individual director evaluation for each of the other non-employee directors. These assessments include, among other topics, each non-employee director’s:</w:t>
      </w:r>
    </w:p>
    <w:p>
      <w:pPr>
        <w:spacing w:after="0" w:line="5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2"/>
          <w:szCs w:val="22"/>
          <w:color w:val="00249C"/>
        </w:rPr>
      </w:pPr>
      <w:r>
        <w:rPr>
          <w:rFonts w:ascii="Arial" w:cs="Arial" w:eastAsia="Arial" w:hAnsi="Arial"/>
          <w:sz w:val="18"/>
          <w:szCs w:val="18"/>
          <w:color w:val="auto"/>
        </w:rPr>
        <w:t>understanding of the Company’s overall business and risk profile and its significant financial opportunities and plans;</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9"/>
        </w:numPr>
        <w:rPr>
          <w:rFonts w:ascii="Arial" w:cs="Arial" w:eastAsia="Arial" w:hAnsi="Arial"/>
          <w:sz w:val="22"/>
          <w:szCs w:val="22"/>
          <w:color w:val="00249C"/>
        </w:rPr>
      </w:pPr>
      <w:r>
        <w:rPr>
          <w:rFonts w:ascii="Arial" w:cs="Arial" w:eastAsia="Arial" w:hAnsi="Arial"/>
          <w:sz w:val="18"/>
          <w:szCs w:val="18"/>
          <w:color w:val="auto"/>
        </w:rPr>
        <w:t>engagement during meetings and other Board functions;</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9"/>
        </w:numPr>
        <w:rPr>
          <w:rFonts w:ascii="Arial" w:cs="Arial" w:eastAsia="Arial" w:hAnsi="Arial"/>
          <w:sz w:val="22"/>
          <w:szCs w:val="22"/>
          <w:color w:val="00249C"/>
        </w:rPr>
      </w:pPr>
      <w:r>
        <w:rPr>
          <w:rFonts w:ascii="Arial" w:cs="Arial" w:eastAsia="Arial" w:hAnsi="Arial"/>
          <w:sz w:val="18"/>
          <w:szCs w:val="18"/>
          <w:color w:val="auto"/>
        </w:rPr>
        <w:t>analysis of benefits and risks of courses of action considered by the Board; and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29"/>
        </w:numPr>
        <w:rPr>
          <w:rFonts w:ascii="Arial" w:cs="Arial" w:eastAsia="Arial" w:hAnsi="Arial"/>
          <w:sz w:val="22"/>
          <w:szCs w:val="22"/>
          <w:color w:val="00249C"/>
        </w:rPr>
      </w:pPr>
      <w:r>
        <w:rPr>
          <w:rFonts w:ascii="Arial" w:cs="Arial" w:eastAsia="Arial" w:hAnsi="Arial"/>
          <w:sz w:val="18"/>
          <w:szCs w:val="18"/>
          <w:color w:val="auto"/>
        </w:rPr>
        <w:t>appropriate respect for the views of other Board members.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Lead Independent Director or the Chairman of the Governance Committee meets with each non-employee director individually to discuss the results of his or her assessment, including comments provided by other non-employee directors. The Lead Independent Director or the Chairman of the Governance Committee reports generally on the overall results of these discussions to the Board in executive session. These evaluations also assist the Governance Committee with its recommendation for directors to be renominated for election to the Board of Directors.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Board believes that providing for strong and effective continuity of leadership is critical to the success of our Company. The Board commits significant resources to succession planning, with processes in place for the Board:</w:t>
      </w:r>
    </w:p>
    <w:p>
      <w:pPr>
        <w:spacing w:after="0" w:line="5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to evaluate the Chief Executive Officer annually based on a specific set of performance objectives;</w:t>
      </w:r>
    </w:p>
    <w:p>
      <w:pPr>
        <w:spacing w:after="0" w:line="120" w:lineRule="exact"/>
        <w:rPr>
          <w:rFonts w:ascii="Arial" w:cs="Arial" w:eastAsia="Arial" w:hAnsi="Arial"/>
          <w:sz w:val="22"/>
          <w:szCs w:val="22"/>
          <w:color w:val="00249C"/>
        </w:rPr>
      </w:pPr>
    </w:p>
    <w:p>
      <w:pPr>
        <w:ind w:left="340" w:right="780" w:hanging="332"/>
        <w:spacing w:after="0" w:line="255" w:lineRule="auto"/>
        <w:tabs>
          <w:tab w:leader="none" w:pos="34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to work with the Chief Executive Officer to support and ensure the development of potential succession candidates for the Chief Executive Officer and other leadership positions;</w:t>
      </w:r>
    </w:p>
    <w:p>
      <w:pPr>
        <w:spacing w:after="0" w:line="105" w:lineRule="exact"/>
        <w:rPr>
          <w:rFonts w:ascii="Arial" w:cs="Arial" w:eastAsia="Arial" w:hAnsi="Arial"/>
          <w:sz w:val="22"/>
          <w:szCs w:val="22"/>
          <w:color w:val="00249C"/>
        </w:rPr>
      </w:pPr>
    </w:p>
    <w:p>
      <w:pPr>
        <w:ind w:left="340" w:right="720" w:hanging="332"/>
        <w:spacing w:after="0" w:line="255" w:lineRule="auto"/>
        <w:tabs>
          <w:tab w:leader="none" w:pos="34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to discuss with the Chief Executive Officer annually an assessment of persons considered potential successors to various senior management positions; and</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robustly to consider, plan for and ensure successful transitions of leadership.</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Departure and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Mr. Bush retired from the Company on July 31, 2019, and, consistent with the requirements of the Company's Principles of Corporate Governance, he resigned from the Board of Directors at the time of his retirement from the Company. Ms. Warden, the Company's Chief Executive Officer and President, succeeded Mr. Bush as Chairman of the Board immediately following Mr. Bush's retirement. The size of the Board was reduced from 13 to 12 directors effective upon Mr. Bush's resignation.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701" w:right="339" w:bottom="1440" w:gutter="0" w:footer="0" w:header="0"/>
        </w:sectPr>
      </w:pPr>
    </w:p>
    <w:bookmarkStart w:id="29" w:name="page30"/>
    <w:bookmarkEnd w:id="29"/>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Any interested person may communicate with any of our directors, our Board as a group, our non-employee directors as a group or our Lead Independent Director through the Corporate Secretary by writing to the following address: </w:t>
      </w:r>
      <w:r>
        <w:rPr>
          <w:rFonts w:ascii="Arial" w:cs="Arial" w:eastAsia="Arial" w:hAnsi="Arial"/>
          <w:sz w:val="18"/>
          <w:szCs w:val="18"/>
          <w:b w:val="1"/>
          <w:bCs w:val="1"/>
          <w:i w:val="1"/>
          <w:iCs w:val="1"/>
          <w:color w:val="auto"/>
        </w:rPr>
        <w:t>Office of the Corporate Secretary, Northrop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Grumman Corporation, 2980 Fairview Park Drive, Falls Church, Virginia 22042</w:t>
      </w:r>
      <w:r>
        <w:rPr>
          <w:rFonts w:ascii="Arial" w:cs="Arial" w:eastAsia="Arial" w:hAnsi="Arial"/>
          <w:sz w:val="18"/>
          <w:szCs w:val="18"/>
          <w:color w:val="auto"/>
        </w:rPr>
        <w:t>. The Corporate Secretary will forward correspondence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director or directors to whom it is addressed, except for job inquiries, surveys, business solicitations or advertisements and other inappropriate material. The Corporate Secretary may forward certain correspondence elsewhere within our Company for review and possible response.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Board has met with, and looks forward to the opportunity to meet with, interested shareholders to address concerns and to receive input.</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Interested persons may also report any concerns relating to accounting matters, internal accounting controls or auditing matters to non-management directors (including anonymously) by writing directly to the Chairman of the Audit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Northrop Grumman Board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Directors c/o Corporate Ethics Office, 2980 Fairview Park Drive, Falls Church, Virginia 22042</w:t>
      </w:r>
      <w:r>
        <w:rPr>
          <w:rFonts w:ascii="Arial" w:cs="Arial" w:eastAsia="Arial" w:hAnsi="Arial"/>
          <w:sz w:val="18"/>
          <w:szCs w:val="18"/>
          <w:color w:val="auto"/>
        </w:rPr>
        <w:t>.</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Corporate Responsibility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Corporate responsibility and sustainability are critical to our business and long-term value creation for our shareholders, customers, employees, communities and suppliers. Our strong culture — founded in ethics, integrity, diversity and inclusion, and focused on enduring performance, innovation, accountability and long-term profitable growth — enables our success. Strong environmental, social and governance (ESG) programs and practices help us attract and retain the best talent, perform for our customers, serve as responsible corporate citizens in the communities we operate, and create long-term value for our stakeholders.</w:t>
      </w:r>
    </w:p>
    <w:p>
      <w:pPr>
        <w:spacing w:after="0" w:line="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of Directors provides leadership and oversight with respect to ESG practices, and regularly receives reports from management on these issues. The Policy Committee reviews, monitors and provides oversight of the Company's policies and programs for ethics and standards of business conduct, corporate responsibility, environmental matters, human rights, employee health and safety, and corporate citizenship and charitable programs. The Governance Committee oversees matters related to corporate governance, the board and shareholder rights, and our corporate culture. The Compensation Committee provides oversight of compensation programs and the Company's management of its human capital, including the Company's focus on diversity and inclusion. The full Board regularly receives reports from the Committees and management, meets with employees across our business, and addresses in depth a full range of issues referred to broadly as sustainability.</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commitment to strong corporate responsibility and sustainability is demonstrated by the incorporation of non-financial ESG performance metrics into our annual incentive compensation program. See page 45 in the Compensation Discussion and Analysis section. We engage with a variety of stakeholders -- including shareholders, employees, customers and community advocates -- and regularly obtain feedback on our ESG performance.</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Sustainability Report provides our stakeholders detailed information on various ESG programs, goals, and achievements. The report, our ESG Performance Data Matrix, and other ESG-related disclosures are available at </w:t>
      </w:r>
      <w:r>
        <w:rPr>
          <w:rFonts w:ascii="Arial" w:cs="Arial" w:eastAsia="Arial" w:hAnsi="Arial"/>
          <w:sz w:val="18"/>
          <w:szCs w:val="18"/>
          <w:i w:val="1"/>
          <w:iCs w:val="1"/>
          <w:color w:val="auto"/>
        </w:rPr>
        <w:t>https://www.northropgrumman.com/corporate-responsibility/reports-disclosures/</w:t>
      </w:r>
      <w:r>
        <w:rPr>
          <w:rFonts w:ascii="Arial" w:cs="Arial" w:eastAsia="Arial" w:hAnsi="Arial"/>
          <w:sz w:val="18"/>
          <w:szCs w:val="18"/>
          <w:i w:val="1"/>
          <w:iCs w:val="1"/>
          <w:color w:val="0563C1"/>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are proud that our corporate responsibility and sustainability programs received various notable recognitions in 2019. They include:</w:t>
      </w:r>
    </w:p>
    <w:p>
      <w:pPr>
        <w:spacing w:after="0" w:line="8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Dow Jones Sustainability North America Index for the fourth consecutive year;</w:t>
      </w:r>
    </w:p>
    <w:p>
      <w:pPr>
        <w:spacing w:after="0" w:line="84" w:lineRule="exact"/>
        <w:rPr>
          <w:rFonts w:ascii="Arial" w:cs="Arial" w:eastAsia="Arial" w:hAnsi="Arial"/>
          <w:sz w:val="22"/>
          <w:szCs w:val="22"/>
          <w:color w:val="00249C"/>
        </w:rPr>
      </w:pPr>
    </w:p>
    <w:p>
      <w:pPr>
        <w:ind w:left="660" w:hanging="328"/>
        <w:spacing w:after="0"/>
        <w:tabs>
          <w:tab w:leader="none" w:pos="66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an AA rating from MSCI for environmental, social and governance management and performance;</w:t>
      </w:r>
    </w:p>
    <w:p>
      <w:pPr>
        <w:spacing w:after="0" w:line="84" w:lineRule="exact"/>
        <w:rPr>
          <w:rFonts w:ascii="Arial" w:cs="Arial" w:eastAsia="Arial" w:hAnsi="Arial"/>
          <w:sz w:val="22"/>
          <w:szCs w:val="22"/>
          <w:color w:val="00249C"/>
        </w:rPr>
      </w:pPr>
    </w:p>
    <w:p>
      <w:pPr>
        <w:ind w:left="660" w:hanging="328"/>
        <w:spacing w:after="0"/>
        <w:tabs>
          <w:tab w:leader="none" w:pos="66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named as one of Corporate Responsibility Magazine's 100 Best Corporate Citizens;</w:t>
      </w:r>
    </w:p>
    <w:p>
      <w:pPr>
        <w:spacing w:after="0" w:line="120" w:lineRule="exact"/>
        <w:rPr>
          <w:rFonts w:ascii="Arial" w:cs="Arial" w:eastAsia="Arial" w:hAnsi="Arial"/>
          <w:sz w:val="22"/>
          <w:szCs w:val="22"/>
          <w:color w:val="00249C"/>
        </w:rPr>
      </w:pPr>
    </w:p>
    <w:p>
      <w:pPr>
        <w:ind w:left="660" w:right="260" w:hanging="328"/>
        <w:spacing w:after="0" w:line="255" w:lineRule="auto"/>
        <w:tabs>
          <w:tab w:leader="none" w:pos="66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one of DiversityInc's Top 50 Companies for Diversity for the tenth year in a row and number one for both veterans and people with disabilities;</w:t>
      </w:r>
    </w:p>
    <w:p>
      <w:pPr>
        <w:spacing w:after="0" w:line="105" w:lineRule="exact"/>
        <w:rPr>
          <w:rFonts w:ascii="Arial" w:cs="Arial" w:eastAsia="Arial" w:hAnsi="Arial"/>
          <w:sz w:val="22"/>
          <w:szCs w:val="22"/>
          <w:color w:val="00249C"/>
        </w:rPr>
      </w:pPr>
    </w:p>
    <w:p>
      <w:pPr>
        <w:ind w:left="660" w:right="20" w:hanging="328"/>
        <w:spacing w:after="0" w:line="255" w:lineRule="auto"/>
        <w:tabs>
          <w:tab w:leader="none" w:pos="66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received the highest ranking for the fifth year in a row on the Disability Equality Index and named a “Best Place to Work For Disability Inclusion;”</w:t>
      </w:r>
    </w:p>
    <w:p>
      <w:pPr>
        <w:spacing w:after="0" w:line="69" w:lineRule="exact"/>
        <w:rPr>
          <w:rFonts w:ascii="Arial" w:cs="Arial" w:eastAsia="Arial" w:hAnsi="Arial"/>
          <w:sz w:val="22"/>
          <w:szCs w:val="22"/>
          <w:color w:val="00249C"/>
        </w:rPr>
      </w:pPr>
    </w:p>
    <w:p>
      <w:pPr>
        <w:ind w:left="660" w:hanging="328"/>
        <w:spacing w:after="0"/>
        <w:tabs>
          <w:tab w:leader="none" w:pos="66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achieved a perfect score on the Corporate Equality Index and designated a “Best Place to Work for LGBTQ Equality;”</w:t>
      </w:r>
    </w:p>
    <w:p>
      <w:pPr>
        <w:spacing w:after="0" w:line="84" w:lineRule="exact"/>
        <w:rPr>
          <w:rFonts w:ascii="Arial" w:cs="Arial" w:eastAsia="Arial" w:hAnsi="Arial"/>
          <w:sz w:val="22"/>
          <w:szCs w:val="22"/>
          <w:color w:val="00249C"/>
        </w:rPr>
      </w:pPr>
    </w:p>
    <w:p>
      <w:pPr>
        <w:ind w:left="660" w:hanging="328"/>
        <w:spacing w:after="0"/>
        <w:tabs>
          <w:tab w:leader="none" w:pos="66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a leadership score of A- in CDP’s 2019 climate change program for the eighth consecutive year; and</w:t>
      </w:r>
    </w:p>
    <w:p>
      <w:pPr>
        <w:spacing w:after="0" w:line="84" w:lineRule="exact"/>
        <w:rPr>
          <w:rFonts w:ascii="Arial" w:cs="Arial" w:eastAsia="Arial" w:hAnsi="Arial"/>
          <w:sz w:val="22"/>
          <w:szCs w:val="22"/>
          <w:color w:val="00249C"/>
        </w:rPr>
      </w:pPr>
    </w:p>
    <w:p>
      <w:pPr>
        <w:ind w:left="660" w:hanging="328"/>
        <w:spacing w:after="0"/>
        <w:tabs>
          <w:tab w:leader="none" w:pos="66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a ranking by Indeed as one of the 50 Top-Rated Workplaces.</w:t>
      </w:r>
    </w:p>
    <w:p>
      <w:pPr>
        <w:sectPr>
          <w:pgSz w:w="11900" w:h="16838" w:orient="portrait"/>
          <w:cols w:equalWidth="0" w:num="1">
            <w:col w:w="11240"/>
          </w:cols>
          <w:pgMar w:left="320" w:top="701" w:right="339" w:bottom="1440" w:gutter="0" w:footer="0" w:header="0"/>
        </w:sectPr>
      </w:pPr>
    </w:p>
    <w:p>
      <w:pPr>
        <w:spacing w:after="0" w:line="310"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23</w:t>
      </w:r>
    </w:p>
    <w:p>
      <w:pPr>
        <w:sectPr>
          <w:pgSz w:w="11900" w:h="16838" w:orient="portrait"/>
          <w:cols w:equalWidth="0" w:num="1">
            <w:col w:w="11240"/>
          </w:cols>
          <w:pgMar w:left="320" w:top="701" w:right="3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is committed to maintaining a strong culture with a deep respect for individuals and human rights. We have adopted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numerous policies, procedures and practices to reflect and implement this broad commitment. The Company recently enhanced its Human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Policy to reflect better the Company's commitment. (The Policy is available on the Company's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t>
      </w:r>
      <w:r>
        <w:rPr>
          <w:rFonts w:ascii="Arial" w:cs="Arial" w:eastAsia="Arial" w:hAnsi="Arial"/>
          <w:sz w:val="18"/>
          <w:szCs w:val="18"/>
          <w:i w:val="1"/>
          <w:iCs w:val="1"/>
          <w:color w:val="auto"/>
        </w:rPr>
        <w:t>www.northropgrumman.com/corporate-responsibility/northrop-grumman-human-rights-policy/).</w:t>
      </w:r>
      <w:r>
        <w:rPr>
          <w:rFonts w:ascii="Arial" w:cs="Arial" w:eastAsia="Arial" w:hAnsi="Arial"/>
          <w:sz w:val="18"/>
          <w:szCs w:val="18"/>
          <w:color w:val="auto"/>
        </w:rPr>
        <w:t xml:space="preserve"> The Company has also established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Human Rights Working Group to help ensure our human rights program is being implemented effectively and achieving our goals.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Board of Directors oversees the Company's commitment to human rights. The Policy Committee has specific responsibility to provide oversight of the Company's human rights program, including reviewing and making recommendations for enhancements, as appropriate. The Policy Committee receives reports from our Vice President, Global Corporate Responsibility, who is also chair of the Human RIghts Working Group, on how we are implementing our Human Rights Policy and to discuss any areas of concern.</w:t>
      </w:r>
    </w:p>
    <w:p>
      <w:pPr>
        <w:spacing w:after="0" w:line="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Company’s Human Rights Policy starts with our culture and core values, including our commitment to ethics and integrity, treating everyone with respect, valuing diversity and fostering safe and inclusive environments. We work hard to nurture a culture in which each person can thrive. The Human Rights Policy makes clear our commitment to people, including our respect for the rights of employees to work in a positive work environment that treats employees with respect and dignity. As an employer, the Company strives to provide a culture where the differing points of view that we each bring to the workplace challenge us to think more broadly and enhance the overall results. The Company has 13 employee resource networks with 22,000 diverse colleagues participating that inform and implement strategies and initiatives that align with the Company's business goals and its values. The Company does not tolerate any discrimination in employment based on an individual’s protected status. We do not tolerate the use of child labor, forced labor, bonded labor, human trafficking or any other such violations of human rights. We respect the privacy of employees and business partners who trust us with their personal information.</w:t>
      </w:r>
    </w:p>
    <w:p>
      <w:pPr>
        <w:spacing w:after="0" w:line="7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Human Rights Policy addresses explicitly the Company's supply chain, making clear both that we treat our suppliers with respect and dignity, and that we require our suppliers to follow similar policies protecting human rights. We require suppliers to adhere to a detailed Supplier Code of Conduct, which articulates our requirement for ethical conduct and social responsibility at all tiers of our supply base. The Supplier Code of Conduct specifically requires our suppliers to protect the rights of workers and prohibits the use of forced labor of any kind. Before entering into supply agreements, we undertake due diligence on potential suppliers to assess whether they will be able to meet our requirements, and we continue to monitor their performance during the contract period.</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Human Rights Policy also addresses various processes the Company follows to consider a wide range of potential risks - including risks to human rights - as it develops products and determines whether to undertake certain business opportunities. For example, the Company has robust procedures to help ensure we do not do business in countries or sell products to customers that are not properly approved by our government, or, even if permissible, where the risk - to human rights or, more broadly, the reputation of the Company - is too significant.</w:t>
      </w:r>
    </w:p>
    <w:p>
      <w:pPr>
        <w:spacing w:after="0" w:line="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Northrop Grumman and its employees, being a good corporate citizen means improving the lives of the people in the communities where we live and work. As the Human RIghts Policy makes clear, we invest in our communities, supporting a wide range of activities and causes around the globe. Our current efforts are focused on issues of education/STEM, diversity and inclusion, human dignity, veterans and environmental stewardship, to name a few.</w:t>
      </w:r>
    </w:p>
    <w:p>
      <w:pPr>
        <w:spacing w:after="0" w:line="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noted above, the Human RIghts Policy provides for a Human Rights Working Group, tasked to help ensure that our Human Rights Policy is being implemented effectively and achieving our goals . The Working Group is led by the Office of Global Corporate Responsibility and includes senior representatives from, among others, Global Supply Chain, Human Resources, Legal, Strategy, Investor Relations, Contracts, EHS, Business Development and Operations.</w:t>
      </w:r>
    </w:p>
    <w:p>
      <w:pPr>
        <w:spacing w:after="0" w:line="6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Human Rights Policy provides employees with various well-defined reporting channels when they believe there may have been a violation of the Policy. Concerns are investigated and corrective actions are taken.</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Policy is also reinforced through communications and with robust training. Our Sustainability Report provides additional background and information on our human rights programs.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Company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 strong corporate culture, which is founded in ethics and integrity and respect. We value diversity and inclusion and generate trust. We work together to deliver on our commitments to our customers, employees, shareholders and those with whom we work. Our culture is focused on breaking barriers and doing what others think is impossible. We are responsible environmental stewards and seek to give back to the communities in which we operate. Our culture enables long-term profitable growth and value creation for our shareholders and other stakeholders, while also maintaining a focus on safety and sustainability.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701" w:right="359" w:bottom="1440" w:gutter="0" w:footer="0" w:header="0"/>
        </w:sectPr>
      </w:pPr>
    </w:p>
    <w:bookmarkStart w:id="31" w:name="page32"/>
    <w:bookmarkEnd w:id="31"/>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all have a shared responsibility to maintain and enhance our culture. We work to ensure our employees feel that it is safe to speak up, to challenge how things are done and raise concerns without fear of retribution. There are many avenues to report concerns, including through one's manager, to ethics officers or members of our human resource and law departments, or through the OpenLine reporting system, which give employees, business partners, suppliers and other stakeholders resources to seek guidance on ethics questions or report suspected violations of law or Company policy.</w:t>
      </w:r>
    </w:p>
    <w:p>
      <w:pPr>
        <w:spacing w:after="0" w:line="20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promotes giving back to the community. The Company continually strives to be a good corporate citizen and encourages volunteerism, including honoring employees who have demonstrated commitment to volunteerism. The Company annually contributes to numerous charitable organizations, including those with a focus on STEM education and veterans.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establishes and reinforces the Company's culture, and our Board and its Committees are actively engaged in providing oversight. The Board is committed to sustaining and enhancing the Company's strong culture with an engaged, diverse and inclusive workforce. The Company conducts an annual employee engagement survey, which gives our employees the opportunity to provide feedback on our Company culture. This survey is managed by a third-party vendor to encourage candor and solicit feedback on many aspects of engagement, including how our employees perceive Company leadership, and issues of accountability, inclusion and career development. The results of this survey are reported to and discussed with the full Board annually. The Board also meets regularly with employees at all levels to reaffirm the health of our culture. The Board meets with employees during site visits that are critical part of Board meetings, and also during "Sector Days," when our directors visit the operations without members of senior leadership present. Members of our Board also often share their time by generously participating as speakers in Company leadership programs.</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Committees of the Board oversee elements of the Company's culture associated with their respective area of responsibility. The Audit and Risk Committee reviews and discusses the Company's global compliance policies and programs with our General Counsel and Chief Compliance Officer, including the tone set by leaders throughout the organization, and meets quarterly with our Vice President, Global Corporate Responsibility to receive a report on issues that are received through the Company's OpenLine reporting system. The Compensation Committee reviews with the Chief Human Resources Officer the Company's human capital management, monitors policies and practices with respect to diversity and equal employment opportunity, and reviews a risk assessment of the Company's compensation programs. The Governance Committee provides the board oversight of the Company's corporate culture, with a focus on governance-related risks. The Policy Committee receives at least annually a report from our Vice President, Global Corporate Responsibility regarding our ethics and corporate responsibility programs, including our Standards of Business Conduct, and reviews and monitors practices with respect to sustainability and environmental matters, human rights, health and safety, and charitable organizations.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25</w:t>
      </w:r>
    </w:p>
    <w:p>
      <w:pPr>
        <w:sectPr>
          <w:pgSz w:w="11900" w:h="16838" w:orient="portrait"/>
          <w:cols w:equalWidth="0" w:num="1">
            <w:col w:w="11240"/>
          </w:cols>
          <w:pgMar w:left="320" w:top="701" w:right="339" w:bottom="1440" w:gutter="0" w:footer="0" w:header="0"/>
        </w:sectPr>
      </w:pPr>
    </w:p>
    <w:bookmarkStart w:id="32" w:name="page33"/>
    <w:bookmarkEnd w:id="32"/>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Compensation Committee, with the assistance of its independent compensation consultant, is responsible for reviewing and recommending for approval the compensation of the non-employee directors. At the request of the Compensation Committee, the independent compensation consultant prepares annually a comprehensive benchmarking of our non-employee director compensation program against the compensation programs offered by our Target Industry Peer Group (the same peer group against which executive compensation is compared). Consistent with this benchmarking, the overarching approach for non-employee director compensation is to target approximately the 50th percentile of the Target Industry Peer Group and to align our director compensation with our shareholders' interests.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May 2019, the Compensation Committee recommended to the Board, and the Board approved, the current non-employee director fee structure, effective May 15, 2019. The table below lists the annual fees payable to our non-employee directors from January 1, 2019 to May 14, 2019 under the prior fee structure and the annual fees payable under the current fee structure effective May 15, 2019.</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98"/>
        </w:trPr>
        <w:tc>
          <w:tcPr>
            <w:tcW w:w="4660" w:type="dxa"/>
            <w:vAlign w:val="bottom"/>
            <w:shd w:val="clear" w:color="auto" w:fill="00249C"/>
          </w:tcPr>
          <w:p>
            <w:pPr>
              <w:spacing w:after="0"/>
              <w:rPr>
                <w:sz w:val="17"/>
                <w:szCs w:val="17"/>
                <w:color w:val="auto"/>
              </w:rPr>
            </w:pPr>
          </w:p>
        </w:tc>
        <w:tc>
          <w:tcPr>
            <w:tcW w:w="3160" w:type="dxa"/>
            <w:vAlign w:val="bottom"/>
            <w:shd w:val="clear" w:color="auto" w:fill="00249C"/>
          </w:tcPr>
          <w:p>
            <w:pPr>
              <w:ind w:left="1840"/>
              <w:spacing w:after="0"/>
              <w:rPr>
                <w:sz w:val="20"/>
                <w:szCs w:val="20"/>
                <w:color w:val="auto"/>
              </w:rPr>
            </w:pPr>
            <w:r>
              <w:rPr>
                <w:rFonts w:ascii="Arial" w:cs="Arial" w:eastAsia="Arial" w:hAnsi="Arial"/>
                <w:sz w:val="16"/>
                <w:szCs w:val="16"/>
                <w:b w:val="1"/>
                <w:bCs w:val="1"/>
                <w:color w:val="FFFFFF"/>
              </w:rPr>
              <w:t>Amount ($)</w:t>
            </w:r>
          </w:p>
        </w:tc>
        <w:tc>
          <w:tcPr>
            <w:tcW w:w="2280" w:type="dxa"/>
            <w:vAlign w:val="bottom"/>
            <w:shd w:val="clear" w:color="auto" w:fill="00249C"/>
          </w:tcPr>
          <w:p>
            <w:pPr>
              <w:ind w:left="600"/>
              <w:spacing w:after="0"/>
              <w:rPr>
                <w:sz w:val="20"/>
                <w:szCs w:val="20"/>
                <w:color w:val="auto"/>
              </w:rPr>
            </w:pPr>
            <w:r>
              <w:rPr>
                <w:rFonts w:ascii="Arial" w:cs="Arial" w:eastAsia="Arial" w:hAnsi="Arial"/>
                <w:sz w:val="16"/>
                <w:szCs w:val="16"/>
                <w:b w:val="1"/>
                <w:bCs w:val="1"/>
                <w:color w:val="FFFFFF"/>
              </w:rPr>
              <w:t>Amount ($)</w:t>
            </w:r>
          </w:p>
        </w:tc>
      </w:tr>
      <w:tr>
        <w:trPr>
          <w:trHeight w:val="234"/>
        </w:trPr>
        <w:tc>
          <w:tcPr>
            <w:tcW w:w="4660" w:type="dxa"/>
            <w:vAlign w:val="bottom"/>
            <w:shd w:val="clear" w:color="auto" w:fill="00249C"/>
          </w:tcPr>
          <w:p>
            <w:pPr>
              <w:ind w:left="20"/>
              <w:spacing w:after="0"/>
              <w:rPr>
                <w:sz w:val="20"/>
                <w:szCs w:val="20"/>
                <w:color w:val="auto"/>
              </w:rPr>
            </w:pPr>
            <w:r>
              <w:rPr>
                <w:rFonts w:ascii="Arial" w:cs="Arial" w:eastAsia="Arial" w:hAnsi="Arial"/>
                <w:sz w:val="16"/>
                <w:szCs w:val="16"/>
                <w:b w:val="1"/>
                <w:bCs w:val="1"/>
                <w:color w:val="FFFFFF"/>
              </w:rPr>
              <w:t>Compensation Element</w:t>
            </w:r>
          </w:p>
        </w:tc>
        <w:tc>
          <w:tcPr>
            <w:tcW w:w="3160" w:type="dxa"/>
            <w:vAlign w:val="bottom"/>
            <w:shd w:val="clear" w:color="auto" w:fill="00249C"/>
          </w:tcPr>
          <w:p>
            <w:pPr>
              <w:jc w:val="center"/>
              <w:ind w:left="1279"/>
              <w:spacing w:after="0"/>
              <w:rPr>
                <w:sz w:val="20"/>
                <w:szCs w:val="20"/>
                <w:color w:val="auto"/>
              </w:rPr>
            </w:pPr>
            <w:r>
              <w:rPr>
                <w:rFonts w:ascii="Arial" w:cs="Arial" w:eastAsia="Arial" w:hAnsi="Arial"/>
                <w:sz w:val="16"/>
                <w:szCs w:val="16"/>
                <w:b w:val="1"/>
                <w:bCs w:val="1"/>
                <w:color w:val="FFFFFF"/>
              </w:rPr>
              <w:t>(1/1/19- 5/14/19)</w:t>
            </w:r>
          </w:p>
        </w:tc>
        <w:tc>
          <w:tcPr>
            <w:tcW w:w="2280" w:type="dxa"/>
            <w:vAlign w:val="bottom"/>
            <w:shd w:val="clear" w:color="auto" w:fill="00249C"/>
          </w:tcPr>
          <w:p>
            <w:pPr>
              <w:jc w:val="center"/>
              <w:ind w:right="179"/>
              <w:spacing w:after="0"/>
              <w:rPr>
                <w:sz w:val="20"/>
                <w:szCs w:val="20"/>
                <w:color w:val="auto"/>
              </w:rPr>
            </w:pPr>
            <w:r>
              <w:rPr>
                <w:rFonts w:ascii="Arial" w:cs="Arial" w:eastAsia="Arial" w:hAnsi="Arial"/>
                <w:sz w:val="16"/>
                <w:szCs w:val="16"/>
                <w:b w:val="1"/>
                <w:bCs w:val="1"/>
                <w:color w:val="FFFFFF"/>
              </w:rPr>
              <w:t>(5/15/19 - 12/31/19)</w:t>
            </w:r>
          </w:p>
        </w:tc>
      </w:tr>
      <w:tr>
        <w:trPr>
          <w:trHeight w:val="270"/>
        </w:trPr>
        <w:tc>
          <w:tcPr>
            <w:tcW w:w="4660" w:type="dxa"/>
            <w:vAlign w:val="bottom"/>
            <w:shd w:val="clear" w:color="auto" w:fill="CCD4DB"/>
          </w:tcPr>
          <w:p>
            <w:pPr>
              <w:ind w:left="20"/>
              <w:spacing w:after="0"/>
              <w:rPr>
                <w:sz w:val="20"/>
                <w:szCs w:val="20"/>
                <w:color w:val="auto"/>
              </w:rPr>
            </w:pPr>
            <w:r>
              <w:rPr>
                <w:rFonts w:ascii="Arial" w:cs="Arial" w:eastAsia="Arial" w:hAnsi="Arial"/>
                <w:sz w:val="16"/>
                <w:szCs w:val="16"/>
                <w:color w:val="auto"/>
              </w:rPr>
              <w:t>Annual Cash Retainer</w:t>
            </w:r>
          </w:p>
        </w:tc>
        <w:tc>
          <w:tcPr>
            <w:tcW w:w="3160" w:type="dxa"/>
            <w:vAlign w:val="bottom"/>
            <w:shd w:val="clear" w:color="auto" w:fill="CCD4DB"/>
          </w:tcPr>
          <w:p>
            <w:pPr>
              <w:jc w:val="center"/>
              <w:ind w:left="1299"/>
              <w:spacing w:after="0"/>
              <w:rPr>
                <w:sz w:val="20"/>
                <w:szCs w:val="20"/>
                <w:color w:val="auto"/>
              </w:rPr>
            </w:pPr>
            <w:r>
              <w:rPr>
                <w:rFonts w:ascii="Arial" w:cs="Arial" w:eastAsia="Arial" w:hAnsi="Arial"/>
                <w:sz w:val="16"/>
                <w:szCs w:val="16"/>
                <w:color w:val="auto"/>
              </w:rPr>
              <w:t>127,500</w:t>
            </w:r>
          </w:p>
        </w:tc>
        <w:tc>
          <w:tcPr>
            <w:tcW w:w="2280" w:type="dxa"/>
            <w:vAlign w:val="bottom"/>
            <w:shd w:val="clear" w:color="auto" w:fill="CCD4DB"/>
          </w:tcPr>
          <w:p>
            <w:pPr>
              <w:jc w:val="center"/>
              <w:ind w:right="159"/>
              <w:spacing w:after="0"/>
              <w:rPr>
                <w:sz w:val="20"/>
                <w:szCs w:val="20"/>
                <w:color w:val="auto"/>
              </w:rPr>
            </w:pPr>
            <w:r>
              <w:rPr>
                <w:rFonts w:ascii="Arial" w:cs="Arial" w:eastAsia="Arial" w:hAnsi="Arial"/>
                <w:sz w:val="16"/>
                <w:szCs w:val="16"/>
                <w:color w:val="auto"/>
              </w:rPr>
              <w:t>130,000</w:t>
            </w:r>
          </w:p>
        </w:tc>
      </w:tr>
      <w:tr>
        <w:trPr>
          <w:trHeight w:val="274"/>
        </w:trPr>
        <w:tc>
          <w:tcPr>
            <w:tcW w:w="4660" w:type="dxa"/>
            <w:vAlign w:val="bottom"/>
          </w:tcPr>
          <w:p>
            <w:pPr>
              <w:ind w:left="20"/>
              <w:spacing w:after="0"/>
              <w:rPr>
                <w:sz w:val="20"/>
                <w:szCs w:val="20"/>
                <w:color w:val="auto"/>
              </w:rPr>
            </w:pPr>
            <w:r>
              <w:rPr>
                <w:rFonts w:ascii="Arial" w:cs="Arial" w:eastAsia="Arial" w:hAnsi="Arial"/>
                <w:sz w:val="16"/>
                <w:szCs w:val="16"/>
                <w:color w:val="auto"/>
              </w:rPr>
              <w:t>Lead Independent Director Retainer</w:t>
            </w:r>
          </w:p>
        </w:tc>
        <w:tc>
          <w:tcPr>
            <w:tcW w:w="3160" w:type="dxa"/>
            <w:vAlign w:val="bottom"/>
          </w:tcPr>
          <w:p>
            <w:pPr>
              <w:jc w:val="center"/>
              <w:ind w:left="1299"/>
              <w:spacing w:after="0"/>
              <w:rPr>
                <w:sz w:val="20"/>
                <w:szCs w:val="20"/>
                <w:color w:val="auto"/>
              </w:rPr>
            </w:pPr>
            <w:r>
              <w:rPr>
                <w:rFonts w:ascii="Arial" w:cs="Arial" w:eastAsia="Arial" w:hAnsi="Arial"/>
                <w:sz w:val="16"/>
                <w:szCs w:val="16"/>
                <w:color w:val="auto"/>
              </w:rPr>
              <w:t>35,000</w:t>
            </w:r>
          </w:p>
        </w:tc>
        <w:tc>
          <w:tcPr>
            <w:tcW w:w="2280" w:type="dxa"/>
            <w:vAlign w:val="bottom"/>
          </w:tcPr>
          <w:p>
            <w:pPr>
              <w:jc w:val="center"/>
              <w:ind w:right="179"/>
              <w:spacing w:after="0"/>
              <w:rPr>
                <w:sz w:val="20"/>
                <w:szCs w:val="20"/>
                <w:color w:val="auto"/>
              </w:rPr>
            </w:pPr>
            <w:r>
              <w:rPr>
                <w:rFonts w:ascii="Arial" w:cs="Arial" w:eastAsia="Arial" w:hAnsi="Arial"/>
                <w:sz w:val="16"/>
                <w:szCs w:val="16"/>
                <w:color w:val="auto"/>
              </w:rPr>
              <w:t>35,000</w:t>
            </w:r>
          </w:p>
        </w:tc>
      </w:tr>
      <w:tr>
        <w:trPr>
          <w:trHeight w:val="273"/>
        </w:trPr>
        <w:tc>
          <w:tcPr>
            <w:tcW w:w="466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6"/>
                <w:szCs w:val="16"/>
                <w:color w:val="auto"/>
              </w:rPr>
              <w:t>Audit Committee Retainer</w:t>
            </w:r>
          </w:p>
        </w:tc>
        <w:tc>
          <w:tcPr>
            <w:tcW w:w="3160" w:type="dxa"/>
            <w:vAlign w:val="bottom"/>
            <w:tcBorders>
              <w:bottom w:val="single" w:sz="8" w:color="CCD4DB"/>
            </w:tcBorders>
            <w:shd w:val="clear" w:color="auto" w:fill="CCD4DB"/>
          </w:tcPr>
          <w:p>
            <w:pPr>
              <w:jc w:val="center"/>
              <w:ind w:left="1299"/>
              <w:spacing w:after="0"/>
              <w:rPr>
                <w:sz w:val="20"/>
                <w:szCs w:val="20"/>
                <w:color w:val="auto"/>
              </w:rPr>
            </w:pPr>
            <w:r>
              <w:rPr>
                <w:rFonts w:ascii="Arial" w:cs="Arial" w:eastAsia="Arial" w:hAnsi="Arial"/>
                <w:sz w:val="16"/>
                <w:szCs w:val="16"/>
                <w:color w:val="auto"/>
              </w:rPr>
              <w:t>10,000</w:t>
            </w:r>
          </w:p>
        </w:tc>
        <w:tc>
          <w:tcPr>
            <w:tcW w:w="2280" w:type="dxa"/>
            <w:vAlign w:val="bottom"/>
            <w:tcBorders>
              <w:bottom w:val="single" w:sz="8" w:color="CCD4DB"/>
            </w:tcBorders>
            <w:shd w:val="clear" w:color="auto" w:fill="CCD4DB"/>
          </w:tcPr>
          <w:p>
            <w:pPr>
              <w:jc w:val="center"/>
              <w:ind w:right="179"/>
              <w:spacing w:after="0"/>
              <w:rPr>
                <w:sz w:val="20"/>
                <w:szCs w:val="20"/>
                <w:color w:val="auto"/>
              </w:rPr>
            </w:pPr>
            <w:r>
              <w:rPr>
                <w:rFonts w:ascii="Arial" w:cs="Arial" w:eastAsia="Arial" w:hAnsi="Arial"/>
                <w:sz w:val="16"/>
                <w:szCs w:val="16"/>
                <w:color w:val="auto"/>
              </w:rPr>
              <w:t>10,000</w:t>
            </w: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Audit Committee Chair Retainer</w:t>
            </w:r>
          </w:p>
        </w:tc>
        <w:tc>
          <w:tcPr>
            <w:tcW w:w="3160" w:type="dxa"/>
            <w:vAlign w:val="bottom"/>
          </w:tcPr>
          <w:p>
            <w:pPr>
              <w:jc w:val="center"/>
              <w:ind w:left="1299"/>
              <w:spacing w:after="0"/>
              <w:rPr>
                <w:sz w:val="20"/>
                <w:szCs w:val="20"/>
                <w:color w:val="auto"/>
              </w:rPr>
            </w:pPr>
            <w:r>
              <w:rPr>
                <w:rFonts w:ascii="Arial" w:cs="Arial" w:eastAsia="Arial" w:hAnsi="Arial"/>
                <w:sz w:val="16"/>
                <w:szCs w:val="16"/>
                <w:color w:val="auto"/>
              </w:rPr>
              <w:t>20,000</w:t>
            </w:r>
          </w:p>
        </w:tc>
        <w:tc>
          <w:tcPr>
            <w:tcW w:w="2280" w:type="dxa"/>
            <w:vAlign w:val="bottom"/>
          </w:tcPr>
          <w:p>
            <w:pPr>
              <w:jc w:val="center"/>
              <w:ind w:right="179"/>
              <w:spacing w:after="0"/>
              <w:rPr>
                <w:sz w:val="20"/>
                <w:szCs w:val="20"/>
                <w:color w:val="auto"/>
              </w:rPr>
            </w:pPr>
            <w:r>
              <w:rPr>
                <w:rFonts w:ascii="Arial" w:cs="Arial" w:eastAsia="Arial" w:hAnsi="Arial"/>
                <w:sz w:val="16"/>
                <w:szCs w:val="16"/>
                <w:color w:val="auto"/>
              </w:rPr>
              <w:t>20,000</w:t>
            </w:r>
          </w:p>
        </w:tc>
      </w:tr>
      <w:tr>
        <w:trPr>
          <w:trHeight w:val="46"/>
        </w:trPr>
        <w:tc>
          <w:tcPr>
            <w:tcW w:w="46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264"/>
        </w:trPr>
        <w:tc>
          <w:tcPr>
            <w:tcW w:w="466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6"/>
                <w:szCs w:val="16"/>
                <w:color w:val="auto"/>
              </w:rPr>
              <w:t>Compensation Committee Chair Retainer</w:t>
            </w:r>
          </w:p>
        </w:tc>
        <w:tc>
          <w:tcPr>
            <w:tcW w:w="3160" w:type="dxa"/>
            <w:vAlign w:val="bottom"/>
            <w:tcBorders>
              <w:bottom w:val="single" w:sz="8" w:color="CCD4DB"/>
            </w:tcBorders>
            <w:shd w:val="clear" w:color="auto" w:fill="CCD4DB"/>
          </w:tcPr>
          <w:p>
            <w:pPr>
              <w:jc w:val="center"/>
              <w:ind w:left="1299"/>
              <w:spacing w:after="0"/>
              <w:rPr>
                <w:sz w:val="20"/>
                <w:szCs w:val="20"/>
                <w:color w:val="auto"/>
              </w:rPr>
            </w:pPr>
            <w:r>
              <w:rPr>
                <w:rFonts w:ascii="Arial" w:cs="Arial" w:eastAsia="Arial" w:hAnsi="Arial"/>
                <w:sz w:val="16"/>
                <w:szCs w:val="16"/>
                <w:color w:val="auto"/>
              </w:rPr>
              <w:t>20,000</w:t>
            </w:r>
          </w:p>
        </w:tc>
        <w:tc>
          <w:tcPr>
            <w:tcW w:w="2280" w:type="dxa"/>
            <w:vAlign w:val="bottom"/>
            <w:tcBorders>
              <w:bottom w:val="single" w:sz="8" w:color="CCD4DB"/>
            </w:tcBorders>
            <w:shd w:val="clear" w:color="auto" w:fill="CCD4DB"/>
          </w:tcPr>
          <w:p>
            <w:pPr>
              <w:jc w:val="center"/>
              <w:ind w:right="179"/>
              <w:spacing w:after="0"/>
              <w:rPr>
                <w:sz w:val="20"/>
                <w:szCs w:val="20"/>
                <w:color w:val="auto"/>
              </w:rPr>
            </w:pPr>
            <w:r>
              <w:rPr>
                <w:rFonts w:ascii="Arial" w:cs="Arial" w:eastAsia="Arial" w:hAnsi="Arial"/>
                <w:sz w:val="16"/>
                <w:szCs w:val="16"/>
                <w:color w:val="auto"/>
              </w:rPr>
              <w:t>20,000</w:t>
            </w: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Governance Committee Chair Retainer</w:t>
            </w:r>
          </w:p>
        </w:tc>
        <w:tc>
          <w:tcPr>
            <w:tcW w:w="3160" w:type="dxa"/>
            <w:vAlign w:val="bottom"/>
          </w:tcPr>
          <w:p>
            <w:pPr>
              <w:jc w:val="center"/>
              <w:ind w:left="1299"/>
              <w:spacing w:after="0"/>
              <w:rPr>
                <w:sz w:val="20"/>
                <w:szCs w:val="20"/>
                <w:color w:val="auto"/>
              </w:rPr>
            </w:pPr>
            <w:r>
              <w:rPr>
                <w:rFonts w:ascii="Arial" w:cs="Arial" w:eastAsia="Arial" w:hAnsi="Arial"/>
                <w:sz w:val="16"/>
                <w:szCs w:val="16"/>
                <w:color w:val="auto"/>
              </w:rPr>
              <w:t>20,000</w:t>
            </w:r>
          </w:p>
        </w:tc>
        <w:tc>
          <w:tcPr>
            <w:tcW w:w="2280" w:type="dxa"/>
            <w:vAlign w:val="bottom"/>
          </w:tcPr>
          <w:p>
            <w:pPr>
              <w:jc w:val="center"/>
              <w:ind w:right="179"/>
              <w:spacing w:after="0"/>
              <w:rPr>
                <w:sz w:val="20"/>
                <w:szCs w:val="20"/>
                <w:color w:val="auto"/>
              </w:rPr>
            </w:pPr>
            <w:r>
              <w:rPr>
                <w:rFonts w:ascii="Arial" w:cs="Arial" w:eastAsia="Arial" w:hAnsi="Arial"/>
                <w:sz w:val="16"/>
                <w:szCs w:val="16"/>
                <w:color w:val="auto"/>
              </w:rPr>
              <w:t>20,000</w:t>
            </w:r>
          </w:p>
        </w:tc>
      </w:tr>
      <w:tr>
        <w:trPr>
          <w:trHeight w:val="47"/>
        </w:trPr>
        <w:tc>
          <w:tcPr>
            <w:tcW w:w="46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263"/>
        </w:trPr>
        <w:tc>
          <w:tcPr>
            <w:tcW w:w="466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6"/>
                <w:szCs w:val="16"/>
                <w:color w:val="auto"/>
              </w:rPr>
              <w:t>Policy Committee Chair Retainer</w:t>
            </w:r>
          </w:p>
        </w:tc>
        <w:tc>
          <w:tcPr>
            <w:tcW w:w="3160" w:type="dxa"/>
            <w:vAlign w:val="bottom"/>
            <w:tcBorders>
              <w:bottom w:val="single" w:sz="8" w:color="CCD4DB"/>
            </w:tcBorders>
            <w:shd w:val="clear" w:color="auto" w:fill="CCD4DB"/>
          </w:tcPr>
          <w:p>
            <w:pPr>
              <w:jc w:val="center"/>
              <w:ind w:left="1299"/>
              <w:spacing w:after="0"/>
              <w:rPr>
                <w:sz w:val="20"/>
                <w:szCs w:val="20"/>
                <w:color w:val="auto"/>
              </w:rPr>
            </w:pPr>
            <w:r>
              <w:rPr>
                <w:rFonts w:ascii="Arial" w:cs="Arial" w:eastAsia="Arial" w:hAnsi="Arial"/>
                <w:sz w:val="16"/>
                <w:szCs w:val="16"/>
                <w:color w:val="auto"/>
              </w:rPr>
              <w:t>20,000</w:t>
            </w:r>
          </w:p>
        </w:tc>
        <w:tc>
          <w:tcPr>
            <w:tcW w:w="2280" w:type="dxa"/>
            <w:vAlign w:val="bottom"/>
            <w:tcBorders>
              <w:bottom w:val="single" w:sz="8" w:color="CCD4DB"/>
            </w:tcBorders>
            <w:shd w:val="clear" w:color="auto" w:fill="CCD4DB"/>
          </w:tcPr>
          <w:p>
            <w:pPr>
              <w:jc w:val="center"/>
              <w:ind w:right="179"/>
              <w:spacing w:after="0"/>
              <w:rPr>
                <w:sz w:val="20"/>
                <w:szCs w:val="20"/>
                <w:color w:val="auto"/>
              </w:rPr>
            </w:pPr>
            <w:r>
              <w:rPr>
                <w:rFonts w:ascii="Arial" w:cs="Arial" w:eastAsia="Arial" w:hAnsi="Arial"/>
                <w:sz w:val="16"/>
                <w:szCs w:val="16"/>
                <w:color w:val="auto"/>
              </w:rPr>
              <w:t>20,000</w:t>
            </w: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Annual Equity Grant (1)</w:t>
            </w:r>
          </w:p>
        </w:tc>
        <w:tc>
          <w:tcPr>
            <w:tcW w:w="3160" w:type="dxa"/>
            <w:vAlign w:val="bottom"/>
          </w:tcPr>
          <w:p>
            <w:pPr>
              <w:jc w:val="center"/>
              <w:ind w:left="1299"/>
              <w:spacing w:after="0"/>
              <w:rPr>
                <w:sz w:val="20"/>
                <w:szCs w:val="20"/>
                <w:color w:val="auto"/>
              </w:rPr>
            </w:pPr>
            <w:r>
              <w:rPr>
                <w:rFonts w:ascii="Arial" w:cs="Arial" w:eastAsia="Arial" w:hAnsi="Arial"/>
                <w:sz w:val="16"/>
                <w:szCs w:val="16"/>
                <w:color w:val="auto"/>
              </w:rPr>
              <w:t>155,000</w:t>
            </w:r>
          </w:p>
        </w:tc>
        <w:tc>
          <w:tcPr>
            <w:tcW w:w="2280" w:type="dxa"/>
            <w:vAlign w:val="bottom"/>
          </w:tcPr>
          <w:p>
            <w:pPr>
              <w:jc w:val="center"/>
              <w:ind w:right="159"/>
              <w:spacing w:after="0"/>
              <w:rPr>
                <w:sz w:val="20"/>
                <w:szCs w:val="20"/>
                <w:color w:val="auto"/>
              </w:rPr>
            </w:pPr>
            <w:r>
              <w:rPr>
                <w:rFonts w:ascii="Arial" w:cs="Arial" w:eastAsia="Arial" w:hAnsi="Arial"/>
                <w:sz w:val="16"/>
                <w:szCs w:val="16"/>
                <w:color w:val="auto"/>
              </w:rPr>
              <w:t>160,000</w:t>
            </w:r>
          </w:p>
        </w:tc>
      </w:tr>
      <w:tr>
        <w:trPr>
          <w:trHeight w:val="47"/>
        </w:trPr>
        <w:tc>
          <w:tcPr>
            <w:tcW w:w="4660" w:type="dxa"/>
            <w:vAlign w:val="bottom"/>
            <w:tcBorders>
              <w:bottom w:val="single" w:sz="8" w:color="00249C"/>
            </w:tcBorders>
          </w:tcPr>
          <w:p>
            <w:pPr>
              <w:spacing w:after="0"/>
              <w:rPr>
                <w:sz w:val="4"/>
                <w:szCs w:val="4"/>
                <w:color w:val="auto"/>
              </w:rPr>
            </w:pPr>
          </w:p>
        </w:tc>
        <w:tc>
          <w:tcPr>
            <w:tcW w:w="3160" w:type="dxa"/>
            <w:vAlign w:val="bottom"/>
            <w:tcBorders>
              <w:bottom w:val="single" w:sz="8" w:color="00249C"/>
            </w:tcBorders>
          </w:tcPr>
          <w:p>
            <w:pPr>
              <w:spacing w:after="0"/>
              <w:rPr>
                <w:sz w:val="4"/>
                <w:szCs w:val="4"/>
                <w:color w:val="auto"/>
              </w:rPr>
            </w:pPr>
          </w:p>
        </w:tc>
        <w:tc>
          <w:tcPr>
            <w:tcW w:w="2280" w:type="dxa"/>
            <w:vAlign w:val="bottom"/>
            <w:tcBorders>
              <w:bottom w:val="single" w:sz="8" w:color="00249C"/>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-367665</wp:posOffset>
            </wp:positionV>
            <wp:extent cx="64033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-728345</wp:posOffset>
            </wp:positionV>
            <wp:extent cx="64033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-1088390</wp:posOffset>
            </wp:positionV>
            <wp:extent cx="64033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130" w:lineRule="exact"/>
        <w:rPr>
          <w:sz w:val="20"/>
          <w:szCs w:val="20"/>
          <w:color w:val="auto"/>
        </w:rPr>
      </w:pPr>
    </w:p>
    <w:p>
      <w:pPr>
        <w:ind w:left="920" w:right="940" w:hanging="311"/>
        <w:spacing w:after="0" w:line="253" w:lineRule="auto"/>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annual equity grant is deferred into a stock unit account pursuant to the 2011 Long-Term Incentive Stock Plan (2011 Plan) as described below. The Northrop Grumman Equity Grant Program for Non-Employee Directors (Director Program) sets forth the terms and conditions of the equity awards granted to non-employee directors under the 2011 Plan.</w:t>
      </w:r>
    </w:p>
    <w:p>
      <w:pPr>
        <w:spacing w:after="0" w:line="22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Retainer fees are paid on a quarterly basis at the end of each quarter. To encourage directors to have a direct and material investment in shares of our common stock, non-employee directors are awarded an annual equity grant of $160,000 in the form of deferred stock units (Automatic Stock Units).</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Director Program was amended and restated effective January 1, 2016 (the Amended Director Program). Directors received an annual equity grant of Automatic Stock Units on May 16, 2018, which vested on May 16, 2019, and received an annual equity grant of Automatic Stock Units on May 15, 2019 which will vest on May 15, 2020. Under the Amended Director Program, directors may elect to have all or any portion of their Automatic Stock Units paid on (A) the earlier of (i) the beginning of a specified calendar year after the vesting date or (ii) their separation from service as a member of the Board, or (B) the vesting date. Directors may elect to defer to a later year all or a portion of their remaining cash retainer or committee retainer fees into a stock unit account as Elective Stock Units or in alternative investment options. Elective Stock Units are awarded on a calendar quarterly basis. Directors may elect to have all or a portion of their Elective Stock Units paid on the earlier of (i) the beginning of a specified calendar year or (ii) their separation from service as a member of the Board. Stock units awarded under the Amended Director Program will be paid out in an equivalent number of shares of our common stock. Deferral elections are made prior to the beginning of the year for which the retainer fees will be paid. Directors are credited with dividend equivalents in connection with the accumulated stock units until the shares of common stock related to such stock units are issued.</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Non-employee directors are eligible to participate in our Matching Gifts Program for Education. Under this program, the Northrop Grumman Foundation matches director contributions, up to $10,000 per year per director, to eligible educational programs in accordance with the program.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120"/>
          </w:cols>
          <w:pgMar w:left="320" w:top="701" w:right="459" w:bottom="1440" w:gutter="0" w:footer="0" w:header="0"/>
        </w:sectPr>
      </w:pPr>
    </w:p>
    <w:bookmarkStart w:id="33" w:name="page34"/>
    <w:bookmarkEnd w:id="33"/>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Stock Ownership Requirements and Anti-Hedging and 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Non-employee directors are required to own common stock of the Company in an amount equal to five times the annual cash retainer, with such ownership to be achieved within five years of the director's election to the Board. Deferred stock units and Company stock owned outright by the director count towards this requirement.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Anti-Hedging and Pledging Policy</w:t>
      </w:r>
    </w:p>
    <w:p>
      <w:pPr>
        <w:spacing w:after="0" w:line="107"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Company policy prohibits our directors, NEOs, other elected and appointed officers, designated employees who are subject to specific preclearance procedures under the Company’s insider trading policy and any other employees who receive performance-based compensation, from engaging in hedging, pledging or other specified transactions. Specifically, this policy prohibits such persons from: engaging in hedging or derivative transactions, such as “cashless” collars, forward contracts, equity swaps or other similar or related transactions, entering into margin transactions involving Company stock; pledging Company securities as collateral for loans or other transactions; trading in puts, calls, options, warrants or other similar derivative instruments involving Company securities; or engaging in short sales of Company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None of the shares of Company common stock held by our directors are pledged or subject to any hedging transaction.</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27</w:t>
      </w:r>
    </w:p>
    <w:p>
      <w:pPr>
        <w:sectPr>
          <w:pgSz w:w="11900" w:h="16838" w:orient="portrait"/>
          <w:cols w:equalWidth="0" w:num="1">
            <w:col w:w="11240"/>
          </w:cols>
          <w:pgMar w:left="320" w:top="701" w:right="339" w:bottom="1440" w:gutter="0" w:footer="0" w:header="0"/>
        </w:sectPr>
      </w:pPr>
    </w:p>
    <w:bookmarkStart w:id="34" w:name="page35"/>
    <w:bookmarkEnd w:id="34"/>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on the compensation of our non-employee directors for the year ended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20" w:type="dxa"/>
            <w:vAlign w:val="bottom"/>
            <w:shd w:val="clear" w:color="auto" w:fill="00249C"/>
          </w:tcPr>
          <w:p>
            <w:pPr>
              <w:spacing w:after="0"/>
              <w:rPr>
                <w:sz w:val="17"/>
                <w:szCs w:val="17"/>
                <w:color w:val="auto"/>
              </w:rPr>
            </w:pPr>
          </w:p>
        </w:tc>
        <w:tc>
          <w:tcPr>
            <w:tcW w:w="3020" w:type="dxa"/>
            <w:vAlign w:val="bottom"/>
            <w:shd w:val="clear" w:color="auto" w:fill="00249C"/>
          </w:tcPr>
          <w:p>
            <w:pPr>
              <w:ind w:left="1540"/>
              <w:spacing w:after="0"/>
              <w:rPr>
                <w:sz w:val="20"/>
                <w:szCs w:val="20"/>
                <w:color w:val="auto"/>
              </w:rPr>
            </w:pPr>
            <w:r>
              <w:rPr>
                <w:rFonts w:ascii="Arial" w:cs="Arial" w:eastAsia="Arial" w:hAnsi="Arial"/>
                <w:sz w:val="16"/>
                <w:szCs w:val="16"/>
                <w:b w:val="1"/>
                <w:bCs w:val="1"/>
                <w:color w:val="FFFFFF"/>
              </w:rPr>
              <w:t>Fees Earned or</w:t>
            </w:r>
          </w:p>
        </w:tc>
        <w:tc>
          <w:tcPr>
            <w:tcW w:w="14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Stock</w:t>
            </w:r>
          </w:p>
        </w:tc>
        <w:tc>
          <w:tcPr>
            <w:tcW w:w="2080" w:type="dxa"/>
            <w:vAlign w:val="bottom"/>
            <w:shd w:val="clear" w:color="auto" w:fill="00249C"/>
          </w:tcPr>
          <w:p>
            <w:pPr>
              <w:jc w:val="center"/>
              <w:ind w:right="79"/>
              <w:spacing w:after="0"/>
              <w:rPr>
                <w:sz w:val="20"/>
                <w:szCs w:val="20"/>
                <w:color w:val="auto"/>
              </w:rPr>
            </w:pPr>
            <w:r>
              <w:rPr>
                <w:rFonts w:ascii="Arial" w:cs="Arial" w:eastAsia="Arial" w:hAnsi="Arial"/>
                <w:sz w:val="16"/>
                <w:szCs w:val="16"/>
                <w:b w:val="1"/>
                <w:bCs w:val="1"/>
                <w:color w:val="FFFFFF"/>
              </w:rPr>
              <w:t>All Other</w:t>
            </w:r>
          </w:p>
        </w:tc>
        <w:tc>
          <w:tcPr>
            <w:tcW w:w="1480" w:type="dxa"/>
            <w:vAlign w:val="bottom"/>
            <w:shd w:val="clear" w:color="auto" w:fill="00249C"/>
          </w:tcPr>
          <w:p>
            <w:pPr>
              <w:spacing w:after="0"/>
              <w:rPr>
                <w:sz w:val="17"/>
                <w:szCs w:val="17"/>
                <w:color w:val="auto"/>
              </w:rPr>
            </w:pPr>
          </w:p>
        </w:tc>
      </w:tr>
      <w:tr>
        <w:trPr>
          <w:trHeight w:val="189"/>
        </w:trPr>
        <w:tc>
          <w:tcPr>
            <w:tcW w:w="3120" w:type="dxa"/>
            <w:vAlign w:val="bottom"/>
            <w:shd w:val="clear" w:color="auto" w:fill="00249C"/>
          </w:tcPr>
          <w:p>
            <w:pPr>
              <w:spacing w:after="0"/>
              <w:rPr>
                <w:sz w:val="16"/>
                <w:szCs w:val="16"/>
                <w:color w:val="auto"/>
              </w:rPr>
            </w:pPr>
          </w:p>
        </w:tc>
        <w:tc>
          <w:tcPr>
            <w:tcW w:w="3020" w:type="dxa"/>
            <w:vAlign w:val="bottom"/>
            <w:shd w:val="clear" w:color="auto" w:fill="00249C"/>
          </w:tcPr>
          <w:p>
            <w:pPr>
              <w:ind w:left="1520"/>
              <w:spacing w:after="0"/>
              <w:rPr>
                <w:sz w:val="20"/>
                <w:szCs w:val="20"/>
                <w:color w:val="auto"/>
              </w:rPr>
            </w:pPr>
            <w:r>
              <w:rPr>
                <w:rFonts w:ascii="Arial" w:cs="Arial" w:eastAsia="Arial" w:hAnsi="Arial"/>
                <w:sz w:val="16"/>
                <w:szCs w:val="16"/>
                <w:b w:val="1"/>
                <w:bCs w:val="1"/>
                <w:color w:val="FFFFFF"/>
              </w:rPr>
              <w:t>Paid in Cash (1)</w:t>
            </w:r>
          </w:p>
        </w:tc>
        <w:tc>
          <w:tcPr>
            <w:tcW w:w="14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Awards (2)</w:t>
            </w:r>
          </w:p>
        </w:tc>
        <w:tc>
          <w:tcPr>
            <w:tcW w:w="2080" w:type="dxa"/>
            <w:vAlign w:val="bottom"/>
            <w:shd w:val="clear" w:color="auto" w:fill="00249C"/>
          </w:tcPr>
          <w:p>
            <w:pPr>
              <w:jc w:val="center"/>
              <w:ind w:right="59"/>
              <w:spacing w:after="0"/>
              <w:rPr>
                <w:sz w:val="20"/>
                <w:szCs w:val="20"/>
                <w:color w:val="auto"/>
              </w:rPr>
            </w:pPr>
            <w:r>
              <w:rPr>
                <w:rFonts w:ascii="Arial" w:cs="Arial" w:eastAsia="Arial" w:hAnsi="Arial"/>
                <w:sz w:val="16"/>
                <w:szCs w:val="16"/>
                <w:b w:val="1"/>
                <w:bCs w:val="1"/>
                <w:color w:val="FFFFFF"/>
              </w:rPr>
              <w:t>Compensation (3)</w:t>
            </w:r>
          </w:p>
        </w:tc>
        <w:tc>
          <w:tcPr>
            <w:tcW w:w="1480" w:type="dxa"/>
            <w:vAlign w:val="bottom"/>
            <w:shd w:val="clear" w:color="auto" w:fill="00249C"/>
          </w:tcPr>
          <w:p>
            <w:pPr>
              <w:ind w:left="520"/>
              <w:spacing w:after="0"/>
              <w:rPr>
                <w:sz w:val="20"/>
                <w:szCs w:val="20"/>
                <w:color w:val="auto"/>
              </w:rPr>
            </w:pPr>
            <w:r>
              <w:rPr>
                <w:rFonts w:ascii="Arial" w:cs="Arial" w:eastAsia="Arial" w:hAnsi="Arial"/>
                <w:sz w:val="16"/>
                <w:szCs w:val="16"/>
                <w:b w:val="1"/>
                <w:bCs w:val="1"/>
                <w:color w:val="FFFFFF"/>
              </w:rPr>
              <w:t>Total</w:t>
            </w:r>
          </w:p>
        </w:tc>
      </w:tr>
      <w:tr>
        <w:trPr>
          <w:trHeight w:val="234"/>
        </w:trPr>
        <w:tc>
          <w:tcPr>
            <w:tcW w:w="3120" w:type="dxa"/>
            <w:vAlign w:val="bottom"/>
            <w:shd w:val="clear" w:color="auto" w:fill="00249C"/>
          </w:tcPr>
          <w:p>
            <w:pPr>
              <w:ind w:left="40"/>
              <w:spacing w:after="0"/>
              <w:rPr>
                <w:sz w:val="20"/>
                <w:szCs w:val="20"/>
                <w:color w:val="auto"/>
              </w:rPr>
            </w:pPr>
            <w:r>
              <w:rPr>
                <w:rFonts w:ascii="Arial" w:cs="Arial" w:eastAsia="Arial" w:hAnsi="Arial"/>
                <w:sz w:val="16"/>
                <w:szCs w:val="16"/>
                <w:b w:val="1"/>
                <w:bCs w:val="1"/>
                <w:color w:val="FFFFFF"/>
              </w:rPr>
              <w:t>Name</w:t>
            </w:r>
          </w:p>
        </w:tc>
        <w:tc>
          <w:tcPr>
            <w:tcW w:w="3020" w:type="dxa"/>
            <w:vAlign w:val="bottom"/>
            <w:shd w:val="clear" w:color="auto" w:fill="00249C"/>
          </w:tcPr>
          <w:p>
            <w:pPr>
              <w:jc w:val="center"/>
              <w:ind w:left="1139"/>
              <w:spacing w:after="0"/>
              <w:rPr>
                <w:sz w:val="20"/>
                <w:szCs w:val="20"/>
                <w:color w:val="auto"/>
              </w:rPr>
            </w:pPr>
            <w:r>
              <w:rPr>
                <w:rFonts w:ascii="Arial" w:cs="Arial" w:eastAsia="Arial" w:hAnsi="Arial"/>
                <w:sz w:val="16"/>
                <w:szCs w:val="16"/>
                <w:b w:val="1"/>
                <w:bCs w:val="1"/>
                <w:color w:val="FFFFFF"/>
              </w:rPr>
              <w:t>($)</w:t>
            </w:r>
          </w:p>
        </w:tc>
        <w:tc>
          <w:tcPr>
            <w:tcW w:w="14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w:t>
            </w:r>
          </w:p>
        </w:tc>
        <w:tc>
          <w:tcPr>
            <w:tcW w:w="2080" w:type="dxa"/>
            <w:vAlign w:val="bottom"/>
            <w:shd w:val="clear" w:color="auto" w:fill="00249C"/>
          </w:tcPr>
          <w:p>
            <w:pPr>
              <w:jc w:val="center"/>
              <w:ind w:right="79"/>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w:t>
            </w:r>
          </w:p>
        </w:tc>
      </w:tr>
      <w:tr>
        <w:trPr>
          <w:trHeight w:val="270"/>
        </w:trPr>
        <w:tc>
          <w:tcPr>
            <w:tcW w:w="3120" w:type="dxa"/>
            <w:vAlign w:val="bottom"/>
            <w:shd w:val="clear" w:color="auto" w:fill="CCD4DB"/>
          </w:tcPr>
          <w:p>
            <w:pPr>
              <w:ind w:left="40"/>
              <w:spacing w:after="0"/>
              <w:rPr>
                <w:sz w:val="20"/>
                <w:szCs w:val="20"/>
                <w:color w:val="auto"/>
              </w:rPr>
            </w:pPr>
            <w:r>
              <w:rPr>
                <w:rFonts w:ascii="Arial" w:cs="Arial" w:eastAsia="Arial" w:hAnsi="Arial"/>
                <w:sz w:val="16"/>
                <w:szCs w:val="16"/>
                <w:color w:val="auto"/>
              </w:rPr>
              <w:t>Marianne C. Brown</w:t>
            </w:r>
          </w:p>
        </w:tc>
        <w:tc>
          <w:tcPr>
            <w:tcW w:w="3020" w:type="dxa"/>
            <w:vAlign w:val="bottom"/>
            <w:shd w:val="clear" w:color="auto" w:fill="CCD4DB"/>
          </w:tcPr>
          <w:p>
            <w:pPr>
              <w:jc w:val="center"/>
              <w:ind w:left="1159"/>
              <w:spacing w:after="0"/>
              <w:rPr>
                <w:sz w:val="20"/>
                <w:szCs w:val="20"/>
                <w:color w:val="auto"/>
              </w:rPr>
            </w:pPr>
            <w:r>
              <w:rPr>
                <w:rFonts w:ascii="Arial" w:cs="Arial" w:eastAsia="Arial" w:hAnsi="Arial"/>
                <w:sz w:val="16"/>
                <w:szCs w:val="16"/>
                <w:color w:val="auto"/>
              </w:rPr>
              <w:t>129,050</w:t>
            </w:r>
          </w:p>
        </w:tc>
        <w:tc>
          <w:tcPr>
            <w:tcW w:w="14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shd w:val="clear" w:color="auto" w:fill="CCD4DB"/>
          </w:tcPr>
          <w:p>
            <w:pPr>
              <w:jc w:val="center"/>
              <w:ind w:right="59"/>
              <w:spacing w:after="0"/>
              <w:rPr>
                <w:sz w:val="20"/>
                <w:szCs w:val="20"/>
                <w:color w:val="auto"/>
              </w:rPr>
            </w:pPr>
            <w:r>
              <w:rPr>
                <w:rFonts w:ascii="Arial" w:cs="Arial" w:eastAsia="Arial" w:hAnsi="Arial"/>
                <w:sz w:val="16"/>
                <w:szCs w:val="16"/>
                <w:color w:val="auto"/>
              </w:rPr>
              <w:t>10,840</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299,890</w:t>
            </w:r>
          </w:p>
        </w:tc>
      </w:tr>
      <w:tr>
        <w:trPr>
          <w:trHeight w:val="260"/>
        </w:trPr>
        <w:tc>
          <w:tcPr>
            <w:tcW w:w="3120" w:type="dxa"/>
            <w:vAlign w:val="bottom"/>
          </w:tcPr>
          <w:p>
            <w:pPr>
              <w:ind w:left="40"/>
              <w:spacing w:after="0"/>
              <w:rPr>
                <w:sz w:val="20"/>
                <w:szCs w:val="20"/>
                <w:color w:val="auto"/>
              </w:rPr>
            </w:pPr>
            <w:r>
              <w:rPr>
                <w:rFonts w:ascii="Arial" w:cs="Arial" w:eastAsia="Arial" w:hAnsi="Arial"/>
                <w:sz w:val="16"/>
                <w:szCs w:val="16"/>
                <w:color w:val="auto"/>
              </w:rPr>
              <w:t>Donald E. Felsinger</w:t>
            </w:r>
          </w:p>
        </w:tc>
        <w:tc>
          <w:tcPr>
            <w:tcW w:w="3020" w:type="dxa"/>
            <w:vAlign w:val="bottom"/>
          </w:tcPr>
          <w:p>
            <w:pPr>
              <w:jc w:val="center"/>
              <w:ind w:left="1159"/>
              <w:spacing w:after="0"/>
              <w:rPr>
                <w:sz w:val="20"/>
                <w:szCs w:val="20"/>
                <w:color w:val="auto"/>
              </w:rPr>
            </w:pPr>
            <w:r>
              <w:rPr>
                <w:rFonts w:ascii="Arial" w:cs="Arial" w:eastAsia="Arial" w:hAnsi="Arial"/>
                <w:sz w:val="16"/>
                <w:szCs w:val="16"/>
                <w:color w:val="auto"/>
              </w:rPr>
              <w:t>164,050</w:t>
            </w:r>
          </w:p>
        </w:tc>
        <w:tc>
          <w:tcPr>
            <w:tcW w:w="1400" w:type="dxa"/>
            <w:vAlign w:val="bottom"/>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tcPr>
          <w:p>
            <w:pPr>
              <w:jc w:val="center"/>
              <w:ind w:right="59"/>
              <w:spacing w:after="0"/>
              <w:rPr>
                <w:sz w:val="20"/>
                <w:szCs w:val="20"/>
                <w:color w:val="auto"/>
              </w:rPr>
            </w:pPr>
            <w:r>
              <w:rPr>
                <w:rFonts w:ascii="Arial" w:cs="Arial" w:eastAsia="Arial" w:hAnsi="Arial"/>
                <w:sz w:val="16"/>
                <w:szCs w:val="16"/>
                <w:color w:val="auto"/>
              </w:rPr>
              <w:t>28,399</w:t>
            </w:r>
          </w:p>
        </w:tc>
        <w:tc>
          <w:tcPr>
            <w:tcW w:w="1480" w:type="dxa"/>
            <w:vAlign w:val="bottom"/>
          </w:tcPr>
          <w:p>
            <w:pPr>
              <w:jc w:val="center"/>
              <w:spacing w:after="0"/>
              <w:rPr>
                <w:sz w:val="20"/>
                <w:szCs w:val="20"/>
                <w:color w:val="auto"/>
              </w:rPr>
            </w:pPr>
            <w:r>
              <w:rPr>
                <w:rFonts w:ascii="Arial" w:cs="Arial" w:eastAsia="Arial" w:hAnsi="Arial"/>
                <w:sz w:val="16"/>
                <w:szCs w:val="16"/>
                <w:color w:val="auto"/>
              </w:rPr>
              <w:t>352,449</w:t>
            </w:r>
          </w:p>
        </w:tc>
      </w:tr>
      <w:tr>
        <w:trPr>
          <w:trHeight w:val="280"/>
        </w:trPr>
        <w:tc>
          <w:tcPr>
            <w:tcW w:w="3120" w:type="dxa"/>
            <w:vAlign w:val="bottom"/>
            <w:shd w:val="clear" w:color="auto" w:fill="CCD4DB"/>
          </w:tcPr>
          <w:p>
            <w:pPr>
              <w:ind w:left="40"/>
              <w:spacing w:after="0"/>
              <w:rPr>
                <w:sz w:val="20"/>
                <w:szCs w:val="20"/>
                <w:color w:val="auto"/>
              </w:rPr>
            </w:pPr>
            <w:r>
              <w:rPr>
                <w:rFonts w:ascii="Arial" w:cs="Arial" w:eastAsia="Arial" w:hAnsi="Arial"/>
                <w:sz w:val="16"/>
                <w:szCs w:val="16"/>
                <w:color w:val="auto"/>
              </w:rPr>
              <w:t>Ann M. Fudge</w:t>
            </w:r>
          </w:p>
        </w:tc>
        <w:tc>
          <w:tcPr>
            <w:tcW w:w="3020" w:type="dxa"/>
            <w:vAlign w:val="bottom"/>
            <w:shd w:val="clear" w:color="auto" w:fill="CCD4DB"/>
          </w:tcPr>
          <w:p>
            <w:pPr>
              <w:jc w:val="center"/>
              <w:ind w:left="1159"/>
              <w:spacing w:after="0"/>
              <w:rPr>
                <w:sz w:val="20"/>
                <w:szCs w:val="20"/>
                <w:color w:val="auto"/>
              </w:rPr>
            </w:pPr>
            <w:r>
              <w:rPr>
                <w:rFonts w:ascii="Arial" w:cs="Arial" w:eastAsia="Arial" w:hAnsi="Arial"/>
                <w:sz w:val="16"/>
                <w:szCs w:val="16"/>
                <w:color w:val="auto"/>
              </w:rPr>
              <w:t>139,050</w:t>
            </w:r>
          </w:p>
        </w:tc>
        <w:tc>
          <w:tcPr>
            <w:tcW w:w="14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shd w:val="clear" w:color="auto" w:fill="CCD4DB"/>
          </w:tcPr>
          <w:p>
            <w:pPr>
              <w:jc w:val="center"/>
              <w:ind w:right="59"/>
              <w:spacing w:after="0"/>
              <w:rPr>
                <w:sz w:val="20"/>
                <w:szCs w:val="20"/>
                <w:color w:val="auto"/>
              </w:rPr>
            </w:pPr>
            <w:r>
              <w:rPr>
                <w:rFonts w:ascii="Arial" w:cs="Arial" w:eastAsia="Arial" w:hAnsi="Arial"/>
                <w:sz w:val="16"/>
                <w:szCs w:val="16"/>
                <w:color w:val="auto"/>
              </w:rPr>
              <w:t>10,433</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309,483</w:t>
            </w:r>
          </w:p>
        </w:tc>
      </w:tr>
      <w:tr>
        <w:trPr>
          <w:trHeight w:val="260"/>
        </w:trPr>
        <w:tc>
          <w:tcPr>
            <w:tcW w:w="3120" w:type="dxa"/>
            <w:vAlign w:val="bottom"/>
          </w:tcPr>
          <w:p>
            <w:pPr>
              <w:ind w:left="40"/>
              <w:spacing w:after="0"/>
              <w:rPr>
                <w:sz w:val="20"/>
                <w:szCs w:val="20"/>
                <w:color w:val="auto"/>
              </w:rPr>
            </w:pPr>
            <w:r>
              <w:rPr>
                <w:rFonts w:ascii="Arial" w:cs="Arial" w:eastAsia="Arial" w:hAnsi="Arial"/>
                <w:sz w:val="16"/>
                <w:szCs w:val="16"/>
                <w:color w:val="auto"/>
              </w:rPr>
              <w:t>Bruce S. Gordon</w:t>
            </w:r>
          </w:p>
        </w:tc>
        <w:tc>
          <w:tcPr>
            <w:tcW w:w="3020" w:type="dxa"/>
            <w:vAlign w:val="bottom"/>
          </w:tcPr>
          <w:p>
            <w:pPr>
              <w:jc w:val="center"/>
              <w:ind w:left="1159"/>
              <w:spacing w:after="0"/>
              <w:rPr>
                <w:sz w:val="20"/>
                <w:szCs w:val="20"/>
                <w:color w:val="auto"/>
              </w:rPr>
            </w:pPr>
            <w:r>
              <w:rPr>
                <w:rFonts w:ascii="Arial" w:cs="Arial" w:eastAsia="Arial" w:hAnsi="Arial"/>
                <w:sz w:val="16"/>
                <w:szCs w:val="16"/>
                <w:color w:val="auto"/>
              </w:rPr>
              <w:t>129,050</w:t>
            </w:r>
          </w:p>
        </w:tc>
        <w:tc>
          <w:tcPr>
            <w:tcW w:w="1400" w:type="dxa"/>
            <w:vAlign w:val="bottom"/>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tcPr>
          <w:p>
            <w:pPr>
              <w:jc w:val="center"/>
              <w:ind w:right="59"/>
              <w:spacing w:after="0"/>
              <w:rPr>
                <w:sz w:val="20"/>
                <w:szCs w:val="20"/>
                <w:color w:val="auto"/>
              </w:rPr>
            </w:pPr>
            <w:r>
              <w:rPr>
                <w:rFonts w:ascii="Arial" w:cs="Arial" w:eastAsia="Arial" w:hAnsi="Arial"/>
                <w:sz w:val="16"/>
                <w:szCs w:val="16"/>
                <w:color w:val="auto"/>
              </w:rPr>
              <w:t>22,019</w:t>
            </w:r>
          </w:p>
        </w:tc>
        <w:tc>
          <w:tcPr>
            <w:tcW w:w="1480" w:type="dxa"/>
            <w:vAlign w:val="bottom"/>
          </w:tcPr>
          <w:p>
            <w:pPr>
              <w:jc w:val="center"/>
              <w:spacing w:after="0"/>
              <w:rPr>
                <w:sz w:val="20"/>
                <w:szCs w:val="20"/>
                <w:color w:val="auto"/>
              </w:rPr>
            </w:pPr>
            <w:r>
              <w:rPr>
                <w:rFonts w:ascii="Arial" w:cs="Arial" w:eastAsia="Arial" w:hAnsi="Arial"/>
                <w:sz w:val="16"/>
                <w:szCs w:val="16"/>
                <w:color w:val="auto"/>
              </w:rPr>
              <w:t>311,069</w:t>
            </w:r>
          </w:p>
        </w:tc>
      </w:tr>
      <w:tr>
        <w:trPr>
          <w:trHeight w:val="280"/>
        </w:trPr>
        <w:tc>
          <w:tcPr>
            <w:tcW w:w="3120" w:type="dxa"/>
            <w:vAlign w:val="bottom"/>
            <w:shd w:val="clear" w:color="auto" w:fill="CCD4DB"/>
          </w:tcPr>
          <w:p>
            <w:pPr>
              <w:ind w:left="40"/>
              <w:spacing w:after="0"/>
              <w:rPr>
                <w:sz w:val="20"/>
                <w:szCs w:val="20"/>
                <w:color w:val="auto"/>
              </w:rPr>
            </w:pPr>
            <w:r>
              <w:rPr>
                <w:rFonts w:ascii="Arial" w:cs="Arial" w:eastAsia="Arial" w:hAnsi="Arial"/>
                <w:sz w:val="16"/>
                <w:szCs w:val="16"/>
                <w:color w:val="auto"/>
              </w:rPr>
              <w:t>William H. Hernandez</w:t>
            </w:r>
          </w:p>
        </w:tc>
        <w:tc>
          <w:tcPr>
            <w:tcW w:w="3020" w:type="dxa"/>
            <w:vAlign w:val="bottom"/>
            <w:shd w:val="clear" w:color="auto" w:fill="CCD4DB"/>
          </w:tcPr>
          <w:p>
            <w:pPr>
              <w:jc w:val="center"/>
              <w:ind w:left="1159"/>
              <w:spacing w:after="0"/>
              <w:rPr>
                <w:sz w:val="20"/>
                <w:szCs w:val="20"/>
                <w:color w:val="auto"/>
              </w:rPr>
            </w:pPr>
            <w:r>
              <w:rPr>
                <w:rFonts w:ascii="Arial" w:cs="Arial" w:eastAsia="Arial" w:hAnsi="Arial"/>
                <w:sz w:val="16"/>
                <w:szCs w:val="16"/>
                <w:color w:val="auto"/>
              </w:rPr>
              <w:t>159,050</w:t>
            </w:r>
          </w:p>
        </w:tc>
        <w:tc>
          <w:tcPr>
            <w:tcW w:w="14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shd w:val="clear" w:color="auto" w:fill="CCD4DB"/>
          </w:tcPr>
          <w:p>
            <w:pPr>
              <w:jc w:val="center"/>
              <w:ind w:right="59"/>
              <w:spacing w:after="0"/>
              <w:rPr>
                <w:sz w:val="20"/>
                <w:szCs w:val="20"/>
                <w:color w:val="auto"/>
              </w:rPr>
            </w:pPr>
            <w:r>
              <w:rPr>
                <w:rFonts w:ascii="Arial" w:cs="Arial" w:eastAsia="Arial" w:hAnsi="Arial"/>
                <w:sz w:val="16"/>
                <w:szCs w:val="16"/>
                <w:color w:val="auto"/>
              </w:rPr>
              <w:t>11,256</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330,306</w:t>
            </w:r>
          </w:p>
        </w:tc>
      </w:tr>
      <w:tr>
        <w:trPr>
          <w:trHeight w:val="260"/>
        </w:trPr>
        <w:tc>
          <w:tcPr>
            <w:tcW w:w="3120" w:type="dxa"/>
            <w:vAlign w:val="bottom"/>
          </w:tcPr>
          <w:p>
            <w:pPr>
              <w:ind w:left="40"/>
              <w:spacing w:after="0"/>
              <w:rPr>
                <w:sz w:val="20"/>
                <w:szCs w:val="20"/>
                <w:color w:val="auto"/>
              </w:rPr>
            </w:pPr>
            <w:r>
              <w:rPr>
                <w:rFonts w:ascii="Arial" w:cs="Arial" w:eastAsia="Arial" w:hAnsi="Arial"/>
                <w:sz w:val="16"/>
                <w:szCs w:val="16"/>
                <w:color w:val="auto"/>
              </w:rPr>
              <w:t>Madeleine A. Kleiner</w:t>
            </w:r>
          </w:p>
        </w:tc>
        <w:tc>
          <w:tcPr>
            <w:tcW w:w="3020" w:type="dxa"/>
            <w:vAlign w:val="bottom"/>
          </w:tcPr>
          <w:p>
            <w:pPr>
              <w:jc w:val="center"/>
              <w:ind w:left="1159"/>
              <w:spacing w:after="0"/>
              <w:rPr>
                <w:sz w:val="20"/>
                <w:szCs w:val="20"/>
                <w:color w:val="auto"/>
              </w:rPr>
            </w:pPr>
            <w:r>
              <w:rPr>
                <w:rFonts w:ascii="Arial" w:cs="Arial" w:eastAsia="Arial" w:hAnsi="Arial"/>
                <w:sz w:val="16"/>
                <w:szCs w:val="16"/>
                <w:color w:val="auto"/>
              </w:rPr>
              <w:t>159,050</w:t>
            </w:r>
          </w:p>
        </w:tc>
        <w:tc>
          <w:tcPr>
            <w:tcW w:w="1400" w:type="dxa"/>
            <w:vAlign w:val="bottom"/>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tcPr>
          <w:p>
            <w:pPr>
              <w:jc w:val="center"/>
              <w:ind w:right="59"/>
              <w:spacing w:after="0"/>
              <w:rPr>
                <w:sz w:val="20"/>
                <w:szCs w:val="20"/>
                <w:color w:val="auto"/>
              </w:rPr>
            </w:pPr>
            <w:r>
              <w:rPr>
                <w:rFonts w:ascii="Arial" w:cs="Arial" w:eastAsia="Arial" w:hAnsi="Arial"/>
                <w:sz w:val="16"/>
                <w:szCs w:val="16"/>
                <w:color w:val="auto"/>
              </w:rPr>
              <w:t>16,767</w:t>
            </w:r>
          </w:p>
        </w:tc>
        <w:tc>
          <w:tcPr>
            <w:tcW w:w="1480" w:type="dxa"/>
            <w:vAlign w:val="bottom"/>
          </w:tcPr>
          <w:p>
            <w:pPr>
              <w:jc w:val="center"/>
              <w:spacing w:after="0"/>
              <w:rPr>
                <w:sz w:val="20"/>
                <w:szCs w:val="20"/>
                <w:color w:val="auto"/>
              </w:rPr>
            </w:pPr>
            <w:r>
              <w:rPr>
                <w:rFonts w:ascii="Arial" w:cs="Arial" w:eastAsia="Arial" w:hAnsi="Arial"/>
                <w:sz w:val="16"/>
                <w:szCs w:val="16"/>
                <w:color w:val="auto"/>
              </w:rPr>
              <w:t>335,817</w:t>
            </w:r>
          </w:p>
        </w:tc>
      </w:tr>
      <w:tr>
        <w:trPr>
          <w:trHeight w:val="280"/>
        </w:trPr>
        <w:tc>
          <w:tcPr>
            <w:tcW w:w="3120" w:type="dxa"/>
            <w:vAlign w:val="bottom"/>
            <w:shd w:val="clear" w:color="auto" w:fill="CCD4DB"/>
          </w:tcPr>
          <w:p>
            <w:pPr>
              <w:ind w:left="40"/>
              <w:spacing w:after="0"/>
              <w:rPr>
                <w:sz w:val="20"/>
                <w:szCs w:val="20"/>
                <w:color w:val="auto"/>
              </w:rPr>
            </w:pPr>
            <w:r>
              <w:rPr>
                <w:rFonts w:ascii="Arial" w:cs="Arial" w:eastAsia="Arial" w:hAnsi="Arial"/>
                <w:sz w:val="16"/>
                <w:szCs w:val="16"/>
                <w:color w:val="auto"/>
              </w:rPr>
              <w:t>Karl J. Krapek</w:t>
            </w:r>
          </w:p>
        </w:tc>
        <w:tc>
          <w:tcPr>
            <w:tcW w:w="3020" w:type="dxa"/>
            <w:vAlign w:val="bottom"/>
            <w:shd w:val="clear" w:color="auto" w:fill="CCD4DB"/>
          </w:tcPr>
          <w:p>
            <w:pPr>
              <w:jc w:val="center"/>
              <w:ind w:left="1159"/>
              <w:spacing w:after="0"/>
              <w:rPr>
                <w:sz w:val="20"/>
                <w:szCs w:val="20"/>
                <w:color w:val="auto"/>
              </w:rPr>
            </w:pPr>
            <w:r>
              <w:rPr>
                <w:rFonts w:ascii="Arial" w:cs="Arial" w:eastAsia="Arial" w:hAnsi="Arial"/>
                <w:sz w:val="16"/>
                <w:szCs w:val="16"/>
                <w:color w:val="auto"/>
              </w:rPr>
              <w:t>129,050</w:t>
            </w:r>
          </w:p>
        </w:tc>
        <w:tc>
          <w:tcPr>
            <w:tcW w:w="14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shd w:val="clear" w:color="auto" w:fill="CCD4DB"/>
          </w:tcPr>
          <w:p>
            <w:pPr>
              <w:jc w:val="center"/>
              <w:ind w:right="59"/>
              <w:spacing w:after="0"/>
              <w:rPr>
                <w:sz w:val="20"/>
                <w:szCs w:val="20"/>
                <w:color w:val="auto"/>
              </w:rPr>
            </w:pPr>
            <w:r>
              <w:rPr>
                <w:rFonts w:ascii="Arial" w:cs="Arial" w:eastAsia="Arial" w:hAnsi="Arial"/>
                <w:sz w:val="16"/>
                <w:szCs w:val="16"/>
                <w:color w:val="auto"/>
              </w:rPr>
              <w:t>25,193</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314,243</w:t>
            </w:r>
          </w:p>
        </w:tc>
      </w:tr>
      <w:tr>
        <w:trPr>
          <w:trHeight w:val="260"/>
        </w:trPr>
        <w:tc>
          <w:tcPr>
            <w:tcW w:w="3120" w:type="dxa"/>
            <w:vAlign w:val="bottom"/>
          </w:tcPr>
          <w:p>
            <w:pPr>
              <w:ind w:left="40"/>
              <w:spacing w:after="0"/>
              <w:rPr>
                <w:sz w:val="20"/>
                <w:szCs w:val="20"/>
                <w:color w:val="auto"/>
              </w:rPr>
            </w:pPr>
            <w:r>
              <w:rPr>
                <w:rFonts w:ascii="Arial" w:cs="Arial" w:eastAsia="Arial" w:hAnsi="Arial"/>
                <w:sz w:val="16"/>
                <w:szCs w:val="16"/>
                <w:color w:val="auto"/>
              </w:rPr>
              <w:t>Gary Roughead</w:t>
            </w:r>
          </w:p>
        </w:tc>
        <w:tc>
          <w:tcPr>
            <w:tcW w:w="3020" w:type="dxa"/>
            <w:vAlign w:val="bottom"/>
          </w:tcPr>
          <w:p>
            <w:pPr>
              <w:jc w:val="center"/>
              <w:ind w:left="1159"/>
              <w:spacing w:after="0"/>
              <w:rPr>
                <w:sz w:val="20"/>
                <w:szCs w:val="20"/>
                <w:color w:val="auto"/>
              </w:rPr>
            </w:pPr>
            <w:r>
              <w:rPr>
                <w:rFonts w:ascii="Arial" w:cs="Arial" w:eastAsia="Arial" w:hAnsi="Arial"/>
                <w:sz w:val="16"/>
                <w:szCs w:val="16"/>
                <w:color w:val="auto"/>
              </w:rPr>
              <w:t>149,050</w:t>
            </w:r>
          </w:p>
        </w:tc>
        <w:tc>
          <w:tcPr>
            <w:tcW w:w="1400" w:type="dxa"/>
            <w:vAlign w:val="bottom"/>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tcPr>
          <w:p>
            <w:pPr>
              <w:jc w:val="center"/>
              <w:ind w:right="79"/>
              <w:spacing w:after="0"/>
              <w:rPr>
                <w:sz w:val="20"/>
                <w:szCs w:val="20"/>
                <w:color w:val="auto"/>
              </w:rPr>
            </w:pPr>
            <w:r>
              <w:rPr>
                <w:rFonts w:ascii="Arial" w:cs="Arial" w:eastAsia="Arial" w:hAnsi="Arial"/>
                <w:sz w:val="16"/>
                <w:szCs w:val="16"/>
                <w:color w:val="auto"/>
                <w:w w:val="99"/>
              </w:rPr>
              <w:t>3,155</w:t>
            </w:r>
          </w:p>
        </w:tc>
        <w:tc>
          <w:tcPr>
            <w:tcW w:w="1480" w:type="dxa"/>
            <w:vAlign w:val="bottom"/>
          </w:tcPr>
          <w:p>
            <w:pPr>
              <w:jc w:val="center"/>
              <w:spacing w:after="0"/>
              <w:rPr>
                <w:sz w:val="20"/>
                <w:szCs w:val="20"/>
                <w:color w:val="auto"/>
              </w:rPr>
            </w:pPr>
            <w:r>
              <w:rPr>
                <w:rFonts w:ascii="Arial" w:cs="Arial" w:eastAsia="Arial" w:hAnsi="Arial"/>
                <w:sz w:val="16"/>
                <w:szCs w:val="16"/>
                <w:color w:val="auto"/>
              </w:rPr>
              <w:t>312,205</w:t>
            </w:r>
          </w:p>
        </w:tc>
      </w:tr>
      <w:tr>
        <w:trPr>
          <w:trHeight w:val="280"/>
        </w:trPr>
        <w:tc>
          <w:tcPr>
            <w:tcW w:w="3120" w:type="dxa"/>
            <w:vAlign w:val="bottom"/>
            <w:shd w:val="clear" w:color="auto" w:fill="CCD4DB"/>
          </w:tcPr>
          <w:p>
            <w:pPr>
              <w:ind w:left="40"/>
              <w:spacing w:after="0"/>
              <w:rPr>
                <w:sz w:val="20"/>
                <w:szCs w:val="20"/>
                <w:color w:val="auto"/>
              </w:rPr>
            </w:pPr>
            <w:r>
              <w:rPr>
                <w:rFonts w:ascii="Arial" w:cs="Arial" w:eastAsia="Arial" w:hAnsi="Arial"/>
                <w:sz w:val="16"/>
                <w:szCs w:val="16"/>
                <w:color w:val="auto"/>
              </w:rPr>
              <w:t>Thomas M. Schoewe</w:t>
            </w:r>
          </w:p>
        </w:tc>
        <w:tc>
          <w:tcPr>
            <w:tcW w:w="3020" w:type="dxa"/>
            <w:vAlign w:val="bottom"/>
            <w:shd w:val="clear" w:color="auto" w:fill="CCD4DB"/>
          </w:tcPr>
          <w:p>
            <w:pPr>
              <w:jc w:val="center"/>
              <w:ind w:left="1159"/>
              <w:spacing w:after="0"/>
              <w:rPr>
                <w:sz w:val="20"/>
                <w:szCs w:val="20"/>
                <w:color w:val="auto"/>
              </w:rPr>
            </w:pPr>
            <w:r>
              <w:rPr>
                <w:rFonts w:ascii="Arial" w:cs="Arial" w:eastAsia="Arial" w:hAnsi="Arial"/>
                <w:sz w:val="16"/>
                <w:szCs w:val="16"/>
                <w:color w:val="auto"/>
              </w:rPr>
              <w:t>149,050</w:t>
            </w:r>
          </w:p>
        </w:tc>
        <w:tc>
          <w:tcPr>
            <w:tcW w:w="14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shd w:val="clear" w:color="auto" w:fill="CCD4DB"/>
          </w:tcPr>
          <w:p>
            <w:pPr>
              <w:jc w:val="center"/>
              <w:ind w:right="79"/>
              <w:spacing w:after="0"/>
              <w:rPr>
                <w:sz w:val="20"/>
                <w:szCs w:val="20"/>
                <w:color w:val="auto"/>
              </w:rPr>
            </w:pPr>
            <w:r>
              <w:rPr>
                <w:rFonts w:ascii="Arial" w:cs="Arial" w:eastAsia="Arial" w:hAnsi="Arial"/>
                <w:sz w:val="16"/>
                <w:szCs w:val="16"/>
                <w:color w:val="auto"/>
                <w:w w:val="99"/>
              </w:rPr>
              <w:t>4,042</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313,092</w:t>
            </w:r>
          </w:p>
        </w:tc>
      </w:tr>
      <w:tr>
        <w:trPr>
          <w:trHeight w:val="260"/>
        </w:trPr>
        <w:tc>
          <w:tcPr>
            <w:tcW w:w="3120" w:type="dxa"/>
            <w:vAlign w:val="bottom"/>
          </w:tcPr>
          <w:p>
            <w:pPr>
              <w:ind w:left="40"/>
              <w:spacing w:after="0"/>
              <w:rPr>
                <w:sz w:val="20"/>
                <w:szCs w:val="20"/>
                <w:color w:val="auto"/>
              </w:rPr>
            </w:pPr>
            <w:r>
              <w:rPr>
                <w:rFonts w:ascii="Arial" w:cs="Arial" w:eastAsia="Arial" w:hAnsi="Arial"/>
                <w:sz w:val="16"/>
                <w:szCs w:val="16"/>
                <w:color w:val="auto"/>
              </w:rPr>
              <w:t>James S. Turley</w:t>
            </w:r>
          </w:p>
        </w:tc>
        <w:tc>
          <w:tcPr>
            <w:tcW w:w="3020" w:type="dxa"/>
            <w:vAlign w:val="bottom"/>
          </w:tcPr>
          <w:p>
            <w:pPr>
              <w:jc w:val="center"/>
              <w:ind w:left="1159"/>
              <w:spacing w:after="0"/>
              <w:rPr>
                <w:sz w:val="20"/>
                <w:szCs w:val="20"/>
                <w:color w:val="auto"/>
              </w:rPr>
            </w:pPr>
            <w:r>
              <w:rPr>
                <w:rFonts w:ascii="Arial" w:cs="Arial" w:eastAsia="Arial" w:hAnsi="Arial"/>
                <w:sz w:val="16"/>
                <w:szCs w:val="16"/>
                <w:color w:val="auto"/>
              </w:rPr>
              <w:t>139,050</w:t>
            </w:r>
          </w:p>
        </w:tc>
        <w:tc>
          <w:tcPr>
            <w:tcW w:w="1400" w:type="dxa"/>
            <w:vAlign w:val="bottom"/>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tcPr>
          <w:p>
            <w:pPr>
              <w:jc w:val="center"/>
              <w:ind w:right="59"/>
              <w:spacing w:after="0"/>
              <w:rPr>
                <w:sz w:val="20"/>
                <w:szCs w:val="20"/>
                <w:color w:val="auto"/>
              </w:rPr>
            </w:pPr>
            <w:r>
              <w:rPr>
                <w:rFonts w:ascii="Arial" w:cs="Arial" w:eastAsia="Arial" w:hAnsi="Arial"/>
                <w:sz w:val="16"/>
                <w:szCs w:val="16"/>
                <w:color w:val="auto"/>
              </w:rPr>
              <w:t>10,626</w:t>
            </w:r>
          </w:p>
        </w:tc>
        <w:tc>
          <w:tcPr>
            <w:tcW w:w="1480" w:type="dxa"/>
            <w:vAlign w:val="bottom"/>
          </w:tcPr>
          <w:p>
            <w:pPr>
              <w:jc w:val="center"/>
              <w:spacing w:after="0"/>
              <w:rPr>
                <w:sz w:val="20"/>
                <w:szCs w:val="20"/>
                <w:color w:val="auto"/>
              </w:rPr>
            </w:pPr>
            <w:r>
              <w:rPr>
                <w:rFonts w:ascii="Arial" w:cs="Arial" w:eastAsia="Arial" w:hAnsi="Arial"/>
                <w:sz w:val="16"/>
                <w:szCs w:val="16"/>
                <w:color w:val="auto"/>
              </w:rPr>
              <w:t>309,676</w:t>
            </w:r>
          </w:p>
        </w:tc>
      </w:tr>
      <w:tr>
        <w:trPr>
          <w:trHeight w:val="273"/>
        </w:trPr>
        <w:tc>
          <w:tcPr>
            <w:tcW w:w="3120" w:type="dxa"/>
            <w:vAlign w:val="bottom"/>
            <w:tcBorders>
              <w:bottom w:val="single" w:sz="8" w:color="00249C"/>
            </w:tcBorders>
            <w:shd w:val="clear" w:color="auto" w:fill="CCD4DB"/>
          </w:tcPr>
          <w:p>
            <w:pPr>
              <w:ind w:left="40"/>
              <w:spacing w:after="0"/>
              <w:rPr>
                <w:sz w:val="20"/>
                <w:szCs w:val="20"/>
                <w:color w:val="auto"/>
              </w:rPr>
            </w:pPr>
            <w:r>
              <w:rPr>
                <w:rFonts w:ascii="Arial" w:cs="Arial" w:eastAsia="Arial" w:hAnsi="Arial"/>
                <w:sz w:val="16"/>
                <w:szCs w:val="16"/>
                <w:color w:val="auto"/>
              </w:rPr>
              <w:t>Mark A. Welsh III</w:t>
            </w:r>
          </w:p>
        </w:tc>
        <w:tc>
          <w:tcPr>
            <w:tcW w:w="3020" w:type="dxa"/>
            <w:vAlign w:val="bottom"/>
            <w:tcBorders>
              <w:bottom w:val="single" w:sz="8" w:color="00249C"/>
            </w:tcBorders>
            <w:shd w:val="clear" w:color="auto" w:fill="CCD4DB"/>
          </w:tcPr>
          <w:p>
            <w:pPr>
              <w:jc w:val="center"/>
              <w:ind w:left="1159"/>
              <w:spacing w:after="0"/>
              <w:rPr>
                <w:sz w:val="20"/>
                <w:szCs w:val="20"/>
                <w:color w:val="auto"/>
              </w:rPr>
            </w:pPr>
            <w:r>
              <w:rPr>
                <w:rFonts w:ascii="Arial" w:cs="Arial" w:eastAsia="Arial" w:hAnsi="Arial"/>
                <w:sz w:val="16"/>
                <w:szCs w:val="16"/>
                <w:color w:val="auto"/>
              </w:rPr>
              <w:t>139,050</w:t>
            </w:r>
          </w:p>
        </w:tc>
        <w:tc>
          <w:tcPr>
            <w:tcW w:w="14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160,000</w:t>
            </w:r>
          </w:p>
        </w:tc>
        <w:tc>
          <w:tcPr>
            <w:tcW w:w="2080" w:type="dxa"/>
            <w:vAlign w:val="bottom"/>
            <w:tcBorders>
              <w:bottom w:val="single" w:sz="8" w:color="00249C"/>
            </w:tcBorders>
            <w:shd w:val="clear" w:color="auto" w:fill="CCD4DB"/>
          </w:tcPr>
          <w:p>
            <w:pPr>
              <w:jc w:val="center"/>
              <w:ind w:right="59"/>
              <w:spacing w:after="0"/>
              <w:rPr>
                <w:sz w:val="20"/>
                <w:szCs w:val="20"/>
                <w:color w:val="auto"/>
              </w:rPr>
            </w:pPr>
            <w:r>
              <w:rPr>
                <w:rFonts w:ascii="Arial" w:cs="Arial" w:eastAsia="Arial" w:hAnsi="Arial"/>
                <w:sz w:val="16"/>
                <w:szCs w:val="16"/>
                <w:color w:val="auto"/>
                <w:w w:val="97"/>
              </w:rPr>
              <w:t>211</w:t>
            </w:r>
          </w:p>
        </w:tc>
        <w:tc>
          <w:tcPr>
            <w:tcW w:w="148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299,261</w:t>
            </w:r>
          </w:p>
        </w:tc>
      </w:tr>
    </w:tbl>
    <w:p>
      <w:pPr>
        <w:spacing w:after="0" w:line="269" w:lineRule="exact"/>
        <w:rPr>
          <w:sz w:val="20"/>
          <w:szCs w:val="20"/>
          <w:color w:val="auto"/>
        </w:rPr>
      </w:pPr>
    </w:p>
    <w:p>
      <w:pPr>
        <w:ind w:left="420" w:hanging="412"/>
        <w:spacing w:after="0" w:line="254"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reflect the annual cash retainer paid to each director, including any applicable annual committee and committee chair retainers and any applicable Lead Independent Director or Chairman retainer. As described above, a director may elect to defer all or a portion of his or her annual cash retainer into a deferred stock unit account. Amounts deferred as Elective Stock Units or deferred into alternative investment options are reflected in this column.</w:t>
      </w:r>
    </w:p>
    <w:p>
      <w:pPr>
        <w:spacing w:after="0" w:line="55" w:lineRule="exact"/>
        <w:rPr>
          <w:rFonts w:ascii="Arial" w:cs="Arial" w:eastAsia="Arial" w:hAnsi="Arial"/>
          <w:sz w:val="18"/>
          <w:szCs w:val="18"/>
          <w:color w:val="auto"/>
        </w:rPr>
      </w:pPr>
    </w:p>
    <w:p>
      <w:pPr>
        <w:ind w:left="420" w:right="120" w:hanging="412"/>
        <w:spacing w:after="0" w:line="255"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represent the target value of Automatic Stock Units awarded to each of our non-employee directors in 2019 under the 2011 Plan pursuant to the Amended Director Program. The amount reported for each director reflects the aggregate fair value of the Automatic Stock Units on the grant date, as determined under Financial Accounting Standards Board (FASB) Accounting Standards Codification (ASC) Topic 718, Stock Compensation, excluding any assumed forfeitures. The grant date fair value assumes the value of dividend equivalents accrued directly on the awarded units. The aggregate number of Automatic Stock Units and Elective Stock Units held by each director as of December 31, 2019 is provided in the Deferred Stock Units table below.</w:t>
      </w:r>
    </w:p>
    <w:p>
      <w:pPr>
        <w:spacing w:after="0" w:line="70" w:lineRule="exact"/>
        <w:rPr>
          <w:rFonts w:ascii="Arial" w:cs="Arial" w:eastAsia="Arial" w:hAnsi="Arial"/>
          <w:sz w:val="18"/>
          <w:szCs w:val="18"/>
          <w:color w:val="auto"/>
        </w:rPr>
      </w:pPr>
    </w:p>
    <w:p>
      <w:pPr>
        <w:jc w:val="both"/>
        <w:ind w:left="420" w:right="340" w:hanging="412"/>
        <w:spacing w:after="0" w:line="265" w:lineRule="auto"/>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Amounts reflect (i) the estimated dollar value of additional stock units credited to each non-employee director as a result of dividend equivalents earned, directly or indirectly, on reinvested dividend equivalents as such amounts are not assumed in the grant date fair value of the Automatic Stock Units shown in the "Stock Awards" column, and (ii) matching contributions made through our Matching Gifts Program for Education discussed above as follows: Ms. Brown, $10,000; Ms. Fudge, $10,000; Mr. Gordon, $10,000; Mr.</w:t>
      </w:r>
    </w:p>
    <w:p>
      <w:pPr>
        <w:ind w:left="420"/>
        <w:spacing w:after="0"/>
        <w:rPr>
          <w:rFonts w:ascii="Arial" w:cs="Arial" w:eastAsia="Arial" w:hAnsi="Arial"/>
          <w:sz w:val="17"/>
          <w:szCs w:val="17"/>
          <w:color w:val="auto"/>
        </w:rPr>
      </w:pPr>
      <w:r>
        <w:rPr>
          <w:rFonts w:ascii="Arial" w:cs="Arial" w:eastAsia="Arial" w:hAnsi="Arial"/>
          <w:sz w:val="18"/>
          <w:szCs w:val="18"/>
          <w:color w:val="auto"/>
        </w:rPr>
        <w:t>Hernandez, $10,000; Ms. Kleiner, $5,000; Mr. Krapek, $10,000; and Mr. Turley, $10,000.</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Mr. Wesley G. Bush, a former member of the Board of Directors, retired as executive Chairman of the Company in July 2019. At that time, he also resigned from the Board of Directors. All compensation received by Mr. Bush was for his role as an employee of the Company; he did not receive any compensation specifically for his role as a member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701" w:right="359" w:bottom="1440" w:gutter="0" w:footer="0" w:header="0"/>
        </w:sectPr>
      </w:pPr>
    </w:p>
    <w:bookmarkStart w:id="35" w:name="page36"/>
    <w:bookmarkEnd w:id="35"/>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Stock Units</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31, 2019, the non-employee directors had the following aggregate number of deferred stock units accumulated in their deferral accounts for all years of service as a director, including additional stock units credited as a result of dividend equivalents earned on the stock units.</w:t>
      </w:r>
    </w:p>
    <w:p>
      <w:pPr>
        <w:spacing w:after="0" w:line="176" w:lineRule="exact"/>
        <w:rPr>
          <w:sz w:val="20"/>
          <w:szCs w:val="20"/>
          <w:color w:val="auto"/>
        </w:rPr>
      </w:pPr>
    </w:p>
    <w:tbl>
      <w:tblPr>
        <w:tblLayout w:type="fixed"/>
        <w:tblInd w:w="780" w:type="dxa"/>
        <w:tblCellMar>
          <w:top w:w="0" w:type="dxa"/>
          <w:left w:w="0" w:type="dxa"/>
          <w:bottom w:w="0" w:type="dxa"/>
          <w:right w:w="0" w:type="dxa"/>
        </w:tblCellMar>
      </w:tblPr>
      <w:tr>
        <w:trPr>
          <w:trHeight w:val="198"/>
        </w:trPr>
        <w:tc>
          <w:tcPr>
            <w:tcW w:w="3180" w:type="dxa"/>
            <w:vAlign w:val="bottom"/>
            <w:shd w:val="clear" w:color="auto" w:fill="00249C"/>
          </w:tcPr>
          <w:p>
            <w:pPr>
              <w:spacing w:after="0"/>
              <w:rPr>
                <w:sz w:val="17"/>
                <w:szCs w:val="17"/>
                <w:color w:val="auto"/>
              </w:rPr>
            </w:pPr>
          </w:p>
        </w:tc>
        <w:tc>
          <w:tcPr>
            <w:tcW w:w="3180" w:type="dxa"/>
            <w:vAlign w:val="bottom"/>
            <w:shd w:val="clear" w:color="auto" w:fill="00249C"/>
          </w:tcPr>
          <w:p>
            <w:pPr>
              <w:jc w:val="center"/>
              <w:ind w:left="1179"/>
              <w:spacing w:after="0"/>
              <w:rPr>
                <w:sz w:val="20"/>
                <w:szCs w:val="20"/>
                <w:color w:val="auto"/>
              </w:rPr>
            </w:pPr>
            <w:r>
              <w:rPr>
                <w:rFonts w:ascii="Arial" w:cs="Arial" w:eastAsia="Arial" w:hAnsi="Arial"/>
                <w:sz w:val="16"/>
                <w:szCs w:val="16"/>
                <w:b w:val="1"/>
                <w:bCs w:val="1"/>
                <w:color w:val="FFFFFF"/>
              </w:rPr>
              <w:t>Automatic Stock</w:t>
            </w:r>
          </w:p>
        </w:tc>
        <w:tc>
          <w:tcPr>
            <w:tcW w:w="1860" w:type="dxa"/>
            <w:vAlign w:val="bottom"/>
            <w:shd w:val="clear" w:color="auto" w:fill="00249C"/>
          </w:tcPr>
          <w:p>
            <w:pPr>
              <w:jc w:val="center"/>
              <w:ind w:right="39"/>
              <w:spacing w:after="0"/>
              <w:rPr>
                <w:sz w:val="20"/>
                <w:szCs w:val="20"/>
                <w:color w:val="auto"/>
              </w:rPr>
            </w:pPr>
            <w:r>
              <w:rPr>
                <w:rFonts w:ascii="Arial" w:cs="Arial" w:eastAsia="Arial" w:hAnsi="Arial"/>
                <w:sz w:val="16"/>
                <w:szCs w:val="16"/>
                <w:b w:val="1"/>
                <w:bCs w:val="1"/>
                <w:color w:val="FFFFFF"/>
              </w:rPr>
              <w:t>Elective Stock</w:t>
            </w:r>
          </w:p>
        </w:tc>
        <w:tc>
          <w:tcPr>
            <w:tcW w:w="1480" w:type="dxa"/>
            <w:vAlign w:val="bottom"/>
            <w:shd w:val="clear" w:color="auto" w:fill="00249C"/>
          </w:tcPr>
          <w:p>
            <w:pPr>
              <w:spacing w:after="0"/>
              <w:rPr>
                <w:sz w:val="17"/>
                <w:szCs w:val="17"/>
                <w:color w:val="auto"/>
              </w:rPr>
            </w:pPr>
          </w:p>
        </w:tc>
      </w:tr>
      <w:tr>
        <w:trPr>
          <w:trHeight w:val="234"/>
        </w:trPr>
        <w:tc>
          <w:tcPr>
            <w:tcW w:w="3180" w:type="dxa"/>
            <w:vAlign w:val="bottom"/>
            <w:shd w:val="clear" w:color="auto" w:fill="00249C"/>
          </w:tcPr>
          <w:p>
            <w:pPr>
              <w:ind w:left="20"/>
              <w:spacing w:after="0"/>
              <w:rPr>
                <w:sz w:val="20"/>
                <w:szCs w:val="20"/>
                <w:color w:val="auto"/>
              </w:rPr>
            </w:pPr>
            <w:r>
              <w:rPr>
                <w:rFonts w:ascii="Arial" w:cs="Arial" w:eastAsia="Arial" w:hAnsi="Arial"/>
                <w:sz w:val="16"/>
                <w:szCs w:val="16"/>
                <w:b w:val="1"/>
                <w:bCs w:val="1"/>
                <w:color w:val="FFFFFF"/>
              </w:rPr>
              <w:t>Name</w:t>
            </w:r>
          </w:p>
        </w:tc>
        <w:tc>
          <w:tcPr>
            <w:tcW w:w="3180" w:type="dxa"/>
            <w:vAlign w:val="bottom"/>
            <w:shd w:val="clear" w:color="auto" w:fill="00249C"/>
          </w:tcPr>
          <w:p>
            <w:pPr>
              <w:jc w:val="center"/>
              <w:ind w:left="1179"/>
              <w:spacing w:after="0"/>
              <w:rPr>
                <w:sz w:val="20"/>
                <w:szCs w:val="20"/>
                <w:color w:val="auto"/>
              </w:rPr>
            </w:pPr>
            <w:r>
              <w:rPr>
                <w:rFonts w:ascii="Arial" w:cs="Arial" w:eastAsia="Arial" w:hAnsi="Arial"/>
                <w:sz w:val="16"/>
                <w:szCs w:val="16"/>
                <w:b w:val="1"/>
                <w:bCs w:val="1"/>
                <w:color w:val="FFFFFF"/>
                <w:w w:val="99"/>
              </w:rPr>
              <w:t>Units</w:t>
            </w:r>
          </w:p>
        </w:tc>
        <w:tc>
          <w:tcPr>
            <w:tcW w:w="1860" w:type="dxa"/>
            <w:vAlign w:val="bottom"/>
            <w:shd w:val="clear" w:color="auto" w:fill="00249C"/>
          </w:tcPr>
          <w:p>
            <w:pPr>
              <w:jc w:val="center"/>
              <w:ind w:right="19"/>
              <w:spacing w:after="0"/>
              <w:rPr>
                <w:sz w:val="20"/>
                <w:szCs w:val="20"/>
                <w:color w:val="auto"/>
              </w:rPr>
            </w:pPr>
            <w:r>
              <w:rPr>
                <w:rFonts w:ascii="Arial" w:cs="Arial" w:eastAsia="Arial" w:hAnsi="Arial"/>
                <w:sz w:val="16"/>
                <w:szCs w:val="16"/>
                <w:b w:val="1"/>
                <w:bCs w:val="1"/>
                <w:color w:val="FFFFFF"/>
                <w:w w:val="99"/>
              </w:rPr>
              <w:t>Units</w:t>
            </w:r>
          </w:p>
        </w:tc>
        <w:tc>
          <w:tcPr>
            <w:tcW w:w="1480" w:type="dxa"/>
            <w:vAlign w:val="bottom"/>
            <w:shd w:val="clear" w:color="auto" w:fill="00249C"/>
          </w:tcPr>
          <w:p>
            <w:pPr>
              <w:ind w:left="520"/>
              <w:spacing w:after="0"/>
              <w:rPr>
                <w:sz w:val="20"/>
                <w:szCs w:val="20"/>
                <w:color w:val="auto"/>
              </w:rPr>
            </w:pPr>
            <w:r>
              <w:rPr>
                <w:rFonts w:ascii="Arial" w:cs="Arial" w:eastAsia="Arial" w:hAnsi="Arial"/>
                <w:sz w:val="16"/>
                <w:szCs w:val="16"/>
                <w:b w:val="1"/>
                <w:bCs w:val="1"/>
                <w:color w:val="FFFFFF"/>
              </w:rPr>
              <w:t>Total</w:t>
            </w:r>
          </w:p>
        </w:tc>
      </w:tr>
      <w:tr>
        <w:trPr>
          <w:trHeight w:val="270"/>
        </w:trPr>
        <w:tc>
          <w:tcPr>
            <w:tcW w:w="3180" w:type="dxa"/>
            <w:vAlign w:val="bottom"/>
            <w:shd w:val="clear" w:color="auto" w:fill="CCD4DB"/>
          </w:tcPr>
          <w:p>
            <w:pPr>
              <w:ind w:left="20"/>
              <w:spacing w:after="0"/>
              <w:rPr>
                <w:sz w:val="20"/>
                <w:szCs w:val="20"/>
                <w:color w:val="auto"/>
              </w:rPr>
            </w:pPr>
            <w:r>
              <w:rPr>
                <w:rFonts w:ascii="Arial" w:cs="Arial" w:eastAsia="Arial" w:hAnsi="Arial"/>
                <w:sz w:val="16"/>
                <w:szCs w:val="16"/>
                <w:color w:val="auto"/>
              </w:rPr>
              <w:t>Marianne C. Brown</w:t>
            </w:r>
          </w:p>
        </w:tc>
        <w:tc>
          <w:tcPr>
            <w:tcW w:w="3180" w:type="dxa"/>
            <w:vAlign w:val="bottom"/>
            <w:shd w:val="clear" w:color="auto" w:fill="CCD4DB"/>
          </w:tcPr>
          <w:p>
            <w:pPr>
              <w:jc w:val="center"/>
              <w:ind w:left="1179"/>
              <w:spacing w:after="0"/>
              <w:rPr>
                <w:sz w:val="20"/>
                <w:szCs w:val="20"/>
                <w:color w:val="auto"/>
              </w:rPr>
            </w:pPr>
            <w:r>
              <w:rPr>
                <w:rFonts w:ascii="Arial" w:cs="Arial" w:eastAsia="Arial" w:hAnsi="Arial"/>
                <w:sz w:val="16"/>
                <w:szCs w:val="16"/>
                <w:color w:val="auto"/>
                <w:w w:val="99"/>
              </w:rPr>
              <w:t>3,368</w:t>
            </w:r>
          </w:p>
        </w:tc>
        <w:tc>
          <w:tcPr>
            <w:tcW w:w="1860" w:type="dxa"/>
            <w:vAlign w:val="bottom"/>
            <w:shd w:val="clear" w:color="auto" w:fill="CCD4DB"/>
          </w:tcPr>
          <w:p>
            <w:pPr>
              <w:jc w:val="center"/>
              <w:ind w:right="19"/>
              <w:spacing w:after="0"/>
              <w:rPr>
                <w:sz w:val="20"/>
                <w:szCs w:val="20"/>
                <w:color w:val="auto"/>
              </w:rPr>
            </w:pPr>
            <w:r>
              <w:rPr>
                <w:rFonts w:ascii="Arial" w:cs="Arial" w:eastAsia="Arial" w:hAnsi="Arial"/>
                <w:sz w:val="16"/>
                <w:szCs w:val="16"/>
                <w:color w:val="auto"/>
                <w:w w:val="99"/>
              </w:rPr>
              <w:t>1,999</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5,367</w:t>
            </w:r>
          </w:p>
        </w:tc>
      </w:tr>
      <w:tr>
        <w:trPr>
          <w:trHeight w:val="260"/>
        </w:trPr>
        <w:tc>
          <w:tcPr>
            <w:tcW w:w="3180" w:type="dxa"/>
            <w:vAlign w:val="bottom"/>
          </w:tcPr>
          <w:p>
            <w:pPr>
              <w:ind w:left="20"/>
              <w:spacing w:after="0"/>
              <w:rPr>
                <w:sz w:val="20"/>
                <w:szCs w:val="20"/>
                <w:color w:val="auto"/>
              </w:rPr>
            </w:pPr>
            <w:r>
              <w:rPr>
                <w:rFonts w:ascii="Arial" w:cs="Arial" w:eastAsia="Arial" w:hAnsi="Arial"/>
                <w:sz w:val="16"/>
                <w:szCs w:val="16"/>
                <w:color w:val="auto"/>
              </w:rPr>
              <w:t>Donald E. Felsinger</w:t>
            </w:r>
          </w:p>
        </w:tc>
        <w:tc>
          <w:tcPr>
            <w:tcW w:w="3180" w:type="dxa"/>
            <w:vAlign w:val="bottom"/>
          </w:tcPr>
          <w:p>
            <w:pPr>
              <w:jc w:val="center"/>
              <w:ind w:left="1199"/>
              <w:spacing w:after="0"/>
              <w:rPr>
                <w:sz w:val="20"/>
                <w:szCs w:val="20"/>
                <w:color w:val="auto"/>
              </w:rPr>
            </w:pPr>
            <w:r>
              <w:rPr>
                <w:rFonts w:ascii="Arial" w:cs="Arial" w:eastAsia="Arial" w:hAnsi="Arial"/>
                <w:sz w:val="16"/>
                <w:szCs w:val="16"/>
                <w:color w:val="auto"/>
              </w:rPr>
              <w:t>21,351</w:t>
            </w:r>
          </w:p>
        </w:tc>
        <w:tc>
          <w:tcPr>
            <w:tcW w:w="1860" w:type="dxa"/>
            <w:vAlign w:val="bottom"/>
          </w:tcPr>
          <w:p>
            <w:pPr>
              <w:jc w:val="center"/>
              <w:ind w:right="39"/>
              <w:spacing w:after="0"/>
              <w:rPr>
                <w:sz w:val="20"/>
                <w:szCs w:val="20"/>
                <w:color w:val="auto"/>
              </w:rPr>
            </w:pPr>
            <w:r>
              <w:rPr>
                <w:rFonts w:ascii="Arial" w:cs="Arial" w:eastAsia="Arial" w:hAnsi="Arial"/>
                <w:sz w:val="16"/>
                <w:szCs w:val="16"/>
                <w:color w:val="auto"/>
              </w:rPr>
              <w:t>15,130</w:t>
            </w: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36,481</w:t>
            </w:r>
          </w:p>
        </w:tc>
      </w:tr>
      <w:tr>
        <w:trPr>
          <w:trHeight w:val="280"/>
        </w:trPr>
        <w:tc>
          <w:tcPr>
            <w:tcW w:w="3180" w:type="dxa"/>
            <w:vAlign w:val="bottom"/>
            <w:shd w:val="clear" w:color="auto" w:fill="CCD4DB"/>
          </w:tcPr>
          <w:p>
            <w:pPr>
              <w:ind w:left="20"/>
              <w:spacing w:after="0"/>
              <w:rPr>
                <w:sz w:val="20"/>
                <w:szCs w:val="20"/>
                <w:color w:val="auto"/>
              </w:rPr>
            </w:pPr>
            <w:r>
              <w:rPr>
                <w:rFonts w:ascii="Arial" w:cs="Arial" w:eastAsia="Arial" w:hAnsi="Arial"/>
                <w:sz w:val="16"/>
                <w:szCs w:val="16"/>
                <w:color w:val="auto"/>
              </w:rPr>
              <w:t>Ann M. Fudge</w:t>
            </w:r>
          </w:p>
        </w:tc>
        <w:tc>
          <w:tcPr>
            <w:tcW w:w="3180" w:type="dxa"/>
            <w:vAlign w:val="bottom"/>
            <w:shd w:val="clear" w:color="auto" w:fill="CCD4DB"/>
          </w:tcPr>
          <w:p>
            <w:pPr>
              <w:jc w:val="center"/>
              <w:ind w:left="1179"/>
              <w:spacing w:after="0"/>
              <w:rPr>
                <w:sz w:val="20"/>
                <w:szCs w:val="20"/>
                <w:color w:val="auto"/>
              </w:rPr>
            </w:pPr>
            <w:r>
              <w:rPr>
                <w:rFonts w:ascii="Arial" w:cs="Arial" w:eastAsia="Arial" w:hAnsi="Arial"/>
                <w:sz w:val="16"/>
                <w:szCs w:val="16"/>
                <w:color w:val="auto"/>
                <w:w w:val="99"/>
              </w:rPr>
              <w:t>2,400</w:t>
            </w:r>
          </w:p>
        </w:tc>
        <w:tc>
          <w:tcPr>
            <w:tcW w:w="1860" w:type="dxa"/>
            <w:vAlign w:val="bottom"/>
            <w:shd w:val="clear" w:color="auto" w:fill="CCD4DB"/>
          </w:tcPr>
          <w:p>
            <w:pPr>
              <w:jc w:val="center"/>
              <w:ind w:right="39"/>
              <w:spacing w:after="0"/>
              <w:rPr>
                <w:sz w:val="20"/>
                <w:szCs w:val="20"/>
                <w:color w:val="auto"/>
              </w:rPr>
            </w:pPr>
            <w:r>
              <w:rPr>
                <w:rFonts w:ascii="Arial" w:cs="Arial" w:eastAsia="Arial" w:hAnsi="Arial"/>
                <w:sz w:val="16"/>
                <w:szCs w:val="16"/>
                <w:color w:val="auto"/>
                <w:w w:val="97"/>
              </w:rPr>
              <w:t>490</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2,890</w:t>
            </w:r>
          </w:p>
        </w:tc>
      </w:tr>
      <w:tr>
        <w:trPr>
          <w:trHeight w:val="260"/>
        </w:trPr>
        <w:tc>
          <w:tcPr>
            <w:tcW w:w="3180" w:type="dxa"/>
            <w:vAlign w:val="bottom"/>
          </w:tcPr>
          <w:p>
            <w:pPr>
              <w:ind w:left="20"/>
              <w:spacing w:after="0"/>
              <w:rPr>
                <w:sz w:val="20"/>
                <w:szCs w:val="20"/>
                <w:color w:val="auto"/>
              </w:rPr>
            </w:pPr>
            <w:r>
              <w:rPr>
                <w:rFonts w:ascii="Arial" w:cs="Arial" w:eastAsia="Arial" w:hAnsi="Arial"/>
                <w:sz w:val="16"/>
                <w:szCs w:val="16"/>
                <w:color w:val="auto"/>
              </w:rPr>
              <w:t>Bruce S. Gordon</w:t>
            </w:r>
          </w:p>
        </w:tc>
        <w:tc>
          <w:tcPr>
            <w:tcW w:w="3180" w:type="dxa"/>
            <w:vAlign w:val="bottom"/>
          </w:tcPr>
          <w:p>
            <w:pPr>
              <w:jc w:val="center"/>
              <w:ind w:left="1199"/>
              <w:spacing w:after="0"/>
              <w:rPr>
                <w:sz w:val="20"/>
                <w:szCs w:val="20"/>
                <w:color w:val="auto"/>
              </w:rPr>
            </w:pPr>
            <w:r>
              <w:rPr>
                <w:rFonts w:ascii="Arial" w:cs="Arial" w:eastAsia="Arial" w:hAnsi="Arial"/>
                <w:sz w:val="16"/>
                <w:szCs w:val="16"/>
                <w:color w:val="auto"/>
              </w:rPr>
              <w:t>17,892</w:t>
            </w:r>
          </w:p>
        </w:tc>
        <w:tc>
          <w:tcPr>
            <w:tcW w:w="186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17,892</w:t>
            </w:r>
          </w:p>
        </w:tc>
      </w:tr>
      <w:tr>
        <w:trPr>
          <w:trHeight w:val="280"/>
        </w:trPr>
        <w:tc>
          <w:tcPr>
            <w:tcW w:w="3180" w:type="dxa"/>
            <w:vAlign w:val="bottom"/>
            <w:shd w:val="clear" w:color="auto" w:fill="CCD4DB"/>
          </w:tcPr>
          <w:p>
            <w:pPr>
              <w:ind w:left="20"/>
              <w:spacing w:after="0"/>
              <w:rPr>
                <w:sz w:val="20"/>
                <w:szCs w:val="20"/>
                <w:color w:val="auto"/>
              </w:rPr>
            </w:pPr>
            <w:r>
              <w:rPr>
                <w:rFonts w:ascii="Arial" w:cs="Arial" w:eastAsia="Arial" w:hAnsi="Arial"/>
                <w:sz w:val="16"/>
                <w:szCs w:val="16"/>
                <w:color w:val="auto"/>
              </w:rPr>
              <w:t>William H. Hernandez</w:t>
            </w:r>
          </w:p>
        </w:tc>
        <w:tc>
          <w:tcPr>
            <w:tcW w:w="3180" w:type="dxa"/>
            <w:vAlign w:val="bottom"/>
            <w:shd w:val="clear" w:color="auto" w:fill="CCD4DB"/>
          </w:tcPr>
          <w:p>
            <w:pPr>
              <w:jc w:val="center"/>
              <w:ind w:left="1179"/>
              <w:spacing w:after="0"/>
              <w:rPr>
                <w:sz w:val="20"/>
                <w:szCs w:val="20"/>
                <w:color w:val="auto"/>
              </w:rPr>
            </w:pPr>
            <w:r>
              <w:rPr>
                <w:rFonts w:ascii="Arial" w:cs="Arial" w:eastAsia="Arial" w:hAnsi="Arial"/>
                <w:sz w:val="16"/>
                <w:szCs w:val="16"/>
                <w:color w:val="auto"/>
                <w:w w:val="99"/>
              </w:rPr>
              <w:t>5,020</w:t>
            </w:r>
          </w:p>
        </w:tc>
        <w:tc>
          <w:tcPr>
            <w:tcW w:w="1860" w:type="dxa"/>
            <w:vAlign w:val="bottom"/>
            <w:shd w:val="clear" w:color="auto" w:fill="CCD4DB"/>
          </w:tcPr>
          <w:p>
            <w:pPr>
              <w:jc w:val="center"/>
              <w:ind w:right="19"/>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5,020</w:t>
            </w:r>
          </w:p>
        </w:tc>
      </w:tr>
      <w:tr>
        <w:trPr>
          <w:trHeight w:val="260"/>
        </w:trPr>
        <w:tc>
          <w:tcPr>
            <w:tcW w:w="3180" w:type="dxa"/>
            <w:vAlign w:val="bottom"/>
          </w:tcPr>
          <w:p>
            <w:pPr>
              <w:ind w:left="20"/>
              <w:spacing w:after="0"/>
              <w:rPr>
                <w:sz w:val="20"/>
                <w:szCs w:val="20"/>
                <w:color w:val="auto"/>
              </w:rPr>
            </w:pPr>
            <w:r>
              <w:rPr>
                <w:rFonts w:ascii="Arial" w:cs="Arial" w:eastAsia="Arial" w:hAnsi="Arial"/>
                <w:sz w:val="16"/>
                <w:szCs w:val="16"/>
                <w:color w:val="auto"/>
              </w:rPr>
              <w:t>Madeleine A. Kleiner</w:t>
            </w:r>
          </w:p>
        </w:tc>
        <w:tc>
          <w:tcPr>
            <w:tcW w:w="3180" w:type="dxa"/>
            <w:vAlign w:val="bottom"/>
          </w:tcPr>
          <w:p>
            <w:pPr>
              <w:jc w:val="center"/>
              <w:ind w:left="1199"/>
              <w:spacing w:after="0"/>
              <w:rPr>
                <w:sz w:val="20"/>
                <w:szCs w:val="20"/>
                <w:color w:val="auto"/>
              </w:rPr>
            </w:pPr>
            <w:r>
              <w:rPr>
                <w:rFonts w:ascii="Arial" w:cs="Arial" w:eastAsia="Arial" w:hAnsi="Arial"/>
                <w:sz w:val="16"/>
                <w:szCs w:val="16"/>
                <w:color w:val="auto"/>
              </w:rPr>
              <w:t>16,874</w:t>
            </w:r>
          </w:p>
        </w:tc>
        <w:tc>
          <w:tcPr>
            <w:tcW w:w="186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16,874</w:t>
            </w:r>
          </w:p>
        </w:tc>
      </w:tr>
      <w:tr>
        <w:trPr>
          <w:trHeight w:val="280"/>
        </w:trPr>
        <w:tc>
          <w:tcPr>
            <w:tcW w:w="3180" w:type="dxa"/>
            <w:vAlign w:val="bottom"/>
            <w:shd w:val="clear" w:color="auto" w:fill="CCD4DB"/>
          </w:tcPr>
          <w:p>
            <w:pPr>
              <w:ind w:left="20"/>
              <w:spacing w:after="0"/>
              <w:rPr>
                <w:sz w:val="20"/>
                <w:szCs w:val="20"/>
                <w:color w:val="auto"/>
              </w:rPr>
            </w:pPr>
            <w:r>
              <w:rPr>
                <w:rFonts w:ascii="Arial" w:cs="Arial" w:eastAsia="Arial" w:hAnsi="Arial"/>
                <w:sz w:val="16"/>
                <w:szCs w:val="16"/>
                <w:color w:val="auto"/>
              </w:rPr>
              <w:t>Karl J. Krapek</w:t>
            </w:r>
          </w:p>
        </w:tc>
        <w:tc>
          <w:tcPr>
            <w:tcW w:w="3180" w:type="dxa"/>
            <w:vAlign w:val="bottom"/>
            <w:shd w:val="clear" w:color="auto" w:fill="CCD4DB"/>
          </w:tcPr>
          <w:p>
            <w:pPr>
              <w:jc w:val="center"/>
              <w:ind w:left="1199"/>
              <w:spacing w:after="0"/>
              <w:rPr>
                <w:sz w:val="20"/>
                <w:szCs w:val="20"/>
                <w:color w:val="auto"/>
              </w:rPr>
            </w:pPr>
            <w:r>
              <w:rPr>
                <w:rFonts w:ascii="Arial" w:cs="Arial" w:eastAsia="Arial" w:hAnsi="Arial"/>
                <w:sz w:val="16"/>
                <w:szCs w:val="16"/>
                <w:color w:val="auto"/>
              </w:rPr>
              <w:t>17,936</w:t>
            </w:r>
          </w:p>
        </w:tc>
        <w:tc>
          <w:tcPr>
            <w:tcW w:w="1860" w:type="dxa"/>
            <w:vAlign w:val="bottom"/>
            <w:shd w:val="clear" w:color="auto" w:fill="CCD4DB"/>
          </w:tcPr>
          <w:p>
            <w:pPr>
              <w:jc w:val="center"/>
              <w:ind w:right="19"/>
              <w:spacing w:after="0"/>
              <w:rPr>
                <w:sz w:val="20"/>
                <w:szCs w:val="20"/>
                <w:color w:val="auto"/>
              </w:rPr>
            </w:pPr>
            <w:r>
              <w:rPr>
                <w:rFonts w:ascii="Arial" w:cs="Arial" w:eastAsia="Arial" w:hAnsi="Arial"/>
                <w:sz w:val="16"/>
                <w:szCs w:val="16"/>
                <w:color w:val="auto"/>
                <w:w w:val="99"/>
              </w:rPr>
              <w:t>4,887</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8"/>
              </w:rPr>
              <w:t>22,823</w:t>
            </w:r>
          </w:p>
        </w:tc>
      </w:tr>
      <w:tr>
        <w:trPr>
          <w:trHeight w:val="260"/>
        </w:trPr>
        <w:tc>
          <w:tcPr>
            <w:tcW w:w="3180" w:type="dxa"/>
            <w:vAlign w:val="bottom"/>
          </w:tcPr>
          <w:p>
            <w:pPr>
              <w:ind w:left="20"/>
              <w:spacing w:after="0"/>
              <w:rPr>
                <w:sz w:val="20"/>
                <w:szCs w:val="20"/>
                <w:color w:val="auto"/>
              </w:rPr>
            </w:pPr>
            <w:r>
              <w:rPr>
                <w:rFonts w:ascii="Arial" w:cs="Arial" w:eastAsia="Arial" w:hAnsi="Arial"/>
                <w:sz w:val="16"/>
                <w:szCs w:val="16"/>
                <w:color w:val="auto"/>
              </w:rPr>
              <w:t>Gary Roughead</w:t>
            </w:r>
          </w:p>
        </w:tc>
        <w:tc>
          <w:tcPr>
            <w:tcW w:w="3180" w:type="dxa"/>
            <w:vAlign w:val="bottom"/>
          </w:tcPr>
          <w:p>
            <w:pPr>
              <w:jc w:val="center"/>
              <w:ind w:left="1179"/>
              <w:spacing w:after="0"/>
              <w:rPr>
                <w:sz w:val="20"/>
                <w:szCs w:val="20"/>
                <w:color w:val="auto"/>
              </w:rPr>
            </w:pPr>
            <w:r>
              <w:rPr>
                <w:rFonts w:ascii="Arial" w:cs="Arial" w:eastAsia="Arial" w:hAnsi="Arial"/>
                <w:sz w:val="16"/>
                <w:szCs w:val="16"/>
                <w:color w:val="auto"/>
                <w:w w:val="99"/>
              </w:rPr>
              <w:t>8,315</w:t>
            </w:r>
          </w:p>
        </w:tc>
        <w:tc>
          <w:tcPr>
            <w:tcW w:w="186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8,315</w:t>
            </w:r>
          </w:p>
        </w:tc>
      </w:tr>
      <w:tr>
        <w:trPr>
          <w:trHeight w:val="280"/>
        </w:trPr>
        <w:tc>
          <w:tcPr>
            <w:tcW w:w="3180" w:type="dxa"/>
            <w:vAlign w:val="bottom"/>
            <w:shd w:val="clear" w:color="auto" w:fill="CCD4DB"/>
          </w:tcPr>
          <w:p>
            <w:pPr>
              <w:ind w:left="20"/>
              <w:spacing w:after="0"/>
              <w:rPr>
                <w:sz w:val="20"/>
                <w:szCs w:val="20"/>
                <w:color w:val="auto"/>
              </w:rPr>
            </w:pPr>
            <w:r>
              <w:rPr>
                <w:rFonts w:ascii="Arial" w:cs="Arial" w:eastAsia="Arial" w:hAnsi="Arial"/>
                <w:sz w:val="16"/>
                <w:szCs w:val="16"/>
                <w:color w:val="auto"/>
              </w:rPr>
              <w:t>Thomas M. Schoewe</w:t>
            </w:r>
          </w:p>
        </w:tc>
        <w:tc>
          <w:tcPr>
            <w:tcW w:w="3180" w:type="dxa"/>
            <w:vAlign w:val="bottom"/>
            <w:shd w:val="clear" w:color="auto" w:fill="CCD4DB"/>
          </w:tcPr>
          <w:p>
            <w:pPr>
              <w:jc w:val="center"/>
              <w:ind w:left="1179"/>
              <w:spacing w:after="0"/>
              <w:rPr>
                <w:sz w:val="20"/>
                <w:szCs w:val="20"/>
                <w:color w:val="auto"/>
              </w:rPr>
            </w:pPr>
            <w:r>
              <w:rPr>
                <w:rFonts w:ascii="Arial" w:cs="Arial" w:eastAsia="Arial" w:hAnsi="Arial"/>
                <w:sz w:val="16"/>
                <w:szCs w:val="16"/>
                <w:color w:val="auto"/>
                <w:w w:val="99"/>
              </w:rPr>
              <w:t>9,550</w:t>
            </w:r>
          </w:p>
        </w:tc>
        <w:tc>
          <w:tcPr>
            <w:tcW w:w="1860" w:type="dxa"/>
            <w:vAlign w:val="bottom"/>
            <w:shd w:val="clear" w:color="auto" w:fill="CCD4DB"/>
          </w:tcPr>
          <w:p>
            <w:pPr>
              <w:jc w:val="center"/>
              <w:ind w:right="19"/>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9,550</w:t>
            </w:r>
          </w:p>
        </w:tc>
      </w:tr>
      <w:tr>
        <w:trPr>
          <w:trHeight w:val="260"/>
        </w:trPr>
        <w:tc>
          <w:tcPr>
            <w:tcW w:w="3180" w:type="dxa"/>
            <w:vAlign w:val="bottom"/>
          </w:tcPr>
          <w:p>
            <w:pPr>
              <w:ind w:left="20"/>
              <w:spacing w:after="0"/>
              <w:rPr>
                <w:sz w:val="20"/>
                <w:szCs w:val="20"/>
                <w:color w:val="auto"/>
              </w:rPr>
            </w:pPr>
            <w:r>
              <w:rPr>
                <w:rFonts w:ascii="Arial" w:cs="Arial" w:eastAsia="Arial" w:hAnsi="Arial"/>
                <w:sz w:val="16"/>
                <w:szCs w:val="16"/>
                <w:color w:val="auto"/>
              </w:rPr>
              <w:t>James S. Turley</w:t>
            </w:r>
          </w:p>
        </w:tc>
        <w:tc>
          <w:tcPr>
            <w:tcW w:w="3180" w:type="dxa"/>
            <w:vAlign w:val="bottom"/>
          </w:tcPr>
          <w:p>
            <w:pPr>
              <w:jc w:val="center"/>
              <w:ind w:left="1179"/>
              <w:spacing w:after="0"/>
              <w:rPr>
                <w:sz w:val="20"/>
                <w:szCs w:val="20"/>
                <w:color w:val="auto"/>
              </w:rPr>
            </w:pPr>
            <w:r>
              <w:rPr>
                <w:rFonts w:ascii="Arial" w:cs="Arial" w:eastAsia="Arial" w:hAnsi="Arial"/>
                <w:sz w:val="16"/>
                <w:szCs w:val="16"/>
                <w:color w:val="auto"/>
                <w:w w:val="99"/>
              </w:rPr>
              <w:t>3,439</w:t>
            </w:r>
          </w:p>
        </w:tc>
        <w:tc>
          <w:tcPr>
            <w:tcW w:w="186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3,439</w:t>
            </w:r>
          </w:p>
        </w:tc>
      </w:tr>
      <w:tr>
        <w:trPr>
          <w:trHeight w:val="260"/>
        </w:trPr>
        <w:tc>
          <w:tcPr>
            <w:tcW w:w="318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6"/>
                <w:szCs w:val="16"/>
                <w:color w:val="auto"/>
              </w:rPr>
              <w:t>Mark A. Welsh III</w:t>
            </w:r>
          </w:p>
        </w:tc>
        <w:tc>
          <w:tcPr>
            <w:tcW w:w="3180" w:type="dxa"/>
            <w:vAlign w:val="bottom"/>
            <w:tcBorders>
              <w:bottom w:val="single" w:sz="8" w:color="CCD4DB"/>
            </w:tcBorders>
            <w:shd w:val="clear" w:color="auto" w:fill="CCD4DB"/>
          </w:tcPr>
          <w:p>
            <w:pPr>
              <w:jc w:val="center"/>
              <w:ind w:left="1179"/>
              <w:spacing w:after="0"/>
              <w:rPr>
                <w:sz w:val="20"/>
                <w:szCs w:val="20"/>
                <w:color w:val="auto"/>
              </w:rPr>
            </w:pPr>
            <w:r>
              <w:rPr>
                <w:rFonts w:ascii="Arial" w:cs="Arial" w:eastAsia="Arial" w:hAnsi="Arial"/>
                <w:sz w:val="16"/>
                <w:szCs w:val="16"/>
                <w:color w:val="auto"/>
                <w:w w:val="99"/>
              </w:rPr>
              <w:t>1,964</w:t>
            </w:r>
          </w:p>
        </w:tc>
        <w:tc>
          <w:tcPr>
            <w:tcW w:w="1860" w:type="dxa"/>
            <w:vAlign w:val="bottom"/>
            <w:tcBorders>
              <w:bottom w:val="single" w:sz="8" w:color="CCD4DB"/>
            </w:tcBorders>
            <w:shd w:val="clear" w:color="auto" w:fill="CCD4DB"/>
          </w:tcPr>
          <w:p>
            <w:pPr>
              <w:jc w:val="center"/>
              <w:ind w:right="19"/>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w w:val="99"/>
              </w:rPr>
              <w:t>1,964</w:t>
            </w:r>
          </w:p>
        </w:tc>
      </w:tr>
      <w:tr>
        <w:trPr>
          <w:trHeight w:val="20"/>
        </w:trPr>
        <w:tc>
          <w:tcPr>
            <w:tcW w:w="3180" w:type="dxa"/>
            <w:vAlign w:val="bottom"/>
            <w:shd w:val="clear" w:color="auto" w:fill="00249C"/>
          </w:tcPr>
          <w:p>
            <w:pPr>
              <w:spacing w:after="0" w:line="20" w:lineRule="exact"/>
              <w:rPr>
                <w:sz w:val="1"/>
                <w:szCs w:val="1"/>
                <w:color w:val="auto"/>
              </w:rPr>
            </w:pPr>
          </w:p>
        </w:tc>
        <w:tc>
          <w:tcPr>
            <w:tcW w:w="3180" w:type="dxa"/>
            <w:vAlign w:val="bottom"/>
            <w:shd w:val="clear" w:color="auto" w:fill="00249C"/>
          </w:tcPr>
          <w:p>
            <w:pPr>
              <w:spacing w:after="0" w:line="20" w:lineRule="exact"/>
              <w:rPr>
                <w:sz w:val="1"/>
                <w:szCs w:val="1"/>
                <w:color w:val="auto"/>
              </w:rPr>
            </w:pPr>
          </w:p>
        </w:tc>
        <w:tc>
          <w:tcPr>
            <w:tcW w:w="1860" w:type="dxa"/>
            <w:vAlign w:val="bottom"/>
            <w:shd w:val="clear" w:color="auto" w:fill="00249C"/>
          </w:tcPr>
          <w:p>
            <w:pPr>
              <w:spacing w:after="0" w:line="20" w:lineRule="exact"/>
              <w:rPr>
                <w:sz w:val="1"/>
                <w:szCs w:val="1"/>
                <w:color w:val="auto"/>
              </w:rPr>
            </w:pPr>
          </w:p>
        </w:tc>
        <w:tc>
          <w:tcPr>
            <w:tcW w:w="1480" w:type="dxa"/>
            <w:vAlign w:val="bottom"/>
            <w:shd w:val="clear" w:color="auto" w:fill="00249C"/>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29</w:t>
      </w:r>
    </w:p>
    <w:p>
      <w:pPr>
        <w:sectPr>
          <w:pgSz w:w="11900" w:h="16838" w:orient="portrait"/>
          <w:cols w:equalWidth="0" w:num="1">
            <w:col w:w="11240"/>
          </w:cols>
          <w:pgMar w:left="320" w:top="701" w:right="339" w:bottom="1440" w:gutter="0" w:footer="0" w:header="0"/>
        </w:sectPr>
      </w:pPr>
    </w:p>
    <w:bookmarkStart w:id="36" w:name="page37"/>
    <w:bookmarkEnd w:id="36"/>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TRANSACTIONS WITH RELATED PERSONS AND CONTROL PERSONS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a written policy approved by the Board, for the review, approval and ratification of transactions between our Company and our directors, executive officers and other related persons (Related Person Transactions Policy). A copy of the policy is available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 The policy provides for related person transactions to be reviewed in advance and approved or ratified, as applicable, by the Board of Directors, the Governance Committee or the Chairman of the Governance Committee. A related person transaction may be approved if, after reviewing the relevant facts and circumstances, the reviewing party concludes that approving the related person transaction is in the best interests of the Company and its shareholders.</w:t>
      </w:r>
    </w:p>
    <w:p>
      <w:pPr>
        <w:spacing w:after="0" w:line="7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policy defines a related person transaction as any transaction in which the Company was, is or will be a participant, where the amount involved exceeds $120,000, and in which a related person had, has or is expected to have a direct or indirect material interest. A "related person" includes:</w:t>
      </w:r>
    </w:p>
    <w:p>
      <w:pPr>
        <w:spacing w:after="0" w:line="31"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22"/>
          <w:szCs w:val="22"/>
          <w:color w:val="00249C"/>
        </w:rPr>
      </w:pPr>
      <w:r>
        <w:rPr>
          <w:rFonts w:ascii="Arial" w:cs="Arial" w:eastAsia="Arial" w:hAnsi="Arial"/>
          <w:sz w:val="18"/>
          <w:szCs w:val="18"/>
          <w:color w:val="auto"/>
        </w:rPr>
        <w:t>any of our directors or executive officers;</w:t>
      </w:r>
    </w:p>
    <w:p>
      <w:pPr>
        <w:spacing w:after="0" w:line="44" w:lineRule="exact"/>
        <w:rPr>
          <w:rFonts w:ascii="Arial" w:cs="Arial" w:eastAsia="Arial" w:hAnsi="Arial"/>
          <w:sz w:val="22"/>
          <w:szCs w:val="22"/>
          <w:color w:val="00249C"/>
        </w:rPr>
      </w:pPr>
    </w:p>
    <w:p>
      <w:pPr>
        <w:ind w:left="260" w:hanging="252"/>
        <w:spacing w:after="0"/>
        <w:tabs>
          <w:tab w:leader="none" w:pos="260" w:val="left"/>
        </w:tabs>
        <w:numPr>
          <w:ilvl w:val="0"/>
          <w:numId w:val="34"/>
        </w:numPr>
        <w:rPr>
          <w:rFonts w:ascii="Arial" w:cs="Arial" w:eastAsia="Arial" w:hAnsi="Arial"/>
          <w:sz w:val="22"/>
          <w:szCs w:val="22"/>
          <w:color w:val="00249C"/>
        </w:rPr>
      </w:pPr>
      <w:r>
        <w:rPr>
          <w:rFonts w:ascii="Arial" w:cs="Arial" w:eastAsia="Arial" w:hAnsi="Arial"/>
          <w:sz w:val="18"/>
          <w:szCs w:val="18"/>
          <w:color w:val="auto"/>
        </w:rPr>
        <w:t>any person who is known to be the beneficial owner of more than 5% of our common stock;</w:t>
      </w:r>
    </w:p>
    <w:p>
      <w:pPr>
        <w:spacing w:after="0" w:line="44" w:lineRule="exact"/>
        <w:rPr>
          <w:rFonts w:ascii="Arial" w:cs="Arial" w:eastAsia="Arial" w:hAnsi="Arial"/>
          <w:sz w:val="22"/>
          <w:szCs w:val="22"/>
          <w:color w:val="00249C"/>
        </w:rPr>
      </w:pPr>
    </w:p>
    <w:p>
      <w:pPr>
        <w:ind w:left="260" w:hanging="252"/>
        <w:spacing w:after="0"/>
        <w:tabs>
          <w:tab w:leader="none" w:pos="260" w:val="left"/>
        </w:tabs>
        <w:numPr>
          <w:ilvl w:val="0"/>
          <w:numId w:val="34"/>
        </w:numPr>
        <w:rPr>
          <w:rFonts w:ascii="Arial" w:cs="Arial" w:eastAsia="Arial" w:hAnsi="Arial"/>
          <w:sz w:val="22"/>
          <w:szCs w:val="22"/>
          <w:color w:val="00249C"/>
        </w:rPr>
      </w:pPr>
      <w:r>
        <w:rPr>
          <w:rFonts w:ascii="Arial" w:cs="Arial" w:eastAsia="Arial" w:hAnsi="Arial"/>
          <w:sz w:val="18"/>
          <w:szCs w:val="18"/>
          <w:color w:val="auto"/>
        </w:rPr>
        <w:t>an immediate family member of any such persons; or</w:t>
      </w:r>
    </w:p>
    <w:p>
      <w:pPr>
        <w:spacing w:after="0" w:line="44" w:lineRule="exact"/>
        <w:rPr>
          <w:rFonts w:ascii="Arial" w:cs="Arial" w:eastAsia="Arial" w:hAnsi="Arial"/>
          <w:sz w:val="22"/>
          <w:szCs w:val="22"/>
          <w:color w:val="00249C"/>
        </w:rPr>
      </w:pPr>
    </w:p>
    <w:p>
      <w:pPr>
        <w:ind w:left="260" w:hanging="252"/>
        <w:spacing w:after="0"/>
        <w:tabs>
          <w:tab w:leader="none" w:pos="260" w:val="left"/>
        </w:tabs>
        <w:numPr>
          <w:ilvl w:val="0"/>
          <w:numId w:val="34"/>
        </w:numPr>
        <w:rPr>
          <w:rFonts w:ascii="Arial" w:cs="Arial" w:eastAsia="Arial" w:hAnsi="Arial"/>
          <w:sz w:val="22"/>
          <w:szCs w:val="22"/>
          <w:color w:val="00249C"/>
        </w:rPr>
      </w:pPr>
      <w:r>
        <w:rPr>
          <w:rFonts w:ascii="Arial" w:cs="Arial" w:eastAsia="Arial" w:hAnsi="Arial"/>
          <w:sz w:val="18"/>
          <w:szCs w:val="18"/>
          <w:color w:val="auto"/>
        </w:rPr>
        <w:t>any firm, corporation, or other entity controlled by any such persons.</w:t>
      </w:r>
    </w:p>
    <w:p>
      <w:pPr>
        <w:spacing w:after="0" w:line="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Corporate Secretary may determine that, based on facts and circumstances, a transaction in an amount less than $120,000 should nonetheless be deemed a related person transaction. If this occurs, the transaction would be submitted for review and approval or ratification in accordance with the policy. Under exceptional circumstances, if a related person transaction has not been approved in advance, the Governance Committee will recommend to the Board of Directors such action as the Governance Committee deems appropriate, including ratification, amendment or termination of the transaction.</w:t>
      </w:r>
    </w:p>
    <w:p>
      <w:pPr>
        <w:spacing w:after="0" w:line="7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policy requires each director and executive officer to complete an annual questionnaire to identify his or her related interests and to notify the Corporate Secretary of any changes in their information.</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2019, the Company employed one family member of an executive officer who received compensation in excess of the reporting threshold. The spouse of our Corporate Vice President and President, Enterprise Services, Shawn Purvis, was employed by the Company as a Consulting Computer Systems Architect in our Technology Services sector. He received cash compensation (base salary and bonus) of approximately $263,000 and participated in the Company’s benefit plans, commensurate with his position at the Company.</w:t>
      </w:r>
    </w:p>
    <w:p>
      <w:pPr>
        <w:spacing w:after="0" w:line="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State Street Corporation (State Street), acting in various fiduciary capacities, filed a Schedule 13G with the SEC reporting that as of December 31, 2019, State Street and certain of its subsidiaries collectively were the beneficial owners of more than 5% of our outstanding common stock. A subsidiary of State Street is the trustee for various Northrop Grumman defined benefit and defined contribution plan trusts. Two other State Street subsidiaries provide investment management services. During 2019, those State Street subsidiaries received approximately $6.05 million for such services, with over 99% of that amount paid by the plan trusts.</w:t>
      </w:r>
    </w:p>
    <w:p>
      <w:pPr>
        <w:spacing w:after="0" w:line="7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BlackRock, Inc. (BlackRock) filed a Schedule 13G/A with the SEC reporting that as of December 31, 2019, BlackRock and certain of its subsidiaries collectively were the beneficial owners of more than 5% of our outstanding common stock. A subsidiary of BlackRock provides investment management services for the Northrop Grumman Rabbi Trust II and certain assets within various Northrop Grumman defined benefit and defined contribution plan trusts. During 2019, the trusts paid that BlackRock subsidiary approximately $1.73 million for such services.</w:t>
      </w:r>
    </w:p>
    <w:p>
      <w:pPr>
        <w:spacing w:after="0" w:line="7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At the request of our Chief Executive Officer and as authorized by the Board of Directors, Wesley G. Bush, who retired as our Chairman on July 31, 2019, agreed to provide limited consulting service to the Company after his retirement for an initial period of five years. Consulting fees are not expected to exceed $200,000 per year. In 2019, the Company paid Mr. Bush $66,680 under this agreement.</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2019, Ms. Brown and Messrs. Felsinger, Gordon, Krapek, Roughead and Schoewe served as members of the Compensation Committee. During 2019, no member of the Compensation Committee had a relationship with the Company or any of our subsidiaries, other than as directors and shareholders, and no member was an officer or employee of the Company or any of our subsidiaries, a participant in a related person transaction or an executive officer of another entity, where one of our executive officers serves on the board of directors that would constitute a related person transaction or raise concerns of a Compensation Committee interlock.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701" w:right="359" w:bottom="1440" w:gutter="0" w:footer="0" w:header="0"/>
        </w:sectPr>
      </w:pPr>
    </w:p>
    <w:bookmarkStart w:id="37" w:name="page38"/>
    <w:bookmarkEnd w:id="37"/>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800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TRANSACTIONS WITH RELATED PERSONS AND CONTROL PERSONS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Bylaws require us generally to indemnify our directors and executive officers to the fullest extent permitted by Delaware law. Additionally, as permitted by Delaware law, we have entered into indemnification agreements with each of our directors and elected officers. Under the indemnification agreements, we have agreed to hold harmless and indemnify each indemnitee, generally to the fullest extent permitted by Delaware law, against expenses, liabilities and loss incurred in connection with threatened, pending or completed action, suit or proceeding, whether civil, criminal, administrative or investigative to which the indemnitee is made a party by reason of the fact that the indemnitee is or was a director or officer of the Company or any other entity at our request, provided however, that the indemnitee acted in good faith and in a manner reasonably believed to be in the best interests of our Company.</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31</w:t>
      </w:r>
    </w:p>
    <w:p>
      <w:pPr>
        <w:sectPr>
          <w:pgSz w:w="11900" w:h="16838" w:orient="portrait"/>
          <w:cols w:equalWidth="0" w:num="1">
            <w:col w:w="11240"/>
          </w:cols>
          <w:pgMar w:left="320" w:top="701" w:right="339" w:bottom="1440" w:gutter="0" w:footer="0" w:header="0"/>
        </w:sectPr>
      </w:pPr>
    </w:p>
    <w:bookmarkStart w:id="38" w:name="page39"/>
    <w:bookmarkEnd w:id="38"/>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Stock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following entities beneficially owned, to the best of our knowledge, more than five percent of the outstanding common stock as of the dates indicated in the footnotes below. All information shown is based on information reported by the filer on a Schedule 13G filed with the SEC on the dates indicated in the footnotes below.</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98"/>
        </w:trPr>
        <w:tc>
          <w:tcPr>
            <w:tcW w:w="4160" w:type="dxa"/>
            <w:vAlign w:val="bottom"/>
            <w:shd w:val="clear" w:color="auto" w:fill="00249C"/>
          </w:tcPr>
          <w:p>
            <w:pPr>
              <w:spacing w:after="0"/>
              <w:rPr>
                <w:sz w:val="17"/>
                <w:szCs w:val="17"/>
                <w:color w:val="auto"/>
              </w:rPr>
            </w:pPr>
          </w:p>
        </w:tc>
        <w:tc>
          <w:tcPr>
            <w:tcW w:w="3540" w:type="dxa"/>
            <w:vAlign w:val="bottom"/>
            <w:gridSpan w:val="2"/>
            <w:shd w:val="clear" w:color="auto" w:fill="00249C"/>
          </w:tcPr>
          <w:p>
            <w:pPr>
              <w:jc w:val="center"/>
              <w:ind w:left="279"/>
              <w:spacing w:after="0"/>
              <w:rPr>
                <w:sz w:val="20"/>
                <w:szCs w:val="20"/>
                <w:color w:val="auto"/>
              </w:rPr>
            </w:pPr>
            <w:r>
              <w:rPr>
                <w:rFonts w:ascii="Arial" w:cs="Arial" w:eastAsia="Arial" w:hAnsi="Arial"/>
                <w:sz w:val="16"/>
                <w:szCs w:val="16"/>
                <w:b w:val="1"/>
                <w:bCs w:val="1"/>
                <w:color w:val="FFFFFF"/>
              </w:rPr>
              <w:t>Amount and Nature of</w:t>
            </w:r>
          </w:p>
        </w:tc>
        <w:tc>
          <w:tcPr>
            <w:tcW w:w="2240" w:type="dxa"/>
            <w:vAlign w:val="bottom"/>
            <w:shd w:val="clear" w:color="auto" w:fill="00249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00249C"/>
          </w:tcPr>
          <w:p>
            <w:pPr>
              <w:spacing w:after="0"/>
              <w:rPr>
                <w:sz w:val="16"/>
                <w:szCs w:val="16"/>
                <w:color w:val="auto"/>
              </w:rPr>
            </w:pPr>
          </w:p>
        </w:tc>
        <w:tc>
          <w:tcPr>
            <w:tcW w:w="3540" w:type="dxa"/>
            <w:vAlign w:val="bottom"/>
            <w:gridSpan w:val="2"/>
            <w:shd w:val="clear" w:color="auto" w:fill="00249C"/>
          </w:tcPr>
          <w:p>
            <w:pPr>
              <w:jc w:val="center"/>
              <w:ind w:left="299"/>
              <w:spacing w:after="0"/>
              <w:rPr>
                <w:sz w:val="20"/>
                <w:szCs w:val="20"/>
                <w:color w:val="auto"/>
              </w:rPr>
            </w:pPr>
            <w:r>
              <w:rPr>
                <w:rFonts w:ascii="Arial" w:cs="Arial" w:eastAsia="Arial" w:hAnsi="Arial"/>
                <w:sz w:val="16"/>
                <w:szCs w:val="16"/>
                <w:b w:val="1"/>
                <w:bCs w:val="1"/>
                <w:color w:val="FFFFFF"/>
              </w:rPr>
              <w:t>Beneficial Ownership of</w:t>
            </w:r>
          </w:p>
        </w:tc>
        <w:tc>
          <w:tcPr>
            <w:tcW w:w="2240" w:type="dxa"/>
            <w:vAlign w:val="bottom"/>
            <w:shd w:val="clear" w:color="auto" w:fill="00249C"/>
          </w:tcPr>
          <w:p>
            <w:pPr>
              <w:jc w:val="center"/>
              <w:ind w:right="159"/>
              <w:spacing w:after="0"/>
              <w:rPr>
                <w:sz w:val="20"/>
                <w:szCs w:val="20"/>
                <w:color w:val="auto"/>
              </w:rPr>
            </w:pPr>
            <w:r>
              <w:rPr>
                <w:rFonts w:ascii="Arial" w:cs="Arial" w:eastAsia="Arial" w:hAnsi="Arial"/>
                <w:sz w:val="16"/>
                <w:szCs w:val="16"/>
                <w:b w:val="1"/>
                <w:bCs w:val="1"/>
                <w:color w:val="FFFFFF"/>
              </w:rPr>
              <w:t>Percent</w:t>
            </w:r>
          </w:p>
        </w:tc>
        <w:tc>
          <w:tcPr>
            <w:tcW w:w="0" w:type="dxa"/>
            <w:vAlign w:val="bottom"/>
          </w:tcPr>
          <w:p>
            <w:pPr>
              <w:spacing w:after="0"/>
              <w:rPr>
                <w:sz w:val="1"/>
                <w:szCs w:val="1"/>
                <w:color w:val="auto"/>
              </w:rPr>
            </w:pPr>
          </w:p>
        </w:tc>
      </w:tr>
      <w:tr>
        <w:trPr>
          <w:trHeight w:val="234"/>
        </w:trPr>
        <w:tc>
          <w:tcPr>
            <w:tcW w:w="4160" w:type="dxa"/>
            <w:vAlign w:val="bottom"/>
            <w:shd w:val="clear" w:color="auto" w:fill="00249C"/>
          </w:tcPr>
          <w:p>
            <w:pPr>
              <w:ind w:left="20"/>
              <w:spacing w:after="0"/>
              <w:rPr>
                <w:sz w:val="20"/>
                <w:szCs w:val="20"/>
                <w:color w:val="auto"/>
              </w:rPr>
            </w:pPr>
            <w:r>
              <w:rPr>
                <w:rFonts w:ascii="Arial" w:cs="Arial" w:eastAsia="Arial" w:hAnsi="Arial"/>
                <w:sz w:val="16"/>
                <w:szCs w:val="16"/>
                <w:b w:val="1"/>
                <w:bCs w:val="1"/>
                <w:color w:val="FFFFFF"/>
              </w:rPr>
              <w:t>Name and Address of Beneficial Owner</w:t>
            </w:r>
          </w:p>
        </w:tc>
        <w:tc>
          <w:tcPr>
            <w:tcW w:w="2580" w:type="dxa"/>
            <w:vAlign w:val="bottom"/>
            <w:shd w:val="clear" w:color="auto" w:fill="00249C"/>
          </w:tcPr>
          <w:p>
            <w:pPr>
              <w:jc w:val="center"/>
              <w:ind w:left="1259"/>
              <w:spacing w:after="0"/>
              <w:rPr>
                <w:sz w:val="20"/>
                <w:szCs w:val="20"/>
                <w:color w:val="auto"/>
              </w:rPr>
            </w:pPr>
            <w:r>
              <w:rPr>
                <w:rFonts w:ascii="Arial" w:cs="Arial" w:eastAsia="Arial" w:hAnsi="Arial"/>
                <w:sz w:val="16"/>
                <w:szCs w:val="16"/>
                <w:b w:val="1"/>
                <w:bCs w:val="1"/>
                <w:color w:val="FFFFFF"/>
              </w:rPr>
              <w:t>Common Stock</w:t>
            </w:r>
          </w:p>
        </w:tc>
        <w:tc>
          <w:tcPr>
            <w:tcW w:w="960" w:type="dxa"/>
            <w:vAlign w:val="bottom"/>
            <w:shd w:val="clear" w:color="auto" w:fill="00249C"/>
          </w:tcPr>
          <w:p>
            <w:pPr>
              <w:spacing w:after="0"/>
              <w:rPr>
                <w:sz w:val="20"/>
                <w:szCs w:val="20"/>
                <w:color w:val="auto"/>
              </w:rPr>
            </w:pPr>
          </w:p>
        </w:tc>
        <w:tc>
          <w:tcPr>
            <w:tcW w:w="2240" w:type="dxa"/>
            <w:vAlign w:val="bottom"/>
            <w:shd w:val="clear" w:color="auto" w:fill="00249C"/>
          </w:tcPr>
          <w:p>
            <w:pPr>
              <w:jc w:val="center"/>
              <w:ind w:right="159"/>
              <w:spacing w:after="0"/>
              <w:rPr>
                <w:sz w:val="20"/>
                <w:szCs w:val="20"/>
                <w:color w:val="auto"/>
              </w:rPr>
            </w:pPr>
            <w:r>
              <w:rPr>
                <w:rFonts w:ascii="Arial" w:cs="Arial" w:eastAsia="Arial" w:hAnsi="Arial"/>
                <w:sz w:val="16"/>
                <w:szCs w:val="16"/>
                <w:b w:val="1"/>
                <w:bCs w:val="1"/>
                <w:color w:val="FFFFFF"/>
              </w:rPr>
              <w:t>of Class</w:t>
            </w:r>
          </w:p>
        </w:tc>
        <w:tc>
          <w:tcPr>
            <w:tcW w:w="0" w:type="dxa"/>
            <w:vAlign w:val="bottom"/>
          </w:tcPr>
          <w:p>
            <w:pPr>
              <w:spacing w:after="0"/>
              <w:rPr>
                <w:sz w:val="1"/>
                <w:szCs w:val="1"/>
                <w:color w:val="auto"/>
              </w:rPr>
            </w:pPr>
          </w:p>
        </w:tc>
      </w:tr>
      <w:tr>
        <w:trPr>
          <w:trHeight w:val="218"/>
        </w:trPr>
        <w:tc>
          <w:tcPr>
            <w:tcW w:w="4160" w:type="dxa"/>
            <w:vAlign w:val="bottom"/>
            <w:shd w:val="clear" w:color="auto" w:fill="CCD4DB"/>
          </w:tcPr>
          <w:p>
            <w:pPr>
              <w:ind w:left="20"/>
              <w:spacing w:after="0"/>
              <w:rPr>
                <w:sz w:val="20"/>
                <w:szCs w:val="20"/>
                <w:color w:val="auto"/>
              </w:rPr>
            </w:pPr>
            <w:r>
              <w:rPr>
                <w:rFonts w:ascii="Arial" w:cs="Arial" w:eastAsia="Arial" w:hAnsi="Arial"/>
                <w:sz w:val="16"/>
                <w:szCs w:val="16"/>
                <w:b w:val="1"/>
                <w:bCs w:val="1"/>
                <w:color w:val="auto"/>
              </w:rPr>
              <w:t>State Street Corporation</w:t>
            </w:r>
          </w:p>
        </w:tc>
        <w:tc>
          <w:tcPr>
            <w:tcW w:w="2580" w:type="dxa"/>
            <w:vAlign w:val="bottom"/>
            <w:vMerge w:val="restart"/>
            <w:shd w:val="clear" w:color="auto" w:fill="CCD4DB"/>
          </w:tcPr>
          <w:p>
            <w:pPr>
              <w:jc w:val="right"/>
              <w:ind w:right="439"/>
              <w:spacing w:after="0"/>
              <w:rPr>
                <w:sz w:val="20"/>
                <w:szCs w:val="20"/>
                <w:color w:val="auto"/>
              </w:rPr>
            </w:pPr>
            <w:r>
              <w:rPr>
                <w:rFonts w:ascii="Arial" w:cs="Arial" w:eastAsia="Arial" w:hAnsi="Arial"/>
                <w:sz w:val="16"/>
                <w:szCs w:val="16"/>
                <w:color w:val="auto"/>
              </w:rPr>
              <w:t>16,948,859</w:t>
            </w:r>
          </w:p>
        </w:tc>
        <w:tc>
          <w:tcPr>
            <w:tcW w:w="960" w:type="dxa"/>
            <w:vAlign w:val="bottom"/>
            <w:vMerge w:val="restart"/>
            <w:shd w:val="clear" w:color="auto" w:fill="CCD4DB"/>
          </w:tcPr>
          <w:p>
            <w:pPr>
              <w:jc w:val="right"/>
              <w:ind w:right="639"/>
              <w:spacing w:after="0"/>
              <w:rPr>
                <w:sz w:val="20"/>
                <w:szCs w:val="20"/>
                <w:color w:val="auto"/>
              </w:rPr>
            </w:pPr>
            <w:r>
              <w:rPr>
                <w:rFonts w:ascii="Arial" w:cs="Arial" w:eastAsia="Arial" w:hAnsi="Arial"/>
                <w:sz w:val="16"/>
                <w:szCs w:val="16"/>
                <w:color w:val="auto"/>
              </w:rPr>
              <w:t>(1)</w:t>
            </w:r>
          </w:p>
        </w:tc>
        <w:tc>
          <w:tcPr>
            <w:tcW w:w="2240" w:type="dxa"/>
            <w:vAlign w:val="bottom"/>
            <w:vMerge w:val="restart"/>
            <w:shd w:val="clear" w:color="auto" w:fill="CCD4DB"/>
          </w:tcPr>
          <w:p>
            <w:pPr>
              <w:jc w:val="center"/>
              <w:ind w:right="17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00"/>
        </w:trPr>
        <w:tc>
          <w:tcPr>
            <w:tcW w:w="4160" w:type="dxa"/>
            <w:vAlign w:val="bottom"/>
            <w:vMerge w:val="restart"/>
            <w:shd w:val="clear" w:color="auto" w:fill="CCD4DB"/>
          </w:tcPr>
          <w:p>
            <w:pPr>
              <w:ind w:left="20"/>
              <w:spacing w:after="0"/>
              <w:rPr>
                <w:sz w:val="20"/>
                <w:szCs w:val="20"/>
                <w:color w:val="auto"/>
              </w:rPr>
            </w:pPr>
            <w:r>
              <w:rPr>
                <w:rFonts w:ascii="Arial" w:cs="Arial" w:eastAsia="Arial" w:hAnsi="Arial"/>
                <w:sz w:val="16"/>
                <w:szCs w:val="16"/>
                <w:color w:val="auto"/>
              </w:rPr>
              <w:t>One Lincoln Street, Boston, MA 02111</w:t>
            </w:r>
          </w:p>
        </w:tc>
        <w:tc>
          <w:tcPr>
            <w:tcW w:w="2580" w:type="dxa"/>
            <w:vAlign w:val="bottom"/>
            <w:vMerge w:val="continue"/>
            <w:shd w:val="clear" w:color="auto" w:fill="CCD4DB"/>
          </w:tcPr>
          <w:p>
            <w:pPr>
              <w:spacing w:after="0"/>
              <w:rPr>
                <w:sz w:val="8"/>
                <w:szCs w:val="8"/>
                <w:color w:val="auto"/>
              </w:rPr>
            </w:pPr>
          </w:p>
        </w:tc>
        <w:tc>
          <w:tcPr>
            <w:tcW w:w="960" w:type="dxa"/>
            <w:vAlign w:val="bottom"/>
            <w:vMerge w:val="continue"/>
            <w:shd w:val="clear" w:color="auto" w:fill="CCD4DB"/>
          </w:tcPr>
          <w:p>
            <w:pPr>
              <w:spacing w:after="0"/>
              <w:rPr>
                <w:sz w:val="8"/>
                <w:szCs w:val="8"/>
                <w:color w:val="auto"/>
              </w:rPr>
            </w:pPr>
          </w:p>
        </w:tc>
        <w:tc>
          <w:tcPr>
            <w:tcW w:w="2240" w:type="dxa"/>
            <w:vAlign w:val="bottom"/>
            <w:vMerge w:val="continue"/>
            <w:shd w:val="clear" w:color="auto" w:fill="CCD4DB"/>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160" w:type="dxa"/>
            <w:vAlign w:val="bottom"/>
            <w:vMerge w:val="continue"/>
            <w:shd w:val="clear" w:color="auto" w:fill="CCD4DB"/>
          </w:tcPr>
          <w:p>
            <w:pPr>
              <w:spacing w:after="0"/>
              <w:rPr>
                <w:sz w:val="9"/>
                <w:szCs w:val="9"/>
                <w:color w:val="auto"/>
              </w:rPr>
            </w:pPr>
          </w:p>
        </w:tc>
        <w:tc>
          <w:tcPr>
            <w:tcW w:w="2580" w:type="dxa"/>
            <w:vAlign w:val="bottom"/>
            <w:shd w:val="clear" w:color="auto" w:fill="CCD4DB"/>
          </w:tcPr>
          <w:p>
            <w:pPr>
              <w:spacing w:after="0"/>
              <w:rPr>
                <w:sz w:val="9"/>
                <w:szCs w:val="9"/>
                <w:color w:val="auto"/>
              </w:rPr>
            </w:pPr>
          </w:p>
        </w:tc>
        <w:tc>
          <w:tcPr>
            <w:tcW w:w="960" w:type="dxa"/>
            <w:vAlign w:val="bottom"/>
            <w:shd w:val="clear" w:color="auto" w:fill="CCD4DB"/>
          </w:tcPr>
          <w:p>
            <w:pPr>
              <w:spacing w:after="0"/>
              <w:rPr>
                <w:sz w:val="9"/>
                <w:szCs w:val="9"/>
                <w:color w:val="auto"/>
              </w:rPr>
            </w:pPr>
          </w:p>
        </w:tc>
        <w:tc>
          <w:tcPr>
            <w:tcW w:w="2240" w:type="dxa"/>
            <w:vAlign w:val="bottom"/>
            <w:shd w:val="clear" w:color="auto" w:fill="CCD4DB"/>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Capital International Investors</w:t>
            </w:r>
          </w:p>
        </w:tc>
        <w:tc>
          <w:tcPr>
            <w:tcW w:w="2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Arial" w:cs="Arial" w:eastAsia="Arial" w:hAnsi="Arial"/>
                <w:sz w:val="16"/>
                <w:szCs w:val="16"/>
                <w:color w:val="auto"/>
              </w:rPr>
              <w:t>11100 Santa Monica Boulevard, 16th Floor,</w:t>
            </w:r>
          </w:p>
        </w:tc>
        <w:tc>
          <w:tcPr>
            <w:tcW w:w="2580" w:type="dxa"/>
            <w:vAlign w:val="bottom"/>
          </w:tcPr>
          <w:p>
            <w:pPr>
              <w:jc w:val="right"/>
              <w:ind w:right="439"/>
              <w:spacing w:after="0"/>
              <w:rPr>
                <w:sz w:val="20"/>
                <w:szCs w:val="20"/>
                <w:color w:val="auto"/>
              </w:rPr>
            </w:pPr>
            <w:r>
              <w:rPr>
                <w:rFonts w:ascii="Arial" w:cs="Arial" w:eastAsia="Arial" w:hAnsi="Arial"/>
                <w:sz w:val="16"/>
                <w:szCs w:val="16"/>
                <w:color w:val="auto"/>
              </w:rPr>
              <w:t>16,795,547</w:t>
            </w:r>
          </w:p>
        </w:tc>
        <w:tc>
          <w:tcPr>
            <w:tcW w:w="960" w:type="dxa"/>
            <w:vAlign w:val="bottom"/>
          </w:tcPr>
          <w:p>
            <w:pPr>
              <w:jc w:val="right"/>
              <w:ind w:right="639"/>
              <w:spacing w:after="0"/>
              <w:rPr>
                <w:sz w:val="20"/>
                <w:szCs w:val="20"/>
                <w:color w:val="auto"/>
              </w:rPr>
            </w:pPr>
            <w:r>
              <w:rPr>
                <w:rFonts w:ascii="Arial" w:cs="Arial" w:eastAsia="Arial" w:hAnsi="Arial"/>
                <w:sz w:val="16"/>
                <w:szCs w:val="16"/>
                <w:color w:val="auto"/>
              </w:rPr>
              <w:t>(2)</w:t>
            </w:r>
          </w:p>
        </w:tc>
        <w:tc>
          <w:tcPr>
            <w:tcW w:w="2240" w:type="dxa"/>
            <w:vAlign w:val="bottom"/>
          </w:tcPr>
          <w:p>
            <w:pPr>
              <w:jc w:val="center"/>
              <w:ind w:right="1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6"/>
                <w:szCs w:val="16"/>
                <w:color w:val="auto"/>
              </w:rPr>
              <w:t>Los Angeles, CA 90025</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D4DB"/>
          </w:tcPr>
          <w:p>
            <w:pPr>
              <w:ind w:left="20"/>
              <w:spacing w:after="0"/>
              <w:rPr>
                <w:sz w:val="20"/>
                <w:szCs w:val="20"/>
                <w:color w:val="auto"/>
              </w:rPr>
            </w:pPr>
            <w:r>
              <w:rPr>
                <w:rFonts w:ascii="Arial" w:cs="Arial" w:eastAsia="Arial" w:hAnsi="Arial"/>
                <w:sz w:val="16"/>
                <w:szCs w:val="16"/>
                <w:b w:val="1"/>
                <w:bCs w:val="1"/>
                <w:color w:val="auto"/>
              </w:rPr>
              <w:t>The Vanguard Group</w:t>
            </w:r>
          </w:p>
        </w:tc>
        <w:tc>
          <w:tcPr>
            <w:tcW w:w="2580" w:type="dxa"/>
            <w:vAlign w:val="bottom"/>
            <w:vMerge w:val="restart"/>
            <w:shd w:val="clear" w:color="auto" w:fill="CCD4DB"/>
          </w:tcPr>
          <w:p>
            <w:pPr>
              <w:jc w:val="right"/>
              <w:ind w:right="439"/>
              <w:spacing w:after="0"/>
              <w:rPr>
                <w:sz w:val="20"/>
                <w:szCs w:val="20"/>
                <w:color w:val="auto"/>
              </w:rPr>
            </w:pPr>
            <w:r>
              <w:rPr>
                <w:rFonts w:ascii="Arial" w:cs="Arial" w:eastAsia="Arial" w:hAnsi="Arial"/>
                <w:sz w:val="16"/>
                <w:szCs w:val="16"/>
                <w:color w:val="auto"/>
              </w:rPr>
              <w:t>13,283,416</w:t>
            </w:r>
          </w:p>
        </w:tc>
        <w:tc>
          <w:tcPr>
            <w:tcW w:w="960" w:type="dxa"/>
            <w:vAlign w:val="bottom"/>
            <w:vMerge w:val="restart"/>
            <w:shd w:val="clear" w:color="auto" w:fill="CCD4DB"/>
          </w:tcPr>
          <w:p>
            <w:pPr>
              <w:jc w:val="right"/>
              <w:ind w:right="639"/>
              <w:spacing w:after="0"/>
              <w:rPr>
                <w:sz w:val="20"/>
                <w:szCs w:val="20"/>
                <w:color w:val="auto"/>
              </w:rPr>
            </w:pPr>
            <w:r>
              <w:rPr>
                <w:rFonts w:ascii="Arial" w:cs="Arial" w:eastAsia="Arial" w:hAnsi="Arial"/>
                <w:sz w:val="16"/>
                <w:szCs w:val="16"/>
                <w:color w:val="auto"/>
              </w:rPr>
              <w:t>(3)</w:t>
            </w:r>
          </w:p>
        </w:tc>
        <w:tc>
          <w:tcPr>
            <w:tcW w:w="2240" w:type="dxa"/>
            <w:vAlign w:val="bottom"/>
            <w:vMerge w:val="restart"/>
            <w:shd w:val="clear" w:color="auto" w:fill="CCD4DB"/>
          </w:tcPr>
          <w:p>
            <w:pPr>
              <w:jc w:val="center"/>
              <w:ind w:right="159"/>
              <w:spacing w:after="0"/>
              <w:rPr>
                <w:sz w:val="20"/>
                <w:szCs w:val="20"/>
                <w:color w:val="auto"/>
              </w:rPr>
            </w:pPr>
            <w:r>
              <w:rPr>
                <w:rFonts w:ascii="Arial" w:cs="Arial" w:eastAsia="Arial" w:hAnsi="Arial"/>
                <w:sz w:val="16"/>
                <w:szCs w:val="16"/>
                <w:color w:val="auto"/>
                <w:w w:val="98"/>
              </w:rPr>
              <w:t>7.9%</w:t>
            </w:r>
          </w:p>
        </w:tc>
        <w:tc>
          <w:tcPr>
            <w:tcW w:w="0" w:type="dxa"/>
            <w:vAlign w:val="bottom"/>
          </w:tcPr>
          <w:p>
            <w:pPr>
              <w:spacing w:after="0"/>
              <w:rPr>
                <w:sz w:val="1"/>
                <w:szCs w:val="1"/>
                <w:color w:val="auto"/>
              </w:rPr>
            </w:pPr>
          </w:p>
        </w:tc>
      </w:tr>
      <w:tr>
        <w:trPr>
          <w:trHeight w:val="100"/>
        </w:trPr>
        <w:tc>
          <w:tcPr>
            <w:tcW w:w="4160" w:type="dxa"/>
            <w:vAlign w:val="bottom"/>
            <w:vMerge w:val="restart"/>
            <w:shd w:val="clear" w:color="auto" w:fill="CCD4DB"/>
          </w:tcPr>
          <w:p>
            <w:pPr>
              <w:ind w:left="20"/>
              <w:spacing w:after="0"/>
              <w:rPr>
                <w:sz w:val="20"/>
                <w:szCs w:val="20"/>
                <w:color w:val="auto"/>
              </w:rPr>
            </w:pPr>
            <w:r>
              <w:rPr>
                <w:rFonts w:ascii="Arial" w:cs="Arial" w:eastAsia="Arial" w:hAnsi="Arial"/>
                <w:sz w:val="16"/>
                <w:szCs w:val="16"/>
                <w:color w:val="auto"/>
              </w:rPr>
              <w:t>100 Vanguard Blvd., Malvern, PA 19355</w:t>
            </w:r>
          </w:p>
        </w:tc>
        <w:tc>
          <w:tcPr>
            <w:tcW w:w="2580" w:type="dxa"/>
            <w:vAlign w:val="bottom"/>
            <w:vMerge w:val="continue"/>
            <w:shd w:val="clear" w:color="auto" w:fill="CCD4DB"/>
          </w:tcPr>
          <w:p>
            <w:pPr>
              <w:spacing w:after="0"/>
              <w:rPr>
                <w:sz w:val="8"/>
                <w:szCs w:val="8"/>
                <w:color w:val="auto"/>
              </w:rPr>
            </w:pPr>
          </w:p>
        </w:tc>
        <w:tc>
          <w:tcPr>
            <w:tcW w:w="960" w:type="dxa"/>
            <w:vAlign w:val="bottom"/>
            <w:vMerge w:val="continue"/>
            <w:shd w:val="clear" w:color="auto" w:fill="CCD4DB"/>
          </w:tcPr>
          <w:p>
            <w:pPr>
              <w:spacing w:after="0"/>
              <w:rPr>
                <w:sz w:val="8"/>
                <w:szCs w:val="8"/>
                <w:color w:val="auto"/>
              </w:rPr>
            </w:pPr>
          </w:p>
        </w:tc>
        <w:tc>
          <w:tcPr>
            <w:tcW w:w="2240" w:type="dxa"/>
            <w:vAlign w:val="bottom"/>
            <w:vMerge w:val="continue"/>
            <w:shd w:val="clear" w:color="auto" w:fill="CCD4DB"/>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4160" w:type="dxa"/>
            <w:vAlign w:val="bottom"/>
            <w:vMerge w:val="continue"/>
            <w:shd w:val="clear" w:color="auto" w:fill="CCD4DB"/>
          </w:tcPr>
          <w:p>
            <w:pPr>
              <w:spacing w:after="0"/>
              <w:rPr>
                <w:sz w:val="9"/>
                <w:szCs w:val="9"/>
                <w:color w:val="auto"/>
              </w:rPr>
            </w:pPr>
          </w:p>
        </w:tc>
        <w:tc>
          <w:tcPr>
            <w:tcW w:w="2580" w:type="dxa"/>
            <w:vAlign w:val="bottom"/>
            <w:shd w:val="clear" w:color="auto" w:fill="CCD4DB"/>
          </w:tcPr>
          <w:p>
            <w:pPr>
              <w:spacing w:after="0"/>
              <w:rPr>
                <w:sz w:val="9"/>
                <w:szCs w:val="9"/>
                <w:color w:val="auto"/>
              </w:rPr>
            </w:pPr>
          </w:p>
        </w:tc>
        <w:tc>
          <w:tcPr>
            <w:tcW w:w="960" w:type="dxa"/>
            <w:vAlign w:val="bottom"/>
            <w:shd w:val="clear" w:color="auto" w:fill="CCD4DB"/>
          </w:tcPr>
          <w:p>
            <w:pPr>
              <w:spacing w:after="0"/>
              <w:rPr>
                <w:sz w:val="9"/>
                <w:szCs w:val="9"/>
                <w:color w:val="auto"/>
              </w:rPr>
            </w:pPr>
          </w:p>
        </w:tc>
        <w:tc>
          <w:tcPr>
            <w:tcW w:w="2240" w:type="dxa"/>
            <w:vAlign w:val="bottom"/>
            <w:shd w:val="clear" w:color="auto" w:fill="CCD4DB"/>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BlackRock, Inc.</w:t>
            </w:r>
          </w:p>
        </w:tc>
        <w:tc>
          <w:tcPr>
            <w:tcW w:w="2580" w:type="dxa"/>
            <w:vAlign w:val="bottom"/>
            <w:vMerge w:val="restart"/>
          </w:tcPr>
          <w:p>
            <w:pPr>
              <w:jc w:val="right"/>
              <w:ind w:right="439"/>
              <w:spacing w:after="0"/>
              <w:rPr>
                <w:sz w:val="20"/>
                <w:szCs w:val="20"/>
                <w:color w:val="auto"/>
              </w:rPr>
            </w:pPr>
            <w:r>
              <w:rPr>
                <w:rFonts w:ascii="Arial" w:cs="Arial" w:eastAsia="Arial" w:hAnsi="Arial"/>
                <w:sz w:val="16"/>
                <w:szCs w:val="16"/>
                <w:color w:val="auto"/>
              </w:rPr>
              <w:t>10,720,381</w:t>
            </w:r>
          </w:p>
        </w:tc>
        <w:tc>
          <w:tcPr>
            <w:tcW w:w="960" w:type="dxa"/>
            <w:vAlign w:val="bottom"/>
            <w:vMerge w:val="restart"/>
          </w:tcPr>
          <w:p>
            <w:pPr>
              <w:jc w:val="right"/>
              <w:ind w:right="639"/>
              <w:spacing w:after="0"/>
              <w:rPr>
                <w:sz w:val="20"/>
                <w:szCs w:val="20"/>
                <w:color w:val="auto"/>
              </w:rPr>
            </w:pPr>
            <w:r>
              <w:rPr>
                <w:rFonts w:ascii="Arial" w:cs="Arial" w:eastAsia="Arial" w:hAnsi="Arial"/>
                <w:sz w:val="16"/>
                <w:szCs w:val="16"/>
                <w:color w:val="auto"/>
              </w:rPr>
              <w:t>(4)</w:t>
            </w:r>
          </w:p>
        </w:tc>
        <w:tc>
          <w:tcPr>
            <w:tcW w:w="2240" w:type="dxa"/>
            <w:vAlign w:val="bottom"/>
            <w:vMerge w:val="restart"/>
          </w:tcPr>
          <w:p>
            <w:pPr>
              <w:jc w:val="center"/>
              <w:ind w:right="159"/>
              <w:spacing w:after="0"/>
              <w:rPr>
                <w:sz w:val="20"/>
                <w:szCs w:val="20"/>
                <w:color w:val="auto"/>
              </w:rPr>
            </w:pPr>
            <w:r>
              <w:rPr>
                <w:rFonts w:ascii="Arial" w:cs="Arial" w:eastAsia="Arial" w:hAnsi="Arial"/>
                <w:sz w:val="16"/>
                <w:szCs w:val="16"/>
                <w:color w:val="auto"/>
                <w:w w:val="98"/>
              </w:rPr>
              <w:t>6.4%</w:t>
            </w:r>
          </w:p>
        </w:tc>
        <w:tc>
          <w:tcPr>
            <w:tcW w:w="0" w:type="dxa"/>
            <w:vAlign w:val="bottom"/>
          </w:tcPr>
          <w:p>
            <w:pPr>
              <w:spacing w:after="0"/>
              <w:rPr>
                <w:sz w:val="1"/>
                <w:szCs w:val="1"/>
                <w:color w:val="auto"/>
              </w:rPr>
            </w:pPr>
          </w:p>
        </w:tc>
      </w:tr>
      <w:tr>
        <w:trPr>
          <w:trHeight w:val="100"/>
        </w:trPr>
        <w:tc>
          <w:tcPr>
            <w:tcW w:w="4160" w:type="dxa"/>
            <w:vAlign w:val="bottom"/>
            <w:vMerge w:val="restart"/>
          </w:tcPr>
          <w:p>
            <w:pPr>
              <w:ind w:left="20"/>
              <w:spacing w:after="0"/>
              <w:rPr>
                <w:sz w:val="20"/>
                <w:szCs w:val="20"/>
                <w:color w:val="auto"/>
              </w:rPr>
            </w:pPr>
            <w:r>
              <w:rPr>
                <w:rFonts w:ascii="Arial" w:cs="Arial" w:eastAsia="Arial" w:hAnsi="Arial"/>
                <w:sz w:val="16"/>
                <w:szCs w:val="16"/>
                <w:color w:val="auto"/>
              </w:rPr>
              <w:t>55 East 52nd Street, New York, NY 10055</w:t>
            </w:r>
          </w:p>
        </w:tc>
        <w:tc>
          <w:tcPr>
            <w:tcW w:w="25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60" w:type="dxa"/>
            <w:vAlign w:val="bottom"/>
            <w:tcBorders>
              <w:bottom w:val="single" w:sz="8" w:color="00249C"/>
            </w:tcBorders>
            <w:vMerge w:val="continue"/>
          </w:tcPr>
          <w:p>
            <w:pPr>
              <w:spacing w:after="0"/>
              <w:rPr>
                <w:sz w:val="9"/>
                <w:szCs w:val="9"/>
                <w:color w:val="auto"/>
              </w:rPr>
            </w:pPr>
          </w:p>
        </w:tc>
        <w:tc>
          <w:tcPr>
            <w:tcW w:w="2580" w:type="dxa"/>
            <w:vAlign w:val="bottom"/>
            <w:tcBorders>
              <w:bottom w:val="single" w:sz="8" w:color="00249C"/>
            </w:tcBorders>
          </w:tcPr>
          <w:p>
            <w:pPr>
              <w:spacing w:after="0"/>
              <w:rPr>
                <w:sz w:val="9"/>
                <w:szCs w:val="9"/>
                <w:color w:val="auto"/>
              </w:rPr>
            </w:pPr>
          </w:p>
        </w:tc>
        <w:tc>
          <w:tcPr>
            <w:tcW w:w="960" w:type="dxa"/>
            <w:vAlign w:val="bottom"/>
            <w:tcBorders>
              <w:bottom w:val="single" w:sz="8" w:color="00249C"/>
            </w:tcBorders>
          </w:tcPr>
          <w:p>
            <w:pPr>
              <w:spacing w:after="0"/>
              <w:rPr>
                <w:sz w:val="9"/>
                <w:szCs w:val="9"/>
                <w:color w:val="auto"/>
              </w:rPr>
            </w:pPr>
          </w:p>
        </w:tc>
        <w:tc>
          <w:tcPr>
            <w:tcW w:w="2240" w:type="dxa"/>
            <w:vAlign w:val="bottom"/>
            <w:tcBorders>
              <w:bottom w:val="single" w:sz="8" w:color="00249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20" w:hanging="412"/>
        <w:spacing w:after="0" w:line="271" w:lineRule="auto"/>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information was provided by State Street Corporation (State Street) in a Schedule 13G filed with the SEC on February 14, 2020. According to State Street, as of December 31, 2019, State Street had shared voting power over 16,531,907 shares and shared dispositive power over 16,947,262 shares. This total includes 10,590,567 shares held as of December 31, 2019 in the Defined Contribution Plans Master Trust for the Northrop Grumman Savings Plan and the Northrop Grumman Financial Security and Savings Program, for which State Street Bank and Trust Company acts as trustee and State Street Global Advisors Trust Company acts as investment manager.</w:t>
      </w:r>
    </w:p>
    <w:p>
      <w:pPr>
        <w:spacing w:after="0" w:line="57" w:lineRule="exact"/>
        <w:rPr>
          <w:rFonts w:ascii="Arial" w:cs="Arial" w:eastAsia="Arial" w:hAnsi="Arial"/>
          <w:sz w:val="17"/>
          <w:szCs w:val="17"/>
          <w:color w:val="auto"/>
        </w:rPr>
      </w:pPr>
    </w:p>
    <w:p>
      <w:pPr>
        <w:ind w:left="420" w:right="40" w:hanging="412"/>
        <w:spacing w:after="0" w:line="256"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information was provided by Capital International Investors (Capital International), a division of Capital Research and Management Company, in a Schedule 13G/A filed with the SEC on March 10, 2020. According to Capital International, as of February 28, 2020, Capital International had sole voting power over 16,618,821 shares and sole dispositive power over 16,795,547 shares.</w:t>
      </w:r>
    </w:p>
    <w:p>
      <w:pPr>
        <w:spacing w:after="0" w:line="66" w:lineRule="exact"/>
        <w:rPr>
          <w:rFonts w:ascii="Arial" w:cs="Arial" w:eastAsia="Arial" w:hAnsi="Arial"/>
          <w:sz w:val="18"/>
          <w:szCs w:val="18"/>
          <w:color w:val="auto"/>
        </w:rPr>
      </w:pPr>
    </w:p>
    <w:p>
      <w:pPr>
        <w:jc w:val="both"/>
        <w:ind w:left="420" w:right="520" w:hanging="412"/>
        <w:spacing w:after="0" w:line="256"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information was provided by The Vanguard Group (Vanguard) in a Schedule 13G/A filed with the SEC on February 12, 2020. According to Vanguard, as of December 31, 2019, Vanguard had sole voting power over 237,465 shares, shared voting power over 40,919 shares, sole dispositive power over 13,015,840 shares and shared dispositive power over 267,576 shares.</w:t>
      </w:r>
    </w:p>
    <w:p>
      <w:pPr>
        <w:spacing w:after="0" w:line="66" w:lineRule="exact"/>
        <w:rPr>
          <w:rFonts w:ascii="Arial" w:cs="Arial" w:eastAsia="Arial" w:hAnsi="Arial"/>
          <w:sz w:val="18"/>
          <w:szCs w:val="18"/>
          <w:color w:val="auto"/>
        </w:rPr>
      </w:pPr>
    </w:p>
    <w:p>
      <w:pPr>
        <w:ind w:left="420" w:right="120" w:hanging="412"/>
        <w:spacing w:after="0" w:line="256"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information was provided by BlackRock, Inc. (BlackRock) in a Schedule 13G/A filed with the SEC on February 5, 2020. According to BlackRock, as of December 31, 2019, BlackRock had sole voting power over 9,753,571 shares and sole dispositive power over 10,720,381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701" w:right="359" w:bottom="1440" w:gutter="0" w:footer="0" w:header="0"/>
        </w:sectPr>
      </w:pPr>
    </w:p>
    <w:bookmarkStart w:id="39" w:name="page40"/>
    <w:bookmarkEnd w:id="39"/>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Stock Ownership of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following table shows beneficial ownership of our common stock as of March 24, 2020 by each of our current directors, our named executive officers and all directors and executive officers as a group. As of March 24, 2020, there were 167,293,201 shares of our common stock outstanding. None of the persons named below beneficially owns in excess of 1% of our outstanding common stock. Unless otherwise indicated, each individual has sole investment power and sole voting power with respect to the shares owned by such person.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40" w:type="dxa"/>
            <w:vAlign w:val="bottom"/>
            <w:shd w:val="clear" w:color="auto" w:fill="00249C"/>
          </w:tcPr>
          <w:p>
            <w:pPr>
              <w:spacing w:after="0"/>
              <w:rPr>
                <w:sz w:val="17"/>
                <w:szCs w:val="17"/>
                <w:color w:val="auto"/>
              </w:rPr>
            </w:pPr>
          </w:p>
        </w:tc>
        <w:tc>
          <w:tcPr>
            <w:tcW w:w="2300" w:type="dxa"/>
            <w:vAlign w:val="bottom"/>
            <w:shd w:val="clear" w:color="auto" w:fill="00249C"/>
          </w:tcPr>
          <w:p>
            <w:pPr>
              <w:jc w:val="center"/>
              <w:ind w:right="39"/>
              <w:spacing w:after="0"/>
              <w:rPr>
                <w:sz w:val="20"/>
                <w:szCs w:val="20"/>
                <w:color w:val="auto"/>
              </w:rPr>
            </w:pPr>
            <w:r>
              <w:rPr>
                <w:rFonts w:ascii="Arial" w:cs="Arial" w:eastAsia="Arial" w:hAnsi="Arial"/>
                <w:sz w:val="16"/>
                <w:szCs w:val="16"/>
                <w:b w:val="1"/>
                <w:bCs w:val="1"/>
                <w:color w:val="FFFFFF"/>
              </w:rPr>
              <w:t>Shares of Common</w:t>
            </w:r>
          </w:p>
        </w:tc>
        <w:tc>
          <w:tcPr>
            <w:tcW w:w="1940" w:type="dxa"/>
            <w:vAlign w:val="bottom"/>
            <w:shd w:val="clear" w:color="auto" w:fill="00249C"/>
          </w:tcPr>
          <w:p>
            <w:pPr>
              <w:spacing w:after="0"/>
              <w:rPr>
                <w:sz w:val="17"/>
                <w:szCs w:val="17"/>
                <w:color w:val="auto"/>
              </w:rPr>
            </w:pPr>
          </w:p>
        </w:tc>
        <w:tc>
          <w:tcPr>
            <w:tcW w:w="1180" w:type="dxa"/>
            <w:vAlign w:val="bottom"/>
            <w:shd w:val="clear" w:color="auto" w:fill="00249C"/>
          </w:tcPr>
          <w:p>
            <w:pPr>
              <w:spacing w:after="0"/>
              <w:rPr>
                <w:sz w:val="17"/>
                <w:szCs w:val="17"/>
                <w:color w:val="auto"/>
              </w:rPr>
            </w:pPr>
          </w:p>
        </w:tc>
        <w:tc>
          <w:tcPr>
            <w:tcW w:w="600" w:type="dxa"/>
            <w:vAlign w:val="bottom"/>
            <w:shd w:val="clear" w:color="auto" w:fill="00249C"/>
          </w:tcPr>
          <w:p>
            <w:pPr>
              <w:spacing w:after="0"/>
              <w:rPr>
                <w:sz w:val="17"/>
                <w:szCs w:val="17"/>
                <w:color w:val="auto"/>
              </w:rPr>
            </w:pPr>
          </w:p>
        </w:tc>
      </w:tr>
      <w:tr>
        <w:trPr>
          <w:trHeight w:val="189"/>
        </w:trPr>
        <w:tc>
          <w:tcPr>
            <w:tcW w:w="5040" w:type="dxa"/>
            <w:vAlign w:val="bottom"/>
            <w:shd w:val="clear" w:color="auto" w:fill="00249C"/>
          </w:tcPr>
          <w:p>
            <w:pPr>
              <w:spacing w:after="0"/>
              <w:rPr>
                <w:sz w:val="16"/>
                <w:szCs w:val="16"/>
                <w:color w:val="auto"/>
              </w:rPr>
            </w:pPr>
          </w:p>
        </w:tc>
        <w:tc>
          <w:tcPr>
            <w:tcW w:w="23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Stock</w:t>
            </w:r>
          </w:p>
        </w:tc>
        <w:tc>
          <w:tcPr>
            <w:tcW w:w="1940" w:type="dxa"/>
            <w:vAlign w:val="bottom"/>
            <w:shd w:val="clear" w:color="auto" w:fill="00249C"/>
          </w:tcPr>
          <w:p>
            <w:pPr>
              <w:jc w:val="center"/>
              <w:ind w:left="19"/>
              <w:spacing w:after="0"/>
              <w:rPr>
                <w:sz w:val="20"/>
                <w:szCs w:val="20"/>
                <w:color w:val="auto"/>
              </w:rPr>
            </w:pPr>
            <w:r>
              <w:rPr>
                <w:rFonts w:ascii="Arial" w:cs="Arial" w:eastAsia="Arial" w:hAnsi="Arial"/>
                <w:sz w:val="16"/>
                <w:szCs w:val="16"/>
                <w:b w:val="1"/>
                <w:bCs w:val="1"/>
                <w:color w:val="FFFFFF"/>
                <w:w w:val="98"/>
              </w:rPr>
              <w:t>Share</w:t>
            </w:r>
          </w:p>
        </w:tc>
        <w:tc>
          <w:tcPr>
            <w:tcW w:w="1180" w:type="dxa"/>
            <w:vAlign w:val="bottom"/>
            <w:shd w:val="clear" w:color="auto" w:fill="00249C"/>
          </w:tcPr>
          <w:p>
            <w:pPr>
              <w:spacing w:after="0"/>
              <w:rPr>
                <w:sz w:val="16"/>
                <w:szCs w:val="16"/>
                <w:color w:val="auto"/>
              </w:rPr>
            </w:pPr>
          </w:p>
        </w:tc>
        <w:tc>
          <w:tcPr>
            <w:tcW w:w="600" w:type="dxa"/>
            <w:vAlign w:val="bottom"/>
            <w:shd w:val="clear" w:color="auto" w:fill="00249C"/>
          </w:tcPr>
          <w:p>
            <w:pPr>
              <w:spacing w:after="0"/>
              <w:rPr>
                <w:sz w:val="16"/>
                <w:szCs w:val="16"/>
                <w:color w:val="auto"/>
              </w:rPr>
            </w:pPr>
          </w:p>
        </w:tc>
      </w:tr>
      <w:tr>
        <w:trPr>
          <w:trHeight w:val="234"/>
        </w:trPr>
        <w:tc>
          <w:tcPr>
            <w:tcW w:w="5040" w:type="dxa"/>
            <w:vAlign w:val="bottom"/>
            <w:shd w:val="clear" w:color="auto" w:fill="00249C"/>
          </w:tcPr>
          <w:p>
            <w:pPr>
              <w:spacing w:after="0"/>
              <w:rPr>
                <w:sz w:val="20"/>
                <w:szCs w:val="20"/>
                <w:color w:val="auto"/>
              </w:rPr>
            </w:pPr>
          </w:p>
        </w:tc>
        <w:tc>
          <w:tcPr>
            <w:tcW w:w="23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Beneficially Owned</w:t>
            </w:r>
          </w:p>
        </w:tc>
        <w:tc>
          <w:tcPr>
            <w:tcW w:w="1940" w:type="dxa"/>
            <w:vAlign w:val="bottom"/>
            <w:shd w:val="clear" w:color="auto" w:fill="00249C"/>
          </w:tcPr>
          <w:p>
            <w:pPr>
              <w:jc w:val="center"/>
              <w:ind w:left="19"/>
              <w:spacing w:after="0"/>
              <w:rPr>
                <w:sz w:val="20"/>
                <w:szCs w:val="20"/>
                <w:color w:val="auto"/>
              </w:rPr>
            </w:pPr>
            <w:r>
              <w:rPr>
                <w:rFonts w:ascii="Arial" w:cs="Arial" w:eastAsia="Arial" w:hAnsi="Arial"/>
                <w:sz w:val="16"/>
                <w:szCs w:val="16"/>
                <w:b w:val="1"/>
                <w:bCs w:val="1"/>
                <w:color w:val="FFFFFF"/>
              </w:rPr>
              <w:t>Equivalents (1)</w:t>
            </w:r>
          </w:p>
        </w:tc>
        <w:tc>
          <w:tcPr>
            <w:tcW w:w="1180" w:type="dxa"/>
            <w:vAlign w:val="bottom"/>
            <w:shd w:val="clear" w:color="auto" w:fill="00249C"/>
          </w:tcPr>
          <w:p>
            <w:pPr>
              <w:ind w:left="440"/>
              <w:spacing w:after="0"/>
              <w:rPr>
                <w:sz w:val="20"/>
                <w:szCs w:val="20"/>
                <w:color w:val="auto"/>
              </w:rPr>
            </w:pPr>
            <w:r>
              <w:rPr>
                <w:rFonts w:ascii="Arial" w:cs="Arial" w:eastAsia="Arial" w:hAnsi="Arial"/>
                <w:sz w:val="16"/>
                <w:szCs w:val="16"/>
                <w:b w:val="1"/>
                <w:bCs w:val="1"/>
                <w:color w:val="FFFFFF"/>
              </w:rPr>
              <w:t>Total</w:t>
            </w:r>
          </w:p>
        </w:tc>
        <w:tc>
          <w:tcPr>
            <w:tcW w:w="600" w:type="dxa"/>
            <w:vAlign w:val="bottom"/>
            <w:shd w:val="clear" w:color="auto" w:fill="00249C"/>
          </w:tcPr>
          <w:p>
            <w:pPr>
              <w:spacing w:after="0"/>
              <w:rPr>
                <w:sz w:val="20"/>
                <w:szCs w:val="20"/>
                <w:color w:val="auto"/>
              </w:rPr>
            </w:pPr>
          </w:p>
        </w:tc>
      </w:tr>
      <w:tr>
        <w:trPr>
          <w:trHeight w:val="250"/>
        </w:trPr>
        <w:tc>
          <w:tcPr>
            <w:tcW w:w="50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6"/>
                <w:szCs w:val="16"/>
                <w:b w:val="1"/>
                <w:bCs w:val="1"/>
                <w:color w:val="auto"/>
              </w:rPr>
              <w:t>Non-Employee Directors</w:t>
            </w:r>
          </w:p>
        </w:tc>
        <w:tc>
          <w:tcPr>
            <w:tcW w:w="2300" w:type="dxa"/>
            <w:vAlign w:val="bottom"/>
            <w:tcBorders>
              <w:bottom w:val="single" w:sz="8" w:color="CCD4DB"/>
            </w:tcBorders>
            <w:shd w:val="clear" w:color="auto" w:fill="CCD4DB"/>
          </w:tcPr>
          <w:p>
            <w:pPr>
              <w:spacing w:after="0"/>
              <w:rPr>
                <w:sz w:val="21"/>
                <w:szCs w:val="21"/>
                <w:color w:val="auto"/>
              </w:rPr>
            </w:pPr>
          </w:p>
        </w:tc>
        <w:tc>
          <w:tcPr>
            <w:tcW w:w="1940" w:type="dxa"/>
            <w:vAlign w:val="bottom"/>
            <w:tcBorders>
              <w:bottom w:val="single" w:sz="8" w:color="CCD4DB"/>
            </w:tcBorders>
            <w:shd w:val="clear" w:color="auto" w:fill="CCD4DB"/>
          </w:tcPr>
          <w:p>
            <w:pPr>
              <w:spacing w:after="0"/>
              <w:rPr>
                <w:sz w:val="21"/>
                <w:szCs w:val="21"/>
                <w:color w:val="auto"/>
              </w:rPr>
            </w:pPr>
          </w:p>
        </w:tc>
        <w:tc>
          <w:tcPr>
            <w:tcW w:w="1180" w:type="dxa"/>
            <w:vAlign w:val="bottom"/>
            <w:tcBorders>
              <w:bottom w:val="single" w:sz="8" w:color="CCD4DB"/>
            </w:tcBorders>
            <w:shd w:val="clear" w:color="auto" w:fill="CCD4DB"/>
          </w:tcPr>
          <w:p>
            <w:pPr>
              <w:spacing w:after="0"/>
              <w:rPr>
                <w:sz w:val="21"/>
                <w:szCs w:val="21"/>
                <w:color w:val="auto"/>
              </w:rPr>
            </w:pPr>
          </w:p>
        </w:tc>
        <w:tc>
          <w:tcPr>
            <w:tcW w:w="600" w:type="dxa"/>
            <w:vAlign w:val="bottom"/>
            <w:tcBorders>
              <w:bottom w:val="single" w:sz="8" w:color="CCD4DB"/>
            </w:tcBorders>
            <w:shd w:val="clear" w:color="auto" w:fill="CCD4DB"/>
          </w:tcPr>
          <w:p>
            <w:pPr>
              <w:spacing w:after="0"/>
              <w:rPr>
                <w:sz w:val="21"/>
                <w:szCs w:val="21"/>
                <w:color w:val="auto"/>
              </w:rPr>
            </w:pPr>
          </w:p>
        </w:tc>
      </w:tr>
      <w:tr>
        <w:trPr>
          <w:trHeight w:val="260"/>
        </w:trPr>
        <w:tc>
          <w:tcPr>
            <w:tcW w:w="5040" w:type="dxa"/>
            <w:vAlign w:val="bottom"/>
          </w:tcPr>
          <w:p>
            <w:pPr>
              <w:ind w:left="380"/>
              <w:spacing w:after="0"/>
              <w:rPr>
                <w:sz w:val="20"/>
                <w:szCs w:val="20"/>
                <w:color w:val="auto"/>
              </w:rPr>
            </w:pPr>
            <w:r>
              <w:rPr>
                <w:rFonts w:ascii="Arial" w:cs="Arial" w:eastAsia="Arial" w:hAnsi="Arial"/>
                <w:sz w:val="16"/>
                <w:szCs w:val="16"/>
                <w:color w:val="auto"/>
              </w:rPr>
              <w:t>Marianne C. Brown</w:t>
            </w:r>
          </w:p>
        </w:tc>
        <w:tc>
          <w:tcPr>
            <w:tcW w:w="2300" w:type="dxa"/>
            <w:vAlign w:val="bottom"/>
          </w:tcPr>
          <w:p>
            <w:pPr>
              <w:jc w:val="center"/>
              <w:spacing w:after="0"/>
              <w:rPr>
                <w:sz w:val="20"/>
                <w:szCs w:val="20"/>
                <w:color w:val="auto"/>
              </w:rPr>
            </w:pPr>
            <w:r>
              <w:rPr>
                <w:rFonts w:ascii="Arial" w:cs="Arial" w:eastAsia="Arial" w:hAnsi="Arial"/>
                <w:sz w:val="16"/>
                <w:szCs w:val="16"/>
                <w:color w:val="auto"/>
              </w:rPr>
              <w:t>—</w:t>
            </w:r>
          </w:p>
        </w:tc>
        <w:tc>
          <w:tcPr>
            <w:tcW w:w="1940" w:type="dxa"/>
            <w:vAlign w:val="bottom"/>
          </w:tcPr>
          <w:p>
            <w:pPr>
              <w:jc w:val="center"/>
              <w:ind w:left="19"/>
              <w:spacing w:after="0"/>
              <w:rPr>
                <w:sz w:val="20"/>
                <w:szCs w:val="20"/>
                <w:color w:val="auto"/>
              </w:rPr>
            </w:pPr>
            <w:r>
              <w:rPr>
                <w:rFonts w:ascii="Arial" w:cs="Arial" w:eastAsia="Arial" w:hAnsi="Arial"/>
                <w:sz w:val="16"/>
                <w:szCs w:val="16"/>
                <w:color w:val="auto"/>
                <w:w w:val="99"/>
              </w:rPr>
              <w:t>5,387</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5,387</w:t>
            </w:r>
          </w:p>
        </w:tc>
        <w:tc>
          <w:tcPr>
            <w:tcW w:w="600" w:type="dxa"/>
            <w:vAlign w:val="bottom"/>
          </w:tcPr>
          <w:p>
            <w:pPr>
              <w:spacing w:after="0"/>
              <w:rPr>
                <w:sz w:val="22"/>
                <w:szCs w:val="22"/>
                <w:color w:val="auto"/>
              </w:rPr>
            </w:pPr>
          </w:p>
        </w:tc>
      </w:tr>
      <w:tr>
        <w:trPr>
          <w:trHeight w:val="280"/>
        </w:trPr>
        <w:tc>
          <w:tcPr>
            <w:tcW w:w="5040" w:type="dxa"/>
            <w:vAlign w:val="bottom"/>
            <w:shd w:val="clear" w:color="auto" w:fill="CCD4DB"/>
          </w:tcPr>
          <w:p>
            <w:pPr>
              <w:ind w:left="380"/>
              <w:spacing w:after="0"/>
              <w:rPr>
                <w:sz w:val="20"/>
                <w:szCs w:val="20"/>
                <w:color w:val="auto"/>
              </w:rPr>
            </w:pPr>
            <w:r>
              <w:rPr>
                <w:rFonts w:ascii="Arial" w:cs="Arial" w:eastAsia="Arial" w:hAnsi="Arial"/>
                <w:sz w:val="16"/>
                <w:szCs w:val="16"/>
                <w:color w:val="auto"/>
              </w:rPr>
              <w:t>Donald E. Felsinger</w:t>
            </w:r>
          </w:p>
        </w:tc>
        <w:tc>
          <w:tcPr>
            <w:tcW w:w="23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D4DB"/>
          </w:tcPr>
          <w:p>
            <w:pPr>
              <w:jc w:val="center"/>
              <w:ind w:left="39"/>
              <w:spacing w:after="0"/>
              <w:rPr>
                <w:sz w:val="20"/>
                <w:szCs w:val="20"/>
                <w:color w:val="auto"/>
              </w:rPr>
            </w:pPr>
            <w:r>
              <w:rPr>
                <w:rFonts w:ascii="Arial" w:cs="Arial" w:eastAsia="Arial" w:hAnsi="Arial"/>
                <w:sz w:val="16"/>
                <w:szCs w:val="16"/>
                <w:color w:val="auto"/>
              </w:rPr>
              <w:t>36,615</w:t>
            </w:r>
          </w:p>
        </w:tc>
        <w:tc>
          <w:tcPr>
            <w:tcW w:w="11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36,615</w:t>
            </w:r>
          </w:p>
        </w:tc>
        <w:tc>
          <w:tcPr>
            <w:tcW w:w="600" w:type="dxa"/>
            <w:vAlign w:val="bottom"/>
            <w:shd w:val="clear" w:color="auto" w:fill="CCD4DB"/>
          </w:tcPr>
          <w:p>
            <w:pPr>
              <w:spacing w:after="0"/>
              <w:rPr>
                <w:sz w:val="24"/>
                <w:szCs w:val="24"/>
                <w:color w:val="auto"/>
              </w:rPr>
            </w:pPr>
          </w:p>
        </w:tc>
      </w:tr>
      <w:tr>
        <w:trPr>
          <w:trHeight w:val="260"/>
        </w:trPr>
        <w:tc>
          <w:tcPr>
            <w:tcW w:w="5040" w:type="dxa"/>
            <w:vAlign w:val="bottom"/>
          </w:tcPr>
          <w:p>
            <w:pPr>
              <w:ind w:left="380"/>
              <w:spacing w:after="0"/>
              <w:rPr>
                <w:sz w:val="20"/>
                <w:szCs w:val="20"/>
                <w:color w:val="auto"/>
              </w:rPr>
            </w:pPr>
            <w:r>
              <w:rPr>
                <w:rFonts w:ascii="Arial" w:cs="Arial" w:eastAsia="Arial" w:hAnsi="Arial"/>
                <w:sz w:val="16"/>
                <w:szCs w:val="16"/>
                <w:color w:val="auto"/>
              </w:rPr>
              <w:t>Ann M. Fudge</w:t>
            </w:r>
          </w:p>
        </w:tc>
        <w:tc>
          <w:tcPr>
            <w:tcW w:w="2300" w:type="dxa"/>
            <w:vAlign w:val="bottom"/>
          </w:tcPr>
          <w:p>
            <w:pPr>
              <w:jc w:val="center"/>
              <w:spacing w:after="0"/>
              <w:rPr>
                <w:sz w:val="20"/>
                <w:szCs w:val="20"/>
                <w:color w:val="auto"/>
              </w:rPr>
            </w:pPr>
            <w:r>
              <w:rPr>
                <w:rFonts w:ascii="Arial" w:cs="Arial" w:eastAsia="Arial" w:hAnsi="Arial"/>
                <w:sz w:val="16"/>
                <w:szCs w:val="16"/>
                <w:color w:val="auto"/>
              </w:rPr>
              <w:t>93</w:t>
            </w:r>
          </w:p>
        </w:tc>
        <w:tc>
          <w:tcPr>
            <w:tcW w:w="1940" w:type="dxa"/>
            <w:vAlign w:val="bottom"/>
          </w:tcPr>
          <w:p>
            <w:pPr>
              <w:jc w:val="center"/>
              <w:ind w:left="19"/>
              <w:spacing w:after="0"/>
              <w:rPr>
                <w:sz w:val="20"/>
                <w:szCs w:val="20"/>
                <w:color w:val="auto"/>
              </w:rPr>
            </w:pPr>
            <w:r>
              <w:rPr>
                <w:rFonts w:ascii="Arial" w:cs="Arial" w:eastAsia="Arial" w:hAnsi="Arial"/>
                <w:sz w:val="16"/>
                <w:szCs w:val="16"/>
                <w:color w:val="auto"/>
                <w:w w:val="99"/>
              </w:rPr>
              <w:t>2,900</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2,993</w:t>
            </w:r>
          </w:p>
        </w:tc>
        <w:tc>
          <w:tcPr>
            <w:tcW w:w="600" w:type="dxa"/>
            <w:vAlign w:val="bottom"/>
          </w:tcPr>
          <w:p>
            <w:pPr>
              <w:spacing w:after="0"/>
              <w:rPr>
                <w:sz w:val="22"/>
                <w:szCs w:val="22"/>
                <w:color w:val="auto"/>
              </w:rPr>
            </w:pPr>
          </w:p>
        </w:tc>
      </w:tr>
      <w:tr>
        <w:trPr>
          <w:trHeight w:val="280"/>
        </w:trPr>
        <w:tc>
          <w:tcPr>
            <w:tcW w:w="5040" w:type="dxa"/>
            <w:vAlign w:val="bottom"/>
            <w:shd w:val="clear" w:color="auto" w:fill="CCD4DB"/>
          </w:tcPr>
          <w:p>
            <w:pPr>
              <w:ind w:left="380"/>
              <w:spacing w:after="0"/>
              <w:rPr>
                <w:sz w:val="20"/>
                <w:szCs w:val="20"/>
                <w:color w:val="auto"/>
              </w:rPr>
            </w:pPr>
            <w:r>
              <w:rPr>
                <w:rFonts w:ascii="Arial" w:cs="Arial" w:eastAsia="Arial" w:hAnsi="Arial"/>
                <w:sz w:val="16"/>
                <w:szCs w:val="16"/>
                <w:color w:val="auto"/>
              </w:rPr>
              <w:t>Bruce S. Gordon</w:t>
            </w:r>
          </w:p>
        </w:tc>
        <w:tc>
          <w:tcPr>
            <w:tcW w:w="23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D4DB"/>
          </w:tcPr>
          <w:p>
            <w:pPr>
              <w:jc w:val="center"/>
              <w:ind w:left="39"/>
              <w:spacing w:after="0"/>
              <w:rPr>
                <w:sz w:val="20"/>
                <w:szCs w:val="20"/>
                <w:color w:val="auto"/>
              </w:rPr>
            </w:pPr>
            <w:r>
              <w:rPr>
                <w:rFonts w:ascii="Arial" w:cs="Arial" w:eastAsia="Arial" w:hAnsi="Arial"/>
                <w:sz w:val="16"/>
                <w:szCs w:val="16"/>
                <w:color w:val="auto"/>
              </w:rPr>
              <w:t>17,958</w:t>
            </w:r>
          </w:p>
        </w:tc>
        <w:tc>
          <w:tcPr>
            <w:tcW w:w="11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17,958</w:t>
            </w:r>
          </w:p>
        </w:tc>
        <w:tc>
          <w:tcPr>
            <w:tcW w:w="600" w:type="dxa"/>
            <w:vAlign w:val="bottom"/>
            <w:shd w:val="clear" w:color="auto" w:fill="CCD4DB"/>
          </w:tcPr>
          <w:p>
            <w:pPr>
              <w:spacing w:after="0"/>
              <w:rPr>
                <w:sz w:val="24"/>
                <w:szCs w:val="24"/>
                <w:color w:val="auto"/>
              </w:rPr>
            </w:pPr>
          </w:p>
        </w:tc>
      </w:tr>
      <w:tr>
        <w:trPr>
          <w:trHeight w:val="260"/>
        </w:trPr>
        <w:tc>
          <w:tcPr>
            <w:tcW w:w="5040" w:type="dxa"/>
            <w:vAlign w:val="bottom"/>
          </w:tcPr>
          <w:p>
            <w:pPr>
              <w:ind w:left="380"/>
              <w:spacing w:after="0"/>
              <w:rPr>
                <w:sz w:val="20"/>
                <w:szCs w:val="20"/>
                <w:color w:val="auto"/>
              </w:rPr>
            </w:pPr>
            <w:r>
              <w:rPr>
                <w:rFonts w:ascii="Arial" w:cs="Arial" w:eastAsia="Arial" w:hAnsi="Arial"/>
                <w:sz w:val="16"/>
                <w:szCs w:val="16"/>
                <w:color w:val="auto"/>
              </w:rPr>
              <w:t>William H. Hernandez</w:t>
            </w:r>
          </w:p>
        </w:tc>
        <w:tc>
          <w:tcPr>
            <w:tcW w:w="2300" w:type="dxa"/>
            <w:vAlign w:val="bottom"/>
          </w:tcPr>
          <w:p>
            <w:pPr>
              <w:jc w:val="center"/>
              <w:spacing w:after="0"/>
              <w:rPr>
                <w:sz w:val="20"/>
                <w:szCs w:val="20"/>
                <w:color w:val="auto"/>
              </w:rPr>
            </w:pPr>
            <w:r>
              <w:rPr>
                <w:rFonts w:ascii="Arial" w:cs="Arial" w:eastAsia="Arial" w:hAnsi="Arial"/>
                <w:sz w:val="16"/>
                <w:szCs w:val="16"/>
                <w:color w:val="auto"/>
              </w:rPr>
              <w:t>1,000</w:t>
            </w:r>
          </w:p>
        </w:tc>
        <w:tc>
          <w:tcPr>
            <w:tcW w:w="1940" w:type="dxa"/>
            <w:vAlign w:val="bottom"/>
          </w:tcPr>
          <w:p>
            <w:pPr>
              <w:jc w:val="center"/>
              <w:ind w:left="19"/>
              <w:spacing w:after="0"/>
              <w:rPr>
                <w:sz w:val="20"/>
                <w:szCs w:val="20"/>
                <w:color w:val="auto"/>
              </w:rPr>
            </w:pPr>
            <w:r>
              <w:rPr>
                <w:rFonts w:ascii="Arial" w:cs="Arial" w:eastAsia="Arial" w:hAnsi="Arial"/>
                <w:sz w:val="16"/>
                <w:szCs w:val="16"/>
                <w:color w:val="auto"/>
                <w:w w:val="99"/>
              </w:rPr>
              <w:t>5,039</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6,039</w:t>
            </w:r>
          </w:p>
        </w:tc>
        <w:tc>
          <w:tcPr>
            <w:tcW w:w="600" w:type="dxa"/>
            <w:vAlign w:val="bottom"/>
          </w:tcPr>
          <w:p>
            <w:pPr>
              <w:spacing w:after="0"/>
              <w:rPr>
                <w:sz w:val="22"/>
                <w:szCs w:val="22"/>
                <w:color w:val="auto"/>
              </w:rPr>
            </w:pPr>
          </w:p>
        </w:tc>
      </w:tr>
      <w:tr>
        <w:trPr>
          <w:trHeight w:val="280"/>
        </w:trPr>
        <w:tc>
          <w:tcPr>
            <w:tcW w:w="5040" w:type="dxa"/>
            <w:vAlign w:val="bottom"/>
            <w:shd w:val="clear" w:color="auto" w:fill="CCD4DB"/>
          </w:tcPr>
          <w:p>
            <w:pPr>
              <w:ind w:left="380"/>
              <w:spacing w:after="0"/>
              <w:rPr>
                <w:sz w:val="20"/>
                <w:szCs w:val="20"/>
                <w:color w:val="auto"/>
              </w:rPr>
            </w:pPr>
            <w:r>
              <w:rPr>
                <w:rFonts w:ascii="Arial" w:cs="Arial" w:eastAsia="Arial" w:hAnsi="Arial"/>
                <w:sz w:val="16"/>
                <w:szCs w:val="16"/>
                <w:color w:val="auto"/>
              </w:rPr>
              <w:t>Madeleine A. Kleiner</w:t>
            </w:r>
          </w:p>
        </w:tc>
        <w:tc>
          <w:tcPr>
            <w:tcW w:w="23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D4DB"/>
          </w:tcPr>
          <w:p>
            <w:pPr>
              <w:jc w:val="center"/>
              <w:ind w:left="39"/>
              <w:spacing w:after="0"/>
              <w:rPr>
                <w:sz w:val="20"/>
                <w:szCs w:val="20"/>
                <w:color w:val="auto"/>
              </w:rPr>
            </w:pPr>
            <w:r>
              <w:rPr>
                <w:rFonts w:ascii="Arial" w:cs="Arial" w:eastAsia="Arial" w:hAnsi="Arial"/>
                <w:sz w:val="16"/>
                <w:szCs w:val="16"/>
                <w:color w:val="auto"/>
              </w:rPr>
              <w:t>16,936</w:t>
            </w:r>
          </w:p>
        </w:tc>
        <w:tc>
          <w:tcPr>
            <w:tcW w:w="11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16,936</w:t>
            </w:r>
          </w:p>
        </w:tc>
        <w:tc>
          <w:tcPr>
            <w:tcW w:w="600" w:type="dxa"/>
            <w:vAlign w:val="bottom"/>
            <w:shd w:val="clear" w:color="auto" w:fill="CCD4DB"/>
          </w:tcPr>
          <w:p>
            <w:pPr>
              <w:spacing w:after="0"/>
              <w:rPr>
                <w:sz w:val="24"/>
                <w:szCs w:val="24"/>
                <w:color w:val="auto"/>
              </w:rPr>
            </w:pPr>
          </w:p>
        </w:tc>
      </w:tr>
      <w:tr>
        <w:trPr>
          <w:trHeight w:val="260"/>
        </w:trPr>
        <w:tc>
          <w:tcPr>
            <w:tcW w:w="5040" w:type="dxa"/>
            <w:vAlign w:val="bottom"/>
          </w:tcPr>
          <w:p>
            <w:pPr>
              <w:ind w:left="380"/>
              <w:spacing w:after="0"/>
              <w:rPr>
                <w:sz w:val="20"/>
                <w:szCs w:val="20"/>
                <w:color w:val="auto"/>
              </w:rPr>
            </w:pPr>
            <w:r>
              <w:rPr>
                <w:rFonts w:ascii="Arial" w:cs="Arial" w:eastAsia="Arial" w:hAnsi="Arial"/>
                <w:sz w:val="16"/>
                <w:szCs w:val="16"/>
                <w:color w:val="auto"/>
              </w:rPr>
              <w:t>Karl J. Krapek</w:t>
            </w:r>
          </w:p>
        </w:tc>
        <w:tc>
          <w:tcPr>
            <w:tcW w:w="2300" w:type="dxa"/>
            <w:vAlign w:val="bottom"/>
          </w:tcPr>
          <w:p>
            <w:pPr>
              <w:jc w:val="center"/>
              <w:spacing w:after="0"/>
              <w:rPr>
                <w:sz w:val="20"/>
                <w:szCs w:val="20"/>
                <w:color w:val="auto"/>
              </w:rPr>
            </w:pPr>
            <w:r>
              <w:rPr>
                <w:rFonts w:ascii="Arial" w:cs="Arial" w:eastAsia="Arial" w:hAnsi="Arial"/>
                <w:sz w:val="16"/>
                <w:szCs w:val="16"/>
                <w:color w:val="auto"/>
              </w:rPr>
              <w:t>6,569</w:t>
            </w:r>
          </w:p>
        </w:tc>
        <w:tc>
          <w:tcPr>
            <w:tcW w:w="1940" w:type="dxa"/>
            <w:vAlign w:val="bottom"/>
          </w:tcPr>
          <w:p>
            <w:pPr>
              <w:jc w:val="center"/>
              <w:ind w:left="39"/>
              <w:spacing w:after="0"/>
              <w:rPr>
                <w:sz w:val="20"/>
                <w:szCs w:val="20"/>
                <w:color w:val="auto"/>
              </w:rPr>
            </w:pPr>
            <w:r>
              <w:rPr>
                <w:rFonts w:ascii="Arial" w:cs="Arial" w:eastAsia="Arial" w:hAnsi="Arial"/>
                <w:sz w:val="16"/>
                <w:szCs w:val="16"/>
                <w:color w:val="auto"/>
              </w:rPr>
              <w:t>21,187</w:t>
            </w:r>
          </w:p>
        </w:tc>
        <w:tc>
          <w:tcPr>
            <w:tcW w:w="1180" w:type="dxa"/>
            <w:vAlign w:val="bottom"/>
          </w:tcPr>
          <w:p>
            <w:pPr>
              <w:jc w:val="center"/>
              <w:spacing w:after="0"/>
              <w:rPr>
                <w:sz w:val="20"/>
                <w:szCs w:val="20"/>
                <w:color w:val="auto"/>
              </w:rPr>
            </w:pPr>
            <w:r>
              <w:rPr>
                <w:rFonts w:ascii="Arial" w:cs="Arial" w:eastAsia="Arial" w:hAnsi="Arial"/>
                <w:sz w:val="16"/>
                <w:szCs w:val="16"/>
                <w:color w:val="auto"/>
              </w:rPr>
              <w:t>27,756</w:t>
            </w:r>
          </w:p>
        </w:tc>
        <w:tc>
          <w:tcPr>
            <w:tcW w:w="600" w:type="dxa"/>
            <w:vAlign w:val="bottom"/>
          </w:tcPr>
          <w:p>
            <w:pPr>
              <w:spacing w:after="0"/>
              <w:rPr>
                <w:sz w:val="22"/>
                <w:szCs w:val="22"/>
                <w:color w:val="auto"/>
              </w:rPr>
            </w:pPr>
          </w:p>
        </w:tc>
      </w:tr>
      <w:tr>
        <w:trPr>
          <w:trHeight w:val="280"/>
        </w:trPr>
        <w:tc>
          <w:tcPr>
            <w:tcW w:w="5040" w:type="dxa"/>
            <w:vAlign w:val="bottom"/>
            <w:shd w:val="clear" w:color="auto" w:fill="CCD4DB"/>
          </w:tcPr>
          <w:p>
            <w:pPr>
              <w:ind w:left="380"/>
              <w:spacing w:after="0"/>
              <w:rPr>
                <w:sz w:val="20"/>
                <w:szCs w:val="20"/>
                <w:color w:val="auto"/>
              </w:rPr>
            </w:pPr>
            <w:r>
              <w:rPr>
                <w:rFonts w:ascii="Arial" w:cs="Arial" w:eastAsia="Arial" w:hAnsi="Arial"/>
                <w:sz w:val="16"/>
                <w:szCs w:val="16"/>
                <w:color w:val="auto"/>
              </w:rPr>
              <w:t>Gary Roughead</w:t>
            </w:r>
          </w:p>
        </w:tc>
        <w:tc>
          <w:tcPr>
            <w:tcW w:w="23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D4DB"/>
          </w:tcPr>
          <w:p>
            <w:pPr>
              <w:jc w:val="center"/>
              <w:ind w:left="19"/>
              <w:spacing w:after="0"/>
              <w:rPr>
                <w:sz w:val="20"/>
                <w:szCs w:val="20"/>
                <w:color w:val="auto"/>
              </w:rPr>
            </w:pPr>
            <w:r>
              <w:rPr>
                <w:rFonts w:ascii="Arial" w:cs="Arial" w:eastAsia="Arial" w:hAnsi="Arial"/>
                <w:sz w:val="16"/>
                <w:szCs w:val="16"/>
                <w:color w:val="auto"/>
                <w:w w:val="99"/>
              </w:rPr>
              <w:t>8,346</w:t>
            </w:r>
          </w:p>
        </w:tc>
        <w:tc>
          <w:tcPr>
            <w:tcW w:w="118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8,346</w:t>
            </w:r>
          </w:p>
        </w:tc>
        <w:tc>
          <w:tcPr>
            <w:tcW w:w="600" w:type="dxa"/>
            <w:vAlign w:val="bottom"/>
            <w:shd w:val="clear" w:color="auto" w:fill="CCD4DB"/>
          </w:tcPr>
          <w:p>
            <w:pPr>
              <w:spacing w:after="0"/>
              <w:rPr>
                <w:sz w:val="24"/>
                <w:szCs w:val="24"/>
                <w:color w:val="auto"/>
              </w:rPr>
            </w:pPr>
          </w:p>
        </w:tc>
      </w:tr>
      <w:tr>
        <w:trPr>
          <w:trHeight w:val="260"/>
        </w:trPr>
        <w:tc>
          <w:tcPr>
            <w:tcW w:w="5040" w:type="dxa"/>
            <w:vAlign w:val="bottom"/>
          </w:tcPr>
          <w:p>
            <w:pPr>
              <w:ind w:left="380"/>
              <w:spacing w:after="0"/>
              <w:rPr>
                <w:sz w:val="20"/>
                <w:szCs w:val="20"/>
                <w:color w:val="auto"/>
              </w:rPr>
            </w:pPr>
            <w:r>
              <w:rPr>
                <w:rFonts w:ascii="Arial" w:cs="Arial" w:eastAsia="Arial" w:hAnsi="Arial"/>
                <w:sz w:val="16"/>
                <w:szCs w:val="16"/>
                <w:color w:val="auto"/>
              </w:rPr>
              <w:t>Thomas M. Schoewe</w:t>
            </w:r>
          </w:p>
        </w:tc>
        <w:tc>
          <w:tcPr>
            <w:tcW w:w="2300" w:type="dxa"/>
            <w:vAlign w:val="bottom"/>
          </w:tcPr>
          <w:p>
            <w:pPr>
              <w:jc w:val="center"/>
              <w:spacing w:after="0"/>
              <w:rPr>
                <w:sz w:val="20"/>
                <w:szCs w:val="20"/>
                <w:color w:val="auto"/>
              </w:rPr>
            </w:pPr>
            <w:r>
              <w:rPr>
                <w:rFonts w:ascii="Arial" w:cs="Arial" w:eastAsia="Arial" w:hAnsi="Arial"/>
                <w:sz w:val="16"/>
                <w:szCs w:val="16"/>
                <w:color w:val="auto"/>
              </w:rPr>
              <w:t>3,160</w:t>
            </w:r>
          </w:p>
        </w:tc>
        <w:tc>
          <w:tcPr>
            <w:tcW w:w="1940" w:type="dxa"/>
            <w:vAlign w:val="bottom"/>
          </w:tcPr>
          <w:p>
            <w:pPr>
              <w:jc w:val="center"/>
              <w:ind w:left="19"/>
              <w:spacing w:after="0"/>
              <w:rPr>
                <w:sz w:val="20"/>
                <w:szCs w:val="20"/>
                <w:color w:val="auto"/>
              </w:rPr>
            </w:pPr>
            <w:r>
              <w:rPr>
                <w:rFonts w:ascii="Arial" w:cs="Arial" w:eastAsia="Arial" w:hAnsi="Arial"/>
                <w:sz w:val="16"/>
                <w:szCs w:val="16"/>
                <w:color w:val="auto"/>
                <w:w w:val="99"/>
              </w:rPr>
              <w:t>9,585</w:t>
            </w:r>
          </w:p>
        </w:tc>
        <w:tc>
          <w:tcPr>
            <w:tcW w:w="1180" w:type="dxa"/>
            <w:vAlign w:val="bottom"/>
          </w:tcPr>
          <w:p>
            <w:pPr>
              <w:jc w:val="center"/>
              <w:spacing w:after="0"/>
              <w:rPr>
                <w:sz w:val="20"/>
                <w:szCs w:val="20"/>
                <w:color w:val="auto"/>
              </w:rPr>
            </w:pPr>
            <w:r>
              <w:rPr>
                <w:rFonts w:ascii="Arial" w:cs="Arial" w:eastAsia="Arial" w:hAnsi="Arial"/>
                <w:sz w:val="16"/>
                <w:szCs w:val="16"/>
                <w:color w:val="auto"/>
              </w:rPr>
              <w:t>12,745</w:t>
            </w:r>
          </w:p>
        </w:tc>
        <w:tc>
          <w:tcPr>
            <w:tcW w:w="600" w:type="dxa"/>
            <w:vAlign w:val="bottom"/>
          </w:tcPr>
          <w:p>
            <w:pPr>
              <w:spacing w:after="0"/>
              <w:rPr>
                <w:sz w:val="22"/>
                <w:szCs w:val="22"/>
                <w:color w:val="auto"/>
              </w:rPr>
            </w:pPr>
          </w:p>
        </w:tc>
      </w:tr>
      <w:tr>
        <w:trPr>
          <w:trHeight w:val="280"/>
        </w:trPr>
        <w:tc>
          <w:tcPr>
            <w:tcW w:w="5040" w:type="dxa"/>
            <w:vAlign w:val="bottom"/>
            <w:shd w:val="clear" w:color="auto" w:fill="CCD4DB"/>
          </w:tcPr>
          <w:p>
            <w:pPr>
              <w:ind w:left="380"/>
              <w:spacing w:after="0"/>
              <w:rPr>
                <w:sz w:val="20"/>
                <w:szCs w:val="20"/>
                <w:color w:val="auto"/>
              </w:rPr>
            </w:pPr>
            <w:r>
              <w:rPr>
                <w:rFonts w:ascii="Arial" w:cs="Arial" w:eastAsia="Arial" w:hAnsi="Arial"/>
                <w:sz w:val="16"/>
                <w:szCs w:val="16"/>
                <w:color w:val="auto"/>
              </w:rPr>
              <w:t>James S. Turley</w:t>
            </w:r>
          </w:p>
        </w:tc>
        <w:tc>
          <w:tcPr>
            <w:tcW w:w="230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7"/>
              </w:rPr>
              <w:t>635</w:t>
            </w:r>
          </w:p>
        </w:tc>
        <w:tc>
          <w:tcPr>
            <w:tcW w:w="1940" w:type="dxa"/>
            <w:vAlign w:val="bottom"/>
            <w:shd w:val="clear" w:color="auto" w:fill="CCD4DB"/>
          </w:tcPr>
          <w:p>
            <w:pPr>
              <w:jc w:val="center"/>
              <w:ind w:left="19"/>
              <w:spacing w:after="0"/>
              <w:rPr>
                <w:sz w:val="20"/>
                <w:szCs w:val="20"/>
                <w:color w:val="auto"/>
              </w:rPr>
            </w:pPr>
            <w:r>
              <w:rPr>
                <w:rFonts w:ascii="Arial" w:cs="Arial" w:eastAsia="Arial" w:hAnsi="Arial"/>
                <w:sz w:val="16"/>
                <w:szCs w:val="16"/>
                <w:color w:val="auto"/>
                <w:w w:val="99"/>
              </w:rPr>
              <w:t>2,814</w:t>
            </w:r>
          </w:p>
        </w:tc>
        <w:tc>
          <w:tcPr>
            <w:tcW w:w="118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3,449</w:t>
            </w:r>
          </w:p>
        </w:tc>
        <w:tc>
          <w:tcPr>
            <w:tcW w:w="600" w:type="dxa"/>
            <w:vAlign w:val="bottom"/>
            <w:shd w:val="clear" w:color="auto" w:fill="CCD4DB"/>
          </w:tcPr>
          <w:p>
            <w:pPr>
              <w:spacing w:after="0"/>
              <w:rPr>
                <w:sz w:val="24"/>
                <w:szCs w:val="24"/>
                <w:color w:val="auto"/>
              </w:rPr>
            </w:pPr>
          </w:p>
        </w:tc>
      </w:tr>
      <w:tr>
        <w:trPr>
          <w:trHeight w:val="264"/>
        </w:trPr>
        <w:tc>
          <w:tcPr>
            <w:tcW w:w="5040" w:type="dxa"/>
            <w:vAlign w:val="bottom"/>
            <w:tcBorders>
              <w:bottom w:val="single" w:sz="8" w:color="00249C"/>
            </w:tcBorders>
          </w:tcPr>
          <w:p>
            <w:pPr>
              <w:ind w:left="380"/>
              <w:spacing w:after="0"/>
              <w:rPr>
                <w:sz w:val="20"/>
                <w:szCs w:val="20"/>
                <w:color w:val="auto"/>
              </w:rPr>
            </w:pPr>
            <w:r>
              <w:rPr>
                <w:rFonts w:ascii="Arial" w:cs="Arial" w:eastAsia="Arial" w:hAnsi="Arial"/>
                <w:sz w:val="16"/>
                <w:szCs w:val="16"/>
                <w:color w:val="auto"/>
              </w:rPr>
              <w:t>Mark A. Welsh III</w:t>
            </w:r>
          </w:p>
        </w:tc>
        <w:tc>
          <w:tcPr>
            <w:tcW w:w="230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00249C"/>
            </w:tcBorders>
          </w:tcPr>
          <w:p>
            <w:pPr>
              <w:jc w:val="center"/>
              <w:ind w:left="19"/>
              <w:spacing w:after="0"/>
              <w:rPr>
                <w:sz w:val="20"/>
                <w:szCs w:val="20"/>
                <w:color w:val="auto"/>
              </w:rPr>
            </w:pPr>
            <w:r>
              <w:rPr>
                <w:rFonts w:ascii="Arial" w:cs="Arial" w:eastAsia="Arial" w:hAnsi="Arial"/>
                <w:sz w:val="16"/>
                <w:szCs w:val="16"/>
                <w:color w:val="auto"/>
                <w:w w:val="99"/>
              </w:rPr>
              <w:t>1,971</w:t>
            </w:r>
          </w:p>
        </w:tc>
        <w:tc>
          <w:tcPr>
            <w:tcW w:w="118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w w:val="99"/>
              </w:rPr>
              <w:t>1,971</w:t>
            </w:r>
          </w:p>
        </w:tc>
        <w:tc>
          <w:tcPr>
            <w:tcW w:w="600" w:type="dxa"/>
            <w:vAlign w:val="bottom"/>
            <w:tcBorders>
              <w:bottom w:val="single" w:sz="8" w:color="00249C"/>
            </w:tcBorders>
          </w:tcPr>
          <w:p>
            <w:pPr>
              <w:spacing w:after="0"/>
              <w:rPr>
                <w:sz w:val="22"/>
                <w:szCs w:val="22"/>
                <w:color w:val="auto"/>
              </w:rPr>
            </w:pPr>
          </w:p>
        </w:tc>
      </w:tr>
      <w:tr>
        <w:trPr>
          <w:trHeight w:val="250"/>
        </w:trPr>
        <w:tc>
          <w:tcPr>
            <w:tcW w:w="50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6"/>
                <w:szCs w:val="16"/>
                <w:b w:val="1"/>
                <w:bCs w:val="1"/>
                <w:color w:val="auto"/>
              </w:rPr>
              <w:t>Named Executive Officers</w:t>
            </w:r>
          </w:p>
        </w:tc>
        <w:tc>
          <w:tcPr>
            <w:tcW w:w="2300" w:type="dxa"/>
            <w:vAlign w:val="bottom"/>
            <w:tcBorders>
              <w:bottom w:val="single" w:sz="8" w:color="CCD4DB"/>
            </w:tcBorders>
            <w:shd w:val="clear" w:color="auto" w:fill="CCD4DB"/>
          </w:tcPr>
          <w:p>
            <w:pPr>
              <w:spacing w:after="0"/>
              <w:rPr>
                <w:sz w:val="21"/>
                <w:szCs w:val="21"/>
                <w:color w:val="auto"/>
              </w:rPr>
            </w:pPr>
          </w:p>
        </w:tc>
        <w:tc>
          <w:tcPr>
            <w:tcW w:w="1940" w:type="dxa"/>
            <w:vAlign w:val="bottom"/>
            <w:tcBorders>
              <w:bottom w:val="single" w:sz="8" w:color="CCD4DB"/>
            </w:tcBorders>
            <w:shd w:val="clear" w:color="auto" w:fill="CCD4DB"/>
          </w:tcPr>
          <w:p>
            <w:pPr>
              <w:spacing w:after="0"/>
              <w:rPr>
                <w:sz w:val="21"/>
                <w:szCs w:val="21"/>
                <w:color w:val="auto"/>
              </w:rPr>
            </w:pPr>
          </w:p>
        </w:tc>
        <w:tc>
          <w:tcPr>
            <w:tcW w:w="1180" w:type="dxa"/>
            <w:vAlign w:val="bottom"/>
            <w:tcBorders>
              <w:bottom w:val="single" w:sz="8" w:color="CCD4DB"/>
            </w:tcBorders>
            <w:shd w:val="clear" w:color="auto" w:fill="CCD4DB"/>
          </w:tcPr>
          <w:p>
            <w:pPr>
              <w:spacing w:after="0"/>
              <w:rPr>
                <w:sz w:val="21"/>
                <w:szCs w:val="21"/>
                <w:color w:val="auto"/>
              </w:rPr>
            </w:pPr>
          </w:p>
        </w:tc>
        <w:tc>
          <w:tcPr>
            <w:tcW w:w="600" w:type="dxa"/>
            <w:vAlign w:val="bottom"/>
            <w:tcBorders>
              <w:bottom w:val="single" w:sz="8" w:color="CCD4DB"/>
            </w:tcBorders>
            <w:shd w:val="clear" w:color="auto" w:fill="CCD4DB"/>
          </w:tcPr>
          <w:p>
            <w:pPr>
              <w:spacing w:after="0"/>
              <w:rPr>
                <w:sz w:val="21"/>
                <w:szCs w:val="21"/>
                <w:color w:val="auto"/>
              </w:rPr>
            </w:pPr>
          </w:p>
        </w:tc>
      </w:tr>
      <w:tr>
        <w:trPr>
          <w:trHeight w:val="260"/>
        </w:trPr>
        <w:tc>
          <w:tcPr>
            <w:tcW w:w="5040" w:type="dxa"/>
            <w:vAlign w:val="bottom"/>
          </w:tcPr>
          <w:p>
            <w:pPr>
              <w:ind w:left="380"/>
              <w:spacing w:after="0"/>
              <w:rPr>
                <w:sz w:val="20"/>
                <w:szCs w:val="20"/>
                <w:color w:val="auto"/>
              </w:rPr>
            </w:pPr>
            <w:r>
              <w:rPr>
                <w:rFonts w:ascii="Arial" w:cs="Arial" w:eastAsia="Arial" w:hAnsi="Arial"/>
                <w:sz w:val="16"/>
                <w:szCs w:val="16"/>
                <w:color w:val="auto"/>
              </w:rPr>
              <w:t>Kathy J. Warden (2)</w:t>
            </w:r>
          </w:p>
        </w:tc>
        <w:tc>
          <w:tcPr>
            <w:tcW w:w="2300" w:type="dxa"/>
            <w:vAlign w:val="bottom"/>
          </w:tcPr>
          <w:p>
            <w:pPr>
              <w:jc w:val="center"/>
              <w:spacing w:after="0"/>
              <w:rPr>
                <w:sz w:val="20"/>
                <w:szCs w:val="20"/>
                <w:color w:val="auto"/>
              </w:rPr>
            </w:pPr>
            <w:r>
              <w:rPr>
                <w:rFonts w:ascii="Arial" w:cs="Arial" w:eastAsia="Arial" w:hAnsi="Arial"/>
                <w:sz w:val="16"/>
                <w:szCs w:val="16"/>
                <w:color w:val="auto"/>
              </w:rPr>
              <w:t>102,728</w:t>
            </w:r>
          </w:p>
        </w:tc>
        <w:tc>
          <w:tcPr>
            <w:tcW w:w="194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102,728</w:t>
            </w:r>
          </w:p>
        </w:tc>
        <w:tc>
          <w:tcPr>
            <w:tcW w:w="600" w:type="dxa"/>
            <w:vAlign w:val="bottom"/>
          </w:tcPr>
          <w:p>
            <w:pPr>
              <w:spacing w:after="0"/>
              <w:rPr>
                <w:sz w:val="22"/>
                <w:szCs w:val="22"/>
                <w:color w:val="auto"/>
              </w:rPr>
            </w:pPr>
          </w:p>
        </w:tc>
      </w:tr>
      <w:tr>
        <w:trPr>
          <w:trHeight w:val="280"/>
        </w:trPr>
        <w:tc>
          <w:tcPr>
            <w:tcW w:w="5040" w:type="dxa"/>
            <w:vAlign w:val="bottom"/>
            <w:shd w:val="clear" w:color="auto" w:fill="CCD4DB"/>
          </w:tcPr>
          <w:p>
            <w:pPr>
              <w:ind w:left="380"/>
              <w:spacing w:after="0"/>
              <w:rPr>
                <w:sz w:val="20"/>
                <w:szCs w:val="20"/>
                <w:color w:val="auto"/>
              </w:rPr>
            </w:pPr>
            <w:r>
              <w:rPr>
                <w:rFonts w:ascii="Arial" w:cs="Arial" w:eastAsia="Arial" w:hAnsi="Arial"/>
                <w:sz w:val="16"/>
                <w:szCs w:val="16"/>
                <w:color w:val="auto"/>
              </w:rPr>
              <w:t>Kenneth L. Bedingfield</w:t>
            </w:r>
          </w:p>
        </w:tc>
        <w:tc>
          <w:tcPr>
            <w:tcW w:w="23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21,012</w:t>
            </w:r>
          </w:p>
        </w:tc>
        <w:tc>
          <w:tcPr>
            <w:tcW w:w="1940" w:type="dxa"/>
            <w:vAlign w:val="bottom"/>
            <w:shd w:val="clear" w:color="auto" w:fill="CCD4DB"/>
          </w:tcPr>
          <w:p>
            <w:pPr>
              <w:jc w:val="center"/>
              <w:ind w:left="19"/>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21,012</w:t>
            </w:r>
          </w:p>
        </w:tc>
        <w:tc>
          <w:tcPr>
            <w:tcW w:w="600" w:type="dxa"/>
            <w:vAlign w:val="bottom"/>
            <w:shd w:val="clear" w:color="auto" w:fill="CCD4DB"/>
          </w:tcPr>
          <w:p>
            <w:pPr>
              <w:spacing w:after="0"/>
              <w:rPr>
                <w:sz w:val="24"/>
                <w:szCs w:val="24"/>
                <w:color w:val="auto"/>
              </w:rPr>
            </w:pPr>
          </w:p>
        </w:tc>
      </w:tr>
      <w:tr>
        <w:trPr>
          <w:trHeight w:val="260"/>
        </w:trPr>
        <w:tc>
          <w:tcPr>
            <w:tcW w:w="5040" w:type="dxa"/>
            <w:vAlign w:val="bottom"/>
          </w:tcPr>
          <w:p>
            <w:pPr>
              <w:ind w:left="380"/>
              <w:spacing w:after="0"/>
              <w:rPr>
                <w:sz w:val="20"/>
                <w:szCs w:val="20"/>
                <w:color w:val="auto"/>
              </w:rPr>
            </w:pPr>
            <w:r>
              <w:rPr>
                <w:rFonts w:ascii="Arial" w:cs="Arial" w:eastAsia="Arial" w:hAnsi="Arial"/>
                <w:sz w:val="16"/>
                <w:szCs w:val="16"/>
                <w:color w:val="auto"/>
              </w:rPr>
              <w:t>Mark A. Caylor</w:t>
            </w:r>
          </w:p>
        </w:tc>
        <w:tc>
          <w:tcPr>
            <w:tcW w:w="2300" w:type="dxa"/>
            <w:vAlign w:val="bottom"/>
          </w:tcPr>
          <w:p>
            <w:pPr>
              <w:jc w:val="center"/>
              <w:spacing w:after="0"/>
              <w:rPr>
                <w:sz w:val="20"/>
                <w:szCs w:val="20"/>
                <w:color w:val="auto"/>
              </w:rPr>
            </w:pPr>
            <w:r>
              <w:rPr>
                <w:rFonts w:ascii="Arial" w:cs="Arial" w:eastAsia="Arial" w:hAnsi="Arial"/>
                <w:sz w:val="16"/>
                <w:szCs w:val="16"/>
                <w:color w:val="auto"/>
              </w:rPr>
              <w:t>14,415</w:t>
            </w:r>
          </w:p>
        </w:tc>
        <w:tc>
          <w:tcPr>
            <w:tcW w:w="1940" w:type="dxa"/>
            <w:vAlign w:val="bottom"/>
          </w:tcPr>
          <w:p>
            <w:pPr>
              <w:jc w:val="center"/>
              <w:ind w:left="39"/>
              <w:spacing w:after="0"/>
              <w:rPr>
                <w:sz w:val="20"/>
                <w:szCs w:val="20"/>
                <w:color w:val="auto"/>
              </w:rPr>
            </w:pPr>
            <w:r>
              <w:rPr>
                <w:rFonts w:ascii="Arial" w:cs="Arial" w:eastAsia="Arial" w:hAnsi="Arial"/>
                <w:sz w:val="16"/>
                <w:szCs w:val="16"/>
                <w:color w:val="auto"/>
              </w:rPr>
              <w:t>36</w:t>
            </w:r>
          </w:p>
        </w:tc>
        <w:tc>
          <w:tcPr>
            <w:tcW w:w="1180" w:type="dxa"/>
            <w:vAlign w:val="bottom"/>
          </w:tcPr>
          <w:p>
            <w:pPr>
              <w:jc w:val="center"/>
              <w:spacing w:after="0"/>
              <w:rPr>
                <w:sz w:val="20"/>
                <w:szCs w:val="20"/>
                <w:color w:val="auto"/>
              </w:rPr>
            </w:pPr>
            <w:r>
              <w:rPr>
                <w:rFonts w:ascii="Arial" w:cs="Arial" w:eastAsia="Arial" w:hAnsi="Arial"/>
                <w:sz w:val="16"/>
                <w:szCs w:val="16"/>
                <w:color w:val="auto"/>
              </w:rPr>
              <w:t>14,451</w:t>
            </w:r>
          </w:p>
        </w:tc>
        <w:tc>
          <w:tcPr>
            <w:tcW w:w="600" w:type="dxa"/>
            <w:vAlign w:val="bottom"/>
          </w:tcPr>
          <w:p>
            <w:pPr>
              <w:spacing w:after="0"/>
              <w:rPr>
                <w:sz w:val="22"/>
                <w:szCs w:val="22"/>
                <w:color w:val="auto"/>
              </w:rPr>
            </w:pPr>
          </w:p>
        </w:tc>
      </w:tr>
      <w:tr>
        <w:trPr>
          <w:trHeight w:val="280"/>
        </w:trPr>
        <w:tc>
          <w:tcPr>
            <w:tcW w:w="5040" w:type="dxa"/>
            <w:vAlign w:val="bottom"/>
            <w:shd w:val="clear" w:color="auto" w:fill="CCD4DB"/>
          </w:tcPr>
          <w:p>
            <w:pPr>
              <w:ind w:left="380"/>
              <w:spacing w:after="0"/>
              <w:rPr>
                <w:sz w:val="20"/>
                <w:szCs w:val="20"/>
                <w:color w:val="auto"/>
              </w:rPr>
            </w:pPr>
            <w:r>
              <w:rPr>
                <w:rFonts w:ascii="Arial" w:cs="Arial" w:eastAsia="Arial" w:hAnsi="Arial"/>
                <w:sz w:val="16"/>
                <w:szCs w:val="16"/>
                <w:color w:val="auto"/>
              </w:rPr>
              <w:t>Christopher T. Jones</w:t>
            </w:r>
          </w:p>
        </w:tc>
        <w:tc>
          <w:tcPr>
            <w:tcW w:w="23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69,016</w:t>
            </w:r>
          </w:p>
        </w:tc>
        <w:tc>
          <w:tcPr>
            <w:tcW w:w="1940" w:type="dxa"/>
            <w:vAlign w:val="bottom"/>
            <w:shd w:val="clear" w:color="auto" w:fill="CCD4DB"/>
          </w:tcPr>
          <w:p>
            <w:pPr>
              <w:jc w:val="center"/>
              <w:ind w:left="19"/>
              <w:spacing w:after="0"/>
              <w:rPr>
                <w:sz w:val="20"/>
                <w:szCs w:val="20"/>
                <w:color w:val="auto"/>
              </w:rPr>
            </w:pPr>
            <w:r>
              <w:rPr>
                <w:rFonts w:ascii="Arial" w:cs="Arial" w:eastAsia="Arial" w:hAnsi="Arial"/>
                <w:sz w:val="16"/>
                <w:szCs w:val="16"/>
                <w:color w:val="auto"/>
                <w:w w:val="99"/>
              </w:rPr>
              <w:t>1,729</w:t>
            </w:r>
          </w:p>
        </w:tc>
        <w:tc>
          <w:tcPr>
            <w:tcW w:w="11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70,745</w:t>
            </w:r>
          </w:p>
        </w:tc>
        <w:tc>
          <w:tcPr>
            <w:tcW w:w="600" w:type="dxa"/>
            <w:vAlign w:val="bottom"/>
            <w:shd w:val="clear" w:color="auto" w:fill="CCD4DB"/>
          </w:tcPr>
          <w:p>
            <w:pPr>
              <w:spacing w:after="0"/>
              <w:rPr>
                <w:sz w:val="24"/>
                <w:szCs w:val="24"/>
                <w:color w:val="auto"/>
              </w:rPr>
            </w:pPr>
          </w:p>
        </w:tc>
      </w:tr>
      <w:tr>
        <w:trPr>
          <w:trHeight w:val="264"/>
        </w:trPr>
        <w:tc>
          <w:tcPr>
            <w:tcW w:w="5040" w:type="dxa"/>
            <w:vAlign w:val="bottom"/>
            <w:tcBorders>
              <w:bottom w:val="single" w:sz="8" w:color="00249C"/>
            </w:tcBorders>
          </w:tcPr>
          <w:p>
            <w:pPr>
              <w:ind w:left="380"/>
              <w:spacing w:after="0"/>
              <w:rPr>
                <w:sz w:val="20"/>
                <w:szCs w:val="20"/>
                <w:color w:val="auto"/>
              </w:rPr>
            </w:pPr>
            <w:r>
              <w:rPr>
                <w:rFonts w:ascii="Arial" w:cs="Arial" w:eastAsia="Arial" w:hAnsi="Arial"/>
                <w:sz w:val="16"/>
                <w:szCs w:val="16"/>
                <w:color w:val="auto"/>
              </w:rPr>
              <w:t>Janis G. Pamiljans</w:t>
            </w:r>
          </w:p>
        </w:tc>
        <w:tc>
          <w:tcPr>
            <w:tcW w:w="230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7,473</w:t>
            </w:r>
          </w:p>
        </w:tc>
        <w:tc>
          <w:tcPr>
            <w:tcW w:w="1940" w:type="dxa"/>
            <w:vAlign w:val="bottom"/>
            <w:tcBorders>
              <w:bottom w:val="single" w:sz="8" w:color="00249C"/>
            </w:tcBorders>
          </w:tcPr>
          <w:p>
            <w:pPr>
              <w:jc w:val="center"/>
              <w:ind w:left="19"/>
              <w:spacing w:after="0"/>
              <w:rPr>
                <w:sz w:val="20"/>
                <w:szCs w:val="20"/>
                <w:color w:val="auto"/>
              </w:rPr>
            </w:pPr>
            <w:r>
              <w:rPr>
                <w:rFonts w:ascii="Arial" w:cs="Arial" w:eastAsia="Arial" w:hAnsi="Arial"/>
                <w:sz w:val="16"/>
                <w:szCs w:val="16"/>
                <w:color w:val="auto"/>
                <w:w w:val="99"/>
              </w:rPr>
              <w:t>6,573</w:t>
            </w:r>
          </w:p>
        </w:tc>
        <w:tc>
          <w:tcPr>
            <w:tcW w:w="118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14,046</w:t>
            </w:r>
          </w:p>
        </w:tc>
        <w:tc>
          <w:tcPr>
            <w:tcW w:w="600" w:type="dxa"/>
            <w:vAlign w:val="bottom"/>
            <w:tcBorders>
              <w:bottom w:val="single" w:sz="8" w:color="00249C"/>
            </w:tcBorders>
          </w:tcPr>
          <w:p>
            <w:pPr>
              <w:spacing w:after="0"/>
              <w:rPr>
                <w:sz w:val="22"/>
                <w:szCs w:val="22"/>
                <w:color w:val="auto"/>
              </w:rPr>
            </w:pPr>
          </w:p>
        </w:tc>
      </w:tr>
      <w:tr>
        <w:trPr>
          <w:trHeight w:val="263"/>
        </w:trPr>
        <w:tc>
          <w:tcPr>
            <w:tcW w:w="5040" w:type="dxa"/>
            <w:vAlign w:val="bottom"/>
            <w:tcBorders>
              <w:bottom w:val="single" w:sz="8" w:color="00249C"/>
            </w:tcBorders>
            <w:shd w:val="clear" w:color="auto" w:fill="CCD4DB"/>
          </w:tcPr>
          <w:p>
            <w:pPr>
              <w:ind w:left="40"/>
              <w:spacing w:after="0"/>
              <w:rPr>
                <w:sz w:val="20"/>
                <w:szCs w:val="20"/>
                <w:color w:val="auto"/>
              </w:rPr>
            </w:pPr>
            <w:r>
              <w:rPr>
                <w:rFonts w:ascii="Arial" w:cs="Arial" w:eastAsia="Arial" w:hAnsi="Arial"/>
                <w:sz w:val="16"/>
                <w:szCs w:val="16"/>
                <w:b w:val="1"/>
                <w:bCs w:val="1"/>
                <w:color w:val="auto"/>
              </w:rPr>
              <w:t>Other Executive Officers</w:t>
            </w:r>
          </w:p>
        </w:tc>
        <w:tc>
          <w:tcPr>
            <w:tcW w:w="23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81,943</w:t>
            </w:r>
          </w:p>
        </w:tc>
        <w:tc>
          <w:tcPr>
            <w:tcW w:w="1940" w:type="dxa"/>
            <w:vAlign w:val="bottom"/>
            <w:tcBorders>
              <w:bottom w:val="single" w:sz="8" w:color="00249C"/>
            </w:tcBorders>
            <w:shd w:val="clear" w:color="auto" w:fill="CCD4DB"/>
          </w:tcPr>
          <w:p>
            <w:pPr>
              <w:jc w:val="center"/>
              <w:ind w:left="19"/>
              <w:spacing w:after="0"/>
              <w:rPr>
                <w:sz w:val="20"/>
                <w:szCs w:val="20"/>
                <w:color w:val="auto"/>
              </w:rPr>
            </w:pPr>
            <w:r>
              <w:rPr>
                <w:rFonts w:ascii="Arial" w:cs="Arial" w:eastAsia="Arial" w:hAnsi="Arial"/>
                <w:sz w:val="16"/>
                <w:szCs w:val="16"/>
                <w:color w:val="auto"/>
                <w:w w:val="99"/>
              </w:rPr>
              <w:t>8,152</w:t>
            </w:r>
          </w:p>
        </w:tc>
        <w:tc>
          <w:tcPr>
            <w:tcW w:w="118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90,095</w:t>
            </w:r>
          </w:p>
        </w:tc>
        <w:tc>
          <w:tcPr>
            <w:tcW w:w="600" w:type="dxa"/>
            <w:vAlign w:val="bottom"/>
            <w:tcBorders>
              <w:bottom w:val="single" w:sz="8" w:color="00249C"/>
            </w:tcBorders>
            <w:shd w:val="clear" w:color="auto" w:fill="CCD4DB"/>
          </w:tcPr>
          <w:p>
            <w:pPr>
              <w:spacing w:after="0"/>
              <w:rPr>
                <w:sz w:val="22"/>
                <w:szCs w:val="22"/>
                <w:color w:val="auto"/>
              </w:rPr>
            </w:pPr>
          </w:p>
        </w:tc>
      </w:tr>
      <w:tr>
        <w:trPr>
          <w:trHeight w:val="223"/>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All Directors and Executive Officers as a Group (26 persons)</w:t>
            </w:r>
          </w:p>
        </w:tc>
        <w:tc>
          <w:tcPr>
            <w:tcW w:w="2300" w:type="dxa"/>
            <w:vAlign w:val="bottom"/>
          </w:tcPr>
          <w:p>
            <w:pPr>
              <w:jc w:val="center"/>
              <w:spacing w:after="0"/>
              <w:rPr>
                <w:sz w:val="20"/>
                <w:szCs w:val="20"/>
                <w:color w:val="auto"/>
              </w:rPr>
            </w:pPr>
            <w:r>
              <w:rPr>
                <w:rFonts w:ascii="Arial" w:cs="Arial" w:eastAsia="Arial" w:hAnsi="Arial"/>
                <w:sz w:val="16"/>
                <w:szCs w:val="16"/>
                <w:color w:val="auto"/>
              </w:rPr>
              <w:t>308,044</w:t>
            </w:r>
          </w:p>
        </w:tc>
        <w:tc>
          <w:tcPr>
            <w:tcW w:w="1940" w:type="dxa"/>
            <w:vAlign w:val="bottom"/>
          </w:tcPr>
          <w:p>
            <w:pPr>
              <w:jc w:val="center"/>
              <w:ind w:left="39"/>
              <w:spacing w:after="0"/>
              <w:rPr>
                <w:sz w:val="20"/>
                <w:szCs w:val="20"/>
                <w:color w:val="auto"/>
              </w:rPr>
            </w:pPr>
            <w:r>
              <w:rPr>
                <w:rFonts w:ascii="Arial" w:cs="Arial" w:eastAsia="Arial" w:hAnsi="Arial"/>
                <w:sz w:val="16"/>
                <w:szCs w:val="16"/>
                <w:color w:val="auto"/>
              </w:rPr>
              <w:t>145,228</w:t>
            </w:r>
          </w:p>
        </w:tc>
        <w:tc>
          <w:tcPr>
            <w:tcW w:w="1180" w:type="dxa"/>
            <w:vAlign w:val="bottom"/>
          </w:tcPr>
          <w:p>
            <w:pPr>
              <w:jc w:val="center"/>
              <w:spacing w:after="0"/>
              <w:rPr>
                <w:sz w:val="20"/>
                <w:szCs w:val="20"/>
                <w:color w:val="auto"/>
              </w:rPr>
            </w:pPr>
            <w:r>
              <w:rPr>
                <w:rFonts w:ascii="Arial" w:cs="Arial" w:eastAsia="Arial" w:hAnsi="Arial"/>
                <w:sz w:val="16"/>
                <w:szCs w:val="16"/>
                <w:color w:val="auto"/>
              </w:rPr>
              <w:t>453,272</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47"/>
        </w:trPr>
        <w:tc>
          <w:tcPr>
            <w:tcW w:w="5040" w:type="dxa"/>
            <w:vAlign w:val="bottom"/>
            <w:tcBorders>
              <w:bottom w:val="single" w:sz="8" w:color="00249C"/>
            </w:tcBorders>
          </w:tcPr>
          <w:p>
            <w:pPr>
              <w:spacing w:after="0"/>
              <w:rPr>
                <w:sz w:val="4"/>
                <w:szCs w:val="4"/>
                <w:color w:val="auto"/>
              </w:rPr>
            </w:pPr>
          </w:p>
        </w:tc>
        <w:tc>
          <w:tcPr>
            <w:tcW w:w="2300" w:type="dxa"/>
            <w:vAlign w:val="bottom"/>
            <w:tcBorders>
              <w:bottom w:val="single" w:sz="8" w:color="00249C"/>
            </w:tcBorders>
          </w:tcPr>
          <w:p>
            <w:pPr>
              <w:spacing w:after="0"/>
              <w:rPr>
                <w:sz w:val="4"/>
                <w:szCs w:val="4"/>
                <w:color w:val="auto"/>
              </w:rPr>
            </w:pPr>
          </w:p>
        </w:tc>
        <w:tc>
          <w:tcPr>
            <w:tcW w:w="1940" w:type="dxa"/>
            <w:vAlign w:val="bottom"/>
            <w:tcBorders>
              <w:bottom w:val="single" w:sz="8" w:color="00249C"/>
            </w:tcBorders>
          </w:tcPr>
          <w:p>
            <w:pPr>
              <w:spacing w:after="0"/>
              <w:rPr>
                <w:sz w:val="4"/>
                <w:szCs w:val="4"/>
                <w:color w:val="auto"/>
              </w:rPr>
            </w:pPr>
          </w:p>
        </w:tc>
        <w:tc>
          <w:tcPr>
            <w:tcW w:w="1180" w:type="dxa"/>
            <w:vAlign w:val="bottom"/>
            <w:tcBorders>
              <w:bottom w:val="single" w:sz="8" w:color="00249C"/>
            </w:tcBorders>
          </w:tcPr>
          <w:p>
            <w:pPr>
              <w:spacing w:after="0"/>
              <w:rPr>
                <w:sz w:val="4"/>
                <w:szCs w:val="4"/>
                <w:color w:val="auto"/>
              </w:rPr>
            </w:pPr>
          </w:p>
        </w:tc>
        <w:tc>
          <w:tcPr>
            <w:tcW w:w="600" w:type="dxa"/>
            <w:vAlign w:val="bottom"/>
            <w:tcBorders>
              <w:bottom w:val="single" w:sz="8" w:color="00249C"/>
            </w:tcBorders>
          </w:tcPr>
          <w:p>
            <w:pPr>
              <w:spacing w:after="0"/>
              <w:rPr>
                <w:sz w:val="4"/>
                <w:szCs w:val="4"/>
                <w:color w:val="auto"/>
              </w:rPr>
            </w:pPr>
          </w:p>
        </w:tc>
      </w:tr>
    </w:tbl>
    <w:p>
      <w:pPr>
        <w:spacing w:after="0" w:line="269" w:lineRule="exact"/>
        <w:rPr>
          <w:sz w:val="20"/>
          <w:szCs w:val="20"/>
          <w:color w:val="auto"/>
        </w:rPr>
      </w:pPr>
    </w:p>
    <w:p>
      <w:pPr>
        <w:ind w:left="420" w:right="220" w:hanging="412"/>
        <w:spacing w:after="0" w:line="254"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equivalents for directors represent non-voting deferred stock units acquired under the 2011 Plan, some of which are paid out in shares of common stock at the conclusion of a director-specified deferral period, and others are paid out upon termination of the director's service on the Board. Certain of the NEOs hold share equivalents with pass-through voting rights in the Northrop Grumman Savings Plan or the Northrop Grumman Financial Security and Savings Program.</w:t>
      </w:r>
    </w:p>
    <w:p>
      <w:pPr>
        <w:spacing w:after="0" w:line="68" w:lineRule="exact"/>
        <w:rPr>
          <w:rFonts w:ascii="Arial" w:cs="Arial" w:eastAsia="Arial" w:hAnsi="Arial"/>
          <w:sz w:val="18"/>
          <w:szCs w:val="18"/>
          <w:color w:val="auto"/>
        </w:rPr>
      </w:pPr>
    </w:p>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Ms. Warden also serves on the Company's Board of Directors.</w:t>
      </w:r>
    </w:p>
    <w:p>
      <w:pPr>
        <w:spacing w:after="0" w:line="76" w:lineRule="exact"/>
        <w:rPr>
          <w:rFonts w:ascii="Arial" w:cs="Arial" w:eastAsia="Arial" w:hAnsi="Arial"/>
          <w:sz w:val="18"/>
          <w:szCs w:val="18"/>
          <w:color w:val="auto"/>
        </w:rPr>
      </w:pPr>
    </w:p>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represents 0.27% of the outstanding common stock as of March 24, 2020.</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33</w:t>
      </w:r>
    </w:p>
    <w:p>
      <w:pPr>
        <w:sectPr>
          <w:pgSz w:w="11900" w:h="16838" w:orient="portrait"/>
          <w:cols w:equalWidth="0" w:num="1">
            <w:col w:w="11240"/>
          </w:cols>
          <w:pgMar w:left="320" w:top="701" w:right="339" w:bottom="1440" w:gutter="0" w:footer="0" w:header="0"/>
        </w:sectPr>
      </w:pPr>
    </w:p>
    <w:bookmarkStart w:id="40" w:name="page41"/>
    <w:bookmarkEnd w:id="4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08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908685"/>
                    </a:xfrm>
                    <a:prstGeom prst="rect">
                      <a:avLst/>
                    </a:prstGeom>
                    <a:noFill/>
                  </pic:spPr>
                </pic:pic>
              </a:graphicData>
            </a:graphic>
          </wp:anchor>
        </w:drawing>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currently maintain two equity compensation plans: the 2011 Plan and the 1993 Stock Plan for Non-Employee Directors, as amended (1993 Directors Plan). Each of these plans has been approved by our shareholders.</w:t>
      </w:r>
    </w:p>
    <w:p>
      <w:pPr>
        <w:spacing w:after="0" w:line="6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sets forth the number of shares of our common stock to be issued upon payout of outstanding awards and the number of shares remaining available for future award grants under these equity compensation plans as of December 31,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00" w:type="dxa"/>
            <w:vAlign w:val="bottom"/>
            <w:shd w:val="clear" w:color="auto" w:fill="00249C"/>
          </w:tcPr>
          <w:p>
            <w:pPr>
              <w:spacing w:after="0"/>
              <w:rPr>
                <w:sz w:val="17"/>
                <w:szCs w:val="17"/>
                <w:color w:val="auto"/>
              </w:rPr>
            </w:pPr>
          </w:p>
        </w:tc>
        <w:tc>
          <w:tcPr>
            <w:tcW w:w="2500" w:type="dxa"/>
            <w:vAlign w:val="bottom"/>
            <w:shd w:val="clear" w:color="auto" w:fill="00249C"/>
          </w:tcPr>
          <w:p>
            <w:pPr>
              <w:spacing w:after="0"/>
              <w:rPr>
                <w:sz w:val="17"/>
                <w:szCs w:val="17"/>
                <w:color w:val="auto"/>
              </w:rPr>
            </w:pPr>
          </w:p>
        </w:tc>
        <w:tc>
          <w:tcPr>
            <w:tcW w:w="2140" w:type="dxa"/>
            <w:vAlign w:val="bottom"/>
            <w:shd w:val="clear" w:color="auto" w:fill="00249C"/>
          </w:tcPr>
          <w:p>
            <w:pPr>
              <w:spacing w:after="0"/>
              <w:rPr>
                <w:sz w:val="17"/>
                <w:szCs w:val="17"/>
                <w:color w:val="auto"/>
              </w:rPr>
            </w:pPr>
          </w:p>
        </w:tc>
        <w:tc>
          <w:tcPr>
            <w:tcW w:w="26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Number of shares of</w:t>
            </w:r>
          </w:p>
        </w:tc>
        <w:tc>
          <w:tcPr>
            <w:tcW w:w="420" w:type="dxa"/>
            <w:vAlign w:val="bottom"/>
            <w:shd w:val="clear" w:color="auto" w:fill="00249C"/>
          </w:tcPr>
          <w:p>
            <w:pPr>
              <w:spacing w:after="0"/>
              <w:rPr>
                <w:sz w:val="17"/>
                <w:szCs w:val="17"/>
                <w:color w:val="auto"/>
              </w:rPr>
            </w:pPr>
          </w:p>
        </w:tc>
      </w:tr>
      <w:tr>
        <w:trPr>
          <w:trHeight w:val="189"/>
        </w:trPr>
        <w:tc>
          <w:tcPr>
            <w:tcW w:w="3500" w:type="dxa"/>
            <w:vAlign w:val="bottom"/>
            <w:shd w:val="clear" w:color="auto" w:fill="00249C"/>
          </w:tcPr>
          <w:p>
            <w:pPr>
              <w:spacing w:after="0"/>
              <w:rPr>
                <w:sz w:val="16"/>
                <w:szCs w:val="16"/>
                <w:color w:val="auto"/>
              </w:rPr>
            </w:pPr>
          </w:p>
        </w:tc>
        <w:tc>
          <w:tcPr>
            <w:tcW w:w="25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Number of shares of</w:t>
            </w:r>
          </w:p>
        </w:tc>
        <w:tc>
          <w:tcPr>
            <w:tcW w:w="2140" w:type="dxa"/>
            <w:vAlign w:val="bottom"/>
            <w:shd w:val="clear" w:color="auto" w:fill="00249C"/>
          </w:tcPr>
          <w:p>
            <w:pPr>
              <w:spacing w:after="0"/>
              <w:rPr>
                <w:sz w:val="16"/>
                <w:szCs w:val="16"/>
                <w:color w:val="auto"/>
              </w:rPr>
            </w:pPr>
          </w:p>
        </w:tc>
        <w:tc>
          <w:tcPr>
            <w:tcW w:w="26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common stock</w:t>
            </w:r>
          </w:p>
        </w:tc>
        <w:tc>
          <w:tcPr>
            <w:tcW w:w="420" w:type="dxa"/>
            <w:vAlign w:val="bottom"/>
            <w:shd w:val="clear" w:color="auto" w:fill="00249C"/>
          </w:tcPr>
          <w:p>
            <w:pPr>
              <w:spacing w:after="0"/>
              <w:rPr>
                <w:sz w:val="16"/>
                <w:szCs w:val="16"/>
                <w:color w:val="auto"/>
              </w:rPr>
            </w:pPr>
          </w:p>
        </w:tc>
      </w:tr>
      <w:tr>
        <w:trPr>
          <w:trHeight w:val="189"/>
        </w:trPr>
        <w:tc>
          <w:tcPr>
            <w:tcW w:w="3500" w:type="dxa"/>
            <w:vAlign w:val="bottom"/>
            <w:shd w:val="clear" w:color="auto" w:fill="00249C"/>
          </w:tcPr>
          <w:p>
            <w:pPr>
              <w:spacing w:after="0"/>
              <w:rPr>
                <w:sz w:val="16"/>
                <w:szCs w:val="16"/>
                <w:color w:val="auto"/>
              </w:rPr>
            </w:pPr>
          </w:p>
        </w:tc>
        <w:tc>
          <w:tcPr>
            <w:tcW w:w="25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common stock to be</w:t>
            </w:r>
          </w:p>
        </w:tc>
        <w:tc>
          <w:tcPr>
            <w:tcW w:w="2140" w:type="dxa"/>
            <w:vAlign w:val="bottom"/>
            <w:shd w:val="clear" w:color="auto" w:fill="00249C"/>
          </w:tcPr>
          <w:p>
            <w:pPr>
              <w:spacing w:after="0"/>
              <w:rPr>
                <w:sz w:val="16"/>
                <w:szCs w:val="16"/>
                <w:color w:val="auto"/>
              </w:rPr>
            </w:pPr>
          </w:p>
        </w:tc>
        <w:tc>
          <w:tcPr>
            <w:tcW w:w="26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remaining available for future</w:t>
            </w:r>
          </w:p>
        </w:tc>
        <w:tc>
          <w:tcPr>
            <w:tcW w:w="420" w:type="dxa"/>
            <w:vAlign w:val="bottom"/>
            <w:shd w:val="clear" w:color="auto" w:fill="00249C"/>
          </w:tcPr>
          <w:p>
            <w:pPr>
              <w:spacing w:after="0"/>
              <w:rPr>
                <w:sz w:val="16"/>
                <w:szCs w:val="16"/>
                <w:color w:val="auto"/>
              </w:rPr>
            </w:pPr>
          </w:p>
        </w:tc>
      </w:tr>
      <w:tr>
        <w:trPr>
          <w:trHeight w:val="189"/>
        </w:trPr>
        <w:tc>
          <w:tcPr>
            <w:tcW w:w="3500" w:type="dxa"/>
            <w:vAlign w:val="bottom"/>
            <w:shd w:val="clear" w:color="auto" w:fill="00249C"/>
          </w:tcPr>
          <w:p>
            <w:pPr>
              <w:spacing w:after="0"/>
              <w:rPr>
                <w:sz w:val="16"/>
                <w:szCs w:val="16"/>
                <w:color w:val="auto"/>
              </w:rPr>
            </w:pPr>
          </w:p>
        </w:tc>
        <w:tc>
          <w:tcPr>
            <w:tcW w:w="25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issued upon exercise</w:t>
            </w:r>
          </w:p>
        </w:tc>
        <w:tc>
          <w:tcPr>
            <w:tcW w:w="2140" w:type="dxa"/>
            <w:vAlign w:val="bottom"/>
            <w:shd w:val="clear" w:color="auto" w:fill="00249C"/>
          </w:tcPr>
          <w:p>
            <w:pPr>
              <w:spacing w:after="0"/>
              <w:rPr>
                <w:sz w:val="16"/>
                <w:szCs w:val="16"/>
                <w:color w:val="auto"/>
              </w:rPr>
            </w:pPr>
          </w:p>
        </w:tc>
        <w:tc>
          <w:tcPr>
            <w:tcW w:w="26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issuance under equity</w:t>
            </w:r>
          </w:p>
        </w:tc>
        <w:tc>
          <w:tcPr>
            <w:tcW w:w="420" w:type="dxa"/>
            <w:vAlign w:val="bottom"/>
            <w:shd w:val="clear" w:color="auto" w:fill="00249C"/>
          </w:tcPr>
          <w:p>
            <w:pPr>
              <w:spacing w:after="0"/>
              <w:rPr>
                <w:sz w:val="16"/>
                <w:szCs w:val="16"/>
                <w:color w:val="auto"/>
              </w:rPr>
            </w:pPr>
          </w:p>
        </w:tc>
      </w:tr>
      <w:tr>
        <w:trPr>
          <w:trHeight w:val="189"/>
        </w:trPr>
        <w:tc>
          <w:tcPr>
            <w:tcW w:w="3500" w:type="dxa"/>
            <w:vAlign w:val="bottom"/>
            <w:shd w:val="clear" w:color="auto" w:fill="00249C"/>
          </w:tcPr>
          <w:p>
            <w:pPr>
              <w:spacing w:after="0"/>
              <w:rPr>
                <w:sz w:val="16"/>
                <w:szCs w:val="16"/>
                <w:color w:val="auto"/>
              </w:rPr>
            </w:pPr>
          </w:p>
        </w:tc>
        <w:tc>
          <w:tcPr>
            <w:tcW w:w="25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of outstanding options and</w:t>
            </w:r>
          </w:p>
        </w:tc>
        <w:tc>
          <w:tcPr>
            <w:tcW w:w="214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26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compensation plans (excluding</w:t>
            </w:r>
          </w:p>
        </w:tc>
        <w:tc>
          <w:tcPr>
            <w:tcW w:w="420" w:type="dxa"/>
            <w:vAlign w:val="bottom"/>
            <w:shd w:val="clear" w:color="auto" w:fill="00249C"/>
          </w:tcPr>
          <w:p>
            <w:pPr>
              <w:spacing w:after="0"/>
              <w:rPr>
                <w:sz w:val="16"/>
                <w:szCs w:val="16"/>
                <w:color w:val="auto"/>
              </w:rPr>
            </w:pPr>
          </w:p>
        </w:tc>
      </w:tr>
      <w:tr>
        <w:trPr>
          <w:trHeight w:val="189"/>
        </w:trPr>
        <w:tc>
          <w:tcPr>
            <w:tcW w:w="3500" w:type="dxa"/>
            <w:vAlign w:val="bottom"/>
            <w:shd w:val="clear" w:color="auto" w:fill="00249C"/>
          </w:tcPr>
          <w:p>
            <w:pPr>
              <w:spacing w:after="0"/>
              <w:rPr>
                <w:sz w:val="16"/>
                <w:szCs w:val="16"/>
                <w:color w:val="auto"/>
              </w:rPr>
            </w:pPr>
          </w:p>
        </w:tc>
        <w:tc>
          <w:tcPr>
            <w:tcW w:w="25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payout of outstanding</w:t>
            </w:r>
          </w:p>
        </w:tc>
        <w:tc>
          <w:tcPr>
            <w:tcW w:w="214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26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shares reflected in the</w:t>
            </w:r>
          </w:p>
        </w:tc>
        <w:tc>
          <w:tcPr>
            <w:tcW w:w="420" w:type="dxa"/>
            <w:vAlign w:val="bottom"/>
            <w:shd w:val="clear" w:color="auto" w:fill="00249C"/>
          </w:tcPr>
          <w:p>
            <w:pPr>
              <w:spacing w:after="0"/>
              <w:rPr>
                <w:sz w:val="16"/>
                <w:szCs w:val="16"/>
                <w:color w:val="auto"/>
              </w:rPr>
            </w:pPr>
          </w:p>
        </w:tc>
      </w:tr>
      <w:tr>
        <w:trPr>
          <w:trHeight w:val="189"/>
        </w:trPr>
        <w:tc>
          <w:tcPr>
            <w:tcW w:w="3500" w:type="dxa"/>
            <w:vAlign w:val="bottom"/>
            <w:shd w:val="clear" w:color="auto" w:fill="00249C"/>
          </w:tcPr>
          <w:p>
            <w:pPr>
              <w:spacing w:after="0"/>
              <w:rPr>
                <w:sz w:val="16"/>
                <w:szCs w:val="16"/>
                <w:color w:val="auto"/>
              </w:rPr>
            </w:pPr>
          </w:p>
        </w:tc>
        <w:tc>
          <w:tcPr>
            <w:tcW w:w="25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awards (1)</w:t>
            </w:r>
          </w:p>
        </w:tc>
        <w:tc>
          <w:tcPr>
            <w:tcW w:w="214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outstanding options (2)</w:t>
            </w:r>
          </w:p>
        </w:tc>
        <w:tc>
          <w:tcPr>
            <w:tcW w:w="26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first column) (3)</w:t>
            </w:r>
          </w:p>
        </w:tc>
        <w:tc>
          <w:tcPr>
            <w:tcW w:w="420" w:type="dxa"/>
            <w:vAlign w:val="bottom"/>
            <w:shd w:val="clear" w:color="auto" w:fill="00249C"/>
          </w:tcPr>
          <w:p>
            <w:pPr>
              <w:spacing w:after="0"/>
              <w:rPr>
                <w:sz w:val="16"/>
                <w:szCs w:val="16"/>
                <w:color w:val="auto"/>
              </w:rPr>
            </w:pPr>
          </w:p>
        </w:tc>
      </w:tr>
      <w:tr>
        <w:trPr>
          <w:trHeight w:val="228"/>
        </w:trPr>
        <w:tc>
          <w:tcPr>
            <w:tcW w:w="350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6"/>
                <w:szCs w:val="16"/>
                <w:b w:val="1"/>
                <w:bCs w:val="1"/>
                <w:color w:val="FFFFFF"/>
              </w:rPr>
              <w:t>Plan category</w:t>
            </w:r>
          </w:p>
        </w:tc>
        <w:tc>
          <w:tcPr>
            <w:tcW w:w="25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w:t>
            </w:r>
          </w:p>
        </w:tc>
        <w:tc>
          <w:tcPr>
            <w:tcW w:w="214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w:t>
            </w:r>
          </w:p>
        </w:tc>
        <w:tc>
          <w:tcPr>
            <w:tcW w:w="268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w:t>
            </w:r>
          </w:p>
        </w:tc>
        <w:tc>
          <w:tcPr>
            <w:tcW w:w="420" w:type="dxa"/>
            <w:vAlign w:val="bottom"/>
            <w:tcBorders>
              <w:bottom w:val="single" w:sz="8" w:color="00249C"/>
            </w:tcBorders>
            <w:shd w:val="clear" w:color="auto" w:fill="00249C"/>
          </w:tcPr>
          <w:p>
            <w:pPr>
              <w:spacing w:after="0"/>
              <w:rPr>
                <w:sz w:val="19"/>
                <w:szCs w:val="19"/>
                <w:color w:val="auto"/>
              </w:rPr>
            </w:pPr>
          </w:p>
        </w:tc>
      </w:tr>
      <w:tr>
        <w:trPr>
          <w:trHeight w:val="218"/>
        </w:trPr>
        <w:tc>
          <w:tcPr>
            <w:tcW w:w="3500" w:type="dxa"/>
            <w:vAlign w:val="bottom"/>
            <w:shd w:val="clear" w:color="auto" w:fill="CCD4DB"/>
          </w:tcPr>
          <w:p>
            <w:pPr>
              <w:ind w:left="40"/>
              <w:spacing w:after="0"/>
              <w:rPr>
                <w:sz w:val="20"/>
                <w:szCs w:val="20"/>
                <w:color w:val="auto"/>
              </w:rPr>
            </w:pPr>
            <w:r>
              <w:rPr>
                <w:rFonts w:ascii="Arial" w:cs="Arial" w:eastAsia="Arial" w:hAnsi="Arial"/>
                <w:sz w:val="16"/>
                <w:szCs w:val="16"/>
                <w:color w:val="auto"/>
              </w:rPr>
              <w:t>Equity compensation plans approved by</w:t>
            </w:r>
          </w:p>
        </w:tc>
        <w:tc>
          <w:tcPr>
            <w:tcW w:w="2500" w:type="dxa"/>
            <w:vAlign w:val="bottom"/>
            <w:shd w:val="clear" w:color="auto" w:fill="CCD4DB"/>
          </w:tcPr>
          <w:p>
            <w:pPr>
              <w:spacing w:after="0"/>
              <w:rPr>
                <w:sz w:val="18"/>
                <w:szCs w:val="18"/>
                <w:color w:val="auto"/>
              </w:rPr>
            </w:pPr>
          </w:p>
        </w:tc>
        <w:tc>
          <w:tcPr>
            <w:tcW w:w="2140" w:type="dxa"/>
            <w:vAlign w:val="bottom"/>
            <w:shd w:val="clear" w:color="auto" w:fill="CCD4DB"/>
          </w:tcPr>
          <w:p>
            <w:pPr>
              <w:spacing w:after="0"/>
              <w:rPr>
                <w:sz w:val="18"/>
                <w:szCs w:val="18"/>
                <w:color w:val="auto"/>
              </w:rPr>
            </w:pPr>
          </w:p>
        </w:tc>
        <w:tc>
          <w:tcPr>
            <w:tcW w:w="2680" w:type="dxa"/>
            <w:vAlign w:val="bottom"/>
            <w:shd w:val="clear" w:color="auto" w:fill="CCD4DB"/>
          </w:tcPr>
          <w:p>
            <w:pPr>
              <w:spacing w:after="0"/>
              <w:rPr>
                <w:sz w:val="18"/>
                <w:szCs w:val="18"/>
                <w:color w:val="auto"/>
              </w:rPr>
            </w:pPr>
          </w:p>
        </w:tc>
        <w:tc>
          <w:tcPr>
            <w:tcW w:w="420" w:type="dxa"/>
            <w:vAlign w:val="bottom"/>
            <w:shd w:val="clear" w:color="auto" w:fill="CCD4DB"/>
          </w:tcPr>
          <w:p>
            <w:pPr>
              <w:spacing w:after="0"/>
              <w:rPr>
                <w:sz w:val="18"/>
                <w:szCs w:val="18"/>
                <w:color w:val="auto"/>
              </w:rPr>
            </w:pPr>
          </w:p>
        </w:tc>
      </w:tr>
      <w:tr>
        <w:trPr>
          <w:trHeight w:val="214"/>
        </w:trPr>
        <w:tc>
          <w:tcPr>
            <w:tcW w:w="3500" w:type="dxa"/>
            <w:vAlign w:val="bottom"/>
            <w:shd w:val="clear" w:color="auto" w:fill="CCD4DB"/>
          </w:tcPr>
          <w:p>
            <w:pPr>
              <w:ind w:left="40"/>
              <w:spacing w:after="0"/>
              <w:rPr>
                <w:sz w:val="20"/>
                <w:szCs w:val="20"/>
                <w:color w:val="auto"/>
              </w:rPr>
            </w:pPr>
            <w:r>
              <w:rPr>
                <w:rFonts w:ascii="Arial" w:cs="Arial" w:eastAsia="Arial" w:hAnsi="Arial"/>
                <w:sz w:val="16"/>
                <w:szCs w:val="16"/>
                <w:color w:val="auto"/>
              </w:rPr>
              <w:t>shareholders</w:t>
            </w:r>
          </w:p>
        </w:tc>
        <w:tc>
          <w:tcPr>
            <w:tcW w:w="25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1,520,130</w:t>
            </w:r>
          </w:p>
        </w:tc>
        <w:tc>
          <w:tcPr>
            <w:tcW w:w="21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N/A</w:t>
            </w:r>
          </w:p>
        </w:tc>
        <w:tc>
          <w:tcPr>
            <w:tcW w:w="26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5,528,835</w:t>
            </w:r>
          </w:p>
        </w:tc>
        <w:tc>
          <w:tcPr>
            <w:tcW w:w="420" w:type="dxa"/>
            <w:vAlign w:val="bottom"/>
            <w:shd w:val="clear" w:color="auto" w:fill="CCD4DB"/>
          </w:tcPr>
          <w:p>
            <w:pPr>
              <w:spacing w:after="0"/>
              <w:rPr>
                <w:sz w:val="18"/>
                <w:szCs w:val="18"/>
                <w:color w:val="auto"/>
              </w:rPr>
            </w:pPr>
          </w:p>
        </w:tc>
      </w:tr>
      <w:tr>
        <w:trPr>
          <w:trHeight w:val="218"/>
        </w:trPr>
        <w:tc>
          <w:tcPr>
            <w:tcW w:w="350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w:t>
            </w:r>
          </w:p>
        </w:tc>
        <w:tc>
          <w:tcPr>
            <w:tcW w:w="2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8"/>
        </w:trPr>
        <w:tc>
          <w:tcPr>
            <w:tcW w:w="3500" w:type="dxa"/>
            <w:vAlign w:val="bottom"/>
            <w:tcBorders>
              <w:bottom w:val="single" w:sz="8" w:color="00249C"/>
            </w:tcBorders>
          </w:tcPr>
          <w:p>
            <w:pPr>
              <w:ind w:left="40"/>
              <w:spacing w:after="0"/>
              <w:rPr>
                <w:sz w:val="20"/>
                <w:szCs w:val="20"/>
                <w:color w:val="auto"/>
              </w:rPr>
            </w:pPr>
            <w:r>
              <w:rPr>
                <w:rFonts w:ascii="Arial" w:cs="Arial" w:eastAsia="Arial" w:hAnsi="Arial"/>
                <w:sz w:val="16"/>
                <w:szCs w:val="16"/>
                <w:color w:val="auto"/>
              </w:rPr>
              <w:t>shareholders</w:t>
            </w:r>
          </w:p>
        </w:tc>
        <w:tc>
          <w:tcPr>
            <w:tcW w:w="250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N/A</w:t>
            </w:r>
          </w:p>
        </w:tc>
        <w:tc>
          <w:tcPr>
            <w:tcW w:w="214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N/A</w:t>
            </w:r>
          </w:p>
        </w:tc>
        <w:tc>
          <w:tcPr>
            <w:tcW w:w="268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w w:val="97"/>
              </w:rPr>
              <w:t>N/A</w:t>
            </w:r>
          </w:p>
        </w:tc>
        <w:tc>
          <w:tcPr>
            <w:tcW w:w="420" w:type="dxa"/>
            <w:vAlign w:val="bottom"/>
            <w:tcBorders>
              <w:bottom w:val="single" w:sz="8" w:color="00249C"/>
            </w:tcBorders>
          </w:tcPr>
          <w:p>
            <w:pPr>
              <w:spacing w:after="0"/>
              <w:rPr>
                <w:sz w:val="18"/>
                <w:szCs w:val="18"/>
                <w:color w:val="auto"/>
              </w:rPr>
            </w:pPr>
          </w:p>
        </w:tc>
      </w:tr>
      <w:tr>
        <w:trPr>
          <w:trHeight w:val="263"/>
        </w:trPr>
        <w:tc>
          <w:tcPr>
            <w:tcW w:w="3500" w:type="dxa"/>
            <w:vAlign w:val="bottom"/>
            <w:tcBorders>
              <w:bottom w:val="single" w:sz="8" w:color="00249C"/>
            </w:tcBorders>
            <w:shd w:val="clear" w:color="auto" w:fill="CCD4DB"/>
          </w:tcPr>
          <w:p>
            <w:pPr>
              <w:ind w:left="40"/>
              <w:spacing w:after="0"/>
              <w:rPr>
                <w:sz w:val="20"/>
                <w:szCs w:val="20"/>
                <w:color w:val="auto"/>
              </w:rPr>
            </w:pPr>
            <w:r>
              <w:rPr>
                <w:rFonts w:ascii="Arial" w:cs="Arial" w:eastAsia="Arial" w:hAnsi="Arial"/>
                <w:sz w:val="16"/>
                <w:szCs w:val="16"/>
                <w:b w:val="1"/>
                <w:bCs w:val="1"/>
                <w:color w:val="auto"/>
              </w:rPr>
              <w:t>Total</w:t>
            </w:r>
          </w:p>
        </w:tc>
        <w:tc>
          <w:tcPr>
            <w:tcW w:w="25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1,520,130</w:t>
            </w:r>
          </w:p>
        </w:tc>
        <w:tc>
          <w:tcPr>
            <w:tcW w:w="214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N/A</w:t>
            </w:r>
          </w:p>
        </w:tc>
        <w:tc>
          <w:tcPr>
            <w:tcW w:w="268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5,528,835</w:t>
            </w:r>
          </w:p>
        </w:tc>
        <w:tc>
          <w:tcPr>
            <w:tcW w:w="420" w:type="dxa"/>
            <w:vAlign w:val="bottom"/>
            <w:tcBorders>
              <w:bottom w:val="single" w:sz="8" w:color="00249C"/>
            </w:tcBorders>
            <w:shd w:val="clear" w:color="auto" w:fill="CCD4DB"/>
          </w:tcPr>
          <w:p>
            <w:pPr>
              <w:jc w:val="right"/>
              <w:ind w:right="39"/>
              <w:spacing w:after="0"/>
              <w:rPr>
                <w:sz w:val="20"/>
                <w:szCs w:val="20"/>
                <w:color w:val="auto"/>
              </w:rPr>
            </w:pPr>
            <w:r>
              <w:rPr>
                <w:rFonts w:ascii="Arial" w:cs="Arial" w:eastAsia="Arial" w:hAnsi="Arial"/>
                <w:sz w:val="16"/>
                <w:szCs w:val="16"/>
                <w:color w:val="auto"/>
              </w:rPr>
              <w:t>(4)</w:t>
            </w:r>
          </w:p>
        </w:tc>
      </w:tr>
    </w:tbl>
    <w:p>
      <w:pPr>
        <w:spacing w:after="0" w:line="269" w:lineRule="exact"/>
        <w:rPr>
          <w:sz w:val="20"/>
          <w:szCs w:val="20"/>
          <w:color w:val="auto"/>
        </w:rPr>
      </w:pPr>
    </w:p>
    <w:p>
      <w:pPr>
        <w:ind w:left="420" w:right="180" w:hanging="412"/>
        <w:spacing w:after="0" w:line="253"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number includes 701,553 shares that were subject to outstanding stock awards granted under the 2011 Plan, 368,715 awards earned at year end but pending distribution subject to final performance adjustments, 130,615 shares subject to outstanding stock unit credited under the 2011 Plan and 1993 Directors Plan, and additional performance shares of 319,247, which reflect the number of shares deliverable under payment of outstanding restricted performance stock rights, assuming maximum performance criteria have been achieved.</w:t>
      </w:r>
    </w:p>
    <w:p>
      <w:pPr>
        <w:spacing w:after="0" w:line="70" w:lineRule="exact"/>
        <w:rPr>
          <w:rFonts w:ascii="Arial" w:cs="Arial" w:eastAsia="Arial" w:hAnsi="Arial"/>
          <w:sz w:val="18"/>
          <w:szCs w:val="18"/>
          <w:color w:val="auto"/>
        </w:rPr>
      </w:pPr>
    </w:p>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were no options outstanding as of December 31, 2019.</w:t>
      </w:r>
    </w:p>
    <w:p>
      <w:pPr>
        <w:spacing w:after="0" w:line="90" w:lineRule="exact"/>
        <w:rPr>
          <w:rFonts w:ascii="Arial" w:cs="Arial" w:eastAsia="Arial" w:hAnsi="Arial"/>
          <w:sz w:val="18"/>
          <w:szCs w:val="18"/>
          <w:color w:val="auto"/>
        </w:rPr>
      </w:pPr>
    </w:p>
    <w:p>
      <w:pPr>
        <w:ind w:left="420" w:right="380" w:hanging="412"/>
        <w:spacing w:after="0" w:line="261"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the aggregate number of shares that remained available for future issuance, 5,528,835 were available under the 2011 Plan as of December 31, 2019. No new awards may be granted under the 1993 Directors Plan.</w:t>
      </w:r>
    </w:p>
    <w:p>
      <w:pPr>
        <w:spacing w:after="0" w:line="62" w:lineRule="exact"/>
        <w:rPr>
          <w:rFonts w:ascii="Arial" w:cs="Arial" w:eastAsia="Arial" w:hAnsi="Arial"/>
          <w:sz w:val="18"/>
          <w:szCs w:val="18"/>
          <w:color w:val="auto"/>
        </w:rPr>
      </w:pPr>
    </w:p>
    <w:p>
      <w:pPr>
        <w:ind w:left="420" w:right="220" w:hanging="412"/>
        <w:spacing w:after="0" w:line="261"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After giving effect to our February 2020 awards, the number of shares of common stock remaining available for future issuance would be 5,148,130 (assuming maximum payout of such awards).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701" w:right="339" w:bottom="1440" w:gutter="0" w:footer="0" w:header="0"/>
        </w:sectPr>
      </w:pPr>
    </w:p>
    <w:bookmarkStart w:id="41" w:name="page42"/>
    <w:bookmarkEnd w:id="41"/>
    <w:p>
      <w:pPr>
        <w:ind w:left="40"/>
        <w:spacing w:after="0"/>
        <w:rPr>
          <w:sz w:val="20"/>
          <w:szCs w:val="20"/>
          <w:color w:val="auto"/>
        </w:rPr>
      </w:pPr>
      <w:r>
        <w:rPr>
          <w:rFonts w:ascii="Arial" w:cs="Arial" w:eastAsia="Arial" w:hAnsi="Arial"/>
          <w:sz w:val="22"/>
          <w:szCs w:val="22"/>
          <w:b w:val="1"/>
          <w:bCs w:val="1"/>
          <w:color w:val="FFFFFF"/>
        </w:rPr>
        <w:t>PROPOSAL TWO: ADVISORY VOTE ON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Consistent with Section 14A of the Exchange Act, we are providing our shareholders with the opportunity to cast a non-binding, advisory vote on the compensation of our NEOs. This advisory vote, commonly known as "say-on-pay," gives our shareholders the opportunity to express their view on our 2019 executive compensation programs and policies for our NEOs. The vote does not address any specific item of compensation and is not binding on the Board; however, as an expression of our shareholders' views, the Compensation Committee seriously considers the vote when making future executive compensation decisions. The Board has adopted a policy of providing for annual advisory votes on the compensation of our NEOs.</w:t>
      </w:r>
    </w:p>
    <w:p>
      <w:pPr>
        <w:spacing w:after="0" w:line="73"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believe our compensation programs reflect responsible, measured practices that effectively incentivize our executives to dedicate themselves fully to value creation for our shareholders, customers and employees. Our pay practices are aligned with our shareholders' interests and with leading industry practice and are governed by a set of strong policies. Examples include:</w:t>
      </w:r>
    </w:p>
    <w:p>
      <w:pPr>
        <w:spacing w:after="0" w:line="94" w:lineRule="exact"/>
        <w:rPr>
          <w:sz w:val="20"/>
          <w:szCs w:val="20"/>
          <w:color w:val="auto"/>
        </w:rPr>
      </w:pPr>
    </w:p>
    <w:p>
      <w:pPr>
        <w:ind w:left="340" w:right="200" w:hanging="332"/>
        <w:spacing w:after="0" w:line="255" w:lineRule="auto"/>
        <w:tabs>
          <w:tab w:leader="none" w:pos="340" w:val="left"/>
        </w:tabs>
        <w:numPr>
          <w:ilvl w:val="0"/>
          <w:numId w:val="38"/>
        </w:numPr>
        <w:rPr>
          <w:rFonts w:ascii="Arial" w:cs="Arial" w:eastAsia="Arial" w:hAnsi="Arial"/>
          <w:sz w:val="22"/>
          <w:szCs w:val="22"/>
          <w:color w:val="00249C"/>
        </w:rPr>
      </w:pPr>
      <w:r>
        <w:rPr>
          <w:rFonts w:ascii="Arial" w:cs="Arial" w:eastAsia="Arial" w:hAnsi="Arial"/>
          <w:sz w:val="18"/>
          <w:szCs w:val="18"/>
          <w:color w:val="auto"/>
        </w:rPr>
        <w:t>Double-trigger provisions for change in control situations, and no excise tax gross-ups for payments upon termination after a change in control;</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38"/>
        </w:numPr>
        <w:rPr>
          <w:rFonts w:ascii="Arial" w:cs="Arial" w:eastAsia="Arial" w:hAnsi="Arial"/>
          <w:sz w:val="22"/>
          <w:szCs w:val="22"/>
          <w:color w:val="00249C"/>
        </w:rPr>
      </w:pPr>
      <w:r>
        <w:rPr>
          <w:rFonts w:ascii="Arial" w:cs="Arial" w:eastAsia="Arial" w:hAnsi="Arial"/>
          <w:sz w:val="18"/>
          <w:szCs w:val="18"/>
          <w:color w:val="auto"/>
        </w:rPr>
        <w:t>A recoupment policy applicable to cash and equity incentive compensation payments;</w:t>
      </w:r>
    </w:p>
    <w:p>
      <w:pPr>
        <w:spacing w:after="0" w:line="120" w:lineRule="exact"/>
        <w:rPr>
          <w:rFonts w:ascii="Arial" w:cs="Arial" w:eastAsia="Arial" w:hAnsi="Arial"/>
          <w:sz w:val="22"/>
          <w:szCs w:val="22"/>
          <w:color w:val="00249C"/>
        </w:rPr>
      </w:pPr>
    </w:p>
    <w:p>
      <w:pPr>
        <w:ind w:left="340" w:right="240" w:hanging="332"/>
        <w:spacing w:after="0" w:line="255" w:lineRule="auto"/>
        <w:tabs>
          <w:tab w:leader="none" w:pos="340" w:val="left"/>
        </w:tabs>
        <w:numPr>
          <w:ilvl w:val="0"/>
          <w:numId w:val="38"/>
        </w:numPr>
        <w:rPr>
          <w:rFonts w:ascii="Arial" w:cs="Arial" w:eastAsia="Arial" w:hAnsi="Arial"/>
          <w:sz w:val="22"/>
          <w:szCs w:val="22"/>
          <w:color w:val="00249C"/>
        </w:rPr>
      </w:pPr>
      <w:r>
        <w:rPr>
          <w:rFonts w:ascii="Arial" w:cs="Arial" w:eastAsia="Arial" w:hAnsi="Arial"/>
          <w:sz w:val="18"/>
          <w:szCs w:val="18"/>
          <w:color w:val="auto"/>
        </w:rPr>
        <w:t>Stock ownership guidelines of 7x base salary for the CEO and 3x base salary for other NEOs, and stock holding requirements of three years from the vesting date for equity awards; and</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38"/>
        </w:numPr>
        <w:rPr>
          <w:rFonts w:ascii="Arial" w:cs="Arial" w:eastAsia="Arial" w:hAnsi="Arial"/>
          <w:sz w:val="22"/>
          <w:szCs w:val="22"/>
          <w:color w:val="00249C"/>
        </w:rPr>
      </w:pPr>
      <w:r>
        <w:rPr>
          <w:rFonts w:ascii="Arial" w:cs="Arial" w:eastAsia="Arial" w:hAnsi="Arial"/>
          <w:sz w:val="18"/>
          <w:szCs w:val="18"/>
          <w:color w:val="auto"/>
        </w:rPr>
        <w:t>Prohibitions on hedging or pledging of Company stock.</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a more extensive list of our best practices, refer to page 37 of this Proxy Statement. In addition, our Compensation Discussion and Analysis (CD&amp;A) provides a detailed discussion of our performance-based approach to executive compensation. We encourage you to read the CD&amp;A, the rest of this Proxy Statement and our 2019 Form 10-K, which describes our business and 2019 results in more detail.</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w:t>
      </w:r>
    </w:p>
    <w:p>
      <w:pPr>
        <w:spacing w:after="0" w:line="10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compensation of our executives is aligned to performance, is sensitive to shareholder returns, appropriately motivates and retains our executives, and is a competitive advantage in attracting and retaining the high caliber talent necessary to drive our business forward and build sustainable value for our shareholders. Accordingly, the Board recommends that shareholders approve the following resolution:</w:t>
      </w:r>
    </w:p>
    <w:p>
      <w:pPr>
        <w:spacing w:after="0" w:line="67"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"RESOLVED, that, as an advisory matter, the shareholders of Northrop Grumman Corporation approve the compensation paid to the Company's named executive officers as disclosed in this Proxy Statement pursuant to Item 402 of Regulation S-K, including the Compensation Discussion and Analysis, compensation tables and narrative discussion."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057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0575" cy="205740"/>
                    </a:xfrm>
                    <a:prstGeom prst="rect">
                      <a:avLst/>
                    </a:prstGeom>
                    <a:noFill/>
                  </pic:spPr>
                </pic:pic>
              </a:graphicData>
            </a:graphic>
          </wp:anchor>
        </w:drawing>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00249C"/>
        </w:rPr>
        <w:t>THE BOARD OF DIRECTORS UNANIMOUSLY RECOMMENDS THAT YOU VOTE "FOR" PROPOSAL TWO.</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35</w:t>
      </w:r>
    </w:p>
    <w:p>
      <w:pPr>
        <w:sectPr>
          <w:pgSz w:w="11900" w:h="16838" w:orient="portrait"/>
          <w:cols w:equalWidth="0" w:num="1">
            <w:col w:w="11240"/>
          </w:cols>
          <w:pgMar w:left="320" w:top="593" w:right="339" w:bottom="1440" w:gutter="0" w:footer="0" w:header="0"/>
        </w:sectPr>
      </w:pPr>
    </w:p>
    <w:bookmarkStart w:id="42" w:name="page43"/>
    <w:bookmarkEnd w:id="42"/>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8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this CD&amp;A, we provide an overview of our executive compensation programs and the underlying philosophy used to develop the programs. We describe the material components of our executive compensation programs for our 2019 NEOs and explain how and why our Board's Compensation Committee arrived at certain specific compensation policies and decisions. We refer to certain non-GAAP financial measures, which are identified with asterisks. For more information, including definitions, reconciliations to the most directly comparable GAAP (accounting principles generally accepted in the United States of America) measure and why we believe these measures may be useful to investors, see "Appendix A - Use of Non-GAAP Financial Measures." 2019 NEO compensation is in the Summary Compensation Table on page 53 and other compensation tables contained in this Proxy Statement.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NEOs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KATHY J. WARDEN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KENNETH L. BEDINGFIELD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A. CAYLOR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CHRISTOPHER T. JONES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JANIS G. PAMILJANS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701" w:right="339" w:bottom="1440" w:gutter="0" w:footer="0" w:header="0"/>
        </w:sectPr>
      </w:pPr>
    </w:p>
    <w:bookmarkStart w:id="43" w:name="page44"/>
    <w:bookmarkEnd w:id="43"/>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5918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E</w:t>
      </w:r>
      <w:r>
        <w:rPr>
          <w:rFonts w:ascii="Arial" w:cs="Arial" w:eastAsia="Arial" w:hAnsi="Arial"/>
          <w:sz w:val="17"/>
          <w:szCs w:val="17"/>
          <w:b w:val="1"/>
          <w:bCs w:val="1"/>
          <w:color w:val="FFFFFF"/>
        </w:rPr>
        <w:t>XECUTIVE</w:t>
      </w:r>
      <w:r>
        <w:rPr>
          <w:rFonts w:ascii="Arial" w:cs="Arial" w:eastAsia="Arial" w:hAnsi="Arial"/>
          <w:sz w:val="22"/>
          <w:szCs w:val="22"/>
          <w:b w:val="1"/>
          <w:bCs w:val="1"/>
          <w:color w:val="FFFFFF"/>
        </w:rPr>
        <w:t xml:space="preserve"> S</w:t>
      </w:r>
      <w:r>
        <w:rPr>
          <w:rFonts w:ascii="Arial" w:cs="Arial" w:eastAsia="Arial" w:hAnsi="Arial"/>
          <w:sz w:val="17"/>
          <w:szCs w:val="17"/>
          <w:b w:val="1"/>
          <w:bCs w:val="1"/>
          <w:color w:val="FFFFFF"/>
        </w:rPr>
        <w:t>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Summary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executive compensation philosophy is to provide our NEOs with attractive, flexible and market-based total compensation tied to annual and long-term performance and aligned with the interests of our shareholders. The key elements of our compensation programs for our NEOs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0575" cy="3103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0575" cy="31032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FFFFFF"/>
        </w:rPr>
        <w:t>Fixed</w:t>
      </w:r>
    </w:p>
    <w:p>
      <w:pPr>
        <w:spacing w:after="0" w:line="18"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FFFFFF"/>
        </w:rPr>
        <w:t>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220"/>
        <w:spacing w:after="0"/>
        <w:rPr>
          <w:sz w:val="20"/>
          <w:szCs w:val="20"/>
          <w:color w:val="auto"/>
        </w:rPr>
      </w:pPr>
      <w:r>
        <w:rPr>
          <w:rFonts w:ascii="Arial" w:cs="Arial" w:eastAsia="Arial" w:hAnsi="Arial"/>
          <w:sz w:val="17"/>
          <w:szCs w:val="17"/>
          <w:b w:val="1"/>
          <w:bCs w:val="1"/>
          <w:color w:val="FFFFFF"/>
        </w:rPr>
        <w:t>Performance-</w:t>
      </w:r>
    </w:p>
    <w:p>
      <w:pPr>
        <w:spacing w:after="0" w:line="25"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FFFFFF"/>
        </w:rPr>
        <w:t>based</w:t>
      </w:r>
    </w:p>
    <w:p>
      <w:pPr>
        <w:jc w:val="center"/>
        <w:ind w:left="220"/>
        <w:spacing w:after="0"/>
        <w:rPr>
          <w:sz w:val="20"/>
          <w:szCs w:val="20"/>
          <w:color w:val="auto"/>
        </w:rPr>
      </w:pPr>
      <w:r>
        <w:rPr>
          <w:rFonts w:ascii="Arial" w:cs="Arial" w:eastAsia="Arial" w:hAnsi="Arial"/>
          <w:sz w:val="18"/>
          <w:szCs w:val="18"/>
          <w:b w:val="1"/>
          <w:bCs w:val="1"/>
          <w:color w:val="FFFFFF"/>
        </w:rPr>
        <w:t>Component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Compensation Element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Base Salary</w:t>
      </w:r>
    </w:p>
    <w:p>
      <w:pPr>
        <w:spacing w:after="0" w:line="356" w:lineRule="exact"/>
        <w:rPr>
          <w:sz w:val="20"/>
          <w:szCs w:val="20"/>
          <w:color w:val="auto"/>
        </w:rPr>
      </w:pPr>
    </w:p>
    <w:p>
      <w:pPr>
        <w:jc w:val="center"/>
        <w:spacing w:after="0" w:line="253" w:lineRule="auto"/>
        <w:rPr>
          <w:sz w:val="20"/>
          <w:szCs w:val="20"/>
          <w:color w:val="auto"/>
        </w:rPr>
      </w:pPr>
      <w:r>
        <w:rPr>
          <w:rFonts w:ascii="Arial" w:cs="Arial" w:eastAsia="Arial" w:hAnsi="Arial"/>
          <w:sz w:val="16"/>
          <w:szCs w:val="16"/>
          <w:color w:val="auto"/>
        </w:rPr>
        <w:t>Long-Term Incentive Plan (LTIP) Restricted Stock Rights (RSRs)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Annual Incentive Plan (AIP)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LTIP Restricted Performance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Stock Rights (RPSRs)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Compensate fairly and competitively</w:t>
      </w:r>
    </w:p>
    <w:p>
      <w:pPr>
        <w:spacing w:after="0" w:line="316" w:lineRule="exact"/>
        <w:rPr>
          <w:sz w:val="20"/>
          <w:szCs w:val="20"/>
          <w:color w:val="auto"/>
        </w:rPr>
      </w:pPr>
    </w:p>
    <w:p>
      <w:pPr>
        <w:jc w:val="center"/>
        <w:ind w:left="120" w:right="20"/>
        <w:spacing w:after="0" w:line="253" w:lineRule="auto"/>
        <w:rPr>
          <w:sz w:val="20"/>
          <w:szCs w:val="20"/>
          <w:color w:val="auto"/>
        </w:rPr>
      </w:pPr>
      <w:r>
        <w:rPr>
          <w:rFonts w:ascii="Arial" w:cs="Arial" w:eastAsia="Arial" w:hAnsi="Arial"/>
          <w:sz w:val="16"/>
          <w:szCs w:val="16"/>
          <w:color w:val="auto"/>
        </w:rPr>
        <w:t>Link the interests of our executive officers to shareholders and retain executive talent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40" w:right="20"/>
        <w:spacing w:after="0" w:line="260" w:lineRule="auto"/>
        <w:rPr>
          <w:sz w:val="20"/>
          <w:szCs w:val="20"/>
          <w:color w:val="auto"/>
        </w:rPr>
      </w:pPr>
      <w:r>
        <w:rPr>
          <w:rFonts w:ascii="Arial" w:cs="Arial" w:eastAsia="Arial" w:hAnsi="Arial"/>
          <w:sz w:val="16"/>
          <w:szCs w:val="16"/>
          <w:color w:val="auto"/>
        </w:rPr>
        <w:t>Motivate and reward achievement of annual business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line="246" w:lineRule="auto"/>
        <w:rPr>
          <w:sz w:val="20"/>
          <w:szCs w:val="20"/>
          <w:color w:val="auto"/>
        </w:rPr>
      </w:pPr>
      <w:r>
        <w:rPr>
          <w:rFonts w:ascii="Arial" w:cs="Arial" w:eastAsia="Arial" w:hAnsi="Arial"/>
          <w:sz w:val="16"/>
          <w:szCs w:val="16"/>
          <w:color w:val="auto"/>
        </w:rPr>
        <w:t>Link the interests of our executive officers to shareholders, motivate and</w:t>
      </w:r>
    </w:p>
    <w:p>
      <w:pPr>
        <w:spacing w:after="0" w:line="1" w:lineRule="exact"/>
        <w:rPr>
          <w:sz w:val="20"/>
          <w:szCs w:val="20"/>
          <w:color w:val="auto"/>
        </w:rPr>
      </w:pPr>
    </w:p>
    <w:p>
      <w:pPr>
        <w:jc w:val="center"/>
        <w:ind w:left="80"/>
        <w:spacing w:after="0" w:line="253" w:lineRule="auto"/>
        <w:rPr>
          <w:sz w:val="20"/>
          <w:szCs w:val="20"/>
          <w:color w:val="auto"/>
        </w:rPr>
      </w:pPr>
      <w:r>
        <w:rPr>
          <w:rFonts w:ascii="Arial" w:cs="Arial" w:eastAsia="Arial" w:hAnsi="Arial"/>
          <w:sz w:val="16"/>
          <w:szCs w:val="16"/>
          <w:color w:val="auto"/>
        </w:rPr>
        <w:t>reward achievement of long-term strategic goals and retain executive talent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Key Characteristics</w:t>
      </w:r>
    </w:p>
    <w:p>
      <w:pPr>
        <w:spacing w:after="0" w:line="236" w:lineRule="exact"/>
        <w:rPr>
          <w:sz w:val="20"/>
          <w:szCs w:val="20"/>
          <w:color w:val="auto"/>
        </w:rPr>
      </w:pPr>
    </w:p>
    <w:p>
      <w:pPr>
        <w:jc w:val="center"/>
        <w:ind w:right="60"/>
        <w:spacing w:after="0" w:line="260" w:lineRule="auto"/>
        <w:rPr>
          <w:sz w:val="20"/>
          <w:szCs w:val="20"/>
          <w:color w:val="auto"/>
        </w:rPr>
      </w:pPr>
      <w:r>
        <w:rPr>
          <w:rFonts w:ascii="Arial" w:cs="Arial" w:eastAsia="Arial" w:hAnsi="Arial"/>
          <w:sz w:val="16"/>
          <w:szCs w:val="16"/>
          <w:color w:val="auto"/>
        </w:rPr>
        <w:t>Determined by level of responsibility, competitive market pay assessment and individual performance</w:t>
      </w: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30% of annual LTIP grant</w:t>
      </w:r>
    </w:p>
    <w:p>
      <w:pPr>
        <w:spacing w:after="0" w:line="8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Three-year cliff vesting</w:t>
      </w: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6"/>
          <w:szCs w:val="16"/>
          <w:u w:val="single" w:color="auto"/>
          <w:color w:val="auto"/>
        </w:rPr>
        <w:t>Financial Metrics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35% Pension-adjusted Cash Flow from Operations*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35% Segment Operating Income* Growth</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15% Pension-adjusted Net Income* Growth</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15% Pension-adjusted Operating Margin (OM) Rate*</w:t>
      </w:r>
    </w:p>
    <w:p>
      <w:pPr>
        <w:spacing w:after="0" w:line="86" w:lineRule="exact"/>
        <w:rPr>
          <w:sz w:val="20"/>
          <w:szCs w:val="20"/>
          <w:color w:val="auto"/>
        </w:rPr>
      </w:pPr>
    </w:p>
    <w:p>
      <w:pPr>
        <w:jc w:val="center"/>
        <w:ind w:left="-19" w:right="80"/>
        <w:spacing w:after="0" w:line="260" w:lineRule="auto"/>
        <w:rPr>
          <w:sz w:val="20"/>
          <w:szCs w:val="20"/>
          <w:color w:val="auto"/>
        </w:rPr>
      </w:pPr>
      <w:r>
        <w:rPr>
          <w:rFonts w:ascii="Arial" w:cs="Arial" w:eastAsia="Arial" w:hAnsi="Arial"/>
          <w:sz w:val="16"/>
          <w:szCs w:val="16"/>
          <w:color w:val="auto"/>
        </w:rPr>
        <w:t>Subject to downward adjustment for failure to achieve non-financial objectives</w:t>
      </w:r>
    </w:p>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70% of annual LTIP grant</w:t>
      </w:r>
    </w:p>
    <w:p>
      <w:pPr>
        <w:spacing w:after="0" w:line="8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Three-year performance period</w:t>
      </w:r>
    </w:p>
    <w:p>
      <w:pPr>
        <w:spacing w:after="0" w:line="86" w:lineRule="exact"/>
        <w:rPr>
          <w:sz w:val="20"/>
          <w:szCs w:val="20"/>
          <w:color w:val="auto"/>
        </w:rPr>
      </w:pPr>
    </w:p>
    <w:p>
      <w:pPr>
        <w:jc w:val="center"/>
        <w:ind w:left="80" w:right="60"/>
        <w:spacing w:after="0" w:line="251" w:lineRule="auto"/>
        <w:rPr>
          <w:sz w:val="20"/>
          <w:szCs w:val="20"/>
          <w:color w:val="auto"/>
        </w:rPr>
      </w:pPr>
      <w:r>
        <w:rPr>
          <w:rFonts w:ascii="Arial" w:cs="Arial" w:eastAsia="Arial" w:hAnsi="Arial"/>
          <w:sz w:val="16"/>
          <w:szCs w:val="16"/>
          <w:color w:val="auto"/>
        </w:rPr>
        <w:t>Actual shares earned are weighted equally to relative TSR, Cumulative Free Cash Flow* (Cumulative FCF*) and Operating Return on Net Assets* (Operating RONA*)</w:t>
      </w:r>
    </w:p>
    <w:p>
      <w:pPr>
        <w:spacing w:after="0" w:line="54" w:lineRule="exact"/>
        <w:rPr>
          <w:sz w:val="20"/>
          <w:szCs w:val="20"/>
          <w:color w:val="auto"/>
        </w:rPr>
      </w:pPr>
    </w:p>
    <w:p>
      <w:pPr>
        <w:sectPr>
          <w:pgSz w:w="11900" w:h="16838" w:orient="portrait"/>
          <w:cols w:equalWidth="0" w:num="4">
            <w:col w:w="1380" w:space="360"/>
            <w:col w:w="2160" w:space="280"/>
            <w:col w:w="2700" w:space="280"/>
            <w:col w:w="4080"/>
          </w:cols>
          <w:pgMar w:left="320" w:top="755"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Our Compensation Pay Practices (pages 40 - 51)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incorporate best practices, including the following: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249C"/>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type w:val="continuous"/>
        </w:sectPr>
      </w:pPr>
    </w:p>
    <w:p>
      <w:pPr>
        <w:spacing w:after="0" w:line="227" w:lineRule="exact"/>
        <w:rPr>
          <w:sz w:val="20"/>
          <w:szCs w:val="20"/>
          <w:color w:val="auto"/>
        </w:rPr>
      </w:pPr>
    </w:p>
    <w:p>
      <w:pPr>
        <w:ind w:left="300" w:hanging="265"/>
        <w:spacing w:after="0"/>
        <w:tabs>
          <w:tab w:leader="none" w:pos="300" w:val="left"/>
        </w:tabs>
        <w:numPr>
          <w:ilvl w:val="0"/>
          <w:numId w:val="39"/>
        </w:numPr>
        <w:rPr>
          <w:rFonts w:ascii="Arial" w:cs="Arial" w:eastAsia="Arial" w:hAnsi="Arial"/>
          <w:sz w:val="22"/>
          <w:szCs w:val="22"/>
          <w:color w:val="00249C"/>
        </w:rPr>
      </w:pPr>
      <w:r>
        <w:rPr>
          <w:rFonts w:ascii="Arial" w:cs="Arial" w:eastAsia="Arial" w:hAnsi="Arial"/>
          <w:sz w:val="16"/>
          <w:szCs w:val="16"/>
          <w:color w:val="auto"/>
        </w:rPr>
        <w:t>Pay for Performance</w:t>
      </w:r>
    </w:p>
    <w:p>
      <w:pPr>
        <w:spacing w:after="0" w:line="102" w:lineRule="exact"/>
        <w:rPr>
          <w:rFonts w:ascii="Arial" w:cs="Arial" w:eastAsia="Arial" w:hAnsi="Arial"/>
          <w:sz w:val="22"/>
          <w:szCs w:val="22"/>
          <w:color w:val="00249C"/>
        </w:rPr>
      </w:pPr>
    </w:p>
    <w:p>
      <w:pPr>
        <w:jc w:val="both"/>
        <w:ind w:left="280" w:hanging="245"/>
        <w:spacing w:after="0" w:line="218" w:lineRule="auto"/>
        <w:tabs>
          <w:tab w:leader="none" w:pos="292" w:val="left"/>
        </w:tabs>
        <w:numPr>
          <w:ilvl w:val="0"/>
          <w:numId w:val="39"/>
        </w:numPr>
        <w:rPr>
          <w:rFonts w:ascii="Arial" w:cs="Arial" w:eastAsia="Arial" w:hAnsi="Arial"/>
          <w:sz w:val="22"/>
          <w:szCs w:val="22"/>
          <w:color w:val="00249C"/>
        </w:rPr>
      </w:pPr>
      <w:r>
        <w:rPr>
          <w:rFonts w:ascii="Arial" w:cs="Arial" w:eastAsia="Arial" w:hAnsi="Arial"/>
          <w:sz w:val="16"/>
          <w:szCs w:val="16"/>
          <w:color w:val="auto"/>
        </w:rPr>
        <w:t>Above-Target Annual Incentive Payouts Only When We Outperform Our Peer Benchmarks</w:t>
      </w:r>
    </w:p>
    <w:p>
      <w:pPr>
        <w:spacing w:after="0" w:line="89" w:lineRule="exact"/>
        <w:rPr>
          <w:rFonts w:ascii="Arial" w:cs="Arial" w:eastAsia="Arial" w:hAnsi="Arial"/>
          <w:sz w:val="22"/>
          <w:szCs w:val="22"/>
          <w:color w:val="00249C"/>
        </w:rPr>
      </w:pPr>
    </w:p>
    <w:p>
      <w:pPr>
        <w:ind w:left="280" w:right="760" w:hanging="245"/>
        <w:spacing w:after="0" w:line="218" w:lineRule="auto"/>
        <w:tabs>
          <w:tab w:leader="none" w:pos="292" w:val="left"/>
        </w:tabs>
        <w:numPr>
          <w:ilvl w:val="0"/>
          <w:numId w:val="39"/>
        </w:numPr>
        <w:rPr>
          <w:rFonts w:ascii="Arial" w:cs="Arial" w:eastAsia="Arial" w:hAnsi="Arial"/>
          <w:sz w:val="22"/>
          <w:szCs w:val="22"/>
          <w:color w:val="00249C"/>
        </w:rPr>
      </w:pPr>
      <w:r>
        <w:rPr>
          <w:rFonts w:ascii="Arial" w:cs="Arial" w:eastAsia="Arial" w:hAnsi="Arial"/>
          <w:sz w:val="16"/>
          <w:szCs w:val="16"/>
          <w:color w:val="auto"/>
        </w:rPr>
        <w:t>Long-Term Incentives Focused on Performance</w:t>
      </w:r>
    </w:p>
    <w:p>
      <w:pPr>
        <w:spacing w:after="0" w:line="89" w:lineRule="exact"/>
        <w:rPr>
          <w:rFonts w:ascii="Arial" w:cs="Arial" w:eastAsia="Arial" w:hAnsi="Arial"/>
          <w:sz w:val="22"/>
          <w:szCs w:val="22"/>
          <w:color w:val="00249C"/>
        </w:rPr>
      </w:pPr>
    </w:p>
    <w:p>
      <w:pPr>
        <w:jc w:val="both"/>
        <w:ind w:left="280" w:right="120" w:hanging="245"/>
        <w:spacing w:after="0" w:line="218" w:lineRule="auto"/>
        <w:tabs>
          <w:tab w:leader="none" w:pos="292" w:val="left"/>
        </w:tabs>
        <w:numPr>
          <w:ilvl w:val="0"/>
          <w:numId w:val="39"/>
        </w:numPr>
        <w:rPr>
          <w:rFonts w:ascii="Arial" w:cs="Arial" w:eastAsia="Arial" w:hAnsi="Arial"/>
          <w:sz w:val="22"/>
          <w:szCs w:val="22"/>
          <w:color w:val="00249C"/>
        </w:rPr>
      </w:pPr>
      <w:r>
        <w:rPr>
          <w:rFonts w:ascii="Arial" w:cs="Arial" w:eastAsia="Arial" w:hAnsi="Arial"/>
          <w:sz w:val="16"/>
          <w:szCs w:val="16"/>
          <w:color w:val="auto"/>
        </w:rPr>
        <w:t>Cap on Annual Bonuses and Performance-Based Long-Term Incentive Share Payouts</w:t>
      </w:r>
    </w:p>
    <w:p>
      <w:pPr>
        <w:spacing w:after="0" w:line="89" w:lineRule="exact"/>
        <w:rPr>
          <w:rFonts w:ascii="Arial" w:cs="Arial" w:eastAsia="Arial" w:hAnsi="Arial"/>
          <w:sz w:val="22"/>
          <w:szCs w:val="22"/>
          <w:color w:val="00249C"/>
        </w:rPr>
      </w:pPr>
    </w:p>
    <w:p>
      <w:pPr>
        <w:ind w:left="280" w:right="220" w:hanging="245"/>
        <w:spacing w:after="0" w:line="218" w:lineRule="auto"/>
        <w:tabs>
          <w:tab w:leader="none" w:pos="292" w:val="left"/>
        </w:tabs>
        <w:numPr>
          <w:ilvl w:val="0"/>
          <w:numId w:val="39"/>
        </w:numPr>
        <w:rPr>
          <w:rFonts w:ascii="Arial" w:cs="Arial" w:eastAsia="Arial" w:hAnsi="Arial"/>
          <w:sz w:val="22"/>
          <w:szCs w:val="22"/>
          <w:color w:val="00249C"/>
        </w:rPr>
      </w:pPr>
      <w:r>
        <w:rPr>
          <w:rFonts w:ascii="Arial" w:cs="Arial" w:eastAsia="Arial" w:hAnsi="Arial"/>
          <w:sz w:val="16"/>
          <w:szCs w:val="16"/>
          <w:color w:val="auto"/>
        </w:rPr>
        <w:t>Compensation Elements Benchmarked at Market Median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259" w:hanging="259"/>
        <w:spacing w:after="0"/>
        <w:tabs>
          <w:tab w:leader="none" w:pos="259" w:val="left"/>
        </w:tabs>
        <w:numPr>
          <w:ilvl w:val="0"/>
          <w:numId w:val="40"/>
        </w:numPr>
        <w:rPr>
          <w:rFonts w:ascii="Arial" w:cs="Arial" w:eastAsia="Arial" w:hAnsi="Arial"/>
          <w:sz w:val="22"/>
          <w:szCs w:val="22"/>
          <w:color w:val="00249C"/>
        </w:rPr>
      </w:pPr>
      <w:r>
        <w:rPr>
          <w:rFonts w:ascii="Arial" w:cs="Arial" w:eastAsia="Arial" w:hAnsi="Arial"/>
          <w:sz w:val="16"/>
          <w:szCs w:val="16"/>
          <w:color w:val="auto"/>
        </w:rPr>
        <w:t>Annual Peer Group Review</w:t>
      </w:r>
    </w:p>
    <w:p>
      <w:pPr>
        <w:spacing w:after="0" w:line="102" w:lineRule="exact"/>
        <w:rPr>
          <w:rFonts w:ascii="Arial" w:cs="Arial" w:eastAsia="Arial" w:hAnsi="Arial"/>
          <w:sz w:val="22"/>
          <w:szCs w:val="22"/>
          <w:color w:val="00249C"/>
        </w:rPr>
      </w:pPr>
    </w:p>
    <w:p>
      <w:pPr>
        <w:ind w:left="239" w:right="180" w:hanging="239"/>
        <w:spacing w:after="0" w:line="218" w:lineRule="auto"/>
        <w:tabs>
          <w:tab w:leader="none" w:pos="251" w:val="left"/>
        </w:tabs>
        <w:numPr>
          <w:ilvl w:val="0"/>
          <w:numId w:val="40"/>
        </w:numPr>
        <w:rPr>
          <w:rFonts w:ascii="Arial" w:cs="Arial" w:eastAsia="Arial" w:hAnsi="Arial"/>
          <w:sz w:val="22"/>
          <w:szCs w:val="22"/>
          <w:color w:val="00249C"/>
        </w:rPr>
      </w:pPr>
      <w:r>
        <w:rPr>
          <w:rFonts w:ascii="Arial" w:cs="Arial" w:eastAsia="Arial" w:hAnsi="Arial"/>
          <w:sz w:val="16"/>
          <w:szCs w:val="16"/>
          <w:color w:val="auto"/>
        </w:rPr>
        <w:t>Independent Consultant Reports Directly to Compensation Committee</w:t>
      </w:r>
    </w:p>
    <w:p>
      <w:pPr>
        <w:spacing w:after="0" w:line="89" w:lineRule="exact"/>
        <w:rPr>
          <w:rFonts w:ascii="Arial" w:cs="Arial" w:eastAsia="Arial" w:hAnsi="Arial"/>
          <w:sz w:val="22"/>
          <w:szCs w:val="22"/>
          <w:color w:val="00249C"/>
        </w:rPr>
      </w:pPr>
    </w:p>
    <w:p>
      <w:pPr>
        <w:ind w:left="239" w:right="400" w:hanging="239"/>
        <w:spacing w:after="0" w:line="218" w:lineRule="auto"/>
        <w:tabs>
          <w:tab w:leader="none" w:pos="251" w:val="left"/>
        </w:tabs>
        <w:numPr>
          <w:ilvl w:val="0"/>
          <w:numId w:val="40"/>
        </w:numPr>
        <w:rPr>
          <w:rFonts w:ascii="Arial" w:cs="Arial" w:eastAsia="Arial" w:hAnsi="Arial"/>
          <w:sz w:val="22"/>
          <w:szCs w:val="22"/>
          <w:color w:val="00249C"/>
        </w:rPr>
      </w:pPr>
      <w:r>
        <w:rPr>
          <w:rFonts w:ascii="Arial" w:cs="Arial" w:eastAsia="Arial" w:hAnsi="Arial"/>
          <w:sz w:val="16"/>
          <w:szCs w:val="16"/>
          <w:color w:val="auto"/>
        </w:rPr>
        <w:t>Double Trigger Provisions for Change in Control</w:t>
      </w:r>
    </w:p>
    <w:p>
      <w:pPr>
        <w:spacing w:after="0" w:line="30" w:lineRule="exact"/>
        <w:rPr>
          <w:rFonts w:ascii="Arial" w:cs="Arial" w:eastAsia="Arial" w:hAnsi="Arial"/>
          <w:sz w:val="22"/>
          <w:szCs w:val="22"/>
          <w:color w:val="00249C"/>
        </w:rPr>
      </w:pPr>
    </w:p>
    <w:p>
      <w:pPr>
        <w:ind w:left="259" w:hanging="259"/>
        <w:spacing w:after="0"/>
        <w:tabs>
          <w:tab w:leader="none" w:pos="259" w:val="left"/>
        </w:tabs>
        <w:numPr>
          <w:ilvl w:val="0"/>
          <w:numId w:val="40"/>
        </w:numPr>
        <w:rPr>
          <w:rFonts w:ascii="Arial" w:cs="Arial" w:eastAsia="Arial" w:hAnsi="Arial"/>
          <w:sz w:val="22"/>
          <w:szCs w:val="22"/>
          <w:color w:val="00249C"/>
        </w:rPr>
      </w:pPr>
      <w:r>
        <w:rPr>
          <w:rFonts w:ascii="Arial" w:cs="Arial" w:eastAsia="Arial" w:hAnsi="Arial"/>
          <w:sz w:val="16"/>
          <w:szCs w:val="16"/>
          <w:color w:val="auto"/>
        </w:rPr>
        <w:t>No Individual Change in Control Agreements</w:t>
      </w:r>
    </w:p>
    <w:p>
      <w:pPr>
        <w:spacing w:after="0" w:line="102" w:lineRule="exact"/>
        <w:rPr>
          <w:rFonts w:ascii="Arial" w:cs="Arial" w:eastAsia="Arial" w:hAnsi="Arial"/>
          <w:sz w:val="22"/>
          <w:szCs w:val="22"/>
          <w:color w:val="00249C"/>
        </w:rPr>
      </w:pPr>
    </w:p>
    <w:p>
      <w:pPr>
        <w:ind w:left="239" w:hanging="239"/>
        <w:spacing w:after="0" w:line="226" w:lineRule="auto"/>
        <w:tabs>
          <w:tab w:leader="none" w:pos="251" w:val="left"/>
        </w:tabs>
        <w:numPr>
          <w:ilvl w:val="0"/>
          <w:numId w:val="40"/>
        </w:numPr>
        <w:rPr>
          <w:rFonts w:ascii="Arial" w:cs="Arial" w:eastAsia="Arial" w:hAnsi="Arial"/>
          <w:sz w:val="22"/>
          <w:szCs w:val="22"/>
          <w:color w:val="00249C"/>
        </w:rPr>
      </w:pPr>
      <w:r>
        <w:rPr>
          <w:rFonts w:ascii="Arial" w:cs="Arial" w:eastAsia="Arial" w:hAnsi="Arial"/>
          <w:sz w:val="16"/>
          <w:szCs w:val="16"/>
          <w:color w:val="auto"/>
        </w:rPr>
        <w:t>No Excise Tax Gross-ups for Payments Received Upon Termination After a Change in Control</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252" w:hanging="252"/>
        <w:spacing w:after="0"/>
        <w:tabs>
          <w:tab w:leader="none" w:pos="252" w:val="left"/>
        </w:tabs>
        <w:numPr>
          <w:ilvl w:val="0"/>
          <w:numId w:val="41"/>
        </w:numPr>
        <w:rPr>
          <w:rFonts w:ascii="Arial" w:cs="Arial" w:eastAsia="Arial" w:hAnsi="Arial"/>
          <w:sz w:val="22"/>
          <w:szCs w:val="22"/>
          <w:color w:val="00249C"/>
        </w:rPr>
      </w:pPr>
      <w:r>
        <w:rPr>
          <w:rFonts w:ascii="Arial" w:cs="Arial" w:eastAsia="Arial" w:hAnsi="Arial"/>
          <w:sz w:val="16"/>
          <w:szCs w:val="16"/>
          <w:color w:val="auto"/>
        </w:rPr>
        <w:t>No Hedging or Pledging of Company Stock</w:t>
      </w:r>
    </w:p>
    <w:p>
      <w:pPr>
        <w:spacing w:after="0" w:line="44" w:lineRule="exact"/>
        <w:rPr>
          <w:rFonts w:ascii="Arial" w:cs="Arial" w:eastAsia="Arial" w:hAnsi="Arial"/>
          <w:sz w:val="22"/>
          <w:szCs w:val="22"/>
          <w:color w:val="00249C"/>
        </w:rPr>
      </w:pPr>
    </w:p>
    <w:p>
      <w:pPr>
        <w:ind w:left="252" w:hanging="252"/>
        <w:spacing w:after="0"/>
        <w:tabs>
          <w:tab w:leader="none" w:pos="252" w:val="left"/>
        </w:tabs>
        <w:numPr>
          <w:ilvl w:val="0"/>
          <w:numId w:val="41"/>
        </w:numPr>
        <w:rPr>
          <w:rFonts w:ascii="Arial" w:cs="Arial" w:eastAsia="Arial" w:hAnsi="Arial"/>
          <w:sz w:val="22"/>
          <w:szCs w:val="22"/>
          <w:color w:val="00249C"/>
        </w:rPr>
      </w:pPr>
      <w:r>
        <w:rPr>
          <w:rFonts w:ascii="Arial" w:cs="Arial" w:eastAsia="Arial" w:hAnsi="Arial"/>
          <w:sz w:val="16"/>
          <w:szCs w:val="16"/>
          <w:color w:val="auto"/>
        </w:rPr>
        <w:t>Dividends Paid Upon Vesting</w:t>
      </w:r>
    </w:p>
    <w:p>
      <w:pPr>
        <w:spacing w:after="0" w:line="102" w:lineRule="exact"/>
        <w:rPr>
          <w:rFonts w:ascii="Arial" w:cs="Arial" w:eastAsia="Arial" w:hAnsi="Arial"/>
          <w:sz w:val="22"/>
          <w:szCs w:val="22"/>
          <w:color w:val="00249C"/>
        </w:rPr>
      </w:pPr>
    </w:p>
    <w:p>
      <w:pPr>
        <w:ind w:left="252" w:right="560" w:hanging="252"/>
        <w:spacing w:after="0" w:line="218" w:lineRule="auto"/>
        <w:tabs>
          <w:tab w:leader="none" w:pos="264" w:val="left"/>
        </w:tabs>
        <w:numPr>
          <w:ilvl w:val="0"/>
          <w:numId w:val="41"/>
        </w:numPr>
        <w:rPr>
          <w:rFonts w:ascii="Arial" w:cs="Arial" w:eastAsia="Arial" w:hAnsi="Arial"/>
          <w:sz w:val="22"/>
          <w:szCs w:val="22"/>
          <w:color w:val="00249C"/>
        </w:rPr>
      </w:pPr>
      <w:r>
        <w:rPr>
          <w:rFonts w:ascii="Arial" w:cs="Arial" w:eastAsia="Arial" w:hAnsi="Arial"/>
          <w:sz w:val="16"/>
          <w:szCs w:val="16"/>
          <w:color w:val="auto"/>
        </w:rPr>
        <w:t>Recoupment Policy on Cash and Equity Incentive Compensation Payments</w:t>
      </w:r>
    </w:p>
    <w:p>
      <w:pPr>
        <w:spacing w:after="0" w:line="89" w:lineRule="exact"/>
        <w:rPr>
          <w:rFonts w:ascii="Arial" w:cs="Arial" w:eastAsia="Arial" w:hAnsi="Arial"/>
          <w:sz w:val="22"/>
          <w:szCs w:val="22"/>
          <w:color w:val="00249C"/>
        </w:rPr>
      </w:pPr>
    </w:p>
    <w:p>
      <w:pPr>
        <w:ind w:left="252" w:right="620" w:hanging="252"/>
        <w:spacing w:after="0" w:line="218" w:lineRule="auto"/>
        <w:tabs>
          <w:tab w:leader="none" w:pos="264" w:val="left"/>
        </w:tabs>
        <w:numPr>
          <w:ilvl w:val="0"/>
          <w:numId w:val="41"/>
        </w:numPr>
        <w:rPr>
          <w:rFonts w:ascii="Arial" w:cs="Arial" w:eastAsia="Arial" w:hAnsi="Arial"/>
          <w:sz w:val="22"/>
          <w:szCs w:val="22"/>
          <w:color w:val="00249C"/>
        </w:rPr>
      </w:pPr>
      <w:r>
        <w:rPr>
          <w:rFonts w:ascii="Arial" w:cs="Arial" w:eastAsia="Arial" w:hAnsi="Arial"/>
          <w:sz w:val="16"/>
          <w:szCs w:val="16"/>
          <w:color w:val="auto"/>
        </w:rPr>
        <w:t>Stock Ownership Guidelines and Stock Holding Requirements</w:t>
      </w:r>
    </w:p>
    <w:p>
      <w:pPr>
        <w:spacing w:after="0" w:line="30" w:lineRule="exact"/>
        <w:rPr>
          <w:rFonts w:ascii="Arial" w:cs="Arial" w:eastAsia="Arial" w:hAnsi="Arial"/>
          <w:sz w:val="22"/>
          <w:szCs w:val="22"/>
          <w:color w:val="00249C"/>
        </w:rPr>
      </w:pPr>
    </w:p>
    <w:p>
      <w:pPr>
        <w:ind w:left="252" w:hanging="252"/>
        <w:spacing w:after="0"/>
        <w:tabs>
          <w:tab w:leader="none" w:pos="252" w:val="left"/>
        </w:tabs>
        <w:numPr>
          <w:ilvl w:val="0"/>
          <w:numId w:val="41"/>
        </w:numPr>
        <w:rPr>
          <w:rFonts w:ascii="Arial" w:cs="Arial" w:eastAsia="Arial" w:hAnsi="Arial"/>
          <w:sz w:val="22"/>
          <w:szCs w:val="22"/>
          <w:color w:val="00249C"/>
        </w:rPr>
      </w:pPr>
      <w:r>
        <w:rPr>
          <w:rFonts w:ascii="Arial" w:cs="Arial" w:eastAsia="Arial" w:hAnsi="Arial"/>
          <w:sz w:val="16"/>
          <w:szCs w:val="16"/>
          <w:color w:val="auto"/>
        </w:rPr>
        <w:t>Regular Risk Assessments Performed</w:t>
      </w:r>
    </w:p>
    <w:p>
      <w:pPr>
        <w:spacing w:after="0" w:line="102" w:lineRule="exact"/>
        <w:rPr>
          <w:rFonts w:ascii="Arial" w:cs="Arial" w:eastAsia="Arial" w:hAnsi="Arial"/>
          <w:sz w:val="22"/>
          <w:szCs w:val="22"/>
          <w:color w:val="00249C"/>
        </w:rPr>
      </w:pPr>
    </w:p>
    <w:p>
      <w:pPr>
        <w:ind w:left="252" w:right="300" w:hanging="252"/>
        <w:spacing w:after="0" w:line="218" w:lineRule="auto"/>
        <w:tabs>
          <w:tab w:leader="none" w:pos="264" w:val="left"/>
        </w:tabs>
        <w:numPr>
          <w:ilvl w:val="0"/>
          <w:numId w:val="41"/>
        </w:numPr>
        <w:rPr>
          <w:rFonts w:ascii="Arial" w:cs="Arial" w:eastAsia="Arial" w:hAnsi="Arial"/>
          <w:sz w:val="22"/>
          <w:szCs w:val="22"/>
          <w:color w:val="00249C"/>
        </w:rPr>
      </w:pPr>
      <w:r>
        <w:rPr>
          <w:rFonts w:ascii="Arial" w:cs="Arial" w:eastAsia="Arial" w:hAnsi="Arial"/>
          <w:sz w:val="16"/>
          <w:szCs w:val="16"/>
          <w:color w:val="auto"/>
        </w:rPr>
        <w:t>No Employment Contracts for CEO or other NEOs</w:t>
      </w:r>
    </w:p>
    <w:p>
      <w:pPr>
        <w:spacing w:after="0" w:line="200" w:lineRule="exact"/>
        <w:rPr>
          <w:sz w:val="20"/>
          <w:szCs w:val="20"/>
          <w:color w:val="auto"/>
        </w:rPr>
      </w:pPr>
    </w:p>
    <w:p>
      <w:pPr>
        <w:sectPr>
          <w:pgSz w:w="11900" w:h="16838" w:orient="portrait"/>
          <w:cols w:equalWidth="0" w:num="3">
            <w:col w:w="3500" w:space="261"/>
            <w:col w:w="3539" w:space="268"/>
            <w:col w:w="3672"/>
          </w:cols>
          <w:pgMar w:left="320" w:top="755" w:right="339" w:bottom="1440" w:gutter="0" w:footer="0" w:header="0"/>
          <w:type w:val="continuous"/>
        </w:sectPr>
      </w:pP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37</w:t>
      </w:r>
    </w:p>
    <w:p>
      <w:pPr>
        <w:sectPr>
          <w:pgSz w:w="11900" w:h="16838" w:orient="portrait"/>
          <w:cols w:equalWidth="0" w:num="1">
            <w:col w:w="11240"/>
          </w:cols>
          <w:pgMar w:left="320" w:top="755" w:right="339" w:bottom="1440" w:gutter="0" w:footer="0" w:header="0"/>
          <w:type w:val="continuous"/>
        </w:sectPr>
      </w:pPr>
    </w:p>
    <w:bookmarkStart w:id="44" w:name="page45"/>
    <w:bookmarkEnd w:id="44"/>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5918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E</w:t>
      </w:r>
      <w:r>
        <w:rPr>
          <w:rFonts w:ascii="Arial" w:cs="Arial" w:eastAsia="Arial" w:hAnsi="Arial"/>
          <w:sz w:val="17"/>
          <w:szCs w:val="17"/>
          <w:b w:val="1"/>
          <w:bCs w:val="1"/>
          <w:color w:val="FFFFFF"/>
        </w:rPr>
        <w:t>XECUTIVE</w:t>
      </w:r>
      <w:r>
        <w:rPr>
          <w:rFonts w:ascii="Arial" w:cs="Arial" w:eastAsia="Arial" w:hAnsi="Arial"/>
          <w:sz w:val="22"/>
          <w:szCs w:val="22"/>
          <w:b w:val="1"/>
          <w:bCs w:val="1"/>
          <w:color w:val="FFFFFF"/>
        </w:rPr>
        <w:t xml:space="preserve"> S</w:t>
      </w:r>
      <w:r>
        <w:rPr>
          <w:rFonts w:ascii="Arial" w:cs="Arial" w:eastAsia="Arial" w:hAnsi="Arial"/>
          <w:sz w:val="17"/>
          <w:szCs w:val="17"/>
          <w:b w:val="1"/>
          <w:bCs w:val="1"/>
          <w:color w:val="FFFFFF"/>
        </w:rPr>
        <w:t>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continued to generate strong financial results in 2019, including higher sales, operating income, segment operating income*, cash provided by operating activities and free cash flow*. 2019 diluted earnings per share were $13.22 and 2019 mark-to-market (MTM)-adjusted diluted earnings per share* were $21.21. Our strong cash generation allowed us to invest $1.3 billion in our business and return approximately $1.6 billion to our shareholders through share repurchases and dividends.</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42545</wp:posOffset>
            </wp:positionV>
            <wp:extent cx="5366385" cy="27514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6638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 This metric is a non-GAAP financial measure. For more information, see "Appendix A - Use of Non-GAAP Financial Measures."</w:t>
      </w:r>
    </w:p>
    <w:p>
      <w:pPr>
        <w:spacing w:after="0" w:line="222" w:lineRule="exact"/>
        <w:rPr>
          <w:sz w:val="20"/>
          <w:szCs w:val="20"/>
          <w:color w:val="auto"/>
        </w:rPr>
      </w:pPr>
    </w:p>
    <w:p>
      <w:pPr>
        <w:ind w:left="4040"/>
        <w:spacing w:after="0"/>
        <w:rPr>
          <w:sz w:val="20"/>
          <w:szCs w:val="20"/>
          <w:color w:val="auto"/>
        </w:rPr>
      </w:pPr>
      <w:r>
        <w:rPr>
          <w:rFonts w:ascii="Arial" w:cs="Arial" w:eastAsia="Arial" w:hAnsi="Arial"/>
          <w:sz w:val="25"/>
          <w:szCs w:val="25"/>
          <w:b w:val="1"/>
          <w:bCs w:val="1"/>
          <w:color w:val="auto"/>
        </w:rPr>
        <w:t>3-Year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42545</wp:posOffset>
            </wp:positionV>
            <wp:extent cx="5366385" cy="27514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366385" cy="2751455"/>
                    </a:xfrm>
                    <a:prstGeom prst="rect">
                      <a:avLst/>
                    </a:prstGeom>
                    <a:noFill/>
                  </pic:spPr>
                </pic:pic>
              </a:graphicData>
            </a:graphic>
          </wp:anchor>
        </w:drawing>
      </w:r>
    </w:p>
    <w:p>
      <w:pPr>
        <w:sectPr>
          <w:pgSz w:w="11900" w:h="16838" w:orient="portrait"/>
          <w:cols w:equalWidth="0" w:num="1">
            <w:col w:w="11120"/>
          </w:cols>
          <w:pgMar w:left="320" w:top="7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120"/>
          </w:cols>
          <w:pgMar w:left="320" w:top="755" w:right="459" w:bottom="1440" w:gutter="0" w:footer="0" w:header="0"/>
          <w:type w:val="continuous"/>
        </w:sectPr>
      </w:pPr>
    </w:p>
    <w:bookmarkStart w:id="45" w:name="page46"/>
    <w:bookmarkEnd w:id="45"/>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5918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E</w:t>
      </w:r>
      <w:r>
        <w:rPr>
          <w:rFonts w:ascii="Arial" w:cs="Arial" w:eastAsia="Arial" w:hAnsi="Arial"/>
          <w:sz w:val="17"/>
          <w:szCs w:val="17"/>
          <w:b w:val="1"/>
          <w:bCs w:val="1"/>
          <w:color w:val="FFFFFF"/>
        </w:rPr>
        <w:t>XECUTIVE</w:t>
      </w:r>
      <w:r>
        <w:rPr>
          <w:rFonts w:ascii="Arial" w:cs="Arial" w:eastAsia="Arial" w:hAnsi="Arial"/>
          <w:sz w:val="22"/>
          <w:szCs w:val="22"/>
          <w:b w:val="1"/>
          <w:bCs w:val="1"/>
          <w:color w:val="FFFFFF"/>
        </w:rPr>
        <w:t xml:space="preserve"> S</w:t>
      </w:r>
      <w:r>
        <w:rPr>
          <w:rFonts w:ascii="Arial" w:cs="Arial" w:eastAsia="Arial" w:hAnsi="Arial"/>
          <w:sz w:val="17"/>
          <w:szCs w:val="17"/>
          <w:b w:val="1"/>
          <w:bCs w:val="1"/>
          <w:color w:val="FFFFFF"/>
        </w:rPr>
        <w:t>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Management and the Compensation Committee believe our executive compensation programs are competitive and support achieving strong financial performance while investing for profitable growth and value creation over the long-term. A 96% shareholder majority approved last year's say-on-pay proposal, and our ongoing shareholder engagement indicates continued support for the structure and elements of our executive incentive compensation programs.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Compensation Mix and Incentive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a balanced pay for performance compensation structure that places an appropriate level of compensation at risk, based on our financial and non-financial performance measures and relative TSR. The following charts show performance-based compensation elements at target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6172200" cy="31286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7220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For AIP, following are the results for 2019 performance, which have been adjusted, as applicable, to exclude Orbital ATK transaction-related expenses and certain impacts related to the MTM method of accounting for the Company's pension and other postretirement benefit (OPB) plans as detailed in "Appendix A - Use of Non-GAAP Financial Measures":</w:t>
      </w:r>
    </w:p>
    <w:p>
      <w:pPr>
        <w:spacing w:after="0" w:line="53"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00249C"/>
        </w:rPr>
      </w:pPr>
      <w:r>
        <w:rPr>
          <w:rFonts w:ascii="Arial" w:cs="Arial" w:eastAsia="Arial" w:hAnsi="Arial"/>
          <w:sz w:val="18"/>
          <w:szCs w:val="18"/>
          <w:color w:val="auto"/>
        </w:rPr>
        <w:t>Pension-adjusted Cash Flow from Operations*: $4.5B</w:t>
      </w:r>
    </w:p>
    <w:p>
      <w:pPr>
        <w:spacing w:after="0" w:line="90" w:lineRule="exact"/>
        <w:rPr>
          <w:rFonts w:ascii="Arial" w:cs="Arial" w:eastAsia="Arial" w:hAnsi="Arial"/>
          <w:sz w:val="18"/>
          <w:szCs w:val="18"/>
          <w:color w:val="00249C"/>
        </w:rPr>
      </w:pPr>
    </w:p>
    <w:p>
      <w:pPr>
        <w:ind w:left="340" w:hanging="332"/>
        <w:spacing w:after="0"/>
        <w:tabs>
          <w:tab w:leader="none" w:pos="340" w:val="left"/>
        </w:tabs>
        <w:numPr>
          <w:ilvl w:val="0"/>
          <w:numId w:val="42"/>
        </w:numPr>
        <w:rPr>
          <w:rFonts w:ascii="Arial" w:cs="Arial" w:eastAsia="Arial" w:hAnsi="Arial"/>
          <w:sz w:val="18"/>
          <w:szCs w:val="18"/>
          <w:color w:val="00249C"/>
        </w:rPr>
      </w:pPr>
      <w:r>
        <w:rPr>
          <w:rFonts w:ascii="Arial" w:cs="Arial" w:eastAsia="Arial" w:hAnsi="Arial"/>
          <w:sz w:val="18"/>
          <w:szCs w:val="18"/>
          <w:color w:val="auto"/>
        </w:rPr>
        <w:t>Segment Operating Income* Growth: $3.9B</w:t>
      </w:r>
    </w:p>
    <w:p>
      <w:pPr>
        <w:spacing w:after="0" w:line="90" w:lineRule="exact"/>
        <w:rPr>
          <w:rFonts w:ascii="Arial" w:cs="Arial" w:eastAsia="Arial" w:hAnsi="Arial"/>
          <w:sz w:val="18"/>
          <w:szCs w:val="18"/>
          <w:color w:val="00249C"/>
        </w:rPr>
      </w:pPr>
    </w:p>
    <w:p>
      <w:pPr>
        <w:ind w:left="340" w:hanging="332"/>
        <w:spacing w:after="0"/>
        <w:tabs>
          <w:tab w:leader="none" w:pos="340" w:val="left"/>
        </w:tabs>
        <w:numPr>
          <w:ilvl w:val="0"/>
          <w:numId w:val="42"/>
        </w:numPr>
        <w:rPr>
          <w:rFonts w:ascii="Arial" w:cs="Arial" w:eastAsia="Arial" w:hAnsi="Arial"/>
          <w:sz w:val="18"/>
          <w:szCs w:val="18"/>
          <w:color w:val="00249C"/>
        </w:rPr>
      </w:pPr>
      <w:r>
        <w:rPr>
          <w:rFonts w:ascii="Arial" w:cs="Arial" w:eastAsia="Arial" w:hAnsi="Arial"/>
          <w:sz w:val="18"/>
          <w:szCs w:val="18"/>
          <w:color w:val="auto"/>
        </w:rPr>
        <w:t>Pension-adjusted Net Income* Growth: $2.9B</w:t>
      </w:r>
    </w:p>
    <w:p>
      <w:pPr>
        <w:spacing w:after="0" w:line="90" w:lineRule="exact"/>
        <w:rPr>
          <w:rFonts w:ascii="Arial" w:cs="Arial" w:eastAsia="Arial" w:hAnsi="Arial"/>
          <w:sz w:val="18"/>
          <w:szCs w:val="18"/>
          <w:color w:val="00249C"/>
        </w:rPr>
      </w:pPr>
    </w:p>
    <w:p>
      <w:pPr>
        <w:ind w:left="340" w:hanging="332"/>
        <w:spacing w:after="0"/>
        <w:tabs>
          <w:tab w:leader="none" w:pos="340" w:val="left"/>
        </w:tabs>
        <w:numPr>
          <w:ilvl w:val="0"/>
          <w:numId w:val="42"/>
        </w:numPr>
        <w:rPr>
          <w:rFonts w:ascii="Arial" w:cs="Arial" w:eastAsia="Arial" w:hAnsi="Arial"/>
          <w:sz w:val="18"/>
          <w:szCs w:val="18"/>
          <w:color w:val="00249C"/>
        </w:rPr>
      </w:pPr>
      <w:r>
        <w:rPr>
          <w:rFonts w:ascii="Arial" w:cs="Arial" w:eastAsia="Arial" w:hAnsi="Arial"/>
          <w:sz w:val="18"/>
          <w:szCs w:val="18"/>
          <w:color w:val="auto"/>
        </w:rPr>
        <w:t>Pension-adjusted OM Rate*: 11.2%</w:t>
      </w:r>
    </w:p>
    <w:p>
      <w:pPr>
        <w:spacing w:after="0" w:line="103"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For the LTIP, our score covering the three-year 2017-2019 performance period was weighted 50% to relative TSR and 50% to Cumulative FCF*, maintaining strong alignment to shareholder interest and increased emphasis on operational performance. The combined weighted score for the metrics generated an overall performance score of 119%.</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39</w:t>
      </w:r>
    </w:p>
    <w:p>
      <w:pPr>
        <w:sectPr>
          <w:pgSz w:w="11900" w:h="16838" w:orient="portrait"/>
          <w:cols w:equalWidth="0" w:num="1">
            <w:col w:w="11240"/>
          </w:cols>
          <w:pgMar w:left="320" w:top="755" w:right="339" w:bottom="1440" w:gutter="0" w:footer="0" w:header="0"/>
        </w:sectPr>
      </w:pPr>
    </w:p>
    <w:bookmarkStart w:id="46" w:name="page47"/>
    <w:bookmarkEnd w:id="46"/>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8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provide an attractive, flexible and market-based total compensation program tied to performance and aligned with the interests of our shareholders. Our objective is to recruit and retain the caliber of executives and other key employees capable of achieving top performance and generating value for our shareholders, customers and employees.</w:t>
      </w:r>
    </w:p>
    <w:p>
      <w:pPr>
        <w:spacing w:after="0" w:line="94" w:lineRule="exact"/>
        <w:rPr>
          <w:sz w:val="20"/>
          <w:szCs w:val="20"/>
          <w:color w:val="auto"/>
        </w:rPr>
      </w:pPr>
    </w:p>
    <w:p>
      <w:pPr>
        <w:spacing w:after="0" w:line="315" w:lineRule="auto"/>
        <w:rPr>
          <w:sz w:val="20"/>
          <w:szCs w:val="20"/>
          <w:color w:val="auto"/>
        </w:rPr>
      </w:pPr>
      <w:r>
        <w:rPr>
          <w:rFonts w:ascii="Arial" w:cs="Arial" w:eastAsia="Arial" w:hAnsi="Arial"/>
          <w:sz w:val="18"/>
          <w:szCs w:val="18"/>
          <w:color w:val="auto"/>
        </w:rPr>
        <w:t>Our goal is to lead our industry in sustainable performance, while maintaining strong, enduring values. The targets, thresholds and payout levels of our AIP are benchmarked against peers and the market. Our 2019 LTIP metrics are based on (1) TSR relative to our Performance Peer Group and the S&amp;P Industrials, (2) Cumulative FCF* and (3) Operating RONA*. For each plan, we selected metrics that drive shareholder value and benchmark our performance against our peers and the market. Our executive compensation and benefit programs are guided by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0575" cy="6083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0575" cy="60833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Pay for Performance</w:t>
      </w:r>
    </w:p>
    <w:p>
      <w:pPr>
        <w:spacing w:after="0" w:line="81" w:lineRule="exact"/>
        <w:rPr>
          <w:sz w:val="20"/>
          <w:szCs w:val="20"/>
          <w:color w:val="auto"/>
        </w:rPr>
      </w:pPr>
    </w:p>
    <w:p>
      <w:pPr>
        <w:ind w:left="400" w:hanging="352"/>
        <w:spacing w:after="0"/>
        <w:tabs>
          <w:tab w:leader="none" w:pos="400" w:val="left"/>
        </w:tabs>
        <w:numPr>
          <w:ilvl w:val="0"/>
          <w:numId w:val="43"/>
        </w:numPr>
        <w:rPr>
          <w:rFonts w:ascii="Arial" w:cs="Arial" w:eastAsia="Arial" w:hAnsi="Arial"/>
          <w:sz w:val="22"/>
          <w:szCs w:val="22"/>
          <w:color w:val="00249C"/>
        </w:rPr>
      </w:pPr>
      <w:r>
        <w:rPr>
          <w:rFonts w:ascii="Arial" w:cs="Arial" w:eastAsia="Arial" w:hAnsi="Arial"/>
          <w:sz w:val="16"/>
          <w:szCs w:val="16"/>
          <w:color w:val="auto"/>
        </w:rPr>
        <w:t>Our incentive plans are based on peer and market benchmarked performance metrics.</w:t>
      </w:r>
    </w:p>
    <w:p>
      <w:pPr>
        <w:spacing w:after="0" w:line="44" w:lineRule="exact"/>
        <w:rPr>
          <w:rFonts w:ascii="Arial" w:cs="Arial" w:eastAsia="Arial" w:hAnsi="Arial"/>
          <w:sz w:val="22"/>
          <w:szCs w:val="22"/>
          <w:color w:val="00249C"/>
        </w:rPr>
      </w:pPr>
    </w:p>
    <w:p>
      <w:pPr>
        <w:ind w:left="400" w:hanging="352"/>
        <w:spacing w:after="0"/>
        <w:tabs>
          <w:tab w:leader="none" w:pos="400" w:val="left"/>
        </w:tabs>
        <w:numPr>
          <w:ilvl w:val="0"/>
          <w:numId w:val="43"/>
        </w:numPr>
        <w:rPr>
          <w:rFonts w:ascii="Arial" w:cs="Arial" w:eastAsia="Arial" w:hAnsi="Arial"/>
          <w:sz w:val="22"/>
          <w:szCs w:val="22"/>
          <w:color w:val="00249C"/>
        </w:rPr>
      </w:pPr>
      <w:r>
        <w:rPr>
          <w:rFonts w:ascii="Arial" w:cs="Arial" w:eastAsia="Arial" w:hAnsi="Arial"/>
          <w:sz w:val="16"/>
          <w:szCs w:val="16"/>
          <w:color w:val="auto"/>
        </w:rPr>
        <w:t>Above-target incentive payouts are only awarded when we outperform our peer and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40575" cy="6089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0575" cy="60896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Leadership Recruitment, Retention and Succession</w:t>
      </w:r>
    </w:p>
    <w:p>
      <w:pPr>
        <w:spacing w:after="0" w:line="81" w:lineRule="exact"/>
        <w:rPr>
          <w:sz w:val="20"/>
          <w:szCs w:val="20"/>
          <w:color w:val="auto"/>
        </w:rPr>
      </w:pPr>
    </w:p>
    <w:p>
      <w:pPr>
        <w:ind w:left="400" w:hanging="352"/>
        <w:spacing w:after="0"/>
        <w:tabs>
          <w:tab w:leader="none" w:pos="400" w:val="left"/>
        </w:tabs>
        <w:numPr>
          <w:ilvl w:val="0"/>
          <w:numId w:val="44"/>
        </w:numPr>
        <w:rPr>
          <w:rFonts w:ascii="Arial" w:cs="Arial" w:eastAsia="Arial" w:hAnsi="Arial"/>
          <w:sz w:val="22"/>
          <w:szCs w:val="22"/>
          <w:color w:val="00249C"/>
        </w:rPr>
      </w:pPr>
      <w:r>
        <w:rPr>
          <w:rFonts w:ascii="Arial" w:cs="Arial" w:eastAsia="Arial" w:hAnsi="Arial"/>
          <w:sz w:val="16"/>
          <w:szCs w:val="16"/>
          <w:color w:val="auto"/>
        </w:rPr>
        <w:t>Compensation is designed to be competitive within our industry and retain top talent.</w:t>
      </w:r>
    </w:p>
    <w:p>
      <w:pPr>
        <w:spacing w:after="0" w:line="44" w:lineRule="exact"/>
        <w:rPr>
          <w:rFonts w:ascii="Arial" w:cs="Arial" w:eastAsia="Arial" w:hAnsi="Arial"/>
          <w:sz w:val="22"/>
          <w:szCs w:val="22"/>
          <w:color w:val="00249C"/>
        </w:rPr>
      </w:pPr>
    </w:p>
    <w:p>
      <w:pPr>
        <w:ind w:left="400" w:hanging="352"/>
        <w:spacing w:after="0"/>
        <w:tabs>
          <w:tab w:leader="none" w:pos="400" w:val="left"/>
        </w:tabs>
        <w:numPr>
          <w:ilvl w:val="0"/>
          <w:numId w:val="44"/>
        </w:numPr>
        <w:rPr>
          <w:rFonts w:ascii="Arial" w:cs="Arial" w:eastAsia="Arial" w:hAnsi="Arial"/>
          <w:sz w:val="22"/>
          <w:szCs w:val="22"/>
          <w:color w:val="00249C"/>
        </w:rPr>
      </w:pPr>
      <w:r>
        <w:rPr>
          <w:rFonts w:ascii="Arial" w:cs="Arial" w:eastAsia="Arial" w:hAnsi="Arial"/>
          <w:sz w:val="16"/>
          <w:szCs w:val="16"/>
          <w:color w:val="auto"/>
        </w:rPr>
        <w:t>Programs are designed to recruit, motivate and reward NEOs for delivering operational and strategic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40575" cy="5397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0575" cy="53975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Sustainable Performance</w:t>
      </w:r>
    </w:p>
    <w:p>
      <w:pPr>
        <w:spacing w:after="0" w:line="139" w:lineRule="exact"/>
        <w:rPr>
          <w:sz w:val="20"/>
          <w:szCs w:val="20"/>
          <w:color w:val="auto"/>
        </w:rPr>
      </w:pPr>
    </w:p>
    <w:p>
      <w:pPr>
        <w:ind w:left="380" w:right="400" w:hanging="332"/>
        <w:spacing w:after="0" w:line="218" w:lineRule="auto"/>
        <w:tabs>
          <w:tab w:leader="none" w:pos="402" w:val="left"/>
        </w:tabs>
        <w:numPr>
          <w:ilvl w:val="0"/>
          <w:numId w:val="45"/>
        </w:numPr>
        <w:rPr>
          <w:rFonts w:ascii="Arial" w:cs="Arial" w:eastAsia="Arial" w:hAnsi="Arial"/>
          <w:sz w:val="22"/>
          <w:szCs w:val="22"/>
          <w:color w:val="00249C"/>
        </w:rPr>
      </w:pPr>
      <w:r>
        <w:rPr>
          <w:rFonts w:ascii="Arial" w:cs="Arial" w:eastAsia="Arial" w:hAnsi="Arial"/>
          <w:sz w:val="16"/>
          <w:szCs w:val="16"/>
          <w:color w:val="auto"/>
        </w:rPr>
        <w:t>Our AIP includes both financial and non-financial metrics to ensure we are building a strong foundation for long-term sustainable performance and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40575" cy="9861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0575" cy="986155"/>
                    </a:xfrm>
                    <a:prstGeom prst="rect">
                      <a:avLst/>
                    </a:prstGeom>
                    <a:noFill/>
                  </pic:spPr>
                </pic:pic>
              </a:graphicData>
            </a:graphic>
          </wp:anchor>
        </w:drawing>
      </w:r>
    </w:p>
    <w:p>
      <w:pPr>
        <w:spacing w:after="0" w:line="165"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Alignment with Shareholder Interests</w:t>
      </w:r>
    </w:p>
    <w:p>
      <w:pPr>
        <w:spacing w:after="0" w:line="81" w:lineRule="exact"/>
        <w:rPr>
          <w:sz w:val="20"/>
          <w:szCs w:val="20"/>
          <w:color w:val="auto"/>
        </w:rPr>
      </w:pPr>
    </w:p>
    <w:p>
      <w:pPr>
        <w:ind w:left="400" w:hanging="352"/>
        <w:spacing w:after="0"/>
        <w:tabs>
          <w:tab w:leader="none" w:pos="400" w:val="left"/>
        </w:tabs>
        <w:numPr>
          <w:ilvl w:val="0"/>
          <w:numId w:val="46"/>
        </w:numPr>
        <w:rPr>
          <w:rFonts w:ascii="Arial" w:cs="Arial" w:eastAsia="Arial" w:hAnsi="Arial"/>
          <w:sz w:val="22"/>
          <w:szCs w:val="22"/>
          <w:color w:val="00249C"/>
        </w:rPr>
      </w:pPr>
      <w:r>
        <w:rPr>
          <w:rFonts w:ascii="Arial" w:cs="Arial" w:eastAsia="Arial" w:hAnsi="Arial"/>
          <w:sz w:val="16"/>
          <w:szCs w:val="16"/>
          <w:color w:val="auto"/>
        </w:rPr>
        <w:t>Our compensation structure places an appropriate amount of compensation at risk based on annual and long-term results.</w:t>
      </w:r>
    </w:p>
    <w:p>
      <w:pPr>
        <w:spacing w:after="0" w:line="44" w:lineRule="exact"/>
        <w:rPr>
          <w:rFonts w:ascii="Arial" w:cs="Arial" w:eastAsia="Arial" w:hAnsi="Arial"/>
          <w:sz w:val="22"/>
          <w:szCs w:val="22"/>
          <w:color w:val="00249C"/>
        </w:rPr>
      </w:pPr>
    </w:p>
    <w:p>
      <w:pPr>
        <w:ind w:left="400" w:hanging="352"/>
        <w:spacing w:after="0"/>
        <w:tabs>
          <w:tab w:leader="none" w:pos="400" w:val="left"/>
        </w:tabs>
        <w:numPr>
          <w:ilvl w:val="0"/>
          <w:numId w:val="46"/>
        </w:numPr>
        <w:rPr>
          <w:rFonts w:ascii="Arial" w:cs="Arial" w:eastAsia="Arial" w:hAnsi="Arial"/>
          <w:sz w:val="22"/>
          <w:szCs w:val="22"/>
          <w:color w:val="00249C"/>
        </w:rPr>
      </w:pPr>
      <w:r>
        <w:rPr>
          <w:rFonts w:ascii="Arial" w:cs="Arial" w:eastAsia="Arial" w:hAnsi="Arial"/>
          <w:sz w:val="16"/>
          <w:szCs w:val="16"/>
          <w:color w:val="auto"/>
        </w:rPr>
        <w:t>At-risk compensation is based on financial and non-financial performance measures and relative TSR.</w:t>
      </w:r>
    </w:p>
    <w:p>
      <w:pPr>
        <w:spacing w:after="0" w:line="44" w:lineRule="exact"/>
        <w:rPr>
          <w:rFonts w:ascii="Arial" w:cs="Arial" w:eastAsia="Arial" w:hAnsi="Arial"/>
          <w:sz w:val="22"/>
          <w:szCs w:val="22"/>
          <w:color w:val="00249C"/>
        </w:rPr>
      </w:pPr>
    </w:p>
    <w:p>
      <w:pPr>
        <w:ind w:left="400" w:hanging="352"/>
        <w:spacing w:after="0"/>
        <w:tabs>
          <w:tab w:leader="none" w:pos="400" w:val="left"/>
        </w:tabs>
        <w:numPr>
          <w:ilvl w:val="0"/>
          <w:numId w:val="46"/>
        </w:numPr>
        <w:rPr>
          <w:rFonts w:ascii="Arial" w:cs="Arial" w:eastAsia="Arial" w:hAnsi="Arial"/>
          <w:sz w:val="22"/>
          <w:szCs w:val="22"/>
          <w:color w:val="00249C"/>
        </w:rPr>
      </w:pPr>
      <w:r>
        <w:rPr>
          <w:rFonts w:ascii="Arial" w:cs="Arial" w:eastAsia="Arial" w:hAnsi="Arial"/>
          <w:sz w:val="16"/>
          <w:szCs w:val="16"/>
          <w:color w:val="auto"/>
        </w:rPr>
        <w:t>A significant portion of compensation is delivered in equity, the vesting and value of which provides alignment with shareholder returns.</w:t>
      </w:r>
    </w:p>
    <w:p>
      <w:pPr>
        <w:spacing w:after="0" w:line="44" w:lineRule="exact"/>
        <w:rPr>
          <w:rFonts w:ascii="Arial" w:cs="Arial" w:eastAsia="Arial" w:hAnsi="Arial"/>
          <w:sz w:val="22"/>
          <w:szCs w:val="22"/>
          <w:color w:val="00249C"/>
        </w:rPr>
      </w:pPr>
    </w:p>
    <w:p>
      <w:pPr>
        <w:ind w:left="400" w:hanging="352"/>
        <w:spacing w:after="0"/>
        <w:tabs>
          <w:tab w:leader="none" w:pos="400" w:val="left"/>
        </w:tabs>
        <w:numPr>
          <w:ilvl w:val="0"/>
          <w:numId w:val="46"/>
        </w:numPr>
        <w:rPr>
          <w:rFonts w:ascii="Arial" w:cs="Arial" w:eastAsia="Arial" w:hAnsi="Arial"/>
          <w:sz w:val="22"/>
          <w:szCs w:val="22"/>
          <w:color w:val="00249C"/>
        </w:rPr>
      </w:pPr>
      <w:r>
        <w:rPr>
          <w:rFonts w:ascii="Arial" w:cs="Arial" w:eastAsia="Arial" w:hAnsi="Arial"/>
          <w:sz w:val="16"/>
          <w:szCs w:val="16"/>
          <w:color w:val="auto"/>
        </w:rPr>
        <w:t>Stock ownership guidelines, holding requirements for equity awards and our recoupment policy further align executive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0575" cy="1036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0575" cy="103695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Benchmarking</w:t>
      </w:r>
    </w:p>
    <w:p>
      <w:pPr>
        <w:spacing w:after="0" w:line="139" w:lineRule="exact"/>
        <w:rPr>
          <w:sz w:val="20"/>
          <w:szCs w:val="20"/>
          <w:color w:val="auto"/>
        </w:rPr>
      </w:pPr>
    </w:p>
    <w:p>
      <w:pPr>
        <w:ind w:left="380" w:right="260" w:hanging="332"/>
        <w:spacing w:after="0" w:line="218" w:lineRule="auto"/>
        <w:tabs>
          <w:tab w:leader="none" w:pos="402" w:val="left"/>
        </w:tabs>
        <w:numPr>
          <w:ilvl w:val="0"/>
          <w:numId w:val="47"/>
        </w:numPr>
        <w:rPr>
          <w:rFonts w:ascii="Arial" w:cs="Arial" w:eastAsia="Arial" w:hAnsi="Arial"/>
          <w:sz w:val="22"/>
          <w:szCs w:val="22"/>
          <w:color w:val="00249C"/>
        </w:rPr>
      </w:pPr>
      <w:r>
        <w:rPr>
          <w:rFonts w:ascii="Arial" w:cs="Arial" w:eastAsia="Arial" w:hAnsi="Arial"/>
          <w:sz w:val="16"/>
          <w:szCs w:val="16"/>
          <w:color w:val="auto"/>
        </w:rPr>
        <w:t>Compensation program provisions and financial objectives are evaluated on an annual basis and modified in accordance with industry and business conditions.</w:t>
      </w:r>
    </w:p>
    <w:p>
      <w:pPr>
        <w:spacing w:after="0" w:line="30" w:lineRule="exact"/>
        <w:rPr>
          <w:rFonts w:ascii="Arial" w:cs="Arial" w:eastAsia="Arial" w:hAnsi="Arial"/>
          <w:sz w:val="22"/>
          <w:szCs w:val="22"/>
          <w:color w:val="00249C"/>
        </w:rPr>
      </w:pPr>
    </w:p>
    <w:p>
      <w:pPr>
        <w:ind w:left="400" w:hanging="352"/>
        <w:spacing w:after="0"/>
        <w:tabs>
          <w:tab w:leader="none" w:pos="400" w:val="left"/>
        </w:tabs>
        <w:numPr>
          <w:ilvl w:val="0"/>
          <w:numId w:val="47"/>
        </w:numPr>
        <w:rPr>
          <w:rFonts w:ascii="Arial" w:cs="Arial" w:eastAsia="Arial" w:hAnsi="Arial"/>
          <w:sz w:val="22"/>
          <w:szCs w:val="22"/>
          <w:color w:val="00249C"/>
        </w:rPr>
      </w:pPr>
      <w:r>
        <w:rPr>
          <w:rFonts w:ascii="Arial" w:cs="Arial" w:eastAsia="Arial" w:hAnsi="Arial"/>
          <w:sz w:val="16"/>
          <w:szCs w:val="16"/>
          <w:color w:val="auto"/>
        </w:rPr>
        <w:t>We seek to outperform our peers (a group of top global defense companies identified as the Performance Peer Group on page 42).</w:t>
      </w:r>
    </w:p>
    <w:p>
      <w:pPr>
        <w:spacing w:after="0" w:line="102" w:lineRule="exact"/>
        <w:rPr>
          <w:rFonts w:ascii="Arial" w:cs="Arial" w:eastAsia="Arial" w:hAnsi="Arial"/>
          <w:sz w:val="22"/>
          <w:szCs w:val="22"/>
          <w:color w:val="00249C"/>
        </w:rPr>
      </w:pPr>
    </w:p>
    <w:p>
      <w:pPr>
        <w:ind w:left="380" w:right="40" w:hanging="332"/>
        <w:spacing w:after="0" w:line="218" w:lineRule="auto"/>
        <w:tabs>
          <w:tab w:leader="none" w:pos="402" w:val="left"/>
        </w:tabs>
        <w:numPr>
          <w:ilvl w:val="0"/>
          <w:numId w:val="47"/>
        </w:numPr>
        <w:rPr>
          <w:rFonts w:ascii="Arial" w:cs="Arial" w:eastAsia="Arial" w:hAnsi="Arial"/>
          <w:sz w:val="22"/>
          <w:szCs w:val="22"/>
          <w:color w:val="00249C"/>
        </w:rPr>
      </w:pPr>
      <w:r>
        <w:rPr>
          <w:rFonts w:ascii="Arial" w:cs="Arial" w:eastAsia="Arial" w:hAnsi="Arial"/>
          <w:sz w:val="16"/>
          <w:szCs w:val="16"/>
          <w:color w:val="auto"/>
        </w:rPr>
        <w:t>We use a Target Industry Peer Group (identified on page 43) for broader market executive compensation analyses that includes companies based on a peer-of-peers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40575" cy="1036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0575" cy="1036955"/>
                    </a:xfrm>
                    <a:prstGeom prst="rect">
                      <a:avLst/>
                    </a:prstGeom>
                    <a:noFill/>
                  </pic:spPr>
                </pic:pic>
              </a:graphicData>
            </a:graphic>
          </wp:anchor>
        </w:drawing>
      </w:r>
    </w:p>
    <w:p>
      <w:pPr>
        <w:spacing w:after="0" w:line="165"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Compensation Risk Management</w:t>
      </w:r>
    </w:p>
    <w:p>
      <w:pPr>
        <w:spacing w:after="0" w:line="139" w:lineRule="exact"/>
        <w:rPr>
          <w:sz w:val="20"/>
          <w:szCs w:val="20"/>
          <w:color w:val="auto"/>
        </w:rPr>
      </w:pPr>
    </w:p>
    <w:p>
      <w:pPr>
        <w:ind w:left="380" w:right="740" w:hanging="332"/>
        <w:spacing w:after="0" w:line="218" w:lineRule="auto"/>
        <w:tabs>
          <w:tab w:leader="none" w:pos="402" w:val="left"/>
        </w:tabs>
        <w:numPr>
          <w:ilvl w:val="0"/>
          <w:numId w:val="48"/>
        </w:numPr>
        <w:rPr>
          <w:rFonts w:ascii="Arial" w:cs="Arial" w:eastAsia="Arial" w:hAnsi="Arial"/>
          <w:sz w:val="22"/>
          <w:szCs w:val="22"/>
          <w:color w:val="00249C"/>
        </w:rPr>
      </w:pPr>
      <w:r>
        <w:rPr>
          <w:rFonts w:ascii="Arial" w:cs="Arial" w:eastAsia="Arial" w:hAnsi="Arial"/>
          <w:sz w:val="16"/>
          <w:szCs w:val="16"/>
          <w:color w:val="auto"/>
        </w:rPr>
        <w:t>The Compensation Committee, together with its independent compensation consultant, conducts an annual assessment of the compensation programs to determine if there are potential material risks to the Company.</w:t>
      </w:r>
    </w:p>
    <w:p>
      <w:pPr>
        <w:spacing w:after="0" w:line="89" w:lineRule="exact"/>
        <w:rPr>
          <w:rFonts w:ascii="Arial" w:cs="Arial" w:eastAsia="Arial" w:hAnsi="Arial"/>
          <w:sz w:val="22"/>
          <w:szCs w:val="22"/>
          <w:color w:val="00249C"/>
        </w:rPr>
      </w:pPr>
    </w:p>
    <w:p>
      <w:pPr>
        <w:ind w:left="380" w:right="360" w:hanging="332"/>
        <w:spacing w:after="0" w:line="218" w:lineRule="auto"/>
        <w:tabs>
          <w:tab w:leader="none" w:pos="402" w:val="left"/>
        </w:tabs>
        <w:numPr>
          <w:ilvl w:val="0"/>
          <w:numId w:val="48"/>
        </w:numPr>
        <w:rPr>
          <w:rFonts w:ascii="Arial" w:cs="Arial" w:eastAsia="Arial" w:hAnsi="Arial"/>
          <w:sz w:val="22"/>
          <w:szCs w:val="22"/>
          <w:color w:val="00249C"/>
        </w:rPr>
      </w:pPr>
      <w:r>
        <w:rPr>
          <w:rFonts w:ascii="Arial" w:cs="Arial" w:eastAsia="Arial" w:hAnsi="Arial"/>
          <w:sz w:val="16"/>
          <w:szCs w:val="16"/>
          <w:color w:val="auto"/>
        </w:rPr>
        <w:t>Both the Compensation Committee and its independent compensation consultant evaluate the mix of variable compensation linked to financial and non-financial performance, as well as shareholder returns.</w:t>
      </w:r>
    </w:p>
    <w:p>
      <w:pPr>
        <w:spacing w:after="0" w:line="30" w:lineRule="exact"/>
        <w:rPr>
          <w:rFonts w:ascii="Arial" w:cs="Arial" w:eastAsia="Arial" w:hAnsi="Arial"/>
          <w:sz w:val="22"/>
          <w:szCs w:val="22"/>
          <w:color w:val="00249C"/>
        </w:rPr>
      </w:pPr>
    </w:p>
    <w:p>
      <w:pPr>
        <w:ind w:left="340" w:hanging="292"/>
        <w:spacing w:after="0"/>
        <w:tabs>
          <w:tab w:leader="none" w:pos="340" w:val="left"/>
        </w:tabs>
        <w:numPr>
          <w:ilvl w:val="0"/>
          <w:numId w:val="48"/>
        </w:numPr>
        <w:rPr>
          <w:rFonts w:ascii="Arial" w:cs="Arial" w:eastAsia="Arial" w:hAnsi="Arial"/>
          <w:sz w:val="22"/>
          <w:szCs w:val="22"/>
          <w:color w:val="00249C"/>
        </w:rPr>
      </w:pPr>
      <w:r>
        <w:rPr>
          <w:rFonts w:ascii="Arial" w:cs="Arial" w:eastAsia="Arial" w:hAnsi="Arial"/>
          <w:sz w:val="16"/>
          <w:szCs w:val="16"/>
          <w:color w:val="auto"/>
        </w:rPr>
        <w:t>The assessment is to confirm there is an appropriate balance in the executive compensation programs, practices and policies.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701" w:right="339" w:bottom="1440" w:gutter="0" w:footer="0" w:header="0"/>
        </w:sectPr>
      </w:pPr>
    </w:p>
    <w:bookmarkStart w:id="47" w:name="page48"/>
    <w:bookmarkEnd w:id="47"/>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8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How We Make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Compensation Committee</w:t>
      </w:r>
    </w:p>
    <w:p>
      <w:pPr>
        <w:spacing w:after="0" w:line="1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Compensation Committee is responsible for overseeing our compensation policies, incentive and equity compensation plans and approving payments or grants under these plans for elected officers (other than the CEO). The Compensation Committee recommends the compensation for our CEO to the independent directors of the Board for approval and approves the compensation for the other NEOs. In performing its duties, the Compensation Committee:</w:t>
      </w:r>
    </w:p>
    <w:p>
      <w:pPr>
        <w:spacing w:after="0" w:line="96" w:lineRule="exact"/>
        <w:rPr>
          <w:sz w:val="20"/>
          <w:szCs w:val="20"/>
          <w:color w:val="auto"/>
        </w:rPr>
      </w:pPr>
    </w:p>
    <w:p>
      <w:pPr>
        <w:ind w:left="340" w:right="300" w:hanging="332"/>
        <w:spacing w:after="0" w:line="255" w:lineRule="auto"/>
        <w:tabs>
          <w:tab w:leader="none" w:pos="340" w:val="left"/>
        </w:tabs>
        <w:numPr>
          <w:ilvl w:val="0"/>
          <w:numId w:val="49"/>
        </w:numPr>
        <w:rPr>
          <w:rFonts w:ascii="Arial" w:cs="Arial" w:eastAsia="Arial" w:hAnsi="Arial"/>
          <w:sz w:val="22"/>
          <w:szCs w:val="22"/>
          <w:color w:val="00249C"/>
        </w:rPr>
      </w:pPr>
      <w:r>
        <w:rPr>
          <w:rFonts w:ascii="Arial" w:cs="Arial" w:eastAsia="Arial" w:hAnsi="Arial"/>
          <w:sz w:val="18"/>
          <w:szCs w:val="18"/>
          <w:color w:val="auto"/>
        </w:rPr>
        <w:t>receives advice from an independent compensation consultant who reports directly to the Compensation Committee and is discussed further below;</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49"/>
        </w:numPr>
        <w:rPr>
          <w:rFonts w:ascii="Arial" w:cs="Arial" w:eastAsia="Arial" w:hAnsi="Arial"/>
          <w:sz w:val="22"/>
          <w:szCs w:val="22"/>
          <w:color w:val="00249C"/>
        </w:rPr>
      </w:pPr>
      <w:r>
        <w:rPr>
          <w:rFonts w:ascii="Arial" w:cs="Arial" w:eastAsia="Arial" w:hAnsi="Arial"/>
          <w:sz w:val="18"/>
          <w:szCs w:val="18"/>
          <w:color w:val="auto"/>
        </w:rPr>
        <w:t>reviews market data and other input from its independent compensation consultant;</w:t>
      </w:r>
    </w:p>
    <w:p>
      <w:pPr>
        <w:spacing w:after="0" w:line="120" w:lineRule="exact"/>
        <w:rPr>
          <w:rFonts w:ascii="Arial" w:cs="Arial" w:eastAsia="Arial" w:hAnsi="Arial"/>
          <w:sz w:val="22"/>
          <w:szCs w:val="22"/>
          <w:color w:val="00249C"/>
        </w:rPr>
      </w:pPr>
    </w:p>
    <w:p>
      <w:pPr>
        <w:ind w:left="340" w:right="720" w:hanging="332"/>
        <w:spacing w:after="0" w:line="255" w:lineRule="auto"/>
        <w:tabs>
          <w:tab w:leader="none" w:pos="340" w:val="left"/>
        </w:tabs>
        <w:numPr>
          <w:ilvl w:val="0"/>
          <w:numId w:val="49"/>
        </w:numPr>
        <w:rPr>
          <w:rFonts w:ascii="Arial" w:cs="Arial" w:eastAsia="Arial" w:hAnsi="Arial"/>
          <w:sz w:val="22"/>
          <w:szCs w:val="22"/>
          <w:color w:val="00249C"/>
        </w:rPr>
      </w:pPr>
      <w:r>
        <w:rPr>
          <w:rFonts w:ascii="Arial" w:cs="Arial" w:eastAsia="Arial" w:hAnsi="Arial"/>
          <w:sz w:val="18"/>
          <w:szCs w:val="18"/>
          <w:color w:val="auto"/>
        </w:rPr>
        <w:t>reviews and approves incentive goals and objectives (CEO goals and objectives are reviewed and approved by the independent directors);</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49"/>
        </w:numPr>
        <w:rPr>
          <w:rFonts w:ascii="Arial" w:cs="Arial" w:eastAsia="Arial" w:hAnsi="Arial"/>
          <w:sz w:val="22"/>
          <w:szCs w:val="22"/>
          <w:color w:val="00249C"/>
        </w:rPr>
      </w:pPr>
      <w:r>
        <w:rPr>
          <w:rFonts w:ascii="Arial" w:cs="Arial" w:eastAsia="Arial" w:hAnsi="Arial"/>
          <w:sz w:val="18"/>
          <w:szCs w:val="18"/>
          <w:color w:val="auto"/>
        </w:rPr>
        <w:t>evaluates and approves executive benefit and perquisite programs;</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49"/>
        </w:numPr>
        <w:rPr>
          <w:rFonts w:ascii="Arial" w:cs="Arial" w:eastAsia="Arial" w:hAnsi="Arial"/>
          <w:sz w:val="22"/>
          <w:szCs w:val="22"/>
          <w:color w:val="00249C"/>
        </w:rPr>
      </w:pPr>
      <w:r>
        <w:rPr>
          <w:rFonts w:ascii="Arial" w:cs="Arial" w:eastAsia="Arial" w:hAnsi="Arial"/>
          <w:sz w:val="18"/>
          <w:szCs w:val="18"/>
          <w:color w:val="auto"/>
        </w:rPr>
        <w:t>evaluates the competitiveness of each elected officer's total compensation package; and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49"/>
        </w:numPr>
        <w:rPr>
          <w:rFonts w:ascii="Arial" w:cs="Arial" w:eastAsia="Arial" w:hAnsi="Arial"/>
          <w:sz w:val="22"/>
          <w:szCs w:val="22"/>
          <w:color w:val="00249C"/>
        </w:rPr>
      </w:pPr>
      <w:r>
        <w:rPr>
          <w:rFonts w:ascii="Arial" w:cs="Arial" w:eastAsia="Arial" w:hAnsi="Arial"/>
          <w:sz w:val="18"/>
          <w:szCs w:val="18"/>
          <w:color w:val="auto"/>
        </w:rPr>
        <w:t>conducts an annual evaluation of the independent compensation consultant.</w:t>
      </w:r>
    </w:p>
    <w:p>
      <w:pPr>
        <w:spacing w:after="0" w:line="9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 addition, the Compensation Committee annually reviews and discusses with management the CD&amp;A and provides a Compensation Committee Report for inclusion in the proxy statement.</w:t>
      </w:r>
    </w:p>
    <w:p>
      <w:pPr>
        <w:spacing w:after="0" w:line="63"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For more information regarding the composition of the Compensation Committee and its duties and responsibilities, see "Corporate Governance – Committees of the Board of Directors – Compensation Committee."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Independent Compensation Consultant</w:t>
      </w:r>
    </w:p>
    <w:p>
      <w:pPr>
        <w:spacing w:after="0" w:line="10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Compensation Committee retains an independent compensation consultant, Frederic W. Cook &amp; Co. (the Compensation Consultant). The Compensation Consultant reports directly to the Compensation Committee, and the Compensation Committee may replace the Compensation Consultant or hire additional consultants at any time. A representative of the Compensation Consultant regularly participates in meetings of the Compensation Committee and communicates with the Compensation Committee Chairperson between meetings as needed; however, the Compensation Committee and the independent directors of the Board make final decisions on the compensation actions for the NEOs. The Compensation Consultant also participates in executive session with the Compensation Committee. Other than the fees paid to the Compensation Consultant pursuant to its engagement by the Compensation Committee for its advice on executive and director compensation, the Compensation Consultant does not receive any fees or income from the Company.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roles of the Compensation Consultant include:</w:t>
      </w:r>
    </w:p>
    <w:p>
      <w:pPr>
        <w:spacing w:after="0" w:line="117" w:lineRule="exact"/>
        <w:rPr>
          <w:sz w:val="20"/>
          <w:szCs w:val="20"/>
          <w:color w:val="auto"/>
        </w:rPr>
      </w:pPr>
    </w:p>
    <w:p>
      <w:pPr>
        <w:ind w:left="340" w:right="120" w:hanging="332"/>
        <w:spacing w:after="0" w:line="255" w:lineRule="auto"/>
        <w:tabs>
          <w:tab w:leader="none" w:pos="340" w:val="left"/>
        </w:tabs>
        <w:numPr>
          <w:ilvl w:val="0"/>
          <w:numId w:val="50"/>
        </w:numPr>
        <w:rPr>
          <w:rFonts w:ascii="Arial" w:cs="Arial" w:eastAsia="Arial" w:hAnsi="Arial"/>
          <w:sz w:val="22"/>
          <w:szCs w:val="22"/>
          <w:color w:val="00249C"/>
        </w:rPr>
      </w:pPr>
      <w:r>
        <w:rPr>
          <w:rFonts w:ascii="Arial" w:cs="Arial" w:eastAsia="Arial" w:hAnsi="Arial"/>
          <w:sz w:val="18"/>
          <w:szCs w:val="18"/>
          <w:color w:val="auto"/>
        </w:rPr>
        <w:t>providing a review of market data and advising the Compensation Committee on the levels and structure of our executive compensation policies and procedures, including compensation matters for NEOs;</w:t>
      </w:r>
    </w:p>
    <w:p>
      <w:pPr>
        <w:spacing w:after="0" w:line="105" w:lineRule="exact"/>
        <w:rPr>
          <w:rFonts w:ascii="Arial" w:cs="Arial" w:eastAsia="Arial" w:hAnsi="Arial"/>
          <w:sz w:val="22"/>
          <w:szCs w:val="22"/>
          <w:color w:val="00249C"/>
        </w:rPr>
      </w:pPr>
    </w:p>
    <w:p>
      <w:pPr>
        <w:ind w:left="340" w:right="760" w:hanging="332"/>
        <w:spacing w:after="0" w:line="255" w:lineRule="auto"/>
        <w:tabs>
          <w:tab w:leader="none" w:pos="340" w:val="left"/>
        </w:tabs>
        <w:numPr>
          <w:ilvl w:val="0"/>
          <w:numId w:val="50"/>
        </w:numPr>
        <w:rPr>
          <w:rFonts w:ascii="Arial" w:cs="Arial" w:eastAsia="Arial" w:hAnsi="Arial"/>
          <w:sz w:val="22"/>
          <w:szCs w:val="22"/>
          <w:color w:val="00249C"/>
        </w:rPr>
      </w:pPr>
      <w:r>
        <w:rPr>
          <w:rFonts w:ascii="Arial" w:cs="Arial" w:eastAsia="Arial" w:hAnsi="Arial"/>
          <w:sz w:val="18"/>
          <w:szCs w:val="18"/>
          <w:color w:val="auto"/>
        </w:rPr>
        <w:t>reviewing and advising the Compensation Committee on our total compensation philosophy, peer groups and target competitive positioning;</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50"/>
        </w:numPr>
        <w:rPr>
          <w:rFonts w:ascii="Arial" w:cs="Arial" w:eastAsia="Arial" w:hAnsi="Arial"/>
          <w:sz w:val="22"/>
          <w:szCs w:val="22"/>
          <w:color w:val="00249C"/>
        </w:rPr>
      </w:pPr>
      <w:r>
        <w:rPr>
          <w:rFonts w:ascii="Arial" w:cs="Arial" w:eastAsia="Arial" w:hAnsi="Arial"/>
          <w:sz w:val="18"/>
          <w:szCs w:val="18"/>
          <w:color w:val="auto"/>
        </w:rPr>
        <w:t>identifying market trends and practices and advising the Compensation Committee on program design implications;</w:t>
      </w:r>
    </w:p>
    <w:p>
      <w:pPr>
        <w:spacing w:after="0" w:line="120" w:lineRule="exact"/>
        <w:rPr>
          <w:rFonts w:ascii="Arial" w:cs="Arial" w:eastAsia="Arial" w:hAnsi="Arial"/>
          <w:sz w:val="22"/>
          <w:szCs w:val="22"/>
          <w:color w:val="00249C"/>
        </w:rPr>
      </w:pPr>
    </w:p>
    <w:p>
      <w:pPr>
        <w:ind w:left="340" w:right="560" w:hanging="332"/>
        <w:spacing w:after="0" w:line="272" w:lineRule="auto"/>
        <w:tabs>
          <w:tab w:leader="none" w:pos="340" w:val="left"/>
        </w:tabs>
        <w:numPr>
          <w:ilvl w:val="0"/>
          <w:numId w:val="50"/>
        </w:numPr>
        <w:rPr>
          <w:rFonts w:ascii="Arial" w:cs="Arial" w:eastAsia="Arial" w:hAnsi="Arial"/>
          <w:sz w:val="22"/>
          <w:szCs w:val="22"/>
          <w:color w:val="00249C"/>
        </w:rPr>
      </w:pPr>
      <w:r>
        <w:rPr>
          <w:rFonts w:ascii="Arial" w:cs="Arial" w:eastAsia="Arial" w:hAnsi="Arial"/>
          <w:sz w:val="18"/>
          <w:szCs w:val="18"/>
          <w:color w:val="auto"/>
        </w:rPr>
        <w:t>providing proactive advice to the Compensation Committee on best practices for Board governance of executive compensation, compensation-related risk management, and any areas for program design to most appropriately support the Company's business strategy and organizational values; and</w:t>
      </w:r>
    </w:p>
    <w:p>
      <w:pPr>
        <w:spacing w:after="0" w:line="94" w:lineRule="exact"/>
        <w:rPr>
          <w:rFonts w:ascii="Arial" w:cs="Arial" w:eastAsia="Arial" w:hAnsi="Arial"/>
          <w:sz w:val="22"/>
          <w:szCs w:val="22"/>
          <w:color w:val="00249C"/>
        </w:rPr>
      </w:pPr>
    </w:p>
    <w:p>
      <w:pPr>
        <w:ind w:left="340" w:right="40" w:hanging="332"/>
        <w:spacing w:after="0" w:line="255" w:lineRule="auto"/>
        <w:tabs>
          <w:tab w:leader="none" w:pos="340" w:val="left"/>
        </w:tabs>
        <w:numPr>
          <w:ilvl w:val="0"/>
          <w:numId w:val="50"/>
        </w:numPr>
        <w:rPr>
          <w:rFonts w:ascii="Arial" w:cs="Arial" w:eastAsia="Arial" w:hAnsi="Arial"/>
          <w:sz w:val="22"/>
          <w:szCs w:val="22"/>
          <w:color w:val="00249C"/>
        </w:rPr>
      </w:pPr>
      <w:r>
        <w:rPr>
          <w:rFonts w:ascii="Arial" w:cs="Arial" w:eastAsia="Arial" w:hAnsi="Arial"/>
          <w:sz w:val="18"/>
          <w:szCs w:val="18"/>
          <w:color w:val="auto"/>
        </w:rPr>
        <w:t>serving as a resource to the Compensation Committee Chairperson on setting agenda items for Compensation Committee meetings and undertaking special projects.</w:t>
      </w:r>
    </w:p>
    <w:p>
      <w:pPr>
        <w:spacing w:after="0" w:line="7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February 2020, the Compensation Committee determined that there were no relationships between the Compensation Consultant and the Company or any of the Company's directors or executive officers that raised a conflict of interest.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Management</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CEO makes compensation-related recommendations for elected officers, other than the CEO, to the Compensation Committee for its review and approval. The CEO's evaluation is based on each officer's compensation relative to market and the overall framework, philosophy and objectives for our executive compensation programs set by the Compensation Committee.</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41</w:t>
      </w:r>
    </w:p>
    <w:p>
      <w:pPr>
        <w:sectPr>
          <w:pgSz w:w="11900" w:h="16838" w:orient="portrait"/>
          <w:cols w:equalWidth="0" w:num="1">
            <w:col w:w="11240"/>
          </w:cols>
          <w:pgMar w:left="320" w:top="701" w:right="339" w:bottom="1440" w:gutter="0" w:footer="0" w:header="0"/>
        </w:sectPr>
      </w:pPr>
    </w:p>
    <w:bookmarkStart w:id="48" w:name="page49"/>
    <w:bookmarkEnd w:id="48"/>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8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recommendations for elected officers are based on an assessment of each executive's performance, skills and industry knowledge, market compensation benchmarks, and succession and retention considerations. The Chief Human Resources Officer provides a summary of historical compensation and benefits-related data when compensation decisions are considered by the Compensation Committee to ensure compensation decisions are made within our total compensation framework.</w:t>
      </w:r>
    </w:p>
    <w:p>
      <w:pPr>
        <w:spacing w:after="0" w:line="6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Management also provides recommendations to the Compensation Committee regarding executive incentive and benefit plan designs and strategies. These recommendations include financial and non-financial operational goals and criteria for our annual and long-term incentive plans.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Use of Competitive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Peer Group: Set Performance Targets and Evaluate Performance</w:t>
      </w:r>
    </w:p>
    <w:p>
      <w:pPr>
        <w:spacing w:after="0" w:line="10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Compensation Committee uses the Performance Peer Group for purposes of setting performance targets and evaluating performance for our AIP and LTIP. The Performance Peer Group encompasses many of the largest global defense companies by government revenues within the aerospace and defense market space. AIP goals for 2019 and goals for the LTIP grants made during 2019 that will vest in 2021 were established based on the 2019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130175</wp:posOffset>
            </wp:positionV>
            <wp:extent cx="618934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FFFFFF"/>
        </w:rPr>
        <w:t>2019 PERFORMANCE PEER GROUP</w:t>
      </w:r>
    </w:p>
    <w:p>
      <w:pPr>
        <w:spacing w:after="0" w:line="8" w:lineRule="exact"/>
        <w:rPr>
          <w:sz w:val="20"/>
          <w:szCs w:val="20"/>
          <w:color w:val="auto"/>
        </w:rPr>
      </w:pPr>
    </w:p>
    <w:tbl>
      <w:tblPr>
        <w:tblLayout w:type="fixed"/>
        <w:tblInd w:w="760" w:type="dxa"/>
        <w:tblCellMar>
          <w:top w:w="0" w:type="dxa"/>
          <w:left w:w="0" w:type="dxa"/>
          <w:bottom w:w="0" w:type="dxa"/>
          <w:right w:w="0" w:type="dxa"/>
        </w:tblCellMar>
      </w:tblPr>
      <w:tr>
        <w:trPr>
          <w:trHeight w:val="299"/>
        </w:trPr>
        <w:tc>
          <w:tcPr>
            <w:tcW w:w="3160" w:type="dxa"/>
            <w:vAlign w:val="bottom"/>
            <w:shd w:val="clear" w:color="auto" w:fill="CCD4DB"/>
          </w:tcPr>
          <w:p>
            <w:pPr>
              <w:ind w:left="20"/>
              <w:spacing w:after="0"/>
              <w:rPr>
                <w:sz w:val="20"/>
                <w:szCs w:val="20"/>
                <w:color w:val="auto"/>
              </w:rPr>
            </w:pPr>
            <w:r>
              <w:rPr>
                <w:rFonts w:ascii="Arial" w:cs="Arial" w:eastAsia="Arial" w:hAnsi="Arial"/>
                <w:sz w:val="16"/>
                <w:szCs w:val="16"/>
                <w:color w:val="auto"/>
              </w:rPr>
              <w:t>BAE Systems</w:t>
            </w:r>
          </w:p>
        </w:tc>
        <w:tc>
          <w:tcPr>
            <w:tcW w:w="2880" w:type="dxa"/>
            <w:vAlign w:val="bottom"/>
            <w:shd w:val="clear" w:color="auto" w:fill="CCD4DB"/>
          </w:tcPr>
          <w:p>
            <w:pPr>
              <w:ind w:left="180"/>
              <w:spacing w:after="0"/>
              <w:rPr>
                <w:sz w:val="20"/>
                <w:szCs w:val="20"/>
                <w:color w:val="auto"/>
              </w:rPr>
            </w:pPr>
            <w:r>
              <w:rPr>
                <w:rFonts w:ascii="Arial" w:cs="Arial" w:eastAsia="Arial" w:hAnsi="Arial"/>
                <w:sz w:val="16"/>
                <w:szCs w:val="16"/>
                <w:color w:val="auto"/>
              </w:rPr>
              <w:t xml:space="preserve">L3Harris Technologies, Inc. </w:t>
            </w:r>
            <w:r>
              <w:rPr>
                <w:rFonts w:ascii="Arial" w:cs="Arial" w:eastAsia="Arial" w:hAnsi="Arial"/>
                <w:sz w:val="26"/>
                <w:szCs w:val="26"/>
                <w:color w:val="auto"/>
                <w:vertAlign w:val="superscript"/>
              </w:rPr>
              <w:t>(1)</w:t>
            </w:r>
          </w:p>
        </w:tc>
        <w:tc>
          <w:tcPr>
            <w:tcW w:w="3700" w:type="dxa"/>
            <w:vAlign w:val="bottom"/>
            <w:shd w:val="clear" w:color="auto" w:fill="CCD4DB"/>
          </w:tcPr>
          <w:p>
            <w:pPr>
              <w:ind w:left="520"/>
              <w:spacing w:after="0"/>
              <w:rPr>
                <w:sz w:val="20"/>
                <w:szCs w:val="20"/>
                <w:color w:val="auto"/>
              </w:rPr>
            </w:pPr>
            <w:r>
              <w:rPr>
                <w:rFonts w:ascii="Arial" w:cs="Arial" w:eastAsia="Arial" w:hAnsi="Arial"/>
                <w:sz w:val="16"/>
                <w:szCs w:val="16"/>
                <w:color w:val="auto"/>
              </w:rPr>
              <w:t>Raytheon Company</w:t>
            </w:r>
          </w:p>
        </w:tc>
      </w:tr>
      <w:tr>
        <w:trPr>
          <w:trHeight w:val="233"/>
        </w:trPr>
        <w:tc>
          <w:tcPr>
            <w:tcW w:w="3160" w:type="dxa"/>
            <w:vAlign w:val="bottom"/>
          </w:tcPr>
          <w:p>
            <w:pPr>
              <w:ind w:left="20"/>
              <w:spacing w:after="0"/>
              <w:rPr>
                <w:sz w:val="20"/>
                <w:szCs w:val="20"/>
                <w:color w:val="auto"/>
              </w:rPr>
            </w:pPr>
            <w:r>
              <w:rPr>
                <w:rFonts w:ascii="Arial" w:cs="Arial" w:eastAsia="Arial" w:hAnsi="Arial"/>
                <w:sz w:val="16"/>
                <w:szCs w:val="16"/>
                <w:color w:val="auto"/>
              </w:rPr>
              <w:t>The Boeing Company</w:t>
            </w:r>
          </w:p>
        </w:tc>
        <w:tc>
          <w:tcPr>
            <w:tcW w:w="2880" w:type="dxa"/>
            <w:vAlign w:val="bottom"/>
          </w:tcPr>
          <w:p>
            <w:pPr>
              <w:ind w:left="180"/>
              <w:spacing w:after="0"/>
              <w:rPr>
                <w:sz w:val="20"/>
                <w:szCs w:val="20"/>
                <w:color w:val="auto"/>
              </w:rPr>
            </w:pPr>
            <w:r>
              <w:rPr>
                <w:rFonts w:ascii="Arial" w:cs="Arial" w:eastAsia="Arial" w:hAnsi="Arial"/>
                <w:sz w:val="16"/>
                <w:szCs w:val="16"/>
                <w:color w:val="auto"/>
              </w:rPr>
              <w:t>Leidos Holdings, Inc.</w:t>
            </w:r>
          </w:p>
        </w:tc>
        <w:tc>
          <w:tcPr>
            <w:tcW w:w="3700" w:type="dxa"/>
            <w:vAlign w:val="bottom"/>
          </w:tcPr>
          <w:p>
            <w:pPr>
              <w:ind w:left="520"/>
              <w:spacing w:after="0"/>
              <w:rPr>
                <w:sz w:val="20"/>
                <w:szCs w:val="20"/>
                <w:color w:val="auto"/>
              </w:rPr>
            </w:pPr>
            <w:r>
              <w:rPr>
                <w:rFonts w:ascii="Arial" w:cs="Arial" w:eastAsia="Arial" w:hAnsi="Arial"/>
                <w:sz w:val="16"/>
                <w:szCs w:val="16"/>
                <w:color w:val="auto"/>
              </w:rPr>
              <w:t>Thales Group</w:t>
            </w:r>
          </w:p>
        </w:tc>
      </w:tr>
      <w:tr>
        <w:trPr>
          <w:trHeight w:val="260"/>
        </w:trPr>
        <w:tc>
          <w:tcPr>
            <w:tcW w:w="316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6"/>
                <w:szCs w:val="16"/>
                <w:color w:val="auto"/>
              </w:rPr>
              <w:t>Booz Allen Hamilton Holding Corporation</w:t>
            </w:r>
          </w:p>
        </w:tc>
        <w:tc>
          <w:tcPr>
            <w:tcW w:w="2880" w:type="dxa"/>
            <w:vAlign w:val="bottom"/>
            <w:tcBorders>
              <w:bottom w:val="single" w:sz="8" w:color="CCD4DB"/>
            </w:tcBorders>
            <w:shd w:val="clear" w:color="auto" w:fill="CCD4DB"/>
          </w:tcPr>
          <w:p>
            <w:pPr>
              <w:ind w:left="180"/>
              <w:spacing w:after="0"/>
              <w:rPr>
                <w:sz w:val="20"/>
                <w:szCs w:val="20"/>
                <w:color w:val="auto"/>
              </w:rPr>
            </w:pPr>
            <w:r>
              <w:rPr>
                <w:rFonts w:ascii="Arial" w:cs="Arial" w:eastAsia="Arial" w:hAnsi="Arial"/>
                <w:sz w:val="16"/>
                <w:szCs w:val="16"/>
                <w:color w:val="auto"/>
              </w:rPr>
              <w:t>Leonardo</w:t>
            </w:r>
          </w:p>
        </w:tc>
        <w:tc>
          <w:tcPr>
            <w:tcW w:w="3700" w:type="dxa"/>
            <w:vAlign w:val="bottom"/>
            <w:tcBorders>
              <w:bottom w:val="single" w:sz="8" w:color="CCD4DB"/>
            </w:tcBorders>
            <w:shd w:val="clear" w:color="auto" w:fill="CCD4DB"/>
          </w:tcPr>
          <w:p>
            <w:pPr>
              <w:spacing w:after="0"/>
              <w:rPr>
                <w:sz w:val="22"/>
                <w:szCs w:val="22"/>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6"/>
                <w:szCs w:val="16"/>
                <w:color w:val="auto"/>
              </w:rPr>
              <w:t>General Dynamics Corporation</w:t>
            </w:r>
          </w:p>
        </w:tc>
        <w:tc>
          <w:tcPr>
            <w:tcW w:w="2880" w:type="dxa"/>
            <w:vAlign w:val="bottom"/>
          </w:tcPr>
          <w:p>
            <w:pPr>
              <w:ind w:left="180"/>
              <w:spacing w:after="0"/>
              <w:rPr>
                <w:sz w:val="20"/>
                <w:szCs w:val="20"/>
                <w:color w:val="auto"/>
              </w:rPr>
            </w:pPr>
            <w:r>
              <w:rPr>
                <w:rFonts w:ascii="Arial" w:cs="Arial" w:eastAsia="Arial" w:hAnsi="Arial"/>
                <w:sz w:val="16"/>
                <w:szCs w:val="16"/>
                <w:color w:val="auto"/>
              </w:rPr>
              <w:t>Lockheed Martin Corporation</w:t>
            </w: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20955</wp:posOffset>
            </wp:positionV>
            <wp:extent cx="61804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ind w:left="1000" w:hanging="216"/>
        <w:spacing w:after="0" w:line="216" w:lineRule="auto"/>
        <w:tabs>
          <w:tab w:leader="none" w:pos="1000"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L3 Technologies, Inc. merged with Harris Corporation in 2019, forming L3Harris Technologies, Inc.</w:t>
      </w:r>
    </w:p>
    <w:p>
      <w:pPr>
        <w:spacing w:after="0" w:line="10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Performance targets for the LTIP grants for the three-year performance period vesting in 2019 were established in 2017, based on the 2017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126365</wp:posOffset>
            </wp:positionV>
            <wp:extent cx="6189345"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89345" cy="171450"/>
                    </a:xfrm>
                    <a:prstGeom prst="rect">
                      <a:avLst/>
                    </a:prstGeom>
                    <a:noFill/>
                  </pic:spPr>
                </pic:pic>
              </a:graphicData>
            </a:graphic>
          </wp:anchor>
        </w:drawing>
      </w: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FFFFFF"/>
        </w:rPr>
        <w:t>2017 PERFORMANCE PEER GROUP</w:t>
      </w:r>
    </w:p>
    <w:p>
      <w:pPr>
        <w:spacing w:after="0" w:line="8" w:lineRule="exact"/>
        <w:rPr>
          <w:sz w:val="20"/>
          <w:szCs w:val="20"/>
          <w:color w:val="auto"/>
        </w:rPr>
      </w:pPr>
    </w:p>
    <w:tbl>
      <w:tblPr>
        <w:tblLayout w:type="fixed"/>
        <w:tblInd w:w="760" w:type="dxa"/>
        <w:tblCellMar>
          <w:top w:w="0" w:type="dxa"/>
          <w:left w:w="0" w:type="dxa"/>
          <w:bottom w:w="0" w:type="dxa"/>
          <w:right w:w="0" w:type="dxa"/>
        </w:tblCellMar>
      </w:tblPr>
      <w:tr>
        <w:trPr>
          <w:trHeight w:val="299"/>
        </w:trPr>
        <w:tc>
          <w:tcPr>
            <w:tcW w:w="3160" w:type="dxa"/>
            <w:vAlign w:val="bottom"/>
            <w:shd w:val="clear" w:color="auto" w:fill="CCD4DB"/>
          </w:tcPr>
          <w:p>
            <w:pPr>
              <w:ind w:left="20"/>
              <w:spacing w:after="0"/>
              <w:rPr>
                <w:sz w:val="20"/>
                <w:szCs w:val="20"/>
                <w:color w:val="auto"/>
              </w:rPr>
            </w:pPr>
            <w:r>
              <w:rPr>
                <w:rFonts w:ascii="Arial" w:cs="Arial" w:eastAsia="Arial" w:hAnsi="Arial"/>
                <w:sz w:val="16"/>
                <w:szCs w:val="16"/>
                <w:color w:val="auto"/>
              </w:rPr>
              <w:t>BAE Systems</w:t>
            </w:r>
          </w:p>
        </w:tc>
        <w:tc>
          <w:tcPr>
            <w:tcW w:w="2880" w:type="dxa"/>
            <w:vAlign w:val="bottom"/>
            <w:shd w:val="clear" w:color="auto" w:fill="CCD4DB"/>
          </w:tcPr>
          <w:p>
            <w:pPr>
              <w:ind w:left="180"/>
              <w:spacing w:after="0"/>
              <w:rPr>
                <w:sz w:val="20"/>
                <w:szCs w:val="20"/>
                <w:color w:val="auto"/>
              </w:rPr>
            </w:pPr>
            <w:r>
              <w:rPr>
                <w:rFonts w:ascii="Arial" w:cs="Arial" w:eastAsia="Arial" w:hAnsi="Arial"/>
                <w:sz w:val="16"/>
                <w:szCs w:val="16"/>
                <w:color w:val="auto"/>
              </w:rPr>
              <w:t xml:space="preserve">L3Harris Technologies, Inc. </w:t>
            </w:r>
            <w:r>
              <w:rPr>
                <w:rFonts w:ascii="Arial" w:cs="Arial" w:eastAsia="Arial" w:hAnsi="Arial"/>
                <w:sz w:val="26"/>
                <w:szCs w:val="26"/>
                <w:color w:val="auto"/>
                <w:vertAlign w:val="superscript"/>
              </w:rPr>
              <w:t>(1)</w:t>
            </w:r>
          </w:p>
        </w:tc>
        <w:tc>
          <w:tcPr>
            <w:tcW w:w="3700" w:type="dxa"/>
            <w:vAlign w:val="bottom"/>
            <w:shd w:val="clear" w:color="auto" w:fill="CCD4DB"/>
          </w:tcPr>
          <w:p>
            <w:pPr>
              <w:ind w:left="520"/>
              <w:spacing w:after="0"/>
              <w:rPr>
                <w:sz w:val="20"/>
                <w:szCs w:val="20"/>
                <w:color w:val="auto"/>
              </w:rPr>
            </w:pPr>
            <w:r>
              <w:rPr>
                <w:rFonts w:ascii="Arial" w:cs="Arial" w:eastAsia="Arial" w:hAnsi="Arial"/>
                <w:sz w:val="16"/>
                <w:szCs w:val="16"/>
                <w:color w:val="auto"/>
              </w:rPr>
              <w:t>Raytheon Company</w:t>
            </w:r>
          </w:p>
        </w:tc>
      </w:tr>
      <w:tr>
        <w:trPr>
          <w:trHeight w:val="233"/>
        </w:trPr>
        <w:tc>
          <w:tcPr>
            <w:tcW w:w="3160" w:type="dxa"/>
            <w:vAlign w:val="bottom"/>
          </w:tcPr>
          <w:p>
            <w:pPr>
              <w:ind w:left="20"/>
              <w:spacing w:after="0"/>
              <w:rPr>
                <w:sz w:val="20"/>
                <w:szCs w:val="20"/>
                <w:color w:val="auto"/>
              </w:rPr>
            </w:pPr>
            <w:r>
              <w:rPr>
                <w:rFonts w:ascii="Arial" w:cs="Arial" w:eastAsia="Arial" w:hAnsi="Arial"/>
                <w:sz w:val="16"/>
                <w:szCs w:val="16"/>
                <w:color w:val="auto"/>
              </w:rPr>
              <w:t>The Boeing Company</w:t>
            </w:r>
          </w:p>
        </w:tc>
        <w:tc>
          <w:tcPr>
            <w:tcW w:w="2880" w:type="dxa"/>
            <w:vAlign w:val="bottom"/>
          </w:tcPr>
          <w:p>
            <w:pPr>
              <w:ind w:left="180"/>
              <w:spacing w:after="0"/>
              <w:rPr>
                <w:sz w:val="20"/>
                <w:szCs w:val="20"/>
                <w:color w:val="auto"/>
              </w:rPr>
            </w:pPr>
            <w:r>
              <w:rPr>
                <w:rFonts w:ascii="Arial" w:cs="Arial" w:eastAsia="Arial" w:hAnsi="Arial"/>
                <w:sz w:val="16"/>
                <w:szCs w:val="16"/>
                <w:color w:val="auto"/>
              </w:rPr>
              <w:t>Leidos Holdings, Inc.</w:t>
            </w:r>
          </w:p>
        </w:tc>
        <w:tc>
          <w:tcPr>
            <w:tcW w:w="3700" w:type="dxa"/>
            <w:vAlign w:val="bottom"/>
          </w:tcPr>
          <w:p>
            <w:pPr>
              <w:ind w:left="520"/>
              <w:spacing w:after="0"/>
              <w:rPr>
                <w:sz w:val="20"/>
                <w:szCs w:val="20"/>
                <w:color w:val="auto"/>
              </w:rPr>
            </w:pPr>
            <w:r>
              <w:rPr>
                <w:rFonts w:ascii="Arial" w:cs="Arial" w:eastAsia="Arial" w:hAnsi="Arial"/>
                <w:sz w:val="16"/>
                <w:szCs w:val="16"/>
                <w:color w:val="auto"/>
              </w:rPr>
              <w:t>Thales Group</w:t>
            </w:r>
          </w:p>
        </w:tc>
      </w:tr>
      <w:tr>
        <w:trPr>
          <w:trHeight w:val="260"/>
        </w:trPr>
        <w:tc>
          <w:tcPr>
            <w:tcW w:w="316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6"/>
                <w:szCs w:val="16"/>
                <w:color w:val="auto"/>
              </w:rPr>
              <w:t>Booz Allen Hamilton Holding Corporation</w:t>
            </w:r>
          </w:p>
        </w:tc>
        <w:tc>
          <w:tcPr>
            <w:tcW w:w="2880" w:type="dxa"/>
            <w:vAlign w:val="bottom"/>
            <w:tcBorders>
              <w:bottom w:val="single" w:sz="8" w:color="CCD4DB"/>
            </w:tcBorders>
            <w:shd w:val="clear" w:color="auto" w:fill="CCD4DB"/>
          </w:tcPr>
          <w:p>
            <w:pPr>
              <w:ind w:left="180"/>
              <w:spacing w:after="0"/>
              <w:rPr>
                <w:sz w:val="20"/>
                <w:szCs w:val="20"/>
                <w:color w:val="auto"/>
              </w:rPr>
            </w:pPr>
            <w:r>
              <w:rPr>
                <w:rFonts w:ascii="Arial" w:cs="Arial" w:eastAsia="Arial" w:hAnsi="Arial"/>
                <w:sz w:val="16"/>
                <w:szCs w:val="16"/>
                <w:color w:val="auto"/>
              </w:rPr>
              <w:t>Leonardo</w:t>
            </w:r>
          </w:p>
        </w:tc>
        <w:tc>
          <w:tcPr>
            <w:tcW w:w="3700" w:type="dxa"/>
            <w:vAlign w:val="bottom"/>
            <w:tcBorders>
              <w:bottom w:val="single" w:sz="8" w:color="CCD4DB"/>
            </w:tcBorders>
            <w:shd w:val="clear" w:color="auto" w:fill="CCD4DB"/>
          </w:tcPr>
          <w:p>
            <w:pPr>
              <w:spacing w:after="0"/>
              <w:rPr>
                <w:sz w:val="22"/>
                <w:szCs w:val="22"/>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6"/>
                <w:szCs w:val="16"/>
                <w:color w:val="auto"/>
              </w:rPr>
              <w:t>General Dynamics Corporation</w:t>
            </w:r>
          </w:p>
        </w:tc>
        <w:tc>
          <w:tcPr>
            <w:tcW w:w="2880" w:type="dxa"/>
            <w:vAlign w:val="bottom"/>
          </w:tcPr>
          <w:p>
            <w:pPr>
              <w:ind w:left="180"/>
              <w:spacing w:after="0"/>
              <w:rPr>
                <w:sz w:val="20"/>
                <w:szCs w:val="20"/>
                <w:color w:val="auto"/>
              </w:rPr>
            </w:pPr>
            <w:r>
              <w:rPr>
                <w:rFonts w:ascii="Arial" w:cs="Arial" w:eastAsia="Arial" w:hAnsi="Arial"/>
                <w:sz w:val="16"/>
                <w:szCs w:val="16"/>
                <w:color w:val="auto"/>
              </w:rPr>
              <w:t>Lockheed Martin Corporation</w:t>
            </w: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20955</wp:posOffset>
            </wp:positionV>
            <wp:extent cx="61804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ind w:left="1000" w:hanging="216"/>
        <w:spacing w:after="0" w:line="216" w:lineRule="auto"/>
        <w:tabs>
          <w:tab w:leader="none" w:pos="100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L3 Technologies, Inc. merged with Harris Corporation in 2019, forming L3Harris Technologies, Inc.</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Industry Peer Group: Benchmark Executive Compensation Practices</w:t>
      </w:r>
    </w:p>
    <w:p>
      <w:pPr>
        <w:spacing w:after="0" w:line="8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Compensation Committee benchmarks our executive compensation levels and practices against a Target Industry Peer Group of 14 companies, including a subset containing six direct peers. Prior to the beginning of the year, the Compensation Committee sets the Target Industry Peer Group used to benchmark compensation for the following year. To identify peer companies for compensation benchmarking purposes, the Compensation Consultant employed an objective criteria-based methodology where:</w:t>
      </w:r>
    </w:p>
    <w:p>
      <w:pPr>
        <w:spacing w:after="0" w:line="3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22"/>
          <w:szCs w:val="22"/>
          <w:color w:val="00249C"/>
        </w:rPr>
      </w:pPr>
      <w:r>
        <w:rPr>
          <w:rFonts w:ascii="Arial" w:cs="Arial" w:eastAsia="Arial" w:hAnsi="Arial"/>
          <w:sz w:val="18"/>
          <w:szCs w:val="18"/>
          <w:color w:val="auto"/>
        </w:rPr>
        <w:t>the company was identified as a peer by at least two aerospace and defense peers or proxy advisory services;</w:t>
      </w:r>
    </w:p>
    <w:p>
      <w:pPr>
        <w:spacing w:after="0" w:line="44" w:lineRule="exact"/>
        <w:rPr>
          <w:rFonts w:ascii="Arial" w:cs="Arial" w:eastAsia="Arial" w:hAnsi="Arial"/>
          <w:sz w:val="22"/>
          <w:szCs w:val="22"/>
          <w:color w:val="00249C"/>
        </w:rPr>
      </w:pPr>
    </w:p>
    <w:p>
      <w:pPr>
        <w:ind w:left="340" w:hanging="332"/>
        <w:spacing w:after="0"/>
        <w:tabs>
          <w:tab w:leader="none" w:pos="340" w:val="left"/>
        </w:tabs>
        <w:numPr>
          <w:ilvl w:val="0"/>
          <w:numId w:val="53"/>
        </w:numPr>
        <w:rPr>
          <w:rFonts w:ascii="Arial" w:cs="Arial" w:eastAsia="Arial" w:hAnsi="Arial"/>
          <w:sz w:val="22"/>
          <w:szCs w:val="22"/>
          <w:color w:val="00249C"/>
        </w:rPr>
      </w:pPr>
      <w:r>
        <w:rPr>
          <w:rFonts w:ascii="Arial" w:cs="Arial" w:eastAsia="Arial" w:hAnsi="Arial"/>
          <w:sz w:val="18"/>
          <w:szCs w:val="18"/>
          <w:color w:val="auto"/>
        </w:rPr>
        <w:t>the company participated in the annual Aon Hewitt executive compensation study; and</w:t>
      </w:r>
    </w:p>
    <w:p>
      <w:pPr>
        <w:spacing w:after="0" w:line="44" w:lineRule="exact"/>
        <w:rPr>
          <w:rFonts w:ascii="Arial" w:cs="Arial" w:eastAsia="Arial" w:hAnsi="Arial"/>
          <w:sz w:val="22"/>
          <w:szCs w:val="22"/>
          <w:color w:val="00249C"/>
        </w:rPr>
      </w:pPr>
    </w:p>
    <w:p>
      <w:pPr>
        <w:ind w:left="340" w:hanging="332"/>
        <w:spacing w:after="0"/>
        <w:tabs>
          <w:tab w:leader="none" w:pos="340" w:val="left"/>
        </w:tabs>
        <w:numPr>
          <w:ilvl w:val="0"/>
          <w:numId w:val="53"/>
        </w:numPr>
        <w:rPr>
          <w:rFonts w:ascii="Arial" w:cs="Arial" w:eastAsia="Arial" w:hAnsi="Arial"/>
          <w:sz w:val="22"/>
          <w:szCs w:val="22"/>
          <w:color w:val="00249C"/>
        </w:rPr>
      </w:pPr>
      <w:r>
        <w:rPr>
          <w:rFonts w:ascii="Arial" w:cs="Arial" w:eastAsia="Arial" w:hAnsi="Arial"/>
          <w:sz w:val="18"/>
          <w:szCs w:val="18"/>
          <w:color w:val="auto"/>
        </w:rPr>
        <w:t>revenues, total employees and market capitalization of the company were broadly similar to those of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100"/>
          </w:cols>
          <w:pgMar w:left="320" w:top="701" w:right="479" w:bottom="1440" w:gutter="0" w:footer="0" w:header="0"/>
        </w:sectPr>
      </w:pPr>
    </w:p>
    <w:bookmarkStart w:id="49" w:name="page50"/>
    <w:bookmarkEnd w:id="49"/>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8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While the Target Industry Peer Group is reviewed annually by the Compensation Committee with the Compensation Consultant, our goal is to keep it as consistent as reasonably possible on a year-over-year basis. The companies that comprise the 2019 Target Industry Peer Group are listed in the following table:</w:t>
      </w:r>
    </w:p>
    <w:p>
      <w:pPr>
        <w:spacing w:after="0" w:line="203" w:lineRule="exact"/>
        <w:rPr>
          <w:sz w:val="20"/>
          <w:szCs w:val="20"/>
          <w:color w:val="auto"/>
        </w:rPr>
      </w:pPr>
    </w:p>
    <w:tbl>
      <w:tblPr>
        <w:tblLayout w:type="fixed"/>
        <w:tblInd w:w="760" w:type="dxa"/>
        <w:tblCellMar>
          <w:top w:w="0" w:type="dxa"/>
          <w:left w:w="0" w:type="dxa"/>
          <w:bottom w:w="0" w:type="dxa"/>
          <w:right w:w="0" w:type="dxa"/>
        </w:tblCellMar>
      </w:tblPr>
      <w:tr>
        <w:trPr>
          <w:trHeight w:val="250"/>
        </w:trPr>
        <w:tc>
          <w:tcPr>
            <w:tcW w:w="2940" w:type="dxa"/>
            <w:vAlign w:val="bottom"/>
            <w:tcBorders>
              <w:bottom w:val="single" w:sz="8" w:color="00249C"/>
            </w:tcBorders>
            <w:shd w:val="clear" w:color="auto" w:fill="00249C"/>
          </w:tcPr>
          <w:p>
            <w:pPr>
              <w:spacing w:after="0"/>
              <w:rPr>
                <w:sz w:val="21"/>
                <w:szCs w:val="21"/>
                <w:color w:val="auto"/>
              </w:rPr>
            </w:pPr>
          </w:p>
        </w:tc>
        <w:tc>
          <w:tcPr>
            <w:tcW w:w="6800" w:type="dxa"/>
            <w:vAlign w:val="bottom"/>
            <w:tcBorders>
              <w:bottom w:val="single" w:sz="8" w:color="00249C"/>
            </w:tcBorders>
            <w:shd w:val="clear" w:color="auto" w:fill="00249C"/>
          </w:tcPr>
          <w:p>
            <w:pPr>
              <w:ind w:left="400"/>
              <w:spacing w:after="0"/>
              <w:rPr>
                <w:sz w:val="20"/>
                <w:szCs w:val="20"/>
                <w:color w:val="auto"/>
              </w:rPr>
            </w:pPr>
            <w:r>
              <w:rPr>
                <w:rFonts w:ascii="Arial" w:cs="Arial" w:eastAsia="Arial" w:hAnsi="Arial"/>
                <w:sz w:val="16"/>
                <w:szCs w:val="16"/>
                <w:b w:val="1"/>
                <w:bCs w:val="1"/>
                <w:color w:val="FFFFFF"/>
              </w:rPr>
              <w:t>2019 TARGET INDUSTRY PEER GROUP</w:t>
            </w:r>
          </w:p>
        </w:tc>
        <w:tc>
          <w:tcPr>
            <w:tcW w:w="20" w:type="dxa"/>
            <w:vAlign w:val="bottom"/>
            <w:tcBorders>
              <w:bottom w:val="single" w:sz="8" w:color="00249C"/>
            </w:tcBorders>
            <w:shd w:val="clear" w:color="auto" w:fill="00249C"/>
          </w:tcPr>
          <w:p>
            <w:pPr>
              <w:spacing w:after="0"/>
              <w:rPr>
                <w:sz w:val="21"/>
                <w:szCs w:val="21"/>
                <w:color w:val="auto"/>
              </w:rPr>
            </w:pPr>
          </w:p>
        </w:tc>
      </w:tr>
      <w:tr>
        <w:trPr>
          <w:trHeight w:val="243"/>
        </w:trPr>
        <w:tc>
          <w:tcPr>
            <w:tcW w:w="2940" w:type="dxa"/>
            <w:vAlign w:val="bottom"/>
            <w:shd w:val="clear" w:color="auto" w:fill="CCD4DB"/>
          </w:tcPr>
          <w:p>
            <w:pPr>
              <w:ind w:left="100"/>
              <w:spacing w:after="0"/>
              <w:rPr>
                <w:sz w:val="20"/>
                <w:szCs w:val="20"/>
                <w:color w:val="auto"/>
              </w:rPr>
            </w:pPr>
            <w:r>
              <w:rPr>
                <w:rFonts w:ascii="Arial" w:cs="Arial" w:eastAsia="Arial" w:hAnsi="Arial"/>
                <w:sz w:val="16"/>
                <w:szCs w:val="16"/>
                <w:color w:val="auto"/>
              </w:rPr>
              <w:t>3M Company</w:t>
            </w:r>
          </w:p>
        </w:tc>
        <w:tc>
          <w:tcPr>
            <w:tcW w:w="6800" w:type="dxa"/>
            <w:vAlign w:val="bottom"/>
            <w:shd w:val="clear" w:color="auto" w:fill="CCD4DB"/>
          </w:tcPr>
          <w:p>
            <w:pPr>
              <w:ind w:left="2040"/>
              <w:spacing w:after="0"/>
              <w:rPr>
                <w:sz w:val="20"/>
                <w:szCs w:val="20"/>
                <w:color w:val="auto"/>
              </w:rPr>
            </w:pPr>
            <w:r>
              <w:rPr>
                <w:rFonts w:ascii="Arial" w:cs="Arial" w:eastAsia="Arial" w:hAnsi="Arial"/>
                <w:sz w:val="16"/>
                <w:szCs w:val="16"/>
                <w:color w:val="auto"/>
              </w:rPr>
              <w:t>Johnson Controls International</w:t>
            </w:r>
          </w:p>
        </w:tc>
        <w:tc>
          <w:tcPr>
            <w:tcW w:w="20" w:type="dxa"/>
            <w:vAlign w:val="bottom"/>
          </w:tcPr>
          <w:p>
            <w:pPr>
              <w:spacing w:after="0"/>
              <w:rPr>
                <w:sz w:val="21"/>
                <w:szCs w:val="21"/>
                <w:color w:val="auto"/>
              </w:rPr>
            </w:pPr>
          </w:p>
        </w:tc>
      </w:tr>
      <w:tr>
        <w:trPr>
          <w:trHeight w:val="243"/>
        </w:trPr>
        <w:tc>
          <w:tcPr>
            <w:tcW w:w="2940" w:type="dxa"/>
            <w:vAlign w:val="bottom"/>
          </w:tcPr>
          <w:p>
            <w:pPr>
              <w:ind w:left="100"/>
              <w:spacing w:after="0" w:line="243" w:lineRule="exact"/>
              <w:rPr>
                <w:sz w:val="20"/>
                <w:szCs w:val="20"/>
                <w:color w:val="auto"/>
              </w:rPr>
            </w:pPr>
            <w:r>
              <w:rPr>
                <w:rFonts w:ascii="Arial" w:cs="Arial" w:eastAsia="Arial" w:hAnsi="Arial"/>
                <w:sz w:val="16"/>
                <w:szCs w:val="16"/>
                <w:color w:val="auto"/>
              </w:rPr>
              <w:t xml:space="preserve">The Boeing Company </w:t>
            </w:r>
            <w:r>
              <w:rPr>
                <w:rFonts w:ascii="Arial" w:cs="Arial" w:eastAsia="Arial" w:hAnsi="Arial"/>
                <w:sz w:val="26"/>
                <w:szCs w:val="26"/>
                <w:color w:val="auto"/>
                <w:vertAlign w:val="superscript"/>
              </w:rPr>
              <w:t>(1)</w:t>
            </w:r>
          </w:p>
        </w:tc>
        <w:tc>
          <w:tcPr>
            <w:tcW w:w="6800" w:type="dxa"/>
            <w:vAlign w:val="bottom"/>
          </w:tcPr>
          <w:p>
            <w:pPr>
              <w:ind w:left="2040"/>
              <w:spacing w:after="0" w:line="243" w:lineRule="exact"/>
              <w:rPr>
                <w:sz w:val="20"/>
                <w:szCs w:val="20"/>
                <w:color w:val="auto"/>
              </w:rPr>
            </w:pPr>
            <w:r>
              <w:rPr>
                <w:rFonts w:ascii="Arial" w:cs="Arial" w:eastAsia="Arial" w:hAnsi="Arial"/>
                <w:sz w:val="16"/>
                <w:szCs w:val="16"/>
                <w:color w:val="auto"/>
              </w:rPr>
              <w:t xml:space="preserve">L3Harris Technologies, Inc. </w:t>
            </w:r>
            <w:r>
              <w:rPr>
                <w:rFonts w:ascii="Arial" w:cs="Arial" w:eastAsia="Arial" w:hAnsi="Arial"/>
                <w:sz w:val="26"/>
                <w:szCs w:val="26"/>
                <w:color w:val="auto"/>
                <w:vertAlign w:val="superscript"/>
              </w:rPr>
              <w:t>(1) (2)</w:t>
            </w:r>
          </w:p>
        </w:tc>
        <w:tc>
          <w:tcPr>
            <w:tcW w:w="20" w:type="dxa"/>
            <w:vAlign w:val="bottom"/>
          </w:tcPr>
          <w:p>
            <w:pPr>
              <w:spacing w:after="0"/>
              <w:rPr>
                <w:sz w:val="21"/>
                <w:szCs w:val="21"/>
                <w:color w:val="auto"/>
              </w:rPr>
            </w:pPr>
          </w:p>
        </w:tc>
      </w:tr>
      <w:tr>
        <w:trPr>
          <w:trHeight w:val="243"/>
        </w:trPr>
        <w:tc>
          <w:tcPr>
            <w:tcW w:w="2940" w:type="dxa"/>
            <w:vAlign w:val="bottom"/>
            <w:shd w:val="clear" w:color="auto" w:fill="CCD4DB"/>
          </w:tcPr>
          <w:p>
            <w:pPr>
              <w:ind w:left="100"/>
              <w:spacing w:after="0"/>
              <w:rPr>
                <w:sz w:val="20"/>
                <w:szCs w:val="20"/>
                <w:color w:val="auto"/>
              </w:rPr>
            </w:pPr>
            <w:r>
              <w:rPr>
                <w:rFonts w:ascii="Arial" w:cs="Arial" w:eastAsia="Arial" w:hAnsi="Arial"/>
                <w:sz w:val="16"/>
                <w:szCs w:val="16"/>
                <w:color w:val="auto"/>
              </w:rPr>
              <w:t>Caterpillar, Inc.</w:t>
            </w:r>
          </w:p>
        </w:tc>
        <w:tc>
          <w:tcPr>
            <w:tcW w:w="6800" w:type="dxa"/>
            <w:vAlign w:val="bottom"/>
            <w:shd w:val="clear" w:color="auto" w:fill="CCD4DB"/>
          </w:tcPr>
          <w:p>
            <w:pPr>
              <w:ind w:left="2040"/>
              <w:spacing w:after="0" w:line="243" w:lineRule="exact"/>
              <w:rPr>
                <w:sz w:val="20"/>
                <w:szCs w:val="20"/>
                <w:color w:val="auto"/>
              </w:rPr>
            </w:pPr>
            <w:r>
              <w:rPr>
                <w:rFonts w:ascii="Arial" w:cs="Arial" w:eastAsia="Arial" w:hAnsi="Arial"/>
                <w:sz w:val="16"/>
                <w:szCs w:val="16"/>
                <w:color w:val="auto"/>
              </w:rPr>
              <w:t xml:space="preserve">Lockheed Martin Corporation </w:t>
            </w:r>
            <w:r>
              <w:rPr>
                <w:rFonts w:ascii="Arial" w:cs="Arial" w:eastAsia="Arial" w:hAnsi="Arial"/>
                <w:sz w:val="26"/>
                <w:szCs w:val="26"/>
                <w:color w:val="auto"/>
                <w:vertAlign w:val="superscript"/>
              </w:rPr>
              <w:t>(1)</w:t>
            </w:r>
          </w:p>
        </w:tc>
        <w:tc>
          <w:tcPr>
            <w:tcW w:w="20" w:type="dxa"/>
            <w:vAlign w:val="bottom"/>
          </w:tcPr>
          <w:p>
            <w:pPr>
              <w:spacing w:after="0"/>
              <w:rPr>
                <w:sz w:val="21"/>
                <w:szCs w:val="21"/>
                <w:color w:val="auto"/>
              </w:rPr>
            </w:pPr>
          </w:p>
        </w:tc>
      </w:tr>
      <w:tr>
        <w:trPr>
          <w:trHeight w:val="243"/>
        </w:trPr>
        <w:tc>
          <w:tcPr>
            <w:tcW w:w="2940" w:type="dxa"/>
            <w:vAlign w:val="bottom"/>
          </w:tcPr>
          <w:p>
            <w:pPr>
              <w:ind w:left="100"/>
              <w:spacing w:after="0"/>
              <w:rPr>
                <w:sz w:val="20"/>
                <w:szCs w:val="20"/>
                <w:color w:val="auto"/>
              </w:rPr>
            </w:pPr>
            <w:r>
              <w:rPr>
                <w:rFonts w:ascii="Arial" w:cs="Arial" w:eastAsia="Arial" w:hAnsi="Arial"/>
                <w:sz w:val="16"/>
                <w:szCs w:val="16"/>
                <w:color w:val="auto"/>
              </w:rPr>
              <w:t>Eaton Corporation</w:t>
            </w:r>
          </w:p>
        </w:tc>
        <w:tc>
          <w:tcPr>
            <w:tcW w:w="6800" w:type="dxa"/>
            <w:vAlign w:val="bottom"/>
          </w:tcPr>
          <w:p>
            <w:pPr>
              <w:ind w:left="2040"/>
              <w:spacing w:after="0" w:line="243" w:lineRule="exact"/>
              <w:rPr>
                <w:sz w:val="20"/>
                <w:szCs w:val="20"/>
                <w:color w:val="auto"/>
              </w:rPr>
            </w:pPr>
            <w:r>
              <w:rPr>
                <w:rFonts w:ascii="Arial" w:cs="Arial" w:eastAsia="Arial" w:hAnsi="Arial"/>
                <w:sz w:val="16"/>
                <w:szCs w:val="16"/>
                <w:color w:val="auto"/>
              </w:rPr>
              <w:t xml:space="preserve">Parker-Hannifin Corporation </w:t>
            </w:r>
            <w:r>
              <w:rPr>
                <w:rFonts w:ascii="Arial" w:cs="Arial" w:eastAsia="Arial" w:hAnsi="Arial"/>
                <w:sz w:val="26"/>
                <w:szCs w:val="26"/>
                <w:color w:val="auto"/>
                <w:vertAlign w:val="superscript"/>
              </w:rPr>
              <w:t>(3)</w:t>
            </w:r>
          </w:p>
        </w:tc>
        <w:tc>
          <w:tcPr>
            <w:tcW w:w="20" w:type="dxa"/>
            <w:vAlign w:val="bottom"/>
          </w:tcPr>
          <w:p>
            <w:pPr>
              <w:spacing w:after="0"/>
              <w:rPr>
                <w:sz w:val="21"/>
                <w:szCs w:val="21"/>
                <w:color w:val="auto"/>
              </w:rPr>
            </w:pPr>
          </w:p>
        </w:tc>
      </w:tr>
      <w:tr>
        <w:trPr>
          <w:trHeight w:val="243"/>
        </w:trPr>
        <w:tc>
          <w:tcPr>
            <w:tcW w:w="2940" w:type="dxa"/>
            <w:vAlign w:val="bottom"/>
            <w:shd w:val="clear" w:color="auto" w:fill="CCD4DB"/>
          </w:tcPr>
          <w:p>
            <w:pPr>
              <w:ind w:left="100"/>
              <w:spacing w:after="0"/>
              <w:rPr>
                <w:sz w:val="20"/>
                <w:szCs w:val="20"/>
                <w:color w:val="auto"/>
              </w:rPr>
            </w:pPr>
            <w:r>
              <w:rPr>
                <w:rFonts w:ascii="Arial" w:cs="Arial" w:eastAsia="Arial" w:hAnsi="Arial"/>
                <w:sz w:val="16"/>
                <w:szCs w:val="16"/>
                <w:color w:val="auto"/>
              </w:rPr>
              <w:t>Emerson Electric Company</w:t>
            </w:r>
          </w:p>
        </w:tc>
        <w:tc>
          <w:tcPr>
            <w:tcW w:w="6800" w:type="dxa"/>
            <w:vAlign w:val="bottom"/>
            <w:shd w:val="clear" w:color="auto" w:fill="CCD4DB"/>
          </w:tcPr>
          <w:p>
            <w:pPr>
              <w:ind w:left="2040"/>
              <w:spacing w:after="0" w:line="243" w:lineRule="exact"/>
              <w:rPr>
                <w:sz w:val="20"/>
                <w:szCs w:val="20"/>
                <w:color w:val="auto"/>
              </w:rPr>
            </w:pPr>
            <w:r>
              <w:rPr>
                <w:rFonts w:ascii="Arial" w:cs="Arial" w:eastAsia="Arial" w:hAnsi="Arial"/>
                <w:sz w:val="16"/>
                <w:szCs w:val="16"/>
                <w:color w:val="auto"/>
              </w:rPr>
              <w:t xml:space="preserve">Raytheon Company </w:t>
            </w:r>
            <w:r>
              <w:rPr>
                <w:rFonts w:ascii="Arial" w:cs="Arial" w:eastAsia="Arial" w:hAnsi="Arial"/>
                <w:sz w:val="26"/>
                <w:szCs w:val="26"/>
                <w:color w:val="auto"/>
                <w:vertAlign w:val="superscript"/>
              </w:rPr>
              <w:t>(1)</w:t>
            </w:r>
          </w:p>
        </w:tc>
        <w:tc>
          <w:tcPr>
            <w:tcW w:w="20" w:type="dxa"/>
            <w:vAlign w:val="bottom"/>
          </w:tcPr>
          <w:p>
            <w:pPr>
              <w:spacing w:after="0"/>
              <w:rPr>
                <w:sz w:val="21"/>
                <w:szCs w:val="21"/>
                <w:color w:val="auto"/>
              </w:rPr>
            </w:pPr>
          </w:p>
        </w:tc>
      </w:tr>
      <w:tr>
        <w:trPr>
          <w:trHeight w:val="243"/>
        </w:trPr>
        <w:tc>
          <w:tcPr>
            <w:tcW w:w="2940" w:type="dxa"/>
            <w:vAlign w:val="bottom"/>
          </w:tcPr>
          <w:p>
            <w:pPr>
              <w:ind w:left="100"/>
              <w:spacing w:after="0" w:line="243" w:lineRule="exact"/>
              <w:rPr>
                <w:sz w:val="20"/>
                <w:szCs w:val="20"/>
                <w:color w:val="auto"/>
              </w:rPr>
            </w:pPr>
            <w:r>
              <w:rPr>
                <w:rFonts w:ascii="Arial" w:cs="Arial" w:eastAsia="Arial" w:hAnsi="Arial"/>
                <w:sz w:val="16"/>
                <w:szCs w:val="16"/>
                <w:color w:val="auto"/>
              </w:rPr>
              <w:t xml:space="preserve">General Dynamics Corporation </w:t>
            </w:r>
            <w:r>
              <w:rPr>
                <w:rFonts w:ascii="Arial" w:cs="Arial" w:eastAsia="Arial" w:hAnsi="Arial"/>
                <w:sz w:val="26"/>
                <w:szCs w:val="26"/>
                <w:color w:val="auto"/>
                <w:vertAlign w:val="superscript"/>
              </w:rPr>
              <w:t>(1)</w:t>
            </w:r>
          </w:p>
        </w:tc>
        <w:tc>
          <w:tcPr>
            <w:tcW w:w="6800" w:type="dxa"/>
            <w:vAlign w:val="bottom"/>
          </w:tcPr>
          <w:p>
            <w:pPr>
              <w:ind w:left="2040"/>
              <w:spacing w:after="0"/>
              <w:rPr>
                <w:sz w:val="20"/>
                <w:szCs w:val="20"/>
                <w:color w:val="auto"/>
              </w:rPr>
            </w:pPr>
            <w:r>
              <w:rPr>
                <w:rFonts w:ascii="Arial" w:cs="Arial" w:eastAsia="Arial" w:hAnsi="Arial"/>
                <w:sz w:val="16"/>
                <w:szCs w:val="16"/>
                <w:color w:val="auto"/>
              </w:rPr>
              <w:t>Textron, Inc.</w:t>
            </w:r>
          </w:p>
        </w:tc>
        <w:tc>
          <w:tcPr>
            <w:tcW w:w="20" w:type="dxa"/>
            <w:vAlign w:val="bottom"/>
          </w:tcPr>
          <w:p>
            <w:pPr>
              <w:spacing w:after="0"/>
              <w:rPr>
                <w:sz w:val="21"/>
                <w:szCs w:val="21"/>
                <w:color w:val="auto"/>
              </w:rPr>
            </w:pPr>
          </w:p>
        </w:tc>
      </w:tr>
      <w:tr>
        <w:trPr>
          <w:trHeight w:val="243"/>
        </w:trPr>
        <w:tc>
          <w:tcPr>
            <w:tcW w:w="2940" w:type="dxa"/>
            <w:vAlign w:val="bottom"/>
            <w:tcBorders>
              <w:bottom w:val="single" w:sz="8" w:color="00249C"/>
            </w:tcBorders>
            <w:shd w:val="clear" w:color="auto" w:fill="CCD4DB"/>
          </w:tcPr>
          <w:p>
            <w:pPr>
              <w:ind w:left="100"/>
              <w:spacing w:after="0" w:line="243" w:lineRule="exact"/>
              <w:rPr>
                <w:sz w:val="20"/>
                <w:szCs w:val="20"/>
                <w:color w:val="auto"/>
              </w:rPr>
            </w:pPr>
            <w:r>
              <w:rPr>
                <w:rFonts w:ascii="Arial" w:cs="Arial" w:eastAsia="Arial" w:hAnsi="Arial"/>
                <w:sz w:val="16"/>
                <w:szCs w:val="16"/>
                <w:color w:val="auto"/>
              </w:rPr>
              <w:t xml:space="preserve">Honeywell International, Inc. </w:t>
            </w:r>
            <w:r>
              <w:rPr>
                <w:rFonts w:ascii="Arial" w:cs="Arial" w:eastAsia="Arial" w:hAnsi="Arial"/>
                <w:sz w:val="26"/>
                <w:szCs w:val="26"/>
                <w:color w:val="auto"/>
                <w:vertAlign w:val="superscript"/>
              </w:rPr>
              <w:t>(1)</w:t>
            </w:r>
          </w:p>
        </w:tc>
        <w:tc>
          <w:tcPr>
            <w:tcW w:w="6800" w:type="dxa"/>
            <w:vAlign w:val="bottom"/>
            <w:tcBorders>
              <w:bottom w:val="single" w:sz="8" w:color="00249C"/>
            </w:tcBorders>
            <w:shd w:val="clear" w:color="auto" w:fill="CCD4DB"/>
          </w:tcPr>
          <w:p>
            <w:pPr>
              <w:ind w:left="2040"/>
              <w:spacing w:after="0" w:line="243" w:lineRule="exact"/>
              <w:rPr>
                <w:sz w:val="20"/>
                <w:szCs w:val="20"/>
                <w:color w:val="auto"/>
              </w:rPr>
            </w:pPr>
            <w:r>
              <w:rPr>
                <w:rFonts w:ascii="Arial" w:cs="Arial" w:eastAsia="Arial" w:hAnsi="Arial"/>
                <w:sz w:val="16"/>
                <w:szCs w:val="16"/>
                <w:color w:val="auto"/>
              </w:rPr>
              <w:t xml:space="preserve">United Technologies Corporation </w:t>
            </w:r>
            <w:r>
              <w:rPr>
                <w:rFonts w:ascii="Arial" w:cs="Arial" w:eastAsia="Arial" w:hAnsi="Arial"/>
                <w:sz w:val="26"/>
                <w:szCs w:val="26"/>
                <w:color w:val="auto"/>
                <w:vertAlign w:val="superscript"/>
              </w:rPr>
              <w:t>(4)</w:t>
            </w:r>
          </w:p>
        </w:tc>
        <w:tc>
          <w:tcPr>
            <w:tcW w:w="20" w:type="dxa"/>
            <w:vAlign w:val="bottom"/>
          </w:tcPr>
          <w:p>
            <w:pPr>
              <w:spacing w:after="0"/>
              <w:rPr>
                <w:sz w:val="21"/>
                <w:szCs w:val="21"/>
                <w:color w:val="auto"/>
              </w:rPr>
            </w:pPr>
          </w:p>
        </w:tc>
      </w:tr>
    </w:tbl>
    <w:p>
      <w:pPr>
        <w:ind w:left="1000" w:hanging="216"/>
        <w:spacing w:after="0" w:line="186" w:lineRule="auto"/>
        <w:tabs>
          <w:tab w:leader="none" w:pos="1000"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Included in the subset of six direct peers also used for compensation benchmarking</w:t>
      </w:r>
    </w:p>
    <w:p>
      <w:pPr>
        <w:spacing w:after="0" w:line="49" w:lineRule="exact"/>
        <w:rPr>
          <w:rFonts w:ascii="Arial" w:cs="Arial" w:eastAsia="Arial" w:hAnsi="Arial"/>
          <w:sz w:val="25"/>
          <w:szCs w:val="25"/>
          <w:color w:val="auto"/>
          <w:vertAlign w:val="superscript"/>
        </w:rPr>
      </w:pPr>
    </w:p>
    <w:p>
      <w:pPr>
        <w:ind w:left="1000" w:hanging="216"/>
        <w:spacing w:after="0" w:line="184" w:lineRule="auto"/>
        <w:tabs>
          <w:tab w:leader="none" w:pos="100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L3 Technologies, Inc. merged with Harris Corporation in 2019, forming L3Harris Technologies, Inc.</w:t>
      </w:r>
    </w:p>
    <w:p>
      <w:pPr>
        <w:spacing w:after="0" w:line="49" w:lineRule="exact"/>
        <w:rPr>
          <w:rFonts w:ascii="Arial" w:cs="Arial" w:eastAsia="Arial" w:hAnsi="Arial"/>
          <w:sz w:val="22"/>
          <w:szCs w:val="22"/>
          <w:color w:val="auto"/>
          <w:vertAlign w:val="superscript"/>
        </w:rPr>
      </w:pPr>
    </w:p>
    <w:p>
      <w:pPr>
        <w:ind w:left="980" w:hanging="196"/>
        <w:spacing w:after="0" w:line="184" w:lineRule="auto"/>
        <w:tabs>
          <w:tab w:leader="none" w:pos="98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Added in 2019</w:t>
      </w:r>
    </w:p>
    <w:p>
      <w:pPr>
        <w:spacing w:after="0" w:line="49" w:lineRule="exact"/>
        <w:rPr>
          <w:rFonts w:ascii="Arial" w:cs="Arial" w:eastAsia="Arial" w:hAnsi="Arial"/>
          <w:sz w:val="22"/>
          <w:szCs w:val="22"/>
          <w:color w:val="auto"/>
          <w:vertAlign w:val="superscript"/>
        </w:rPr>
      </w:pPr>
    </w:p>
    <w:p>
      <w:pPr>
        <w:ind w:left="1000" w:hanging="216"/>
        <w:spacing w:after="0" w:line="184" w:lineRule="auto"/>
        <w:tabs>
          <w:tab w:leader="none" w:pos="100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United Technologies Corporation acquired Rockwell Collins, Inc. in 2018</w:t>
      </w:r>
    </w:p>
    <w:p>
      <w:pPr>
        <w:spacing w:after="0" w:line="10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It is the Company's pay philosophy to provide the CEO a compensation package that comprises competitive elements of base salary and target variable pay relative to the Target Industry Peer Group. In 2019, the CEO's target total direct compensation approximated the median of the Target Industry Peer Group.</w:t>
      </w:r>
    </w:p>
    <w:p>
      <w:pPr>
        <w:spacing w:after="0" w:line="6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Another element of the Company's pay philosophy is to tie a significant portion of the CEO's pay to performance. As a result, the CEO's actual compensation may differ from this market median based on the Company's actual performance.</w:t>
      </w:r>
    </w:p>
    <w:p>
      <w:pPr>
        <w:spacing w:after="0" w:line="6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determining the base salary and target variable pay elements for the other NEOs, the Compensation Committee does not set any specific benchmark relative to the Target Industry Peer Group; rather, the Compensation Committee considers several factors in determining their compensation, including executive compensation levels and practices of the Target Industry Peer Group, NEO individual experience, growth in job as demonstrated through sustained performance, leadership impact, retention and pay relative to the CEO. Actual annual incentive awards and long-term incentive award opportunities reflect these factors, as well as Company performance.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43</w:t>
      </w:r>
    </w:p>
    <w:p>
      <w:pPr>
        <w:sectPr>
          <w:pgSz w:w="11900" w:h="16838" w:orient="portrait"/>
          <w:cols w:equalWidth="0" w:num="1">
            <w:col w:w="11240"/>
          </w:cols>
          <w:pgMar w:left="320" w:top="701" w:right="339" w:bottom="1440" w:gutter="0" w:footer="0" w:header="0"/>
        </w:sectPr>
      </w:pPr>
    </w:p>
    <w:bookmarkStart w:id="50" w:name="page51"/>
    <w:bookmarkEnd w:id="5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5911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Annual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our shareholder-approved 2002 Incentive Compensation Plan (the Plan), the Compensation Committee approves the annual incentive compensation target payout percentage for each NEO other than the CEO. For the CEO, such percentage is approved by the independent directors of the Board.</w:t>
      </w:r>
    </w:p>
    <w:p>
      <w:pPr>
        <w:spacing w:after="0" w:line="6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target incentive award (target bonus) represents a percentage of each NEO's base salary. Following the completion of the fiscal year, the target bonus is used by the Compensation Committee, together with its assessment of Company performance against pre-determined performance criteria, to determine the final bonus award amount.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Annual Incentive</w:t>
      </w:r>
    </w:p>
    <w:p>
      <w:pPr>
        <w:spacing w:after="0" w:line="1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2019 target bonus for the CEO was 180% of base salary, which was unchanged from 2018. For each of the other NEOs, the 2019 target bonus was 100% of base salary, which was also unchanged from 2018.</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Final bonus awards for each NEO were determined by multiplying the Northrop Grumman Company Performance Factor (CPF) by the target bonus. The CPF can range from 0% to 200%.</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Incentive Formula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106045</wp:posOffset>
            </wp:positionV>
            <wp:extent cx="3094355" cy="5657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94355" cy="565785"/>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FFFFFF"/>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447675</wp:posOffset>
            </wp:positionV>
            <wp:extent cx="874395" cy="5657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Target Payout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357505</wp:posOffset>
            </wp:positionV>
            <wp:extent cx="805815" cy="5657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05815"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Target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447675</wp:posOffset>
            </wp:positionV>
            <wp:extent cx="805815" cy="5657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05815" cy="565785"/>
                    </a:xfrm>
                    <a:prstGeom prst="rect">
                      <a:avLst/>
                    </a:prstGeom>
                    <a:noFill/>
                  </pic:spPr>
                </pic:pic>
              </a:graphicData>
            </a:graphic>
          </wp:anchor>
        </w:drawing>
      </w:r>
    </w:p>
    <w:p>
      <w:pPr>
        <w:spacing w:after="0" w:line="341" w:lineRule="exact"/>
        <w:rPr>
          <w:sz w:val="20"/>
          <w:szCs w:val="20"/>
          <w:color w:val="auto"/>
        </w:rPr>
      </w:pPr>
    </w:p>
    <w:p>
      <w:pPr>
        <w:sectPr>
          <w:pgSz w:w="11900" w:h="16838" w:orient="portrait"/>
          <w:cols w:equalWidth="0" w:num="5">
            <w:col w:w="4400" w:space="340"/>
            <w:col w:w="140" w:space="220"/>
            <w:col w:w="1180" w:space="220"/>
            <w:col w:w="120" w:space="240"/>
            <w:col w:w="4360"/>
          </w:cols>
          <w:pgMar w:left="320" w:top="86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FFFFFF"/>
        </w:rPr>
        <w:t>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CPF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center"/>
        <w:ind w:right="3280"/>
        <w:spacing w:after="0"/>
        <w:rPr>
          <w:sz w:val="20"/>
          <w:szCs w:val="20"/>
          <w:color w:val="auto"/>
        </w:rPr>
      </w:pPr>
      <w:r>
        <w:rPr>
          <w:rFonts w:ascii="Arial" w:cs="Arial" w:eastAsia="Arial" w:hAnsi="Arial"/>
          <w:sz w:val="17"/>
          <w:szCs w:val="17"/>
          <w:b w:val="1"/>
          <w:bCs w:val="1"/>
          <w:color w:val="FFFFFF"/>
        </w:rPr>
        <w:t>Final Bonus</w:t>
      </w:r>
    </w:p>
    <w:p>
      <w:pPr>
        <w:spacing w:after="0" w:line="29" w:lineRule="exact"/>
        <w:rPr>
          <w:sz w:val="20"/>
          <w:szCs w:val="20"/>
          <w:color w:val="auto"/>
        </w:rPr>
      </w:pPr>
    </w:p>
    <w:p>
      <w:pPr>
        <w:jc w:val="center"/>
        <w:ind w:right="3280"/>
        <w:spacing w:after="0"/>
        <w:rPr>
          <w:sz w:val="20"/>
          <w:szCs w:val="20"/>
          <w:color w:val="auto"/>
        </w:rPr>
      </w:pPr>
      <w:r>
        <w:rPr>
          <w:rFonts w:ascii="Arial" w:cs="Arial" w:eastAsia="Arial" w:hAnsi="Arial"/>
          <w:sz w:val="18"/>
          <w:szCs w:val="18"/>
          <w:b w:val="1"/>
          <w:bCs w:val="1"/>
          <w:color w:val="FFFFFF"/>
        </w:rPr>
        <w:t>Award</w:t>
      </w:r>
    </w:p>
    <w:p>
      <w:pPr>
        <w:spacing w:after="0" w:line="200" w:lineRule="exact"/>
        <w:rPr>
          <w:sz w:val="20"/>
          <w:szCs w:val="20"/>
          <w:color w:val="auto"/>
        </w:rPr>
      </w:pPr>
    </w:p>
    <w:p>
      <w:pPr>
        <w:sectPr>
          <w:pgSz w:w="11900" w:h="16838" w:orient="portrait"/>
          <w:cols w:equalWidth="0" w:num="5">
            <w:col w:w="4460" w:space="280"/>
            <w:col w:w="140" w:space="640"/>
            <w:col w:w="360" w:space="620"/>
            <w:col w:w="120" w:space="300"/>
            <w:col w:w="4300"/>
          </w:cols>
          <w:pgMar w:left="320" w:top="863" w:right="359" w:bottom="1440" w:gutter="0" w:footer="0" w:header="0"/>
          <w:type w:val="continuous"/>
        </w:sectPr>
      </w:pPr>
    </w:p>
    <w:p>
      <w:pPr>
        <w:spacing w:after="0" w:line="12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Annual performance evaluations are conducted by the CEO for each NEO, other than the CEO, and reviewed with the Compensation Committee. The Compensation Committee considers this performance information as well as the comparison to market data.</w:t>
      </w:r>
    </w:p>
    <w:p>
      <w:pPr>
        <w:spacing w:after="0" w:line="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approves bonus amounts for all NEOs except the CEO, whose annual bonus is recommended by the Compensation Committee to the independent members of the Board for approval. The Compensation Committee has discretion to make adjustments to the annual bonus payouts for NEOs, except the CEO, if it determines such adjustment is warranted. For example, in instances where Company performance has been impacted by unforeseen or unusual events, the Compensation Committee has exercised its authority to increase the final awards as necessary to preserve the intended incentives and benefits. The Compensation Committee has also adjusted payouts downward in the past, despite performance targets having been met, when it determined that particular circumstances had a negative impact on the Company but were not reflected in the performance calculation.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863" w:right="359" w:bottom="1440" w:gutter="0" w:footer="0" w:header="0"/>
          <w:type w:val="continuous"/>
        </w:sectPr>
      </w:pPr>
    </w:p>
    <w:bookmarkStart w:id="51" w:name="page52"/>
    <w:bookmarkEnd w:id="51"/>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5911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Annual Incentive Goals and Results</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the AIP, we use a mix of financial and non-financial metrics to measure our performance. Our AIP metrics reflect our commitment to investing for and achieving long-term profitable growth; maintaining alignment with shareholders' interests; and incentivizing top performance against our industry peers. For 2019, the Compensation Committee selected Pension-adjusted Cash Flow from Operations*, weighted at 35% and Pension-adjusted Net Income* Growth and Pension-adjusted OM Rate*, each weighted at 15%. The Committee also added Segment Operating Income* Growth as a fourth metric, weighted at 35%. The metrics are defined as follows:</w:t>
      </w:r>
    </w:p>
    <w:p>
      <w:pPr>
        <w:spacing w:after="0" w:line="75" w:lineRule="exact"/>
        <w:rPr>
          <w:sz w:val="20"/>
          <w:szCs w:val="20"/>
          <w:color w:val="auto"/>
        </w:rPr>
      </w:pPr>
    </w:p>
    <w:p>
      <w:pPr>
        <w:ind w:left="340" w:right="120" w:hanging="332"/>
        <w:spacing w:after="0" w:line="288" w:lineRule="auto"/>
        <w:tabs>
          <w:tab w:leader="none" w:pos="340" w:val="left"/>
        </w:tabs>
        <w:numPr>
          <w:ilvl w:val="0"/>
          <w:numId w:val="55"/>
        </w:numPr>
        <w:rPr>
          <w:rFonts w:ascii="Arial" w:cs="Arial" w:eastAsia="Arial" w:hAnsi="Arial"/>
          <w:sz w:val="22"/>
          <w:szCs w:val="22"/>
          <w:color w:val="00249C"/>
        </w:rPr>
      </w:pPr>
      <w:r>
        <w:rPr>
          <w:rFonts w:ascii="Arial" w:cs="Arial" w:eastAsia="Arial" w:hAnsi="Arial"/>
          <w:sz w:val="18"/>
          <w:szCs w:val="18"/>
          <w:b w:val="1"/>
          <w:bCs w:val="1"/>
          <w:color w:val="auto"/>
        </w:rPr>
        <w:t xml:space="preserve">Pension-adjusted Cash Flow from Operations*: </w:t>
      </w:r>
      <w:r>
        <w:rPr>
          <w:rFonts w:ascii="Arial" w:cs="Arial" w:eastAsia="Arial" w:hAnsi="Arial"/>
          <w:sz w:val="18"/>
          <w:szCs w:val="18"/>
          <w:color w:val="auto"/>
        </w:rPr>
        <w:t>calculated as cash provided by operating activities before the after-tax impact of</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discretionary pension contributions*. This metric emphasizes the importance of converting earnings into cash and enables management to make capital investment decisions that support long-term profitable growth without impacting performance-based incentive compensation.</w:t>
      </w:r>
    </w:p>
    <w:p>
      <w:pPr>
        <w:spacing w:after="0" w:line="58" w:lineRule="exact"/>
        <w:rPr>
          <w:rFonts w:ascii="Arial" w:cs="Arial" w:eastAsia="Arial" w:hAnsi="Arial"/>
          <w:sz w:val="22"/>
          <w:szCs w:val="22"/>
          <w:color w:val="00249C"/>
        </w:rPr>
      </w:pPr>
    </w:p>
    <w:p>
      <w:pPr>
        <w:ind w:left="340" w:right="140" w:hanging="332"/>
        <w:spacing w:after="0" w:line="284" w:lineRule="auto"/>
        <w:tabs>
          <w:tab w:leader="none" w:pos="340" w:val="left"/>
        </w:tabs>
        <w:numPr>
          <w:ilvl w:val="0"/>
          <w:numId w:val="55"/>
        </w:numPr>
        <w:rPr>
          <w:rFonts w:ascii="Arial" w:cs="Arial" w:eastAsia="Arial" w:hAnsi="Arial"/>
          <w:sz w:val="22"/>
          <w:szCs w:val="22"/>
          <w:color w:val="00249C"/>
        </w:rPr>
      </w:pPr>
      <w:r>
        <w:rPr>
          <w:rFonts w:ascii="Arial" w:cs="Arial" w:eastAsia="Arial" w:hAnsi="Arial"/>
          <w:sz w:val="18"/>
          <w:szCs w:val="18"/>
          <w:b w:val="1"/>
          <w:bCs w:val="1"/>
          <w:color w:val="auto"/>
        </w:rPr>
        <w:t xml:space="preserve">Segment Operating Income* Growth: </w:t>
      </w:r>
      <w:r>
        <w:rPr>
          <w:rFonts w:ascii="Arial" w:cs="Arial" w:eastAsia="Arial" w:hAnsi="Arial"/>
          <w:sz w:val="18"/>
          <w:szCs w:val="18"/>
          <w:color w:val="auto"/>
        </w:rPr>
        <w:t>calculated as segment operating income* multiplied by a market-based growth rate. This metric</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incentivizes management to focus on profitable growth and enables management to evaluate the financial performance and operational trends of our sectors.</w:t>
      </w:r>
    </w:p>
    <w:p>
      <w:pPr>
        <w:spacing w:after="0" w:line="61" w:lineRule="exact"/>
        <w:rPr>
          <w:rFonts w:ascii="Arial" w:cs="Arial" w:eastAsia="Arial" w:hAnsi="Arial"/>
          <w:sz w:val="22"/>
          <w:szCs w:val="22"/>
          <w:color w:val="00249C"/>
        </w:rPr>
      </w:pPr>
    </w:p>
    <w:p>
      <w:pPr>
        <w:ind w:left="340" w:right="80" w:hanging="332"/>
        <w:spacing w:after="0" w:line="284" w:lineRule="auto"/>
        <w:tabs>
          <w:tab w:leader="none" w:pos="340" w:val="left"/>
        </w:tabs>
        <w:numPr>
          <w:ilvl w:val="0"/>
          <w:numId w:val="55"/>
        </w:numPr>
        <w:rPr>
          <w:rFonts w:ascii="Arial" w:cs="Arial" w:eastAsia="Arial" w:hAnsi="Arial"/>
          <w:sz w:val="22"/>
          <w:szCs w:val="22"/>
          <w:color w:val="00249C"/>
        </w:rPr>
      </w:pPr>
      <w:r>
        <w:rPr>
          <w:rFonts w:ascii="Arial" w:cs="Arial" w:eastAsia="Arial" w:hAnsi="Arial"/>
          <w:sz w:val="18"/>
          <w:szCs w:val="18"/>
          <w:b w:val="1"/>
          <w:bCs w:val="1"/>
          <w:color w:val="auto"/>
        </w:rPr>
        <w:t xml:space="preserve">Pension-adjusted Net Income* Growth: </w:t>
      </w:r>
      <w:r>
        <w:rPr>
          <w:rFonts w:ascii="Arial" w:cs="Arial" w:eastAsia="Arial" w:hAnsi="Arial"/>
          <w:sz w:val="18"/>
          <w:szCs w:val="18"/>
          <w:color w:val="auto"/>
        </w:rPr>
        <w:t>calculated as net income before the after-tax impact of the total net FAS/CAS pension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multiplied by a market-based growth rate. This metric incentivizes management to achieve relative long-term profitable growth greater than a projected industry growth rate.</w:t>
      </w:r>
    </w:p>
    <w:p>
      <w:pPr>
        <w:spacing w:after="0" w:line="61" w:lineRule="exact"/>
        <w:rPr>
          <w:rFonts w:ascii="Arial" w:cs="Arial" w:eastAsia="Arial" w:hAnsi="Arial"/>
          <w:sz w:val="22"/>
          <w:szCs w:val="22"/>
          <w:color w:val="00249C"/>
        </w:rPr>
      </w:pPr>
    </w:p>
    <w:p>
      <w:pPr>
        <w:ind w:left="340" w:right="940" w:hanging="332"/>
        <w:spacing w:after="0" w:line="281" w:lineRule="auto"/>
        <w:tabs>
          <w:tab w:leader="none" w:pos="340" w:val="left"/>
        </w:tabs>
        <w:numPr>
          <w:ilvl w:val="0"/>
          <w:numId w:val="55"/>
        </w:numPr>
        <w:rPr>
          <w:rFonts w:ascii="Arial" w:cs="Arial" w:eastAsia="Arial" w:hAnsi="Arial"/>
          <w:sz w:val="22"/>
          <w:szCs w:val="22"/>
          <w:color w:val="00249C"/>
        </w:rPr>
      </w:pPr>
      <w:r>
        <w:rPr>
          <w:rFonts w:ascii="Arial" w:cs="Arial" w:eastAsia="Arial" w:hAnsi="Arial"/>
          <w:sz w:val="18"/>
          <w:szCs w:val="18"/>
          <w:b w:val="1"/>
          <w:bCs w:val="1"/>
          <w:color w:val="auto"/>
        </w:rPr>
        <w:t xml:space="preserve">Pension-adjusted OM Rate*: </w:t>
      </w:r>
      <w:r>
        <w:rPr>
          <w:rFonts w:ascii="Arial" w:cs="Arial" w:eastAsia="Arial" w:hAnsi="Arial"/>
          <w:sz w:val="18"/>
          <w:szCs w:val="18"/>
          <w:color w:val="auto"/>
        </w:rPr>
        <w:t>calculated as OM rate (operating margin divided by sales) before net FAS (service)/CAS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This metric establishes high program performance expectations for the Company.</w:t>
      </w:r>
    </w:p>
    <w:p>
      <w:pPr>
        <w:spacing w:after="0" w:line="50"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In addition to these financial goals, we use non-financial goals to align our objectives with all our stakeholders. Performance against non-financial metrics can result only in a downward adjustment to the financial metric score. For 2019, we selected the following non-financial metrics, including a new seventh metric to assess Operational Efficiency:</w:t>
      </w:r>
    </w:p>
    <w:p>
      <w:pPr>
        <w:spacing w:after="0" w:line="72" w:lineRule="exact"/>
        <w:rPr>
          <w:sz w:val="20"/>
          <w:szCs w:val="20"/>
          <w:color w:val="auto"/>
        </w:rPr>
      </w:pPr>
    </w:p>
    <w:p>
      <w:pPr>
        <w:ind w:left="340" w:right="280" w:hanging="332"/>
        <w:spacing w:after="0" w:line="281" w:lineRule="auto"/>
        <w:tabs>
          <w:tab w:leader="none" w:pos="340" w:val="left"/>
        </w:tabs>
        <w:numPr>
          <w:ilvl w:val="0"/>
          <w:numId w:val="56"/>
        </w:numPr>
        <w:rPr>
          <w:rFonts w:ascii="Arial" w:cs="Arial" w:eastAsia="Arial" w:hAnsi="Arial"/>
          <w:sz w:val="22"/>
          <w:szCs w:val="22"/>
          <w:color w:val="00249C"/>
        </w:rPr>
      </w:pPr>
      <w:r>
        <w:rPr>
          <w:rFonts w:ascii="Arial" w:cs="Arial" w:eastAsia="Arial" w:hAnsi="Arial"/>
          <w:sz w:val="18"/>
          <w:szCs w:val="18"/>
          <w:b w:val="1"/>
          <w:bCs w:val="1"/>
          <w:color w:val="auto"/>
        </w:rPr>
        <w:t xml:space="preserve">Quality: </w:t>
      </w:r>
      <w:r>
        <w:rPr>
          <w:rFonts w:ascii="Arial" w:cs="Arial" w:eastAsia="Arial" w:hAnsi="Arial"/>
          <w:sz w:val="18"/>
          <w:szCs w:val="18"/>
          <w:color w:val="auto"/>
        </w:rPr>
        <w:t>measured using program-specific objectives, including defect rates, process quality, supplier quality, planning quality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criteria for program type and phase.</w:t>
      </w:r>
    </w:p>
    <w:p>
      <w:pPr>
        <w:spacing w:after="0" w:line="55" w:lineRule="exact"/>
        <w:rPr>
          <w:rFonts w:ascii="Arial" w:cs="Arial" w:eastAsia="Arial" w:hAnsi="Arial"/>
          <w:sz w:val="22"/>
          <w:szCs w:val="22"/>
          <w:color w:val="00249C"/>
        </w:rPr>
      </w:pPr>
    </w:p>
    <w:p>
      <w:pPr>
        <w:ind w:left="340" w:right="180" w:hanging="332"/>
        <w:spacing w:after="0" w:line="281" w:lineRule="auto"/>
        <w:tabs>
          <w:tab w:leader="none" w:pos="340" w:val="left"/>
        </w:tabs>
        <w:numPr>
          <w:ilvl w:val="0"/>
          <w:numId w:val="56"/>
        </w:numPr>
        <w:rPr>
          <w:rFonts w:ascii="Arial" w:cs="Arial" w:eastAsia="Arial" w:hAnsi="Arial"/>
          <w:sz w:val="22"/>
          <w:szCs w:val="22"/>
          <w:color w:val="00249C"/>
        </w:rPr>
      </w:pPr>
      <w:r>
        <w:rPr>
          <w:rFonts w:ascii="Arial" w:cs="Arial" w:eastAsia="Arial" w:hAnsi="Arial"/>
          <w:sz w:val="18"/>
          <w:szCs w:val="18"/>
          <w:b w:val="1"/>
          <w:bCs w:val="1"/>
          <w:color w:val="auto"/>
        </w:rPr>
        <w:t xml:space="preserve">Customer Satisfaction: </w:t>
      </w:r>
      <w:r>
        <w:rPr>
          <w:rFonts w:ascii="Arial" w:cs="Arial" w:eastAsia="Arial" w:hAnsi="Arial"/>
          <w:sz w:val="18"/>
          <w:szCs w:val="18"/>
          <w:color w:val="auto"/>
        </w:rPr>
        <w:t>measured in terms of customer feedback, including customer-generated performance scores, award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verbal and written feedback.</w:t>
      </w:r>
    </w:p>
    <w:p>
      <w:pPr>
        <w:spacing w:after="0" w:line="55" w:lineRule="exact"/>
        <w:rPr>
          <w:rFonts w:ascii="Arial" w:cs="Arial" w:eastAsia="Arial" w:hAnsi="Arial"/>
          <w:sz w:val="22"/>
          <w:szCs w:val="22"/>
          <w:color w:val="00249C"/>
        </w:rPr>
      </w:pPr>
    </w:p>
    <w:p>
      <w:pPr>
        <w:ind w:left="340" w:right="100" w:hanging="332"/>
        <w:spacing w:after="0" w:line="281" w:lineRule="auto"/>
        <w:tabs>
          <w:tab w:leader="none" w:pos="340" w:val="left"/>
        </w:tabs>
        <w:numPr>
          <w:ilvl w:val="0"/>
          <w:numId w:val="56"/>
        </w:numPr>
        <w:rPr>
          <w:rFonts w:ascii="Arial" w:cs="Arial" w:eastAsia="Arial" w:hAnsi="Arial"/>
          <w:sz w:val="22"/>
          <w:szCs w:val="22"/>
          <w:color w:val="00249C"/>
        </w:rPr>
      </w:pPr>
      <w:r>
        <w:rPr>
          <w:rFonts w:ascii="Arial" w:cs="Arial" w:eastAsia="Arial" w:hAnsi="Arial"/>
          <w:sz w:val="18"/>
          <w:szCs w:val="18"/>
          <w:b w:val="1"/>
          <w:bCs w:val="1"/>
          <w:color w:val="auto"/>
        </w:rPr>
        <w:t xml:space="preserve">Engagement &amp; Inclusion: </w:t>
      </w:r>
      <w:r>
        <w:rPr>
          <w:rFonts w:ascii="Arial" w:cs="Arial" w:eastAsia="Arial" w:hAnsi="Arial"/>
          <w:sz w:val="18"/>
          <w:szCs w:val="18"/>
          <w:color w:val="auto"/>
        </w:rPr>
        <w:t>measured based on performance at or above the global high performing norm for engagement and inclusion</w:t>
      </w:r>
      <w:r>
        <w:rPr>
          <w:rFonts w:ascii="Arial" w:cs="Arial" w:eastAsia="Arial" w:hAnsi="Arial"/>
          <w:sz w:val="18"/>
          <w:szCs w:val="18"/>
          <w:b w:val="1"/>
          <w:bCs w:val="1"/>
          <w:color w:val="auto"/>
        </w:rPr>
        <w:t xml:space="preserve"> </w:t>
      </w:r>
      <w:r>
        <w:rPr>
          <w:rFonts w:ascii="Arial" w:cs="Arial" w:eastAsia="Arial" w:hAnsi="Arial"/>
          <w:sz w:val="18"/>
          <w:szCs w:val="18"/>
          <w:color w:val="auto"/>
        </w:rPr>
        <w:t>indices.</w:t>
      </w:r>
    </w:p>
    <w:p>
      <w:pPr>
        <w:spacing w:after="0" w:line="55" w:lineRule="exact"/>
        <w:rPr>
          <w:rFonts w:ascii="Arial" w:cs="Arial" w:eastAsia="Arial" w:hAnsi="Arial"/>
          <w:sz w:val="22"/>
          <w:szCs w:val="22"/>
          <w:color w:val="00249C"/>
        </w:rPr>
      </w:pPr>
    </w:p>
    <w:p>
      <w:pPr>
        <w:ind w:left="340" w:right="140" w:hanging="332"/>
        <w:spacing w:after="0" w:line="281" w:lineRule="auto"/>
        <w:tabs>
          <w:tab w:leader="none" w:pos="340" w:val="left"/>
        </w:tabs>
        <w:numPr>
          <w:ilvl w:val="0"/>
          <w:numId w:val="56"/>
        </w:numPr>
        <w:rPr>
          <w:rFonts w:ascii="Arial" w:cs="Arial" w:eastAsia="Arial" w:hAnsi="Arial"/>
          <w:sz w:val="22"/>
          <w:szCs w:val="22"/>
          <w:color w:val="00249C"/>
        </w:rPr>
      </w:pPr>
      <w:r>
        <w:rPr>
          <w:rFonts w:ascii="Arial" w:cs="Arial" w:eastAsia="Arial" w:hAnsi="Arial"/>
          <w:sz w:val="18"/>
          <w:szCs w:val="18"/>
          <w:b w:val="1"/>
          <w:bCs w:val="1"/>
          <w:color w:val="auto"/>
        </w:rPr>
        <w:t xml:space="preserve">Operational Efficiency: </w:t>
      </w:r>
      <w:r>
        <w:rPr>
          <w:rFonts w:ascii="Arial" w:cs="Arial" w:eastAsia="Arial" w:hAnsi="Arial"/>
          <w:sz w:val="18"/>
          <w:szCs w:val="18"/>
          <w:color w:val="auto"/>
        </w:rPr>
        <w:t>measured in terms of taking action to streamline processes and ensure decisions and accountability are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levels to enable speed and agility while preserving superior performance.</w:t>
      </w:r>
    </w:p>
    <w:p>
      <w:pPr>
        <w:spacing w:after="0" w:line="55" w:lineRule="exact"/>
        <w:rPr>
          <w:rFonts w:ascii="Arial" w:cs="Arial" w:eastAsia="Arial" w:hAnsi="Arial"/>
          <w:sz w:val="22"/>
          <w:szCs w:val="22"/>
          <w:color w:val="00249C"/>
        </w:rPr>
      </w:pPr>
    </w:p>
    <w:p>
      <w:pPr>
        <w:ind w:left="340" w:right="140" w:hanging="332"/>
        <w:spacing w:after="0" w:line="281" w:lineRule="auto"/>
        <w:tabs>
          <w:tab w:leader="none" w:pos="340" w:val="left"/>
        </w:tabs>
        <w:numPr>
          <w:ilvl w:val="0"/>
          <w:numId w:val="56"/>
        </w:numPr>
        <w:rPr>
          <w:rFonts w:ascii="Arial" w:cs="Arial" w:eastAsia="Arial" w:hAnsi="Arial"/>
          <w:sz w:val="22"/>
          <w:szCs w:val="22"/>
          <w:color w:val="00249C"/>
        </w:rPr>
      </w:pPr>
      <w:r>
        <w:rPr>
          <w:rFonts w:ascii="Arial" w:cs="Arial" w:eastAsia="Arial" w:hAnsi="Arial"/>
          <w:sz w:val="18"/>
          <w:szCs w:val="18"/>
          <w:b w:val="1"/>
          <w:bCs w:val="1"/>
          <w:color w:val="auto"/>
        </w:rPr>
        <w:t xml:space="preserve">Diversity: </w:t>
      </w:r>
      <w:r>
        <w:rPr>
          <w:rFonts w:ascii="Arial" w:cs="Arial" w:eastAsia="Arial" w:hAnsi="Arial"/>
          <w:sz w:val="18"/>
          <w:szCs w:val="18"/>
          <w:color w:val="auto"/>
        </w:rPr>
        <w:t>measured in terms of representation of females and people of color in all management level positions with respect to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and external benchmarks.</w:t>
      </w:r>
    </w:p>
    <w:p>
      <w:pPr>
        <w:spacing w:after="0" w:line="55" w:lineRule="exact"/>
        <w:rPr>
          <w:rFonts w:ascii="Arial" w:cs="Arial" w:eastAsia="Arial" w:hAnsi="Arial"/>
          <w:sz w:val="22"/>
          <w:szCs w:val="22"/>
          <w:color w:val="00249C"/>
        </w:rPr>
      </w:pPr>
    </w:p>
    <w:p>
      <w:pPr>
        <w:ind w:left="340" w:right="820" w:hanging="332"/>
        <w:spacing w:after="0" w:line="281" w:lineRule="auto"/>
        <w:tabs>
          <w:tab w:leader="none" w:pos="340" w:val="left"/>
        </w:tabs>
        <w:numPr>
          <w:ilvl w:val="0"/>
          <w:numId w:val="56"/>
        </w:numPr>
        <w:rPr>
          <w:rFonts w:ascii="Arial" w:cs="Arial" w:eastAsia="Arial" w:hAnsi="Arial"/>
          <w:sz w:val="22"/>
          <w:szCs w:val="22"/>
          <w:color w:val="00249C"/>
        </w:rPr>
      </w:pPr>
      <w:r>
        <w:rPr>
          <w:rFonts w:ascii="Arial" w:cs="Arial" w:eastAsia="Arial" w:hAnsi="Arial"/>
          <w:sz w:val="18"/>
          <w:szCs w:val="18"/>
          <w:b w:val="1"/>
          <w:bCs w:val="1"/>
          <w:color w:val="auto"/>
        </w:rPr>
        <w:t xml:space="preserve">Environmental Sustainability: </w:t>
      </w:r>
      <w:r>
        <w:rPr>
          <w:rFonts w:ascii="Arial" w:cs="Arial" w:eastAsia="Arial" w:hAnsi="Arial"/>
          <w:sz w:val="18"/>
          <w:szCs w:val="18"/>
          <w:color w:val="auto"/>
        </w:rPr>
        <w:t>measured in terms of reductions in absolute greenhouse gas emissions and potable water use</w:t>
      </w:r>
      <w:r>
        <w:rPr>
          <w:rFonts w:ascii="Arial" w:cs="Arial" w:eastAsia="Arial" w:hAnsi="Arial"/>
          <w:sz w:val="18"/>
          <w:szCs w:val="18"/>
          <w:b w:val="1"/>
          <w:bCs w:val="1"/>
          <w:color w:val="auto"/>
        </w:rPr>
        <w:t xml:space="preserve"> </w:t>
      </w:r>
      <w:r>
        <w:rPr>
          <w:rFonts w:ascii="Arial" w:cs="Arial" w:eastAsia="Arial" w:hAnsi="Arial"/>
          <w:sz w:val="18"/>
          <w:szCs w:val="18"/>
          <w:color w:val="auto"/>
        </w:rPr>
        <w:t>consumption, and improvement in solid waste diversion (i.e., waste diverted from landfill disposal).</w:t>
      </w:r>
    </w:p>
    <w:p>
      <w:pPr>
        <w:spacing w:after="0" w:line="55" w:lineRule="exact"/>
        <w:rPr>
          <w:rFonts w:ascii="Arial" w:cs="Arial" w:eastAsia="Arial" w:hAnsi="Arial"/>
          <w:sz w:val="22"/>
          <w:szCs w:val="22"/>
          <w:color w:val="00249C"/>
        </w:rPr>
      </w:pPr>
    </w:p>
    <w:p>
      <w:pPr>
        <w:ind w:left="340" w:right="240" w:hanging="332"/>
        <w:spacing w:after="0" w:line="281" w:lineRule="auto"/>
        <w:tabs>
          <w:tab w:leader="none" w:pos="340" w:val="left"/>
        </w:tabs>
        <w:numPr>
          <w:ilvl w:val="0"/>
          <w:numId w:val="56"/>
        </w:numPr>
        <w:rPr>
          <w:rFonts w:ascii="Arial" w:cs="Arial" w:eastAsia="Arial" w:hAnsi="Arial"/>
          <w:sz w:val="22"/>
          <w:szCs w:val="22"/>
          <w:color w:val="00249C"/>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measured by total case rate, defined as the number of Occupational Safety &amp; Health Administration recordable injuries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by lost work day rate associated with those injuries.</w:t>
      </w:r>
    </w:p>
    <w:p>
      <w:pPr>
        <w:spacing w:after="0" w:line="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AIP provides for payout levels from 0% to 200% of target. The minimum, target and maximum performance levels are derived based on an analysis of the past performance of our Performance Peer Group (Pension-adjusted Net Income* Growth is based on projected market growth rates). Specific values are identified for each metric at selected points in the range between minimum and maximum and other values are determined by linear interpolation between these points. No payout is made if performance is below the minimum. Above-target payout can be earned only if the Company’s performance exceeds the performance threshold noted in the table on the following page. The maximum 200% payout is based upon top quartile past performance of the Performance Peer Group. This structure rewards superior performance by aligning above-target payouts to outperforming our peer benchmarks and provides reduced awards for below target performance.</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45</w:t>
      </w:r>
    </w:p>
    <w:p>
      <w:pPr>
        <w:sectPr>
          <w:pgSz w:w="11900" w:h="16838" w:orient="portrait"/>
          <w:cols w:equalWidth="0" w:num="1">
            <w:col w:w="11240"/>
          </w:cols>
          <w:pgMar w:left="320" w:top="863" w:right="339" w:bottom="1440" w:gutter="0" w:footer="0" w:header="0"/>
        </w:sectPr>
      </w:pPr>
    </w:p>
    <w:bookmarkStart w:id="52" w:name="page53"/>
    <w:bookmarkEnd w:id="52"/>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5911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In determining the CPF, both financial and non-financial performance against goals is assessed. The 2019 Company financial performance for the four metrics shown in the table below was 172%. As approved by the Compensation Committee, Company performance calculations exclude Orbital ATK transaction-related expenses and certain impacts related to the MTM method of accounting for the Company's pension and OPB plans as detailed in "Appendix A - Use of Non-GAAP Financial Measures".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00" w:type="dxa"/>
            <w:vAlign w:val="bottom"/>
            <w:shd w:val="clear" w:color="auto" w:fill="00249C"/>
          </w:tcPr>
          <w:p>
            <w:pPr>
              <w:spacing w:after="0"/>
              <w:rPr>
                <w:sz w:val="18"/>
                <w:szCs w:val="18"/>
                <w:color w:val="auto"/>
              </w:rPr>
            </w:pPr>
          </w:p>
        </w:tc>
        <w:tc>
          <w:tcPr>
            <w:tcW w:w="1660" w:type="dxa"/>
            <w:vAlign w:val="bottom"/>
            <w:shd w:val="clear" w:color="auto" w:fill="00249C"/>
          </w:tcPr>
          <w:p>
            <w:pPr>
              <w:spacing w:after="0"/>
              <w:rPr>
                <w:sz w:val="18"/>
                <w:szCs w:val="18"/>
                <w:color w:val="auto"/>
              </w:rPr>
            </w:pPr>
          </w:p>
        </w:tc>
        <w:tc>
          <w:tcPr>
            <w:tcW w:w="1740" w:type="dxa"/>
            <w:vAlign w:val="bottom"/>
            <w:shd w:val="clear" w:color="auto" w:fill="00249C"/>
          </w:tcPr>
          <w:p>
            <w:pPr>
              <w:jc w:val="center"/>
              <w:ind w:left="59"/>
              <w:spacing w:after="0"/>
              <w:rPr>
                <w:sz w:val="20"/>
                <w:szCs w:val="20"/>
                <w:color w:val="auto"/>
              </w:rPr>
            </w:pPr>
            <w:r>
              <w:rPr>
                <w:rFonts w:ascii="Arial" w:cs="Arial" w:eastAsia="Arial" w:hAnsi="Arial"/>
                <w:sz w:val="16"/>
                <w:szCs w:val="16"/>
                <w:b w:val="1"/>
                <w:bCs w:val="1"/>
                <w:color w:val="FFFFFF"/>
              </w:rPr>
              <w:t>Performance to</w:t>
            </w:r>
          </w:p>
        </w:tc>
        <w:tc>
          <w:tcPr>
            <w:tcW w:w="1800" w:type="dxa"/>
            <w:vAlign w:val="bottom"/>
            <w:shd w:val="clear" w:color="auto" w:fill="00249C"/>
          </w:tcPr>
          <w:p>
            <w:pPr>
              <w:spacing w:after="0"/>
              <w:rPr>
                <w:sz w:val="18"/>
                <w:szCs w:val="18"/>
                <w:color w:val="auto"/>
              </w:rPr>
            </w:pPr>
          </w:p>
        </w:tc>
        <w:tc>
          <w:tcPr>
            <w:tcW w:w="1540" w:type="dxa"/>
            <w:vAlign w:val="bottom"/>
            <w:shd w:val="clear" w:color="auto" w:fill="00249C"/>
          </w:tcPr>
          <w:p>
            <w:pPr>
              <w:spacing w:after="0"/>
              <w:rPr>
                <w:sz w:val="18"/>
                <w:szCs w:val="18"/>
                <w:color w:val="auto"/>
              </w:rPr>
            </w:pPr>
          </w:p>
        </w:tc>
        <w:tc>
          <w:tcPr>
            <w:tcW w:w="20" w:type="dxa"/>
            <w:vAlign w:val="bottom"/>
            <w:shd w:val="clear" w:color="auto" w:fill="00249C"/>
          </w:tcPr>
          <w:p>
            <w:pPr>
              <w:spacing w:after="0"/>
              <w:rPr>
                <w:sz w:val="18"/>
                <w:szCs w:val="18"/>
                <w:color w:val="auto"/>
              </w:rPr>
            </w:pPr>
          </w:p>
        </w:tc>
      </w:tr>
      <w:tr>
        <w:trPr>
          <w:trHeight w:val="189"/>
        </w:trPr>
        <w:tc>
          <w:tcPr>
            <w:tcW w:w="4500" w:type="dxa"/>
            <w:vAlign w:val="bottom"/>
            <w:shd w:val="clear" w:color="auto" w:fill="00249C"/>
          </w:tcPr>
          <w:p>
            <w:pPr>
              <w:spacing w:after="0"/>
              <w:rPr>
                <w:sz w:val="16"/>
                <w:szCs w:val="16"/>
                <w:color w:val="auto"/>
              </w:rPr>
            </w:pPr>
          </w:p>
        </w:tc>
        <w:tc>
          <w:tcPr>
            <w:tcW w:w="1660" w:type="dxa"/>
            <w:vAlign w:val="bottom"/>
            <w:shd w:val="clear" w:color="auto" w:fill="00249C"/>
          </w:tcPr>
          <w:p>
            <w:pPr>
              <w:spacing w:after="0"/>
              <w:rPr>
                <w:sz w:val="16"/>
                <w:szCs w:val="16"/>
                <w:color w:val="auto"/>
              </w:rPr>
            </w:pPr>
          </w:p>
        </w:tc>
        <w:tc>
          <w:tcPr>
            <w:tcW w:w="1740" w:type="dxa"/>
            <w:vAlign w:val="bottom"/>
            <w:shd w:val="clear" w:color="auto" w:fill="00249C"/>
          </w:tcPr>
          <w:p>
            <w:pPr>
              <w:jc w:val="center"/>
              <w:ind w:left="59"/>
              <w:spacing w:after="0"/>
              <w:rPr>
                <w:sz w:val="20"/>
                <w:szCs w:val="20"/>
                <w:color w:val="auto"/>
              </w:rPr>
            </w:pPr>
            <w:r>
              <w:rPr>
                <w:rFonts w:ascii="Arial" w:cs="Arial" w:eastAsia="Arial" w:hAnsi="Arial"/>
                <w:sz w:val="16"/>
                <w:szCs w:val="16"/>
                <w:b w:val="1"/>
                <w:bCs w:val="1"/>
                <w:color w:val="FFFFFF"/>
              </w:rPr>
              <w:t>Achieve Target</w:t>
            </w:r>
          </w:p>
        </w:tc>
        <w:tc>
          <w:tcPr>
            <w:tcW w:w="1800" w:type="dxa"/>
            <w:vAlign w:val="bottom"/>
            <w:shd w:val="clear" w:color="auto" w:fill="00249C"/>
          </w:tcPr>
          <w:p>
            <w:pPr>
              <w:spacing w:after="0"/>
              <w:rPr>
                <w:sz w:val="16"/>
                <w:szCs w:val="16"/>
                <w:color w:val="auto"/>
              </w:rPr>
            </w:pPr>
          </w:p>
        </w:tc>
        <w:tc>
          <w:tcPr>
            <w:tcW w:w="154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2019 Financial</w:t>
            </w:r>
          </w:p>
        </w:tc>
        <w:tc>
          <w:tcPr>
            <w:tcW w:w="20" w:type="dxa"/>
            <w:vAlign w:val="bottom"/>
            <w:shd w:val="clear" w:color="auto" w:fill="00249C"/>
          </w:tcPr>
          <w:p>
            <w:pPr>
              <w:spacing w:after="0"/>
              <w:rPr>
                <w:sz w:val="16"/>
                <w:szCs w:val="16"/>
                <w:color w:val="auto"/>
              </w:rPr>
            </w:pPr>
          </w:p>
        </w:tc>
      </w:tr>
      <w:tr>
        <w:trPr>
          <w:trHeight w:val="228"/>
        </w:trPr>
        <w:tc>
          <w:tcPr>
            <w:tcW w:w="450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6"/>
                <w:szCs w:val="16"/>
                <w:b w:val="1"/>
                <w:bCs w:val="1"/>
                <w:color w:val="FFFFFF"/>
              </w:rPr>
              <w:t>Metric/Goal</w:t>
            </w:r>
          </w:p>
        </w:tc>
        <w:tc>
          <w:tcPr>
            <w:tcW w:w="1660" w:type="dxa"/>
            <w:vAlign w:val="bottom"/>
            <w:tcBorders>
              <w:bottom w:val="single" w:sz="8" w:color="00249C"/>
            </w:tcBorders>
            <w:shd w:val="clear" w:color="auto" w:fill="00249C"/>
          </w:tcPr>
          <w:p>
            <w:pPr>
              <w:jc w:val="center"/>
              <w:ind w:left="79"/>
              <w:spacing w:after="0"/>
              <w:rPr>
                <w:sz w:val="20"/>
                <w:szCs w:val="20"/>
                <w:color w:val="auto"/>
              </w:rPr>
            </w:pPr>
            <w:r>
              <w:rPr>
                <w:rFonts w:ascii="Arial" w:cs="Arial" w:eastAsia="Arial" w:hAnsi="Arial"/>
                <w:sz w:val="16"/>
                <w:szCs w:val="16"/>
                <w:b w:val="1"/>
                <w:bCs w:val="1"/>
                <w:color w:val="FFFFFF"/>
              </w:rPr>
              <w:t>Weighting</w:t>
            </w:r>
          </w:p>
        </w:tc>
        <w:tc>
          <w:tcPr>
            <w:tcW w:w="1740" w:type="dxa"/>
            <w:vAlign w:val="bottom"/>
            <w:tcBorders>
              <w:bottom w:val="single" w:sz="8" w:color="00249C"/>
            </w:tcBorders>
            <w:shd w:val="clear" w:color="auto" w:fill="00249C"/>
          </w:tcPr>
          <w:p>
            <w:pPr>
              <w:jc w:val="center"/>
              <w:ind w:left="79"/>
              <w:spacing w:after="0"/>
              <w:rPr>
                <w:sz w:val="20"/>
                <w:szCs w:val="20"/>
                <w:color w:val="auto"/>
              </w:rPr>
            </w:pPr>
            <w:r>
              <w:rPr>
                <w:rFonts w:ascii="Arial" w:cs="Arial" w:eastAsia="Arial" w:hAnsi="Arial"/>
                <w:sz w:val="16"/>
                <w:szCs w:val="16"/>
                <w:b w:val="1"/>
                <w:bCs w:val="1"/>
                <w:color w:val="FFFFFF"/>
              </w:rPr>
              <w:t>Payout</w:t>
            </w:r>
          </w:p>
        </w:tc>
        <w:tc>
          <w:tcPr>
            <w:tcW w:w="1800" w:type="dxa"/>
            <w:vAlign w:val="bottom"/>
            <w:tcBorders>
              <w:bottom w:val="single" w:sz="8" w:color="00249C"/>
            </w:tcBorders>
            <w:shd w:val="clear" w:color="auto" w:fill="00249C"/>
          </w:tcPr>
          <w:p>
            <w:pPr>
              <w:ind w:left="200"/>
              <w:spacing w:after="0"/>
              <w:rPr>
                <w:sz w:val="20"/>
                <w:szCs w:val="20"/>
                <w:color w:val="auto"/>
              </w:rPr>
            </w:pPr>
            <w:r>
              <w:rPr>
                <w:rFonts w:ascii="Arial" w:cs="Arial" w:eastAsia="Arial" w:hAnsi="Arial"/>
                <w:sz w:val="16"/>
                <w:szCs w:val="16"/>
                <w:b w:val="1"/>
                <w:bCs w:val="1"/>
                <w:color w:val="FFFFFF"/>
              </w:rPr>
              <w:t>2019 Performance</w:t>
            </w:r>
          </w:p>
        </w:tc>
        <w:tc>
          <w:tcPr>
            <w:tcW w:w="154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Score</w:t>
            </w:r>
          </w:p>
        </w:tc>
        <w:tc>
          <w:tcPr>
            <w:tcW w:w="20" w:type="dxa"/>
            <w:vAlign w:val="bottom"/>
            <w:tcBorders>
              <w:bottom w:val="single" w:sz="8" w:color="00249C"/>
            </w:tcBorders>
            <w:shd w:val="clear" w:color="auto" w:fill="00249C"/>
          </w:tcPr>
          <w:p>
            <w:pPr>
              <w:spacing w:after="0"/>
              <w:rPr>
                <w:sz w:val="19"/>
                <w:szCs w:val="19"/>
                <w:color w:val="auto"/>
              </w:rPr>
            </w:pPr>
          </w:p>
        </w:tc>
      </w:tr>
      <w:tr>
        <w:trPr>
          <w:trHeight w:val="243"/>
        </w:trPr>
        <w:tc>
          <w:tcPr>
            <w:tcW w:w="4500" w:type="dxa"/>
            <w:vAlign w:val="bottom"/>
            <w:shd w:val="clear" w:color="auto" w:fill="CCD4DB"/>
          </w:tcPr>
          <w:p>
            <w:pPr>
              <w:ind w:left="40"/>
              <w:spacing w:after="0"/>
              <w:rPr>
                <w:sz w:val="20"/>
                <w:szCs w:val="20"/>
                <w:color w:val="auto"/>
              </w:rPr>
            </w:pPr>
            <w:r>
              <w:rPr>
                <w:rFonts w:ascii="Arial" w:cs="Arial" w:eastAsia="Arial" w:hAnsi="Arial"/>
                <w:sz w:val="16"/>
                <w:szCs w:val="16"/>
                <w:color w:val="auto"/>
              </w:rPr>
              <w:t>Pension-adjusted Cash Flow from Operations*</w:t>
            </w:r>
          </w:p>
        </w:tc>
        <w:tc>
          <w:tcPr>
            <w:tcW w:w="1660" w:type="dxa"/>
            <w:vAlign w:val="bottom"/>
            <w:shd w:val="clear" w:color="auto" w:fill="CCD4DB"/>
          </w:tcPr>
          <w:p>
            <w:pPr>
              <w:jc w:val="center"/>
              <w:ind w:left="99"/>
              <w:spacing w:after="0"/>
              <w:rPr>
                <w:sz w:val="20"/>
                <w:szCs w:val="20"/>
                <w:color w:val="auto"/>
              </w:rPr>
            </w:pPr>
            <w:r>
              <w:rPr>
                <w:rFonts w:ascii="Arial" w:cs="Arial" w:eastAsia="Arial" w:hAnsi="Arial"/>
                <w:sz w:val="16"/>
                <w:szCs w:val="16"/>
                <w:color w:val="auto"/>
                <w:w w:val="99"/>
              </w:rPr>
              <w:t>35%</w:t>
            </w:r>
          </w:p>
        </w:tc>
        <w:tc>
          <w:tcPr>
            <w:tcW w:w="17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$3.6B</w:t>
            </w:r>
          </w:p>
        </w:tc>
        <w:tc>
          <w:tcPr>
            <w:tcW w:w="1800" w:type="dxa"/>
            <w:vAlign w:val="bottom"/>
            <w:shd w:val="clear" w:color="auto" w:fill="CCD4DB"/>
          </w:tcPr>
          <w:p>
            <w:pPr>
              <w:jc w:val="center"/>
              <w:ind w:right="59"/>
              <w:spacing w:after="0"/>
              <w:rPr>
                <w:sz w:val="20"/>
                <w:szCs w:val="20"/>
                <w:color w:val="auto"/>
              </w:rPr>
            </w:pPr>
            <w:r>
              <w:rPr>
                <w:rFonts w:ascii="Arial" w:cs="Arial" w:eastAsia="Arial" w:hAnsi="Arial"/>
                <w:sz w:val="16"/>
                <w:szCs w:val="16"/>
                <w:color w:val="auto"/>
              </w:rPr>
              <w:t>$4.5B</w:t>
            </w:r>
          </w:p>
        </w:tc>
        <w:tc>
          <w:tcPr>
            <w:tcW w:w="15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21"/>
                <w:szCs w:val="21"/>
                <w:color w:val="auto"/>
              </w:rPr>
            </w:pPr>
          </w:p>
        </w:tc>
      </w:tr>
      <w:tr>
        <w:trPr>
          <w:trHeight w:val="233"/>
        </w:trPr>
        <w:tc>
          <w:tcPr>
            <w:tcW w:w="4500" w:type="dxa"/>
            <w:vAlign w:val="bottom"/>
          </w:tcPr>
          <w:p>
            <w:pPr>
              <w:ind w:left="40"/>
              <w:spacing w:after="0"/>
              <w:rPr>
                <w:sz w:val="20"/>
                <w:szCs w:val="20"/>
                <w:color w:val="auto"/>
              </w:rPr>
            </w:pPr>
            <w:r>
              <w:rPr>
                <w:rFonts w:ascii="Arial" w:cs="Arial" w:eastAsia="Arial" w:hAnsi="Arial"/>
                <w:sz w:val="16"/>
                <w:szCs w:val="16"/>
                <w:color w:val="auto"/>
              </w:rPr>
              <w:t>Segment Operating Income* Growth</w:t>
            </w:r>
          </w:p>
        </w:tc>
        <w:tc>
          <w:tcPr>
            <w:tcW w:w="1660" w:type="dxa"/>
            <w:vAlign w:val="bottom"/>
          </w:tcPr>
          <w:p>
            <w:pPr>
              <w:jc w:val="center"/>
              <w:ind w:left="99"/>
              <w:spacing w:after="0"/>
              <w:rPr>
                <w:sz w:val="20"/>
                <w:szCs w:val="20"/>
                <w:color w:val="auto"/>
              </w:rPr>
            </w:pPr>
            <w:r>
              <w:rPr>
                <w:rFonts w:ascii="Arial" w:cs="Arial" w:eastAsia="Arial" w:hAnsi="Arial"/>
                <w:sz w:val="16"/>
                <w:szCs w:val="16"/>
                <w:color w:val="auto"/>
                <w:w w:val="99"/>
              </w:rPr>
              <w:t>35%</w:t>
            </w:r>
          </w:p>
        </w:tc>
        <w:tc>
          <w:tcPr>
            <w:tcW w:w="1740" w:type="dxa"/>
            <w:vAlign w:val="bottom"/>
          </w:tcPr>
          <w:p>
            <w:pPr>
              <w:jc w:val="center"/>
              <w:spacing w:after="0"/>
              <w:rPr>
                <w:sz w:val="20"/>
                <w:szCs w:val="20"/>
                <w:color w:val="auto"/>
              </w:rPr>
            </w:pPr>
            <w:r>
              <w:rPr>
                <w:rFonts w:ascii="Arial" w:cs="Arial" w:eastAsia="Arial" w:hAnsi="Arial"/>
                <w:sz w:val="16"/>
                <w:szCs w:val="16"/>
                <w:color w:val="auto"/>
              </w:rPr>
              <w:t>$3.8B</w:t>
            </w:r>
          </w:p>
        </w:tc>
        <w:tc>
          <w:tcPr>
            <w:tcW w:w="1800" w:type="dxa"/>
            <w:vAlign w:val="bottom"/>
          </w:tcPr>
          <w:p>
            <w:pPr>
              <w:jc w:val="center"/>
              <w:ind w:right="59"/>
              <w:spacing w:after="0"/>
              <w:rPr>
                <w:sz w:val="20"/>
                <w:szCs w:val="20"/>
                <w:color w:val="auto"/>
              </w:rPr>
            </w:pPr>
            <w:r>
              <w:rPr>
                <w:rFonts w:ascii="Arial" w:cs="Arial" w:eastAsia="Arial" w:hAnsi="Arial"/>
                <w:sz w:val="16"/>
                <w:szCs w:val="16"/>
                <w:color w:val="auto"/>
              </w:rPr>
              <w:t>$3.9B</w:t>
            </w:r>
          </w:p>
        </w:tc>
        <w:tc>
          <w:tcPr>
            <w:tcW w:w="1540" w:type="dxa"/>
            <w:vAlign w:val="bottom"/>
          </w:tcPr>
          <w:p>
            <w:pPr>
              <w:jc w:val="center"/>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20"/>
                <w:szCs w:val="20"/>
                <w:color w:val="auto"/>
              </w:rPr>
            </w:pPr>
          </w:p>
        </w:tc>
      </w:tr>
      <w:tr>
        <w:trPr>
          <w:trHeight w:val="253"/>
        </w:trPr>
        <w:tc>
          <w:tcPr>
            <w:tcW w:w="4500" w:type="dxa"/>
            <w:vAlign w:val="bottom"/>
            <w:shd w:val="clear" w:color="auto" w:fill="CCD4DB"/>
          </w:tcPr>
          <w:p>
            <w:pPr>
              <w:ind w:left="40"/>
              <w:spacing w:after="0"/>
              <w:rPr>
                <w:sz w:val="20"/>
                <w:szCs w:val="20"/>
                <w:color w:val="auto"/>
              </w:rPr>
            </w:pPr>
            <w:r>
              <w:rPr>
                <w:rFonts w:ascii="Arial" w:cs="Arial" w:eastAsia="Arial" w:hAnsi="Arial"/>
                <w:sz w:val="16"/>
                <w:szCs w:val="16"/>
                <w:color w:val="auto"/>
              </w:rPr>
              <w:t>Pension-adjusted Net Income* Growth</w:t>
            </w:r>
          </w:p>
        </w:tc>
        <w:tc>
          <w:tcPr>
            <w:tcW w:w="1660" w:type="dxa"/>
            <w:vAlign w:val="bottom"/>
            <w:shd w:val="clear" w:color="auto" w:fill="CCD4DB"/>
          </w:tcPr>
          <w:p>
            <w:pPr>
              <w:jc w:val="center"/>
              <w:ind w:left="99"/>
              <w:spacing w:after="0"/>
              <w:rPr>
                <w:sz w:val="20"/>
                <w:szCs w:val="20"/>
                <w:color w:val="auto"/>
              </w:rPr>
            </w:pPr>
            <w:r>
              <w:rPr>
                <w:rFonts w:ascii="Arial" w:cs="Arial" w:eastAsia="Arial" w:hAnsi="Arial"/>
                <w:sz w:val="16"/>
                <w:szCs w:val="16"/>
                <w:color w:val="auto"/>
                <w:w w:val="99"/>
              </w:rPr>
              <w:t>15%</w:t>
            </w:r>
          </w:p>
        </w:tc>
        <w:tc>
          <w:tcPr>
            <w:tcW w:w="17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$2.5B</w:t>
            </w:r>
          </w:p>
        </w:tc>
        <w:tc>
          <w:tcPr>
            <w:tcW w:w="1800" w:type="dxa"/>
            <w:vAlign w:val="bottom"/>
            <w:shd w:val="clear" w:color="auto" w:fill="CCD4DB"/>
          </w:tcPr>
          <w:p>
            <w:pPr>
              <w:jc w:val="center"/>
              <w:ind w:right="59"/>
              <w:spacing w:after="0"/>
              <w:rPr>
                <w:sz w:val="20"/>
                <w:szCs w:val="20"/>
                <w:color w:val="auto"/>
              </w:rPr>
            </w:pPr>
            <w:r>
              <w:rPr>
                <w:rFonts w:ascii="Arial" w:cs="Arial" w:eastAsia="Arial" w:hAnsi="Arial"/>
                <w:sz w:val="16"/>
                <w:szCs w:val="16"/>
                <w:color w:val="auto"/>
              </w:rPr>
              <w:t>$2.9B</w:t>
            </w:r>
          </w:p>
        </w:tc>
        <w:tc>
          <w:tcPr>
            <w:tcW w:w="15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1"/>
                <w:szCs w:val="21"/>
                <w:color w:val="auto"/>
              </w:rPr>
            </w:pPr>
          </w:p>
        </w:tc>
      </w:tr>
      <w:tr>
        <w:trPr>
          <w:trHeight w:val="237"/>
        </w:trPr>
        <w:tc>
          <w:tcPr>
            <w:tcW w:w="4500" w:type="dxa"/>
            <w:vAlign w:val="bottom"/>
            <w:tcBorders>
              <w:bottom w:val="single" w:sz="8" w:color="00249C"/>
            </w:tcBorders>
          </w:tcPr>
          <w:p>
            <w:pPr>
              <w:ind w:left="40"/>
              <w:spacing w:after="0"/>
              <w:rPr>
                <w:sz w:val="20"/>
                <w:szCs w:val="20"/>
                <w:color w:val="auto"/>
              </w:rPr>
            </w:pPr>
            <w:r>
              <w:rPr>
                <w:rFonts w:ascii="Arial" w:cs="Arial" w:eastAsia="Arial" w:hAnsi="Arial"/>
                <w:sz w:val="16"/>
                <w:szCs w:val="16"/>
                <w:color w:val="auto"/>
              </w:rPr>
              <w:t>Pension-adjusted OM Rate*</w:t>
            </w:r>
          </w:p>
        </w:tc>
        <w:tc>
          <w:tcPr>
            <w:tcW w:w="1660" w:type="dxa"/>
            <w:vAlign w:val="bottom"/>
            <w:tcBorders>
              <w:bottom w:val="single" w:sz="8" w:color="00249C"/>
            </w:tcBorders>
          </w:tcPr>
          <w:p>
            <w:pPr>
              <w:jc w:val="center"/>
              <w:ind w:left="99"/>
              <w:spacing w:after="0"/>
              <w:rPr>
                <w:sz w:val="20"/>
                <w:szCs w:val="20"/>
                <w:color w:val="auto"/>
              </w:rPr>
            </w:pPr>
            <w:r>
              <w:rPr>
                <w:rFonts w:ascii="Arial" w:cs="Arial" w:eastAsia="Arial" w:hAnsi="Arial"/>
                <w:sz w:val="16"/>
                <w:szCs w:val="16"/>
                <w:color w:val="auto"/>
                <w:w w:val="99"/>
              </w:rPr>
              <w:t>15%</w:t>
            </w:r>
          </w:p>
        </w:tc>
        <w:tc>
          <w:tcPr>
            <w:tcW w:w="174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10.6%</w:t>
            </w:r>
          </w:p>
        </w:tc>
        <w:tc>
          <w:tcPr>
            <w:tcW w:w="1800" w:type="dxa"/>
            <w:vAlign w:val="bottom"/>
            <w:tcBorders>
              <w:bottom w:val="single" w:sz="8" w:color="00249C"/>
            </w:tcBorders>
          </w:tcPr>
          <w:p>
            <w:pPr>
              <w:jc w:val="center"/>
              <w:ind w:right="79"/>
              <w:spacing w:after="0"/>
              <w:rPr>
                <w:sz w:val="20"/>
                <w:szCs w:val="20"/>
                <w:color w:val="auto"/>
              </w:rPr>
            </w:pPr>
            <w:r>
              <w:rPr>
                <w:rFonts w:ascii="Arial" w:cs="Arial" w:eastAsia="Arial" w:hAnsi="Arial"/>
                <w:sz w:val="16"/>
                <w:szCs w:val="16"/>
                <w:color w:val="auto"/>
              </w:rPr>
              <w:t>11.20%</w:t>
            </w:r>
          </w:p>
        </w:tc>
        <w:tc>
          <w:tcPr>
            <w:tcW w:w="154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20"/>
                <w:szCs w:val="20"/>
                <w:color w:val="auto"/>
              </w:rPr>
            </w:pPr>
          </w:p>
        </w:tc>
      </w:tr>
      <w:tr>
        <w:trPr>
          <w:trHeight w:val="237"/>
        </w:trPr>
        <w:tc>
          <w:tcPr>
            <w:tcW w:w="4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172%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11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Performance against the annual non-financial metrics cannot exceed 100% and can result only in a downward adjustment to the financial performance score. The Company demonstrated strong performance in 2019 overall against the non-financial goals, and the Compensation Committee approved a non-financial score of 97%. In consideration of both the financial and non-financial performance, the 2019 Company Performance Factor was determined to be 167%.</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Decisions for 2019</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February 2020, the Compensation Committee recommended, and the independent members of our Board approved, a 2019 annual incentive award of $ 4,509,000 for the CEO, Ms. Warden. Based on the CPF, Ms. Warden recommended, and the Compensation Committee approved, the other NEOs' annual incentive awards.</w:t>
      </w:r>
    </w:p>
    <w:p>
      <w:pPr>
        <w:spacing w:after="0" w:line="203" w:lineRule="exact"/>
        <w:rPr>
          <w:sz w:val="20"/>
          <w:szCs w:val="20"/>
          <w:color w:val="auto"/>
        </w:rPr>
      </w:pPr>
    </w:p>
    <w:tbl>
      <w:tblPr>
        <w:tblLayout w:type="fixed"/>
        <w:tblInd w:w="760" w:type="dxa"/>
        <w:tblCellMar>
          <w:top w:w="0" w:type="dxa"/>
          <w:left w:w="0" w:type="dxa"/>
          <w:bottom w:w="0" w:type="dxa"/>
          <w:right w:w="0" w:type="dxa"/>
        </w:tblCellMar>
      </w:tblPr>
      <w:tr>
        <w:trPr>
          <w:trHeight w:val="211"/>
        </w:trPr>
        <w:tc>
          <w:tcPr>
            <w:tcW w:w="2340" w:type="dxa"/>
            <w:vAlign w:val="bottom"/>
            <w:shd w:val="clear" w:color="auto" w:fill="00249C"/>
          </w:tcPr>
          <w:p>
            <w:pPr>
              <w:spacing w:after="0"/>
              <w:rPr>
                <w:sz w:val="18"/>
                <w:szCs w:val="18"/>
                <w:color w:val="auto"/>
              </w:rPr>
            </w:pPr>
          </w:p>
        </w:tc>
        <w:tc>
          <w:tcPr>
            <w:tcW w:w="1880" w:type="dxa"/>
            <w:vAlign w:val="bottom"/>
            <w:shd w:val="clear" w:color="auto" w:fill="00249C"/>
          </w:tcPr>
          <w:p>
            <w:pPr>
              <w:ind w:left="400"/>
              <w:spacing w:after="0"/>
              <w:rPr>
                <w:sz w:val="20"/>
                <w:szCs w:val="20"/>
                <w:color w:val="auto"/>
              </w:rPr>
            </w:pPr>
            <w:r>
              <w:rPr>
                <w:rFonts w:ascii="Arial" w:cs="Arial" w:eastAsia="Arial" w:hAnsi="Arial"/>
                <w:sz w:val="16"/>
                <w:szCs w:val="16"/>
                <w:b w:val="1"/>
                <w:bCs w:val="1"/>
                <w:color w:val="FFFFFF"/>
              </w:rPr>
              <w:t>Target Payout</w:t>
            </w:r>
          </w:p>
        </w:tc>
        <w:tc>
          <w:tcPr>
            <w:tcW w:w="186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Payout Range</w:t>
            </w:r>
          </w:p>
        </w:tc>
        <w:tc>
          <w:tcPr>
            <w:tcW w:w="18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Actual Payout</w:t>
            </w:r>
          </w:p>
        </w:tc>
        <w:tc>
          <w:tcPr>
            <w:tcW w:w="1860" w:type="dxa"/>
            <w:vAlign w:val="bottom"/>
            <w:shd w:val="clear" w:color="auto" w:fill="00249C"/>
          </w:tcPr>
          <w:p>
            <w:pPr>
              <w:spacing w:after="0"/>
              <w:rPr>
                <w:sz w:val="18"/>
                <w:szCs w:val="18"/>
                <w:color w:val="auto"/>
              </w:rPr>
            </w:pPr>
          </w:p>
        </w:tc>
        <w:tc>
          <w:tcPr>
            <w:tcW w:w="20" w:type="dxa"/>
            <w:vAlign w:val="bottom"/>
            <w:shd w:val="clear" w:color="auto" w:fill="00249C"/>
          </w:tcPr>
          <w:p>
            <w:pPr>
              <w:spacing w:after="0"/>
              <w:rPr>
                <w:sz w:val="18"/>
                <w:szCs w:val="18"/>
                <w:color w:val="auto"/>
              </w:rPr>
            </w:pPr>
          </w:p>
        </w:tc>
      </w:tr>
      <w:tr>
        <w:trPr>
          <w:trHeight w:val="248"/>
        </w:trPr>
        <w:tc>
          <w:tcPr>
            <w:tcW w:w="2340" w:type="dxa"/>
            <w:vAlign w:val="bottom"/>
            <w:shd w:val="clear" w:color="auto" w:fill="00249C"/>
          </w:tcPr>
          <w:p>
            <w:pPr>
              <w:ind w:left="40"/>
              <w:spacing w:after="0"/>
              <w:rPr>
                <w:sz w:val="20"/>
                <w:szCs w:val="20"/>
                <w:color w:val="auto"/>
              </w:rPr>
            </w:pPr>
            <w:r>
              <w:rPr>
                <w:rFonts w:ascii="Arial" w:cs="Arial" w:eastAsia="Arial" w:hAnsi="Arial"/>
                <w:sz w:val="16"/>
                <w:szCs w:val="16"/>
                <w:b w:val="1"/>
                <w:bCs w:val="1"/>
                <w:color w:val="FFFFFF"/>
              </w:rPr>
              <w:t>Name</w:t>
            </w:r>
          </w:p>
        </w:tc>
        <w:tc>
          <w:tcPr>
            <w:tcW w:w="18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w w:val="99"/>
              </w:rPr>
              <w:t>% of Salary</w:t>
            </w:r>
          </w:p>
        </w:tc>
        <w:tc>
          <w:tcPr>
            <w:tcW w:w="186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 of Salary</w:t>
            </w:r>
          </w:p>
        </w:tc>
        <w:tc>
          <w:tcPr>
            <w:tcW w:w="18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w w:val="99"/>
              </w:rPr>
              <w:t>% of Salary</w:t>
            </w:r>
          </w:p>
        </w:tc>
        <w:tc>
          <w:tcPr>
            <w:tcW w:w="1860" w:type="dxa"/>
            <w:vAlign w:val="bottom"/>
            <w:shd w:val="clear" w:color="auto" w:fill="00249C"/>
          </w:tcPr>
          <w:p>
            <w:pPr>
              <w:jc w:val="center"/>
              <w:ind w:left="19"/>
              <w:spacing w:after="0" w:line="233" w:lineRule="exact"/>
              <w:rPr>
                <w:sz w:val="20"/>
                <w:szCs w:val="20"/>
                <w:color w:val="auto"/>
              </w:rPr>
            </w:pPr>
            <w:r>
              <w:rPr>
                <w:rFonts w:ascii="Arial" w:cs="Arial" w:eastAsia="Arial" w:hAnsi="Arial"/>
                <w:sz w:val="16"/>
                <w:szCs w:val="16"/>
                <w:b w:val="1"/>
                <w:bCs w:val="1"/>
                <w:color w:val="FFFFFF"/>
                <w:w w:val="96"/>
              </w:rPr>
              <w:t xml:space="preserve">Actual Payout </w:t>
            </w:r>
            <w:r>
              <w:rPr>
                <w:rFonts w:ascii="Arial" w:cs="Arial" w:eastAsia="Arial" w:hAnsi="Arial"/>
                <w:sz w:val="26"/>
                <w:szCs w:val="26"/>
                <w:b w:val="1"/>
                <w:bCs w:val="1"/>
                <w:color w:val="FFFFFF"/>
                <w:w w:val="96"/>
                <w:vertAlign w:val="superscript"/>
              </w:rPr>
              <w:t>(1)</w:t>
            </w:r>
          </w:p>
        </w:tc>
        <w:tc>
          <w:tcPr>
            <w:tcW w:w="20" w:type="dxa"/>
            <w:vAlign w:val="bottom"/>
            <w:shd w:val="clear" w:color="auto" w:fill="00249C"/>
          </w:tcPr>
          <w:p>
            <w:pPr>
              <w:spacing w:after="0"/>
              <w:rPr>
                <w:sz w:val="21"/>
                <w:szCs w:val="21"/>
                <w:color w:val="auto"/>
              </w:rPr>
            </w:pPr>
          </w:p>
        </w:tc>
      </w:tr>
      <w:tr>
        <w:trPr>
          <w:trHeight w:val="250"/>
        </w:trPr>
        <w:tc>
          <w:tcPr>
            <w:tcW w:w="234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6"/>
                <w:szCs w:val="16"/>
                <w:color w:val="auto"/>
              </w:rPr>
              <w:t>Kathy J. Warden</w:t>
            </w:r>
          </w:p>
        </w:tc>
        <w:tc>
          <w:tcPr>
            <w:tcW w:w="18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rPr>
              <w:t>180%</w:t>
            </w:r>
          </w:p>
        </w:tc>
        <w:tc>
          <w:tcPr>
            <w:tcW w:w="18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rPr>
              <w:t>0% - 360%</w:t>
            </w:r>
          </w:p>
        </w:tc>
        <w:tc>
          <w:tcPr>
            <w:tcW w:w="18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rPr>
              <w:t>301%</w:t>
            </w:r>
          </w:p>
        </w:tc>
        <w:tc>
          <w:tcPr>
            <w:tcW w:w="1860" w:type="dxa"/>
            <w:vAlign w:val="bottom"/>
            <w:tcBorders>
              <w:bottom w:val="single" w:sz="8" w:color="CCD4DB"/>
            </w:tcBorders>
            <w:shd w:val="clear" w:color="auto" w:fill="CCD4DB"/>
          </w:tcPr>
          <w:p>
            <w:pPr>
              <w:jc w:val="center"/>
              <w:ind w:left="19"/>
              <w:spacing w:after="0"/>
              <w:rPr>
                <w:sz w:val="20"/>
                <w:szCs w:val="20"/>
                <w:color w:val="auto"/>
              </w:rPr>
            </w:pPr>
            <w:r>
              <w:rPr>
                <w:rFonts w:ascii="Arial" w:cs="Arial" w:eastAsia="Arial" w:hAnsi="Arial"/>
                <w:sz w:val="16"/>
                <w:szCs w:val="16"/>
                <w:color w:val="auto"/>
                <w:w w:val="99"/>
              </w:rPr>
              <w:t>$4,509,000</w:t>
            </w:r>
          </w:p>
        </w:tc>
        <w:tc>
          <w:tcPr>
            <w:tcW w:w="20" w:type="dxa"/>
            <w:vAlign w:val="bottom"/>
          </w:tcPr>
          <w:p>
            <w:pPr>
              <w:spacing w:after="0"/>
              <w:rPr>
                <w:sz w:val="21"/>
                <w:szCs w:val="21"/>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6"/>
                <w:szCs w:val="16"/>
                <w:color w:val="auto"/>
              </w:rPr>
              <w:t>Kenneth L. Bedingfield</w:t>
            </w:r>
          </w:p>
        </w:tc>
        <w:tc>
          <w:tcPr>
            <w:tcW w:w="1880" w:type="dxa"/>
            <w:vAlign w:val="bottom"/>
          </w:tcPr>
          <w:p>
            <w:pPr>
              <w:jc w:val="center"/>
              <w:spacing w:after="0"/>
              <w:rPr>
                <w:sz w:val="20"/>
                <w:szCs w:val="20"/>
                <w:color w:val="auto"/>
              </w:rPr>
            </w:pPr>
            <w:r>
              <w:rPr>
                <w:rFonts w:ascii="Arial" w:cs="Arial" w:eastAsia="Arial" w:hAnsi="Arial"/>
                <w:sz w:val="16"/>
                <w:szCs w:val="16"/>
                <w:color w:val="auto"/>
              </w:rPr>
              <w:t>100%</w:t>
            </w:r>
          </w:p>
        </w:tc>
        <w:tc>
          <w:tcPr>
            <w:tcW w:w="1860" w:type="dxa"/>
            <w:vAlign w:val="bottom"/>
          </w:tcPr>
          <w:p>
            <w:pPr>
              <w:jc w:val="center"/>
              <w:spacing w:after="0"/>
              <w:rPr>
                <w:sz w:val="20"/>
                <w:szCs w:val="20"/>
                <w:color w:val="auto"/>
              </w:rPr>
            </w:pPr>
            <w:r>
              <w:rPr>
                <w:rFonts w:ascii="Arial" w:cs="Arial" w:eastAsia="Arial" w:hAnsi="Arial"/>
                <w:sz w:val="16"/>
                <w:szCs w:val="16"/>
                <w:color w:val="auto"/>
              </w:rPr>
              <w:t>0% - 200%</w:t>
            </w:r>
          </w:p>
        </w:tc>
        <w:tc>
          <w:tcPr>
            <w:tcW w:w="1800" w:type="dxa"/>
            <w:vAlign w:val="bottom"/>
          </w:tcPr>
          <w:p>
            <w:pPr>
              <w:jc w:val="center"/>
              <w:spacing w:after="0"/>
              <w:rPr>
                <w:sz w:val="20"/>
                <w:szCs w:val="20"/>
                <w:color w:val="auto"/>
              </w:rPr>
            </w:pPr>
            <w:r>
              <w:rPr>
                <w:rFonts w:ascii="Arial" w:cs="Arial" w:eastAsia="Arial" w:hAnsi="Arial"/>
                <w:sz w:val="16"/>
                <w:szCs w:val="16"/>
                <w:color w:val="auto"/>
              </w:rPr>
              <w:t>167%</w:t>
            </w:r>
          </w:p>
        </w:tc>
        <w:tc>
          <w:tcPr>
            <w:tcW w:w="1860" w:type="dxa"/>
            <w:vAlign w:val="bottom"/>
          </w:tcPr>
          <w:p>
            <w:pPr>
              <w:jc w:val="center"/>
              <w:ind w:left="19"/>
              <w:spacing w:after="0"/>
              <w:rPr>
                <w:sz w:val="20"/>
                <w:szCs w:val="20"/>
                <w:color w:val="auto"/>
              </w:rPr>
            </w:pPr>
            <w:r>
              <w:rPr>
                <w:rFonts w:ascii="Arial" w:cs="Arial" w:eastAsia="Arial" w:hAnsi="Arial"/>
                <w:sz w:val="16"/>
                <w:szCs w:val="16"/>
                <w:color w:val="auto"/>
                <w:w w:val="99"/>
              </w:rPr>
              <w:t>$1,401,000</w:t>
            </w:r>
          </w:p>
        </w:tc>
        <w:tc>
          <w:tcPr>
            <w:tcW w:w="20" w:type="dxa"/>
            <w:vAlign w:val="bottom"/>
          </w:tcPr>
          <w:p>
            <w:pPr>
              <w:spacing w:after="0"/>
              <w:rPr>
                <w:sz w:val="20"/>
                <w:szCs w:val="20"/>
                <w:color w:val="auto"/>
              </w:rPr>
            </w:pPr>
          </w:p>
        </w:tc>
      </w:tr>
      <w:tr>
        <w:trPr>
          <w:trHeight w:val="33"/>
        </w:trPr>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34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6"/>
                <w:szCs w:val="16"/>
                <w:color w:val="auto"/>
              </w:rPr>
              <w:t>Mark A. Caylor</w:t>
            </w:r>
          </w:p>
        </w:tc>
        <w:tc>
          <w:tcPr>
            <w:tcW w:w="18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rPr>
              <w:t>100%</w:t>
            </w:r>
          </w:p>
        </w:tc>
        <w:tc>
          <w:tcPr>
            <w:tcW w:w="18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rPr>
              <w:t>0% - 200%</w:t>
            </w:r>
          </w:p>
        </w:tc>
        <w:tc>
          <w:tcPr>
            <w:tcW w:w="18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rPr>
              <w:t>167%</w:t>
            </w:r>
          </w:p>
        </w:tc>
        <w:tc>
          <w:tcPr>
            <w:tcW w:w="1860" w:type="dxa"/>
            <w:vAlign w:val="bottom"/>
            <w:tcBorders>
              <w:bottom w:val="single" w:sz="8" w:color="CCD4DB"/>
            </w:tcBorders>
            <w:shd w:val="clear" w:color="auto" w:fill="CCD4DB"/>
          </w:tcPr>
          <w:p>
            <w:pPr>
              <w:jc w:val="center"/>
              <w:ind w:left="19"/>
              <w:spacing w:after="0"/>
              <w:rPr>
                <w:sz w:val="20"/>
                <w:szCs w:val="20"/>
                <w:color w:val="auto"/>
              </w:rPr>
            </w:pPr>
            <w:r>
              <w:rPr>
                <w:rFonts w:ascii="Arial" w:cs="Arial" w:eastAsia="Arial" w:hAnsi="Arial"/>
                <w:sz w:val="16"/>
                <w:szCs w:val="16"/>
                <w:color w:val="auto"/>
                <w:w w:val="99"/>
              </w:rPr>
              <w:t>$1,428,000</w:t>
            </w:r>
          </w:p>
        </w:tc>
        <w:tc>
          <w:tcPr>
            <w:tcW w:w="20" w:type="dxa"/>
            <w:vAlign w:val="bottom"/>
          </w:tcPr>
          <w:p>
            <w:pPr>
              <w:spacing w:after="0"/>
              <w:rPr>
                <w:sz w:val="21"/>
                <w:szCs w:val="21"/>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6"/>
                <w:szCs w:val="16"/>
                <w:color w:val="auto"/>
              </w:rPr>
              <w:t>Christopher T. Jones</w:t>
            </w:r>
          </w:p>
        </w:tc>
        <w:tc>
          <w:tcPr>
            <w:tcW w:w="1880" w:type="dxa"/>
            <w:vAlign w:val="bottom"/>
          </w:tcPr>
          <w:p>
            <w:pPr>
              <w:jc w:val="center"/>
              <w:spacing w:after="0"/>
              <w:rPr>
                <w:sz w:val="20"/>
                <w:szCs w:val="20"/>
                <w:color w:val="auto"/>
              </w:rPr>
            </w:pPr>
            <w:r>
              <w:rPr>
                <w:rFonts w:ascii="Arial" w:cs="Arial" w:eastAsia="Arial" w:hAnsi="Arial"/>
                <w:sz w:val="16"/>
                <w:szCs w:val="16"/>
                <w:color w:val="auto"/>
              </w:rPr>
              <w:t>100%</w:t>
            </w:r>
          </w:p>
        </w:tc>
        <w:tc>
          <w:tcPr>
            <w:tcW w:w="1860" w:type="dxa"/>
            <w:vAlign w:val="bottom"/>
          </w:tcPr>
          <w:p>
            <w:pPr>
              <w:jc w:val="center"/>
              <w:spacing w:after="0"/>
              <w:rPr>
                <w:sz w:val="20"/>
                <w:szCs w:val="20"/>
                <w:color w:val="auto"/>
              </w:rPr>
            </w:pPr>
            <w:r>
              <w:rPr>
                <w:rFonts w:ascii="Arial" w:cs="Arial" w:eastAsia="Arial" w:hAnsi="Arial"/>
                <w:sz w:val="16"/>
                <w:szCs w:val="16"/>
                <w:color w:val="auto"/>
              </w:rPr>
              <w:t>0% - 200%</w:t>
            </w:r>
          </w:p>
        </w:tc>
        <w:tc>
          <w:tcPr>
            <w:tcW w:w="1800" w:type="dxa"/>
            <w:vAlign w:val="bottom"/>
          </w:tcPr>
          <w:p>
            <w:pPr>
              <w:jc w:val="center"/>
              <w:spacing w:after="0"/>
              <w:rPr>
                <w:sz w:val="20"/>
                <w:szCs w:val="20"/>
                <w:color w:val="auto"/>
              </w:rPr>
            </w:pPr>
            <w:r>
              <w:rPr>
                <w:rFonts w:ascii="Arial" w:cs="Arial" w:eastAsia="Arial" w:hAnsi="Arial"/>
                <w:sz w:val="16"/>
                <w:szCs w:val="16"/>
                <w:color w:val="auto"/>
              </w:rPr>
              <w:t>167%</w:t>
            </w:r>
          </w:p>
        </w:tc>
        <w:tc>
          <w:tcPr>
            <w:tcW w:w="1860" w:type="dxa"/>
            <w:vAlign w:val="bottom"/>
          </w:tcPr>
          <w:p>
            <w:pPr>
              <w:jc w:val="center"/>
              <w:ind w:left="19"/>
              <w:spacing w:after="0"/>
              <w:rPr>
                <w:sz w:val="20"/>
                <w:szCs w:val="20"/>
                <w:color w:val="auto"/>
              </w:rPr>
            </w:pPr>
            <w:r>
              <w:rPr>
                <w:rFonts w:ascii="Arial" w:cs="Arial" w:eastAsia="Arial" w:hAnsi="Arial"/>
                <w:sz w:val="16"/>
                <w:szCs w:val="16"/>
                <w:color w:val="auto"/>
                <w:w w:val="99"/>
              </w:rPr>
              <w:t>$1,278,000</w:t>
            </w:r>
          </w:p>
        </w:tc>
        <w:tc>
          <w:tcPr>
            <w:tcW w:w="20" w:type="dxa"/>
            <w:vAlign w:val="bottom"/>
          </w:tcPr>
          <w:p>
            <w:pPr>
              <w:spacing w:after="0"/>
              <w:rPr>
                <w:sz w:val="20"/>
                <w:szCs w:val="20"/>
                <w:color w:val="auto"/>
              </w:rPr>
            </w:pPr>
          </w:p>
        </w:tc>
      </w:tr>
      <w:tr>
        <w:trPr>
          <w:trHeight w:val="33"/>
        </w:trPr>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34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6"/>
                <w:szCs w:val="16"/>
                <w:color w:val="auto"/>
              </w:rPr>
              <w:t>Janis G. Pamiljans</w:t>
            </w:r>
          </w:p>
        </w:tc>
        <w:tc>
          <w:tcPr>
            <w:tcW w:w="18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rPr>
              <w:t>100%</w:t>
            </w:r>
          </w:p>
        </w:tc>
        <w:tc>
          <w:tcPr>
            <w:tcW w:w="18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rPr>
              <w:t>0% - 200%</w:t>
            </w:r>
          </w:p>
        </w:tc>
        <w:tc>
          <w:tcPr>
            <w:tcW w:w="18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6"/>
                <w:szCs w:val="16"/>
                <w:color w:val="auto"/>
              </w:rPr>
              <w:t>167%</w:t>
            </w:r>
          </w:p>
        </w:tc>
        <w:tc>
          <w:tcPr>
            <w:tcW w:w="1860" w:type="dxa"/>
            <w:vAlign w:val="bottom"/>
            <w:tcBorders>
              <w:bottom w:val="single" w:sz="8" w:color="CCD4DB"/>
            </w:tcBorders>
            <w:shd w:val="clear" w:color="auto" w:fill="CCD4DB"/>
          </w:tcPr>
          <w:p>
            <w:pPr>
              <w:jc w:val="center"/>
              <w:ind w:left="19"/>
              <w:spacing w:after="0"/>
              <w:rPr>
                <w:sz w:val="20"/>
                <w:szCs w:val="20"/>
                <w:color w:val="auto"/>
              </w:rPr>
            </w:pPr>
            <w:r>
              <w:rPr>
                <w:rFonts w:ascii="Arial" w:cs="Arial" w:eastAsia="Arial" w:hAnsi="Arial"/>
                <w:sz w:val="16"/>
                <w:szCs w:val="16"/>
                <w:color w:val="auto"/>
                <w:w w:val="99"/>
              </w:rPr>
              <w:t>$1,428,000</w:t>
            </w:r>
          </w:p>
        </w:tc>
        <w:tc>
          <w:tcPr>
            <w:tcW w:w="20" w:type="dxa"/>
            <w:vAlign w:val="bottom"/>
          </w:tcPr>
          <w:p>
            <w:pPr>
              <w:spacing w:after="0"/>
              <w:rPr>
                <w:sz w:val="21"/>
                <w:szCs w:val="21"/>
                <w:color w:val="auto"/>
              </w:rPr>
            </w:pPr>
          </w:p>
        </w:tc>
      </w:tr>
      <w:tr>
        <w:trPr>
          <w:trHeight w:val="20"/>
        </w:trPr>
        <w:tc>
          <w:tcPr>
            <w:tcW w:w="2340" w:type="dxa"/>
            <w:vAlign w:val="bottom"/>
            <w:shd w:val="clear" w:color="auto" w:fill="00249C"/>
          </w:tcPr>
          <w:p>
            <w:pPr>
              <w:spacing w:after="0" w:line="20" w:lineRule="exact"/>
              <w:rPr>
                <w:sz w:val="1"/>
                <w:szCs w:val="1"/>
                <w:color w:val="auto"/>
              </w:rPr>
            </w:pPr>
          </w:p>
        </w:tc>
        <w:tc>
          <w:tcPr>
            <w:tcW w:w="1880" w:type="dxa"/>
            <w:vAlign w:val="bottom"/>
            <w:shd w:val="clear" w:color="auto" w:fill="00249C"/>
          </w:tcPr>
          <w:p>
            <w:pPr>
              <w:spacing w:after="0" w:line="20" w:lineRule="exact"/>
              <w:rPr>
                <w:sz w:val="1"/>
                <w:szCs w:val="1"/>
                <w:color w:val="auto"/>
              </w:rPr>
            </w:pPr>
          </w:p>
        </w:tc>
        <w:tc>
          <w:tcPr>
            <w:tcW w:w="1860" w:type="dxa"/>
            <w:vAlign w:val="bottom"/>
            <w:shd w:val="clear" w:color="auto" w:fill="00249C"/>
          </w:tcPr>
          <w:p>
            <w:pPr>
              <w:spacing w:after="0" w:line="20" w:lineRule="exact"/>
              <w:rPr>
                <w:sz w:val="1"/>
                <w:szCs w:val="1"/>
                <w:color w:val="auto"/>
              </w:rPr>
            </w:pPr>
          </w:p>
        </w:tc>
        <w:tc>
          <w:tcPr>
            <w:tcW w:w="1800" w:type="dxa"/>
            <w:vAlign w:val="bottom"/>
            <w:shd w:val="clear" w:color="auto" w:fill="00249C"/>
          </w:tcPr>
          <w:p>
            <w:pPr>
              <w:spacing w:after="0" w:line="20" w:lineRule="exact"/>
              <w:rPr>
                <w:sz w:val="1"/>
                <w:szCs w:val="1"/>
                <w:color w:val="auto"/>
              </w:rPr>
            </w:pPr>
          </w:p>
        </w:tc>
        <w:tc>
          <w:tcPr>
            <w:tcW w:w="1860" w:type="dxa"/>
            <w:vAlign w:val="bottom"/>
            <w:shd w:val="clear" w:color="auto" w:fill="00249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 w:lineRule="exact"/>
        <w:rPr>
          <w:sz w:val="20"/>
          <w:szCs w:val="20"/>
          <w:color w:val="auto"/>
        </w:rPr>
      </w:pPr>
    </w:p>
    <w:p>
      <w:pPr>
        <w:ind w:left="940" w:right="1060" w:hanging="156"/>
        <w:spacing w:after="0" w:line="205" w:lineRule="auto"/>
        <w:tabs>
          <w:tab w:leader="none" w:pos="981" w:val="left"/>
        </w:tabs>
        <w:numPr>
          <w:ilvl w:val="0"/>
          <w:numId w:val="57"/>
        </w:numPr>
        <w:rPr>
          <w:rFonts w:ascii="Arial" w:cs="Arial" w:eastAsia="Arial" w:hAnsi="Arial"/>
          <w:sz w:val="24"/>
          <w:szCs w:val="24"/>
          <w:color w:val="auto"/>
          <w:vertAlign w:val="superscript"/>
        </w:rPr>
      </w:pPr>
      <w:r>
        <w:rPr>
          <w:rFonts w:ascii="Arial" w:cs="Arial" w:eastAsia="Arial" w:hAnsi="Arial"/>
          <w:sz w:val="15"/>
          <w:szCs w:val="15"/>
          <w:color w:val="auto"/>
        </w:rPr>
        <w:t>The potential range of bonus payouts based on 2019 performance is disclosed in the Grants of Plan-Based Awards Table. Actual bonus payouts for 2019 performance are disclosed above and in the Summary Compensation Table.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60"/>
          </w:cols>
          <w:pgMar w:left="320" w:top="863" w:right="319" w:bottom="1440" w:gutter="0" w:footer="0" w:header="0"/>
        </w:sectPr>
      </w:pPr>
    </w:p>
    <w:bookmarkStart w:id="53" w:name="page54"/>
    <w:bookmarkEnd w:id="53"/>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5911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Long-Term Incentive Program</w:t>
      </w:r>
    </w:p>
    <w:p>
      <w:pPr>
        <w:spacing w:after="0" w:line="1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determining the amount of the individual long-term incentive award for our NEOs (other than the CEO), the Compensation Committee considers an elected officer's individual performance during the preceding year, growth in job as demonstrated through sustained performance, leadership impact, retention and pay relative to the CEO, as well as market data for the elected officer's position based on the Target Industry Peer Group analysis.</w:t>
      </w:r>
    </w:p>
    <w:p>
      <w:pPr>
        <w:spacing w:after="0" w:line="6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2019, after determining the award value for the NEOs as described above, the Compensation Committee granted awards in the form of RPSRs to ensure sustainability and achievement of business goals over time and RSRs to provide retention value. The awards were comprised of 70% RPSRs and 30% RSRs. The Compensation Committee determined this long-term incentive mix would appropriately motivate and reward the NEOs to achieve our long-term objectives and further reinforce the link between their interests and the interests of our shareholders.</w:t>
      </w:r>
    </w:p>
    <w:p>
      <w:pPr>
        <w:spacing w:after="0" w:line="70"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The RPSRs will vest and be distributed following the completion of the three-year performance period (commencing January 1, 2019 and ending December 31, 2021) if goals are met. The RSRs generally vest 100% after three years. Earned RPSRs and RSRs may be paid in shares, cash or a combination of shares and cash at the Compensation Committee's discretion. An executive generally must remain employed through the vesting period to earn an award. Vesting for termination due to death, disability, retirement or change in control is discussed in the "Termination Payments and Benefits" section on page 64. Dividend equivalents accrue on both RPSR and RSR awards earned and will be paid upon distribution of the RPSRs and RSRs.</w:t>
      </w:r>
    </w:p>
    <w:p>
      <w:pPr>
        <w:spacing w:after="0" w:line="7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evaluates RPSR performance requirements each year to ensure they are aligned with our business objectives. For the 2019 RPSR grant, the Compensation Committee determined that for the NEOs, performance metrics will continue to be relative TSR and Cumulative FCF*; however, in order to increase management's focus on the operational metrics that drive long-term shareholder value creation, Operating RONA* was added as a third metric. The metrics are equally weighted at 1/3. The current metrics and weightings reflect the Company's continued emphasis on operational performance directly impacted by management decisions and behaviors, while maintaining strong alignment with shareholder interests. Based on the performance against these metrics, shares earned for 2019 RPSR grants can vary from 0% to 150% of the rights awarded.</w:t>
      </w:r>
    </w:p>
    <w:p>
      <w:pPr>
        <w:spacing w:after="0" w:line="72"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TSR is measured by comparing cumulative stock price appreciation with reinvestment of dividends over the three-year period to the Performance Peer Group (50% of relative TSR portion of award) and to the S&amp;P Industrials (50% of relative TSR portion of award), which comprises companies within the S&amp;P 500 classified as Industrials, reflecting the range of similar investment alternatives available to our shareholders. To smooth volatility in the market, the TSR calculation is based on the average of the three-year returns for each of the 30 calendar days immediately following the grant date. The maximum relative TSR payout is capped at 100% of target shares if the absolute TSR is negative, even if the relative TSR would have resulted in a higher score.</w:t>
      </w:r>
    </w:p>
    <w:p>
      <w:pPr>
        <w:spacing w:after="0" w:line="7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Cumulative FCF* focuses on cash generation after capital investments and is calculated as the aggregate free cash flow before the after-tax impact of total pension funding* over a three-year period. Free cash flow* includes funds available to create shareholder value after investing in the business through capital expenditures.</w:t>
      </w:r>
    </w:p>
    <w:p>
      <w:pPr>
        <w:spacing w:after="0" w:line="6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Operating RONA* drives operational productivity through the efficient use of capital resources (operating assets). The metric is calculated as adjusted Net Operating Profit After-Tax* (adjusted NOPAT*) divided by the two-year average of net operating assets.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Completed RPSR Performance Period (2017 – 2019)</w:t>
      </w:r>
    </w:p>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February 2017, when granting RPSRs to NEOs who were elected officers at the time of the grant, the Compensation Committee selected relative TSR and Cumulative FCF*, equally weighted at 50%, as the performance metrics for the awards and established the performance criteria for the awards as set forth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20" w:type="dxa"/>
            <w:vAlign w:val="bottom"/>
            <w:gridSpan w:val="3"/>
            <w:shd w:val="clear" w:color="auto" w:fill="00249C"/>
          </w:tcPr>
          <w:p>
            <w:pPr>
              <w:ind w:left="140"/>
              <w:spacing w:after="0"/>
              <w:rPr>
                <w:sz w:val="20"/>
                <w:szCs w:val="20"/>
                <w:color w:val="auto"/>
              </w:rPr>
            </w:pPr>
            <w:r>
              <w:rPr>
                <w:rFonts w:ascii="Arial" w:cs="Arial" w:eastAsia="Arial" w:hAnsi="Arial"/>
                <w:sz w:val="16"/>
                <w:szCs w:val="16"/>
                <w:b w:val="1"/>
                <w:bCs w:val="1"/>
                <w:color w:val="FFFFFF"/>
              </w:rPr>
              <w:t>Performance Required to Score</w:t>
            </w: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shd w:val="clear" w:color="auto" w:fill="00249C"/>
          </w:tcPr>
          <w:p>
            <w:pPr>
              <w:spacing w:after="0"/>
              <w:rPr>
                <w:sz w:val="2"/>
                <w:szCs w:val="2"/>
                <w:color w:val="auto"/>
              </w:rPr>
            </w:pPr>
          </w:p>
        </w:tc>
        <w:tc>
          <w:tcPr>
            <w:tcW w:w="900" w:type="dxa"/>
            <w:vAlign w:val="bottom"/>
            <w:shd w:val="clear" w:color="auto" w:fill="00249C"/>
          </w:tcPr>
          <w:p>
            <w:pPr>
              <w:spacing w:after="0"/>
              <w:rPr>
                <w:sz w:val="2"/>
                <w:szCs w:val="2"/>
                <w:color w:val="auto"/>
              </w:rPr>
            </w:pPr>
          </w:p>
        </w:tc>
        <w:tc>
          <w:tcPr>
            <w:tcW w:w="920" w:type="dxa"/>
            <w:vAlign w:val="bottom"/>
            <w:shd w:val="clear" w:color="auto" w:fill="00249C"/>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1"/>
        </w:trPr>
        <w:tc>
          <w:tcPr>
            <w:tcW w:w="4840" w:type="dxa"/>
            <w:vAlign w:val="bottom"/>
            <w:shd w:val="clear" w:color="auto" w:fill="00249C"/>
          </w:tcPr>
          <w:p>
            <w:pPr>
              <w:spacing w:after="0"/>
              <w:rPr>
                <w:sz w:val="18"/>
                <w:szCs w:val="18"/>
                <w:color w:val="auto"/>
              </w:rPr>
            </w:pPr>
          </w:p>
        </w:tc>
        <w:tc>
          <w:tcPr>
            <w:tcW w:w="1020" w:type="dxa"/>
            <w:vAlign w:val="bottom"/>
            <w:shd w:val="clear" w:color="auto" w:fill="00249C"/>
          </w:tcPr>
          <w:p>
            <w:pPr>
              <w:spacing w:after="0"/>
              <w:rPr>
                <w:sz w:val="18"/>
                <w:szCs w:val="18"/>
                <w:color w:val="auto"/>
              </w:rPr>
            </w:pPr>
          </w:p>
        </w:tc>
        <w:tc>
          <w:tcPr>
            <w:tcW w:w="900" w:type="dxa"/>
            <w:vAlign w:val="bottom"/>
            <w:shd w:val="clear" w:color="auto" w:fill="00249C"/>
          </w:tcPr>
          <w:p>
            <w:pPr>
              <w:spacing w:after="0"/>
              <w:rPr>
                <w:sz w:val="18"/>
                <w:szCs w:val="18"/>
                <w:color w:val="auto"/>
              </w:rPr>
            </w:pPr>
          </w:p>
        </w:tc>
        <w:tc>
          <w:tcPr>
            <w:tcW w:w="900" w:type="dxa"/>
            <w:vAlign w:val="bottom"/>
            <w:shd w:val="clear" w:color="auto" w:fill="00249C"/>
          </w:tcPr>
          <w:p>
            <w:pPr>
              <w:spacing w:after="0"/>
              <w:rPr>
                <w:sz w:val="18"/>
                <w:szCs w:val="18"/>
                <w:color w:val="auto"/>
              </w:rPr>
            </w:pPr>
          </w:p>
        </w:tc>
        <w:tc>
          <w:tcPr>
            <w:tcW w:w="920" w:type="dxa"/>
            <w:vAlign w:val="bottom"/>
            <w:shd w:val="clear" w:color="auto" w:fill="00249C"/>
          </w:tcPr>
          <w:p>
            <w:pPr>
              <w:spacing w:after="0"/>
              <w:rPr>
                <w:sz w:val="18"/>
                <w:szCs w:val="18"/>
                <w:color w:val="auto"/>
              </w:rPr>
            </w:pPr>
          </w:p>
        </w:tc>
        <w:tc>
          <w:tcPr>
            <w:tcW w:w="136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2019 Actual</w:t>
            </w:r>
          </w:p>
        </w:tc>
        <w:tc>
          <w:tcPr>
            <w:tcW w:w="1300" w:type="dxa"/>
            <w:vAlign w:val="bottom"/>
            <w:shd w:val="clear" w:color="auto" w:fill="00249C"/>
          </w:tcPr>
          <w:p>
            <w:pPr>
              <w:spacing w:after="0"/>
              <w:rPr>
                <w:sz w:val="18"/>
                <w:szCs w:val="18"/>
                <w:color w:val="auto"/>
              </w:rPr>
            </w:pPr>
          </w:p>
        </w:tc>
        <w:tc>
          <w:tcPr>
            <w:tcW w:w="20" w:type="dxa"/>
            <w:vAlign w:val="bottom"/>
            <w:shd w:val="clear" w:color="auto" w:fill="00249C"/>
          </w:tcPr>
          <w:p>
            <w:pPr>
              <w:spacing w:after="0"/>
              <w:rPr>
                <w:sz w:val="18"/>
                <w:szCs w:val="18"/>
                <w:color w:val="auto"/>
              </w:rPr>
            </w:pPr>
          </w:p>
        </w:tc>
      </w:tr>
      <w:tr>
        <w:trPr>
          <w:trHeight w:val="228"/>
        </w:trPr>
        <w:tc>
          <w:tcPr>
            <w:tcW w:w="484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6"/>
                <w:szCs w:val="16"/>
                <w:b w:val="1"/>
                <w:bCs w:val="1"/>
                <w:color w:val="FFFFFF"/>
              </w:rPr>
              <w:t>Metric/Goal</w:t>
            </w:r>
          </w:p>
        </w:tc>
        <w:tc>
          <w:tcPr>
            <w:tcW w:w="102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Weighting</w:t>
            </w:r>
          </w:p>
        </w:tc>
        <w:tc>
          <w:tcPr>
            <w:tcW w:w="9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0%</w:t>
            </w:r>
          </w:p>
        </w:tc>
        <w:tc>
          <w:tcPr>
            <w:tcW w:w="9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100%</w:t>
            </w:r>
          </w:p>
        </w:tc>
        <w:tc>
          <w:tcPr>
            <w:tcW w:w="92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150%</w:t>
            </w:r>
          </w:p>
        </w:tc>
        <w:tc>
          <w:tcPr>
            <w:tcW w:w="136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Performance</w:t>
            </w:r>
          </w:p>
        </w:tc>
        <w:tc>
          <w:tcPr>
            <w:tcW w:w="1300" w:type="dxa"/>
            <w:vAlign w:val="bottom"/>
            <w:tcBorders>
              <w:bottom w:val="single" w:sz="8" w:color="00249C"/>
            </w:tcBorders>
            <w:shd w:val="clear" w:color="auto" w:fill="00249C"/>
          </w:tcPr>
          <w:p>
            <w:pPr>
              <w:ind w:left="200"/>
              <w:spacing w:after="0"/>
              <w:rPr>
                <w:sz w:val="20"/>
                <w:szCs w:val="20"/>
                <w:color w:val="auto"/>
              </w:rPr>
            </w:pPr>
            <w:r>
              <w:rPr>
                <w:rFonts w:ascii="Arial" w:cs="Arial" w:eastAsia="Arial" w:hAnsi="Arial"/>
                <w:sz w:val="16"/>
                <w:szCs w:val="16"/>
                <w:b w:val="1"/>
                <w:bCs w:val="1"/>
                <w:color w:val="FFFFFF"/>
              </w:rPr>
              <w:t>2019 Score</w:t>
            </w:r>
          </w:p>
        </w:tc>
        <w:tc>
          <w:tcPr>
            <w:tcW w:w="20" w:type="dxa"/>
            <w:vAlign w:val="bottom"/>
            <w:tcBorders>
              <w:bottom w:val="single" w:sz="8" w:color="00249C"/>
            </w:tcBorders>
            <w:shd w:val="clear" w:color="auto" w:fill="00249C"/>
          </w:tcPr>
          <w:p>
            <w:pPr>
              <w:spacing w:after="0"/>
              <w:rPr>
                <w:sz w:val="19"/>
                <w:szCs w:val="19"/>
                <w:color w:val="auto"/>
              </w:rPr>
            </w:pPr>
          </w:p>
        </w:tc>
      </w:tr>
      <w:tr>
        <w:trPr>
          <w:trHeight w:val="243"/>
        </w:trPr>
        <w:tc>
          <w:tcPr>
            <w:tcW w:w="4840" w:type="dxa"/>
            <w:vAlign w:val="bottom"/>
            <w:shd w:val="clear" w:color="auto" w:fill="CCD4DB"/>
          </w:tcPr>
          <w:p>
            <w:pPr>
              <w:ind w:left="40"/>
              <w:spacing w:after="0"/>
              <w:rPr>
                <w:sz w:val="20"/>
                <w:szCs w:val="20"/>
                <w:color w:val="auto"/>
              </w:rPr>
            </w:pPr>
            <w:r>
              <w:rPr>
                <w:rFonts w:ascii="Arial" w:cs="Arial" w:eastAsia="Arial" w:hAnsi="Arial"/>
                <w:sz w:val="16"/>
                <w:szCs w:val="16"/>
                <w:color w:val="auto"/>
              </w:rPr>
              <w:t>Relative TSR - 2017 Performance Peer Group</w:t>
            </w:r>
          </w:p>
        </w:tc>
        <w:tc>
          <w:tcPr>
            <w:tcW w:w="102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25%</w:t>
            </w:r>
          </w:p>
        </w:tc>
        <w:tc>
          <w:tcPr>
            <w:tcW w:w="9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25th</w:t>
            </w:r>
          </w:p>
        </w:tc>
        <w:tc>
          <w:tcPr>
            <w:tcW w:w="90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6"/>
              </w:rPr>
              <w:t>50th</w:t>
            </w:r>
          </w:p>
        </w:tc>
        <w:tc>
          <w:tcPr>
            <w:tcW w:w="92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80th</w:t>
            </w:r>
          </w:p>
        </w:tc>
        <w:tc>
          <w:tcPr>
            <w:tcW w:w="136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40th</w:t>
            </w:r>
          </w:p>
        </w:tc>
        <w:tc>
          <w:tcPr>
            <w:tcW w:w="13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1"/>
                <w:szCs w:val="21"/>
                <w:color w:val="auto"/>
              </w:rPr>
            </w:pPr>
          </w:p>
        </w:tc>
      </w:tr>
      <w:tr>
        <w:trPr>
          <w:trHeight w:val="233"/>
        </w:trPr>
        <w:tc>
          <w:tcPr>
            <w:tcW w:w="4840" w:type="dxa"/>
            <w:vAlign w:val="bottom"/>
          </w:tcPr>
          <w:p>
            <w:pPr>
              <w:ind w:left="40"/>
              <w:spacing w:after="0"/>
              <w:rPr>
                <w:sz w:val="20"/>
                <w:szCs w:val="20"/>
                <w:color w:val="auto"/>
              </w:rPr>
            </w:pPr>
            <w:r>
              <w:rPr>
                <w:rFonts w:ascii="Arial" w:cs="Arial" w:eastAsia="Arial" w:hAnsi="Arial"/>
                <w:sz w:val="16"/>
                <w:szCs w:val="16"/>
                <w:color w:val="auto"/>
              </w:rPr>
              <w:t>Relative TSR - S&amp;P Industrials</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900" w:type="dxa"/>
            <w:vAlign w:val="bottom"/>
          </w:tcPr>
          <w:p>
            <w:pPr>
              <w:jc w:val="center"/>
              <w:spacing w:after="0"/>
              <w:rPr>
                <w:sz w:val="20"/>
                <w:szCs w:val="20"/>
                <w:color w:val="auto"/>
              </w:rPr>
            </w:pPr>
            <w:r>
              <w:rPr>
                <w:rFonts w:ascii="Arial" w:cs="Arial" w:eastAsia="Arial" w:hAnsi="Arial"/>
                <w:sz w:val="16"/>
                <w:szCs w:val="16"/>
                <w:color w:val="auto"/>
              </w:rPr>
              <w:t>25th</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50th</w:t>
            </w:r>
          </w:p>
        </w:tc>
        <w:tc>
          <w:tcPr>
            <w:tcW w:w="920" w:type="dxa"/>
            <w:vAlign w:val="bottom"/>
          </w:tcPr>
          <w:p>
            <w:pPr>
              <w:jc w:val="center"/>
              <w:spacing w:after="0"/>
              <w:rPr>
                <w:sz w:val="20"/>
                <w:szCs w:val="20"/>
                <w:color w:val="auto"/>
              </w:rPr>
            </w:pPr>
            <w:r>
              <w:rPr>
                <w:rFonts w:ascii="Arial" w:cs="Arial" w:eastAsia="Arial" w:hAnsi="Arial"/>
                <w:sz w:val="16"/>
                <w:szCs w:val="16"/>
                <w:color w:val="auto"/>
              </w:rPr>
              <w:t>80th</w:t>
            </w:r>
          </w:p>
        </w:tc>
        <w:tc>
          <w:tcPr>
            <w:tcW w:w="1360" w:type="dxa"/>
            <w:vAlign w:val="bottom"/>
          </w:tcPr>
          <w:p>
            <w:pPr>
              <w:jc w:val="center"/>
              <w:spacing w:after="0"/>
              <w:rPr>
                <w:sz w:val="20"/>
                <w:szCs w:val="20"/>
                <w:color w:val="auto"/>
              </w:rPr>
            </w:pPr>
            <w:r>
              <w:rPr>
                <w:rFonts w:ascii="Arial" w:cs="Arial" w:eastAsia="Arial" w:hAnsi="Arial"/>
                <w:sz w:val="16"/>
                <w:szCs w:val="16"/>
                <w:color w:val="auto"/>
              </w:rPr>
              <w:t>59th</w:t>
            </w:r>
          </w:p>
        </w:tc>
        <w:tc>
          <w:tcPr>
            <w:tcW w:w="1300" w:type="dxa"/>
            <w:vAlign w:val="bottom"/>
          </w:tcPr>
          <w:p>
            <w:pPr>
              <w:jc w:val="center"/>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20"/>
                <w:szCs w:val="20"/>
                <w:color w:val="auto"/>
              </w:rPr>
            </w:pPr>
          </w:p>
        </w:tc>
      </w:tr>
      <w:tr>
        <w:trPr>
          <w:trHeight w:val="246"/>
        </w:trPr>
        <w:tc>
          <w:tcPr>
            <w:tcW w:w="4840" w:type="dxa"/>
            <w:vAlign w:val="bottom"/>
            <w:tcBorders>
              <w:bottom w:val="single" w:sz="8" w:color="00249C"/>
            </w:tcBorders>
            <w:shd w:val="clear" w:color="auto" w:fill="CCD4DB"/>
          </w:tcPr>
          <w:p>
            <w:pPr>
              <w:ind w:left="40"/>
              <w:spacing w:after="0"/>
              <w:rPr>
                <w:sz w:val="20"/>
                <w:szCs w:val="20"/>
                <w:color w:val="auto"/>
              </w:rPr>
            </w:pPr>
            <w:r>
              <w:rPr>
                <w:rFonts w:ascii="Arial" w:cs="Arial" w:eastAsia="Arial" w:hAnsi="Arial"/>
                <w:sz w:val="16"/>
                <w:szCs w:val="16"/>
                <w:color w:val="auto"/>
              </w:rPr>
              <w:t>Cumulative FCF*</w:t>
            </w:r>
          </w:p>
        </w:tc>
        <w:tc>
          <w:tcPr>
            <w:tcW w:w="102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w w:val="99"/>
              </w:rPr>
              <w:t>50%</w:t>
            </w:r>
          </w:p>
        </w:tc>
        <w:tc>
          <w:tcPr>
            <w:tcW w:w="9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$4.8B</w:t>
            </w:r>
          </w:p>
        </w:tc>
        <w:tc>
          <w:tcPr>
            <w:tcW w:w="9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$6.0B</w:t>
            </w:r>
          </w:p>
        </w:tc>
        <w:tc>
          <w:tcPr>
            <w:tcW w:w="92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$6.5B</w:t>
            </w:r>
          </w:p>
        </w:tc>
        <w:tc>
          <w:tcPr>
            <w:tcW w:w="13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$7.0B</w:t>
            </w:r>
          </w:p>
        </w:tc>
        <w:tc>
          <w:tcPr>
            <w:tcW w:w="13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21"/>
                <w:szCs w:val="2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RPSR Performance Factor</w:t>
            </w: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119%</w:t>
            </w:r>
          </w:p>
        </w:tc>
        <w:tc>
          <w:tcPr>
            <w:tcW w:w="20" w:type="dxa"/>
            <w:vAlign w:val="bottom"/>
          </w:tcPr>
          <w:p>
            <w:pPr>
              <w:spacing w:after="0"/>
              <w:rPr>
                <w:sz w:val="20"/>
                <w:szCs w:val="20"/>
                <w:color w:val="auto"/>
              </w:rPr>
            </w:pPr>
          </w:p>
        </w:tc>
      </w:tr>
      <w:tr>
        <w:trPr>
          <w:trHeight w:val="33"/>
        </w:trPr>
        <w:tc>
          <w:tcPr>
            <w:tcW w:w="4840" w:type="dxa"/>
            <w:vAlign w:val="bottom"/>
            <w:tcBorders>
              <w:bottom w:val="single" w:sz="8" w:color="00249C"/>
            </w:tcBorders>
          </w:tcPr>
          <w:p>
            <w:pPr>
              <w:spacing w:after="0"/>
              <w:rPr>
                <w:sz w:val="2"/>
                <w:szCs w:val="2"/>
                <w:color w:val="auto"/>
              </w:rPr>
            </w:pPr>
          </w:p>
        </w:tc>
        <w:tc>
          <w:tcPr>
            <w:tcW w:w="1020" w:type="dxa"/>
            <w:vAlign w:val="bottom"/>
            <w:tcBorders>
              <w:bottom w:val="single" w:sz="8" w:color="00249C"/>
            </w:tcBorders>
          </w:tcPr>
          <w:p>
            <w:pPr>
              <w:spacing w:after="0"/>
              <w:rPr>
                <w:sz w:val="2"/>
                <w:szCs w:val="2"/>
                <w:color w:val="auto"/>
              </w:rPr>
            </w:pPr>
          </w:p>
        </w:tc>
        <w:tc>
          <w:tcPr>
            <w:tcW w:w="900" w:type="dxa"/>
            <w:vAlign w:val="bottom"/>
            <w:tcBorders>
              <w:bottom w:val="single" w:sz="8" w:color="00249C"/>
            </w:tcBorders>
          </w:tcPr>
          <w:p>
            <w:pPr>
              <w:spacing w:after="0"/>
              <w:rPr>
                <w:sz w:val="2"/>
                <w:szCs w:val="2"/>
                <w:color w:val="auto"/>
              </w:rPr>
            </w:pPr>
          </w:p>
        </w:tc>
        <w:tc>
          <w:tcPr>
            <w:tcW w:w="900" w:type="dxa"/>
            <w:vAlign w:val="bottom"/>
            <w:tcBorders>
              <w:bottom w:val="single" w:sz="8" w:color="00249C"/>
            </w:tcBorders>
          </w:tcPr>
          <w:p>
            <w:pPr>
              <w:spacing w:after="0"/>
              <w:rPr>
                <w:sz w:val="2"/>
                <w:szCs w:val="2"/>
                <w:color w:val="auto"/>
              </w:rPr>
            </w:pPr>
          </w:p>
        </w:tc>
        <w:tc>
          <w:tcPr>
            <w:tcW w:w="920" w:type="dxa"/>
            <w:vAlign w:val="bottom"/>
            <w:tcBorders>
              <w:bottom w:val="single" w:sz="8" w:color="00249C"/>
            </w:tcBorders>
          </w:tcPr>
          <w:p>
            <w:pPr>
              <w:spacing w:after="0"/>
              <w:rPr>
                <w:sz w:val="2"/>
                <w:szCs w:val="2"/>
                <w:color w:val="auto"/>
              </w:rPr>
            </w:pPr>
          </w:p>
        </w:tc>
        <w:tc>
          <w:tcPr>
            <w:tcW w:w="1360" w:type="dxa"/>
            <w:vAlign w:val="bottom"/>
            <w:tcBorders>
              <w:bottom w:val="single" w:sz="8" w:color="00249C"/>
            </w:tcBorders>
          </w:tcPr>
          <w:p>
            <w:pPr>
              <w:spacing w:after="0"/>
              <w:rPr>
                <w:sz w:val="2"/>
                <w:szCs w:val="2"/>
                <w:color w:val="auto"/>
              </w:rPr>
            </w:pPr>
          </w:p>
        </w:tc>
        <w:tc>
          <w:tcPr>
            <w:tcW w:w="1300" w:type="dxa"/>
            <w:vAlign w:val="bottom"/>
            <w:tcBorders>
              <w:bottom w:val="single" w:sz="8" w:color="00249C"/>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863" w:right="319" w:bottom="1440" w:gutter="0" w:footer="0" w:header="0"/>
        </w:sectPr>
      </w:pPr>
    </w:p>
    <w:p>
      <w:pPr>
        <w:spacing w:after="0" w:line="96"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47</w:t>
      </w:r>
    </w:p>
    <w:p>
      <w:pPr>
        <w:sectPr>
          <w:pgSz w:w="11900" w:h="16838" w:orient="portrait"/>
          <w:cols w:equalWidth="0" w:num="1">
            <w:col w:w="11260"/>
          </w:cols>
          <w:pgMar w:left="320" w:top="863" w:right="319" w:bottom="1440" w:gutter="0" w:footer="0" w:header="0"/>
          <w:type w:val="continuous"/>
        </w:sectPr>
      </w:pPr>
    </w:p>
    <w:bookmarkStart w:id="54" w:name="page55"/>
    <w:bookmarkEnd w:id="54"/>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5911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In February 2020, the Compensation Committee reviewed performance for the January 1, 2017 to December 31, 2019 RPSR performance period. The combined weighted score for the metrics generated an overall performance score of 119% (excluding the impact of Innovation Systems as detailed in "Appendix A - Use of Non-GAAP Financial Measures").</w:t>
      </w:r>
    </w:p>
    <w:p>
      <w:pPr>
        <w:spacing w:after="0" w:line="6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February 2020, the NEOs received payouts in stock with respect to the outstanding RPSR awards that were granted in February 2017 for the three-year performance period ending December 31, 2019 (as described further in footnote 3 to the Outstanding Equity Awards Table on page 56).</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This section describes other benefits the NEOs receive. These benefits are not performance related and are designed to provide a competitive package for purposes of attracting and retaining the executive talent needed to achieve our business objectives. These benefits include retirement benefits, certain perquisites and severance arrangements.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Benefits</w:t>
      </w:r>
    </w:p>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maintain tax-qualified retirement plans (both defined benefit pension plans and defined contribution savings plans) that cover most of our workforce, including the NEOs. We also maintain nonqualified retirement plans that are available to our NEOs, which are designed to restore benefits that were limited under the tax-qualified plans or to provide supplemental benefits. Compensation, age and years of service factor into the amount of benefits provided under the plans. Thus, the plans are structured to reward and retain employees of long service and recognize higher performance levels as evidenced by increases in annual pay. Additional information about these retirement plans and the NEO benefits under these plans can be found in the Pension Benefits Table and Nonqualified Deferred Compensation Table, on pages 58 and 62, respectively.</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Compensation Committee assesses aggregate benefits available to the NEOs and has previously imposed an overall cap, generally limited to no more than 60% of final average pay, on pension benefits for the NEOs (except for small variations due to contractual restrictions under the plans). The nonqualified supplemental defined benefit plans in which our NEOs participate were frozen as to pay and service as of December 31, 2014.</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Perquisites</w:t>
      </w:r>
    </w:p>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NEOs are eligible for certain limited executive perquisites that include financial planning, income tax preparation, physical exams and personal liability insurance. The Compensation Committee believes these perquisites are common within the competitive market for total compensation packages for executives and are useful in attracting, retaining and motivating talented executives. Perquisites provided to the NEOs in 2019 are detailed in the Summary Compensation Table on page 53.</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Arrangements</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Given the nature of our business, we maintain a comprehensive security program. As a component of that program, we provide residential and/or travel protection that we consider necessary to address our security requirements. In selecting the level and form of protection, we and the Board consider security risks faced by those in our industry in general and security risks specific to our Company and its individuals. Based on security threat information obtained and an ongoing dialogue with law enforcement and security specialists, the Board has required that Ms. Warden and other NEOs receive varying levels of residential and travel protection.</w:t>
      </w:r>
    </w:p>
    <w:p>
      <w:pPr>
        <w:spacing w:after="0" w:line="70"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Since we require this protection under a comprehensive security program and it is not designed to provide a personal benefit (other than the intended security), we do not view these security arrangements as compensation to the individuals. We report these security arrangements as perquisites as required under applicable SEC rules. In addition, we report them as taxable compensation to the individuals if they are not excludable from income as working condition fringe benefits under Section 132 of the Internal Revenue Code.</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Board has determined that the CEO should avoid traveling by commercial aircraft for purposes of security, rapid availability and communications connectivity during travel, and should use Company-provided aircraft for all air travel. If, as a result, the CEO uses Company-provided aircraft for personal travel, the costs of such travel are imputed as income and are subject to the appropriate tax reporting according to Internal Revenue Code regulations.</w:t>
      </w:r>
    </w:p>
    <w:p>
      <w:pPr>
        <w:spacing w:after="0" w:line="6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regularly review the nature of the security threat and associated vulnerabilities with law enforcement and security specialists and will continue to revise our security program as appropriate.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863" w:right="359" w:bottom="1440" w:gutter="0" w:footer="0" w:header="0"/>
        </w:sectPr>
      </w:pPr>
    </w:p>
    <w:bookmarkStart w:id="55" w:name="page56"/>
    <w:bookmarkEnd w:id="55"/>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5918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Benefits</w:t>
      </w:r>
    </w:p>
    <w:p>
      <w:pPr>
        <w:spacing w:after="0" w:line="10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maintain the Severance Plan for Elected and Appointed Officers of Northrop Grumman Corporation (Severance Plan), which is available to Ms. Warden and other NEOs who qualify and are approved to receive such benefits. The purpose of the Severance Plan is to help bridge the gap in an executive's income and health coverage during a period of unemployment following termination, and to ensure certain benefits for the Company.</w:t>
      </w:r>
    </w:p>
    <w:p>
      <w:pPr>
        <w:spacing w:after="0" w:line="6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do not maintain any change in control severance plans. In addition, we do not provide excise tax gross-ups for any payments received upon termination after a change in control.</w:t>
      </w:r>
    </w:p>
    <w:p>
      <w:pPr>
        <w:spacing w:after="0" w:line="6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Upon a "qualifying termination" (defined below) the Company will provide severance benefits to eligible NEOs under the Severance Plan. Provided the NEO signs a release and agrees to certain restrictions, he or she may receive: (i) a lump sum severance benefit equal to one and one-half times annual base salary and target bonus, (ii) a prorated performance bonus for the year of termination, (iii) continued medical and dental coverage for the eighteen-month severance period, (iv) income tax preparation/financial planning fees for the year of termination and the following year and (v) outplacement expenses up to 15% of salary, all subject to management approval. The cost of providing continued medical and dental coverage is based upon current premium costs. The cost of providing income tax preparation and financial planning is capped for the year of termination and for the year following termination. The annual cap for the CEO is $30,000 and for the rest of the NEOs is $18,500.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"qualifying termination" includes one of the following:</w:t>
      </w:r>
    </w:p>
    <w:p>
      <w:pPr>
        <w:spacing w:after="0" w:line="54"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22"/>
          <w:szCs w:val="22"/>
          <w:color w:val="00249C"/>
        </w:rPr>
      </w:pPr>
      <w:r>
        <w:rPr>
          <w:rFonts w:ascii="Arial" w:cs="Arial" w:eastAsia="Arial" w:hAnsi="Arial"/>
          <w:sz w:val="18"/>
          <w:szCs w:val="18"/>
          <w:color w:val="auto"/>
        </w:rPr>
        <w:t>involuntary termination, other than for cause or mandatory retirement; or</w:t>
      </w:r>
    </w:p>
    <w:p>
      <w:pPr>
        <w:spacing w:after="0" w:line="44" w:lineRule="exact"/>
        <w:rPr>
          <w:rFonts w:ascii="Arial" w:cs="Arial" w:eastAsia="Arial" w:hAnsi="Arial"/>
          <w:sz w:val="22"/>
          <w:szCs w:val="22"/>
          <w:color w:val="00249C"/>
        </w:rPr>
      </w:pPr>
    </w:p>
    <w:p>
      <w:pPr>
        <w:ind w:left="340" w:hanging="332"/>
        <w:spacing w:after="0"/>
        <w:tabs>
          <w:tab w:leader="none" w:pos="340" w:val="left"/>
        </w:tabs>
        <w:numPr>
          <w:ilvl w:val="0"/>
          <w:numId w:val="58"/>
        </w:numPr>
        <w:rPr>
          <w:rFonts w:ascii="Arial" w:cs="Arial" w:eastAsia="Arial" w:hAnsi="Arial"/>
          <w:sz w:val="22"/>
          <w:szCs w:val="22"/>
          <w:color w:val="00249C"/>
        </w:rPr>
      </w:pPr>
      <w:r>
        <w:rPr>
          <w:rFonts w:ascii="Arial" w:cs="Arial" w:eastAsia="Arial" w:hAnsi="Arial"/>
          <w:sz w:val="18"/>
          <w:szCs w:val="18"/>
          <w:color w:val="auto"/>
        </w:rPr>
        <w:t>election to terminate in lieu of accepting a downgrade to a non-officer position (i.e., good reason).</w:t>
      </w:r>
    </w:p>
    <w:p>
      <w:pPr>
        <w:spacing w:after="0" w:line="39" w:lineRule="exact"/>
        <w:rPr>
          <w:rFonts w:ascii="Arial" w:cs="Arial" w:eastAsia="Arial" w:hAnsi="Arial"/>
          <w:sz w:val="22"/>
          <w:szCs w:val="22"/>
          <w:color w:val="00249C"/>
        </w:rPr>
      </w:pPr>
    </w:p>
    <w:p>
      <w:pPr>
        <w:spacing w:after="0"/>
        <w:rPr>
          <w:rFonts w:ascii="Arial" w:cs="Arial" w:eastAsia="Arial" w:hAnsi="Arial"/>
          <w:sz w:val="22"/>
          <w:szCs w:val="22"/>
          <w:color w:val="00249C"/>
        </w:rPr>
      </w:pPr>
      <w:r>
        <w:rPr>
          <w:rFonts w:ascii="Arial" w:cs="Arial" w:eastAsia="Arial" w:hAnsi="Arial"/>
          <w:sz w:val="20"/>
          <w:szCs w:val="20"/>
          <w:b w:val="1"/>
          <w:bCs w:val="1"/>
          <w:color w:val="auto"/>
        </w:rPr>
        <w:t>Change in Control Benefits</w:t>
      </w:r>
    </w:p>
    <w:p>
      <w:pPr>
        <w:spacing w:after="0" w:line="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do not maintain separate change in control programs or agreements. The only change in control benefits available to the NEOs are those described in the terms and conditions of the grants under the 2011 Long-Term Incentive Stock Plan (2011 Plan).</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maintain stock ownership guidelines for our NEOs to further promote alignment of management and shareholder interests. These guidelines require that NEOs own Company stock with a value denominated as a multiple of their annual salaries, which can be accumulated over a five-year period from the date of hire or promotion into an elected officer position.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guidelines are as follows:</w:t>
      </w:r>
    </w:p>
    <w:p>
      <w:pPr>
        <w:spacing w:after="0" w:line="226" w:lineRule="exact"/>
        <w:rPr>
          <w:sz w:val="20"/>
          <w:szCs w:val="20"/>
          <w:color w:val="auto"/>
        </w:rPr>
      </w:pPr>
    </w:p>
    <w:tbl>
      <w:tblPr>
        <w:tblLayout w:type="fixed"/>
        <w:tblInd w:w="760" w:type="dxa"/>
        <w:tblCellMar>
          <w:top w:w="0" w:type="dxa"/>
          <w:left w:w="0" w:type="dxa"/>
          <w:bottom w:w="0" w:type="dxa"/>
          <w:right w:w="0" w:type="dxa"/>
        </w:tblCellMar>
      </w:tblPr>
      <w:tr>
        <w:trPr>
          <w:trHeight w:val="250"/>
        </w:trPr>
        <w:tc>
          <w:tcPr>
            <w:tcW w:w="488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6"/>
                <w:szCs w:val="16"/>
                <w:b w:val="1"/>
                <w:bCs w:val="1"/>
                <w:color w:val="FFFFFF"/>
              </w:rPr>
              <w:t>Position</w:t>
            </w:r>
          </w:p>
        </w:tc>
        <w:tc>
          <w:tcPr>
            <w:tcW w:w="486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Stock Value as a Multiple of Base Salary</w:t>
            </w:r>
          </w:p>
        </w:tc>
        <w:tc>
          <w:tcPr>
            <w:tcW w:w="20" w:type="dxa"/>
            <w:vAlign w:val="bottom"/>
            <w:tcBorders>
              <w:bottom w:val="single" w:sz="8" w:color="00249C"/>
            </w:tcBorders>
            <w:shd w:val="clear" w:color="auto" w:fill="00249C"/>
          </w:tcPr>
          <w:p>
            <w:pPr>
              <w:spacing w:after="0"/>
              <w:rPr>
                <w:sz w:val="21"/>
                <w:szCs w:val="21"/>
                <w:color w:val="auto"/>
              </w:rPr>
            </w:pPr>
          </w:p>
        </w:tc>
      </w:tr>
      <w:tr>
        <w:trPr>
          <w:trHeight w:val="243"/>
        </w:trPr>
        <w:tc>
          <w:tcPr>
            <w:tcW w:w="4880" w:type="dxa"/>
            <w:vAlign w:val="bottom"/>
            <w:shd w:val="clear" w:color="auto" w:fill="CCD4DB"/>
          </w:tcPr>
          <w:p>
            <w:pPr>
              <w:ind w:left="20"/>
              <w:spacing w:after="0"/>
              <w:rPr>
                <w:sz w:val="20"/>
                <w:szCs w:val="20"/>
                <w:color w:val="auto"/>
              </w:rPr>
            </w:pPr>
            <w:r>
              <w:rPr>
                <w:rFonts w:ascii="Arial" w:cs="Arial" w:eastAsia="Arial" w:hAnsi="Arial"/>
                <w:sz w:val="16"/>
                <w:szCs w:val="16"/>
                <w:color w:val="auto"/>
              </w:rPr>
              <w:t>Chairman and Chief Executive Officer</w:t>
            </w:r>
          </w:p>
        </w:tc>
        <w:tc>
          <w:tcPr>
            <w:tcW w:w="486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7x base salary</w:t>
            </w:r>
          </w:p>
        </w:tc>
        <w:tc>
          <w:tcPr>
            <w:tcW w:w="20" w:type="dxa"/>
            <w:vAlign w:val="bottom"/>
          </w:tcPr>
          <w:p>
            <w:pPr>
              <w:spacing w:after="0"/>
              <w:rPr>
                <w:sz w:val="21"/>
                <w:szCs w:val="21"/>
                <w:color w:val="auto"/>
              </w:rPr>
            </w:pPr>
          </w:p>
        </w:tc>
      </w:tr>
      <w:tr>
        <w:trPr>
          <w:trHeight w:val="237"/>
        </w:trPr>
        <w:tc>
          <w:tcPr>
            <w:tcW w:w="4880" w:type="dxa"/>
            <w:vAlign w:val="bottom"/>
            <w:tcBorders>
              <w:bottom w:val="single" w:sz="8" w:color="00249C"/>
            </w:tcBorders>
          </w:tcPr>
          <w:p>
            <w:pPr>
              <w:ind w:left="20"/>
              <w:spacing w:after="0"/>
              <w:rPr>
                <w:sz w:val="20"/>
                <w:szCs w:val="20"/>
                <w:color w:val="auto"/>
              </w:rPr>
            </w:pPr>
            <w:r>
              <w:rPr>
                <w:rFonts w:ascii="Arial" w:cs="Arial" w:eastAsia="Arial" w:hAnsi="Arial"/>
                <w:sz w:val="16"/>
                <w:szCs w:val="16"/>
                <w:color w:val="auto"/>
              </w:rPr>
              <w:t>Other NEOs</w:t>
            </w:r>
          </w:p>
        </w:tc>
        <w:tc>
          <w:tcPr>
            <w:tcW w:w="486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3x base salary</w:t>
            </w:r>
          </w:p>
        </w:tc>
        <w:tc>
          <w:tcPr>
            <w:tcW w:w="20" w:type="dxa"/>
            <w:vAlign w:val="bottom"/>
          </w:tcPr>
          <w:p>
            <w:pPr>
              <w:spacing w:after="0"/>
              <w:rPr>
                <w:sz w:val="20"/>
                <w:szCs w:val="20"/>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Shares that satisfy the stock ownership guidelines include:</w:t>
      </w:r>
    </w:p>
    <w:p>
      <w:pPr>
        <w:spacing w:after="0" w:line="54"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22"/>
          <w:szCs w:val="22"/>
          <w:color w:val="00249C"/>
        </w:rPr>
      </w:pPr>
      <w:r>
        <w:rPr>
          <w:rFonts w:ascii="Arial" w:cs="Arial" w:eastAsia="Arial" w:hAnsi="Arial"/>
          <w:sz w:val="18"/>
          <w:szCs w:val="18"/>
          <w:color w:val="auto"/>
        </w:rPr>
        <w:t>Company stock owned outright;</w:t>
      </w:r>
    </w:p>
    <w:p>
      <w:pPr>
        <w:spacing w:after="0" w:line="44" w:lineRule="exact"/>
        <w:rPr>
          <w:rFonts w:ascii="Arial" w:cs="Arial" w:eastAsia="Arial" w:hAnsi="Arial"/>
          <w:sz w:val="22"/>
          <w:szCs w:val="22"/>
          <w:color w:val="00249C"/>
        </w:rPr>
      </w:pPr>
    </w:p>
    <w:p>
      <w:pPr>
        <w:ind w:left="340" w:hanging="332"/>
        <w:spacing w:after="0"/>
        <w:tabs>
          <w:tab w:leader="none" w:pos="340" w:val="left"/>
        </w:tabs>
        <w:numPr>
          <w:ilvl w:val="0"/>
          <w:numId w:val="59"/>
        </w:numPr>
        <w:rPr>
          <w:rFonts w:ascii="Arial" w:cs="Arial" w:eastAsia="Arial" w:hAnsi="Arial"/>
          <w:sz w:val="22"/>
          <w:szCs w:val="22"/>
          <w:color w:val="00249C"/>
        </w:rPr>
      </w:pPr>
      <w:r>
        <w:rPr>
          <w:rFonts w:ascii="Arial" w:cs="Arial" w:eastAsia="Arial" w:hAnsi="Arial"/>
          <w:sz w:val="18"/>
          <w:szCs w:val="18"/>
          <w:color w:val="auto"/>
        </w:rPr>
        <w:t>unvested RSRs; and</w:t>
      </w:r>
    </w:p>
    <w:p>
      <w:pPr>
        <w:spacing w:after="0" w:line="80" w:lineRule="exact"/>
        <w:rPr>
          <w:rFonts w:ascii="Arial" w:cs="Arial" w:eastAsia="Arial" w:hAnsi="Arial"/>
          <w:sz w:val="22"/>
          <w:szCs w:val="22"/>
          <w:color w:val="00249C"/>
        </w:rPr>
      </w:pPr>
    </w:p>
    <w:p>
      <w:pPr>
        <w:ind w:right="700" w:firstLine="8"/>
        <w:spacing w:after="0" w:line="302" w:lineRule="auto"/>
        <w:tabs>
          <w:tab w:leader="none" w:pos="324" w:val="left"/>
        </w:tabs>
        <w:numPr>
          <w:ilvl w:val="0"/>
          <w:numId w:val="59"/>
        </w:numPr>
        <w:rPr>
          <w:rFonts w:ascii="Arial" w:cs="Arial" w:eastAsia="Arial" w:hAnsi="Arial"/>
          <w:sz w:val="22"/>
          <w:szCs w:val="22"/>
          <w:color w:val="00249C"/>
        </w:rPr>
      </w:pPr>
      <w:r>
        <w:rPr>
          <w:rFonts w:ascii="Arial" w:cs="Arial" w:eastAsia="Arial" w:hAnsi="Arial"/>
          <w:sz w:val="18"/>
          <w:szCs w:val="18"/>
          <w:color w:val="auto"/>
        </w:rPr>
        <w:t>the value of shares held in the Northrop Grumman Savings Plan or Northrop Grumman Financial Security and Savings Program. Unvested RPSRs are not included in calculating ownership until they are converted to actual shares owned.</w:t>
      </w:r>
    </w:p>
    <w:p>
      <w:pPr>
        <w:spacing w:after="0" w:line="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Committee reviews compliance with our stock ownership guidelines on an annual basis. As of December 31, 2019, all NEOs were in compliance with the ownership guidelines. The Compensation Committee continues to monitor compliance and will conduct a full review again in 2020.</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Holding Requirements</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 holding period requirement for payouts from long-term incentive grants, further emphasizing the importance of sustainable performance and appropriate risk-management behaviors. Under this policy, NEOs are required to hold, for a period of three years, 50% of their net after-tax shares received from RPSR distributions and RSR vestings. These restrictions generally continue following termination and retirement; however, shares acquired from RPSR distributions following termination or retirement occurring more than one year after separation from the Company are not subject to the holding requirement.</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49</w:t>
      </w:r>
    </w:p>
    <w:p>
      <w:pPr>
        <w:sectPr>
          <w:pgSz w:w="11900" w:h="16838" w:orient="portrait"/>
          <w:cols w:equalWidth="0" w:num="1">
            <w:col w:w="11240"/>
          </w:cols>
          <w:pgMar w:left="320" w:top="863" w:right="339" w:bottom="1440" w:gutter="0" w:footer="0" w:header="0"/>
        </w:sectPr>
      </w:pPr>
    </w:p>
    <w:bookmarkStart w:id="56" w:name="page57"/>
    <w:bookmarkEnd w:id="56"/>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5918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Anti-Hedging and Pledging Policy</w:t>
      </w:r>
    </w:p>
    <w:p>
      <w:pPr>
        <w:spacing w:after="0" w:line="10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Company policy prohibits our NEOs and other elected officers from hedging or entering into margin transactions involving Company stock, and pledging Company securities as collateral for loans or other transactions. Additional information about our policy can be found in "Compensation of Directors - Stock Ownership Requirements and Anti-Hedging and Pledging Policy."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Recoupment Policy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recoupment policy provides that:</w:t>
      </w:r>
    </w:p>
    <w:p>
      <w:pPr>
        <w:spacing w:after="0" w:line="117" w:lineRule="exact"/>
        <w:rPr>
          <w:sz w:val="20"/>
          <w:szCs w:val="20"/>
          <w:color w:val="auto"/>
        </w:rPr>
      </w:pPr>
    </w:p>
    <w:p>
      <w:pPr>
        <w:ind w:left="340" w:right="20" w:hanging="332"/>
        <w:spacing w:after="0" w:line="255" w:lineRule="auto"/>
        <w:tabs>
          <w:tab w:leader="none" w:pos="340" w:val="left"/>
        </w:tabs>
        <w:numPr>
          <w:ilvl w:val="0"/>
          <w:numId w:val="60"/>
        </w:numPr>
        <w:rPr>
          <w:rFonts w:ascii="Arial" w:cs="Arial" w:eastAsia="Arial" w:hAnsi="Arial"/>
          <w:sz w:val="22"/>
          <w:szCs w:val="22"/>
          <w:color w:val="00249C"/>
        </w:rPr>
      </w:pPr>
      <w:r>
        <w:rPr>
          <w:rFonts w:ascii="Arial" w:cs="Arial" w:eastAsia="Arial" w:hAnsi="Arial"/>
          <w:sz w:val="18"/>
          <w:szCs w:val="18"/>
          <w:color w:val="auto"/>
        </w:rPr>
        <w:t>the Board has discretion to recoup incentive compensation paid to an elected officer in the event of a restatement or if an elected officer engages in illegal conduct that causes significant financial or reputational harm to the Company;</w:t>
      </w:r>
    </w:p>
    <w:p>
      <w:pPr>
        <w:spacing w:after="0" w:line="105" w:lineRule="exact"/>
        <w:rPr>
          <w:rFonts w:ascii="Arial" w:cs="Arial" w:eastAsia="Arial" w:hAnsi="Arial"/>
          <w:sz w:val="22"/>
          <w:szCs w:val="22"/>
          <w:color w:val="00249C"/>
        </w:rPr>
      </w:pPr>
    </w:p>
    <w:p>
      <w:pPr>
        <w:ind w:left="340" w:hanging="332"/>
        <w:spacing w:after="0" w:line="255" w:lineRule="auto"/>
        <w:tabs>
          <w:tab w:leader="none" w:pos="340" w:val="left"/>
        </w:tabs>
        <w:numPr>
          <w:ilvl w:val="0"/>
          <w:numId w:val="60"/>
        </w:numPr>
        <w:rPr>
          <w:rFonts w:ascii="Arial" w:cs="Arial" w:eastAsia="Arial" w:hAnsi="Arial"/>
          <w:sz w:val="22"/>
          <w:szCs w:val="22"/>
          <w:color w:val="00249C"/>
        </w:rPr>
      </w:pPr>
      <w:r>
        <w:rPr>
          <w:rFonts w:ascii="Arial" w:cs="Arial" w:eastAsia="Arial" w:hAnsi="Arial"/>
          <w:sz w:val="18"/>
          <w:szCs w:val="18"/>
          <w:color w:val="auto"/>
        </w:rPr>
        <w:t>the Board has discretion to recoup incentive compensation paid to the elected officer in the event the elected officer fails to report such misconduct of another, or is grossly negligent in fulfilling his or her supervisory responsibilities to prevent such misconduct; and</w:t>
      </w:r>
    </w:p>
    <w:p>
      <w:pPr>
        <w:spacing w:after="0" w:line="105" w:lineRule="exact"/>
        <w:rPr>
          <w:rFonts w:ascii="Arial" w:cs="Arial" w:eastAsia="Arial" w:hAnsi="Arial"/>
          <w:sz w:val="22"/>
          <w:szCs w:val="22"/>
          <w:color w:val="00249C"/>
        </w:rPr>
      </w:pPr>
    </w:p>
    <w:p>
      <w:pPr>
        <w:ind w:left="340" w:right="20" w:hanging="332"/>
        <w:spacing w:after="0" w:line="255" w:lineRule="auto"/>
        <w:tabs>
          <w:tab w:leader="none" w:pos="340" w:val="left"/>
        </w:tabs>
        <w:numPr>
          <w:ilvl w:val="0"/>
          <w:numId w:val="60"/>
        </w:numPr>
        <w:rPr>
          <w:rFonts w:ascii="Arial" w:cs="Arial" w:eastAsia="Arial" w:hAnsi="Arial"/>
          <w:sz w:val="22"/>
          <w:szCs w:val="22"/>
          <w:color w:val="00249C"/>
        </w:rPr>
      </w:pPr>
      <w:r>
        <w:rPr>
          <w:rFonts w:ascii="Arial" w:cs="Arial" w:eastAsia="Arial" w:hAnsi="Arial"/>
          <w:sz w:val="18"/>
          <w:szCs w:val="18"/>
          <w:color w:val="auto"/>
        </w:rPr>
        <w:t>the CEO has discretion to recoup under similar circumstances incentive compensation provided to non-elected officers or other employees.</w:t>
      </w:r>
    </w:p>
    <w:p>
      <w:pPr>
        <w:spacing w:after="0" w:line="7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Company’s recoupment policy applies to a three-year look back of performance-based short- or long-term, cash or equity incentive payments. It provides for certain disclosure in the event of recoupment, consistent with SEC and other legal requirements.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w:t>
      </w:r>
    </w:p>
    <w:p>
      <w:pPr>
        <w:spacing w:after="0" w:line="10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Compensation Committee annually reviews our compensation program and together with the independent compensation consultant assesses potential compensation-related risks to the Company. Based on this assessment for 2019, the Compensation Committee determined that the risk profile is appropriate and substantial risk management features are incorporated into our compensation program. This determination reflects the following conclusions from the detailed risk assessment:</w:t>
      </w:r>
    </w:p>
    <w:p>
      <w:pPr>
        <w:spacing w:after="0" w:line="96" w:lineRule="exact"/>
        <w:rPr>
          <w:sz w:val="20"/>
          <w:szCs w:val="20"/>
          <w:color w:val="auto"/>
        </w:rPr>
      </w:pPr>
    </w:p>
    <w:p>
      <w:pPr>
        <w:ind w:left="340" w:right="280" w:hanging="332"/>
        <w:spacing w:after="0" w:line="272" w:lineRule="auto"/>
        <w:tabs>
          <w:tab w:leader="none" w:pos="340" w:val="left"/>
        </w:tabs>
        <w:numPr>
          <w:ilvl w:val="0"/>
          <w:numId w:val="61"/>
        </w:numPr>
        <w:rPr>
          <w:rFonts w:ascii="Arial" w:cs="Arial" w:eastAsia="Arial" w:hAnsi="Arial"/>
          <w:sz w:val="22"/>
          <w:szCs w:val="22"/>
          <w:color w:val="00249C"/>
        </w:rPr>
      </w:pPr>
      <w:r>
        <w:rPr>
          <w:rFonts w:ascii="Arial" w:cs="Arial" w:eastAsia="Arial" w:hAnsi="Arial"/>
          <w:sz w:val="18"/>
          <w:szCs w:val="18"/>
          <w:color w:val="auto"/>
        </w:rPr>
        <w:t>there is appropriate balance to mitigate compensation-related risk in the executive compensation program's design between fixed and variable pay, cash and stock components, short- and long-term measures, financial and non-financial measures, and formulaic and discretionary decisions;</w:t>
      </w:r>
    </w:p>
    <w:p>
      <w:pPr>
        <w:spacing w:after="0" w:line="94" w:lineRule="exact"/>
        <w:rPr>
          <w:rFonts w:ascii="Arial" w:cs="Arial" w:eastAsia="Arial" w:hAnsi="Arial"/>
          <w:sz w:val="22"/>
          <w:szCs w:val="22"/>
          <w:color w:val="00249C"/>
        </w:rPr>
      </w:pPr>
    </w:p>
    <w:p>
      <w:pPr>
        <w:ind w:left="340" w:right="40" w:hanging="332"/>
        <w:spacing w:after="0" w:line="272" w:lineRule="auto"/>
        <w:tabs>
          <w:tab w:leader="none" w:pos="340" w:val="left"/>
        </w:tabs>
        <w:numPr>
          <w:ilvl w:val="0"/>
          <w:numId w:val="61"/>
        </w:numPr>
        <w:rPr>
          <w:rFonts w:ascii="Arial" w:cs="Arial" w:eastAsia="Arial" w:hAnsi="Arial"/>
          <w:sz w:val="22"/>
          <w:szCs w:val="22"/>
          <w:color w:val="00249C"/>
        </w:rPr>
      </w:pPr>
      <w:r>
        <w:rPr>
          <w:rFonts w:ascii="Arial" w:cs="Arial" w:eastAsia="Arial" w:hAnsi="Arial"/>
          <w:sz w:val="18"/>
          <w:szCs w:val="18"/>
          <w:color w:val="auto"/>
        </w:rPr>
        <w:t>there are appropriate policies in place to mitigate compensation-related risk, including the Compensation Committee's and its advisor's independence, transparent disclosure, officer stock ownership guidelines and holding period requirements, and hedging and recoupment policies; and</w:t>
      </w:r>
    </w:p>
    <w:p>
      <w:pPr>
        <w:spacing w:after="0" w:line="58" w:lineRule="exact"/>
        <w:rPr>
          <w:rFonts w:ascii="Arial" w:cs="Arial" w:eastAsia="Arial" w:hAnsi="Arial"/>
          <w:sz w:val="22"/>
          <w:szCs w:val="22"/>
          <w:color w:val="00249C"/>
        </w:rPr>
      </w:pPr>
    </w:p>
    <w:p>
      <w:pPr>
        <w:ind w:left="340" w:hanging="332"/>
        <w:spacing w:after="0"/>
        <w:tabs>
          <w:tab w:leader="none" w:pos="340" w:val="left"/>
        </w:tabs>
        <w:numPr>
          <w:ilvl w:val="0"/>
          <w:numId w:val="61"/>
        </w:numPr>
        <w:rPr>
          <w:rFonts w:ascii="Arial" w:cs="Arial" w:eastAsia="Arial" w:hAnsi="Arial"/>
          <w:sz w:val="22"/>
          <w:szCs w:val="22"/>
          <w:color w:val="00249C"/>
        </w:rPr>
      </w:pPr>
      <w:r>
        <w:rPr>
          <w:rFonts w:ascii="Arial" w:cs="Arial" w:eastAsia="Arial" w:hAnsi="Arial"/>
          <w:sz w:val="18"/>
          <w:szCs w:val="18"/>
          <w:color w:val="auto"/>
        </w:rPr>
        <w:t>there are no incentive or commission arrangements below the executive level that potentially encourage excessive risk-taking behavior.</w:t>
      </w:r>
    </w:p>
    <w:p>
      <w:pPr>
        <w:spacing w:after="0" w:line="66" w:lineRule="exact"/>
        <w:rPr>
          <w:rFonts w:ascii="Arial" w:cs="Arial" w:eastAsia="Arial" w:hAnsi="Arial"/>
          <w:sz w:val="22"/>
          <w:szCs w:val="22"/>
          <w:color w:val="00249C"/>
        </w:rPr>
      </w:pPr>
    </w:p>
    <w:p>
      <w:pPr>
        <w:spacing w:after="0"/>
        <w:rPr>
          <w:rFonts w:ascii="Arial" w:cs="Arial" w:eastAsia="Arial" w:hAnsi="Arial"/>
          <w:sz w:val="22"/>
          <w:szCs w:val="22"/>
          <w:color w:val="00249C"/>
        </w:rPr>
      </w:pPr>
      <w:r>
        <w:rPr>
          <w:rFonts w:ascii="Arial" w:cs="Arial" w:eastAsia="Arial" w:hAnsi="Arial"/>
          <w:sz w:val="20"/>
          <w:szCs w:val="20"/>
          <w:b w:val="1"/>
          <w:bCs w:val="1"/>
          <w:color w:val="auto"/>
        </w:rPr>
        <w:t>Grant Date for Equity Awards</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Annual grant cycles for equity awards occur in February at the same time salary increases and annual incentive targets are determined. This timing allows the Compensation Committee to make decisions on each of these compensation components at the same time, utilizing a total compensation philosophy. The Compensation Committee reviews and approves annual long-term incentive grants during its scheduled meeting, which occurs following the announcement of our year-end financial results. Equity grants may also be granted on an interim basis throughout the year for special situations, such as new executive hires, promotions or retention.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Deductibility of Pay</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prior law, Section 162(m) of the Internal Revenue Code generally limited the annual tax deduction to $1 million per person for compensation paid to the Company's CEO and the next three highest-paid NEOs, other than the Chief Financial Officer (collectively, covered employees). Certain compensation, including qualified performance-based compensation, was not subject to the deduction limit if certain requirements were met.</w:t>
      </w:r>
    </w:p>
    <w:p>
      <w:pPr>
        <w:spacing w:after="0" w:line="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2017 Tax Act enacted on December 22, 2017, modified Section 162(m). The 2017 Tax Act expanded the definition of covered employees to include the Company's Chief Financial Officer and any employee who was a covered employee for any taxable year beginning after December 31, 2016. The 2017 Tax Act also repealed the performance-based compensation exception to the deduction limit. These amendments, effective January 1, 2018, do not apply to compensation paid pursuant to a written binding contract in effect on November 2, 2017, that was not materially modified after such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863" w:right="339" w:bottom="1440" w:gutter="0" w:footer="0" w:header="0"/>
        </w:sectPr>
      </w:pPr>
    </w:p>
    <w:bookmarkStart w:id="57" w:name="page58"/>
    <w:bookmarkEnd w:id="57"/>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5918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DISCUSSION AND ANALYSIS | K</w:t>
      </w:r>
      <w:r>
        <w:rPr>
          <w:rFonts w:ascii="Arial" w:cs="Arial" w:eastAsia="Arial" w:hAnsi="Arial"/>
          <w:sz w:val="17"/>
          <w:szCs w:val="17"/>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Say-on-Pay</w:t>
      </w:r>
    </w:p>
    <w:p>
      <w:pPr>
        <w:spacing w:after="0" w:line="10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Our shareholders are asked annually to approve, on an advisory basis, the compensation paid to our NEOs. We regularly engage with our shareholders to understand their concerns regarding executive compensation. The Compensation Committee annually reviews and discusses the results of the say-on-pay vote. In 2019, our executive compensation programs continued to receive strong support from shareholders with 96% approval at our 2019 Annual Meeting of Shareholders. Based on its review and feedback from shareholder engagement, the Compensation Committee determined that our programs are effective and aligned with shareholder interests, and no substantive changes were required.</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51</w:t>
      </w:r>
    </w:p>
    <w:p>
      <w:pPr>
        <w:sectPr>
          <w:pgSz w:w="11900" w:h="16838" w:orient="portrait"/>
          <w:cols w:equalWidth="0" w:num="1">
            <w:col w:w="11240"/>
          </w:cols>
          <w:pgMar w:left="320" w:top="863" w:right="339" w:bottom="1440" w:gutter="0" w:footer="0" w:header="0"/>
        </w:sectPr>
      </w:pPr>
    </w:p>
    <w:bookmarkStart w:id="58" w:name="page59"/>
    <w:bookmarkEnd w:id="58"/>
    <w:p>
      <w:pPr>
        <w:ind w:left="4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COMPENSATION COMMITTEE REPORT</w:t>
      </w:r>
    </w:p>
    <w:p>
      <w:pPr>
        <w:sectPr>
          <w:pgSz w:w="11900" w:h="16838" w:orient="portrait"/>
          <w:cols w:equalWidth="0" w:num="1">
            <w:col w:w="10760"/>
          </w:cols>
          <w:pgMar w:left="320" w:top="701" w:right="81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Compensation Committee reviewed and discussed the CD&amp;A with management. Based on such review and discussion, the Compensation Committee recommended to the Board that the CD&amp;A be included in this Proxy Statement. The Board has approved the recommendation.</w:t>
      </w:r>
    </w:p>
    <w:p>
      <w:pPr>
        <w:spacing w:after="0" w:line="49"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COMPENSATION COMMITTEE</w:t>
      </w:r>
    </w:p>
    <w:p>
      <w:pPr>
        <w:spacing w:after="0" w:line="8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THOMAS M. SCHOEWE, CHAIRPERSON</w:t>
      </w:r>
    </w:p>
    <w:p>
      <w:pPr>
        <w:spacing w:after="0" w:line="3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MARIANNE C. BROWN</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DONALD E. FELSINGER</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BRUCE S. GORDON</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KARL J. KRAPEK</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GARY ROUGHEAD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0760"/>
          </w:cols>
          <w:pgMar w:left="320" w:top="701" w:right="819" w:bottom="1440" w:gutter="0" w:footer="0" w:header="0"/>
          <w:type w:val="continuous"/>
        </w:sectPr>
      </w:pPr>
    </w:p>
    <w:bookmarkStart w:id="59" w:name="page60"/>
    <w:bookmarkEnd w:id="59"/>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1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TABLES | S</w:t>
      </w:r>
      <w:r>
        <w:rPr>
          <w:rFonts w:ascii="Arial" w:cs="Arial" w:eastAsia="Arial" w:hAnsi="Arial"/>
          <w:sz w:val="17"/>
          <w:szCs w:val="17"/>
          <w:b w:val="1"/>
          <w:bCs w:val="1"/>
          <w:color w:val="FFFFFF"/>
        </w:rPr>
        <w:t>UMMARY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OMPENSATION</w:t>
      </w:r>
      <w:r>
        <w:rPr>
          <w:rFonts w:ascii="Arial" w:cs="Arial" w:eastAsia="Arial" w:hAnsi="Arial"/>
          <w:sz w:val="22"/>
          <w:szCs w:val="22"/>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shd w:val="clear" w:color="auto" w:fill="00249C"/>
          </w:tcPr>
          <w:p>
            <w:pPr>
              <w:spacing w:after="0"/>
              <w:rPr>
                <w:sz w:val="16"/>
                <w:szCs w:val="16"/>
                <w:color w:val="auto"/>
              </w:rPr>
            </w:pPr>
          </w:p>
        </w:tc>
        <w:tc>
          <w:tcPr>
            <w:tcW w:w="620" w:type="dxa"/>
            <w:vAlign w:val="bottom"/>
            <w:shd w:val="clear" w:color="auto" w:fill="00249C"/>
          </w:tcPr>
          <w:p>
            <w:pPr>
              <w:spacing w:after="0"/>
              <w:rPr>
                <w:sz w:val="16"/>
                <w:szCs w:val="16"/>
                <w:color w:val="auto"/>
              </w:rPr>
            </w:pPr>
          </w:p>
        </w:tc>
        <w:tc>
          <w:tcPr>
            <w:tcW w:w="1020" w:type="dxa"/>
            <w:vAlign w:val="bottom"/>
            <w:shd w:val="clear" w:color="auto" w:fill="00249C"/>
          </w:tcPr>
          <w:p>
            <w:pPr>
              <w:spacing w:after="0"/>
              <w:rPr>
                <w:sz w:val="16"/>
                <w:szCs w:val="16"/>
                <w:color w:val="auto"/>
              </w:rPr>
            </w:pPr>
          </w:p>
        </w:tc>
        <w:tc>
          <w:tcPr>
            <w:tcW w:w="900" w:type="dxa"/>
            <w:vAlign w:val="bottom"/>
            <w:shd w:val="clear" w:color="auto" w:fill="00249C"/>
          </w:tcPr>
          <w:p>
            <w:pPr>
              <w:spacing w:after="0"/>
              <w:rPr>
                <w:sz w:val="16"/>
                <w:szCs w:val="16"/>
                <w:color w:val="auto"/>
              </w:rPr>
            </w:pPr>
          </w:p>
        </w:tc>
        <w:tc>
          <w:tcPr>
            <w:tcW w:w="1020" w:type="dxa"/>
            <w:vAlign w:val="bottom"/>
            <w:shd w:val="clear" w:color="auto" w:fill="00249C"/>
          </w:tcPr>
          <w:p>
            <w:pPr>
              <w:spacing w:after="0"/>
              <w:rPr>
                <w:sz w:val="16"/>
                <w:szCs w:val="16"/>
                <w:color w:val="auto"/>
              </w:rPr>
            </w:pPr>
          </w:p>
        </w:tc>
        <w:tc>
          <w:tcPr>
            <w:tcW w:w="1500" w:type="dxa"/>
            <w:vAlign w:val="bottom"/>
            <w:shd w:val="clear" w:color="auto" w:fill="00249C"/>
          </w:tcPr>
          <w:p>
            <w:pPr>
              <w:spacing w:after="0"/>
              <w:rPr>
                <w:sz w:val="16"/>
                <w:szCs w:val="16"/>
                <w:color w:val="auto"/>
              </w:rPr>
            </w:pPr>
          </w:p>
        </w:tc>
        <w:tc>
          <w:tcPr>
            <w:tcW w:w="12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Change in</w:t>
            </w:r>
          </w:p>
        </w:tc>
        <w:tc>
          <w:tcPr>
            <w:tcW w:w="1500" w:type="dxa"/>
            <w:vAlign w:val="bottom"/>
            <w:shd w:val="clear" w:color="auto" w:fill="00249C"/>
          </w:tcPr>
          <w:p>
            <w:pPr>
              <w:spacing w:after="0"/>
              <w:rPr>
                <w:sz w:val="16"/>
                <w:szCs w:val="16"/>
                <w:color w:val="auto"/>
              </w:rPr>
            </w:pPr>
          </w:p>
        </w:tc>
        <w:tc>
          <w:tcPr>
            <w:tcW w:w="1020" w:type="dxa"/>
            <w:vAlign w:val="bottom"/>
            <w:shd w:val="clear" w:color="auto" w:fill="00249C"/>
          </w:tcPr>
          <w:p>
            <w:pPr>
              <w:spacing w:after="0"/>
              <w:rPr>
                <w:sz w:val="16"/>
                <w:szCs w:val="16"/>
                <w:color w:val="auto"/>
              </w:rPr>
            </w:pP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00249C"/>
          </w:tcPr>
          <w:p>
            <w:pPr>
              <w:spacing w:after="0"/>
              <w:rPr>
                <w:sz w:val="14"/>
                <w:szCs w:val="14"/>
                <w:color w:val="auto"/>
              </w:rPr>
            </w:pPr>
          </w:p>
        </w:tc>
        <w:tc>
          <w:tcPr>
            <w:tcW w:w="62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90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1500" w:type="dxa"/>
            <w:vAlign w:val="bottom"/>
            <w:shd w:val="clear" w:color="auto" w:fill="00249C"/>
          </w:tcPr>
          <w:p>
            <w:pPr>
              <w:spacing w:after="0"/>
              <w:rPr>
                <w:sz w:val="14"/>
                <w:szCs w:val="14"/>
                <w:color w:val="auto"/>
              </w:rPr>
            </w:pPr>
          </w:p>
        </w:tc>
        <w:tc>
          <w:tcPr>
            <w:tcW w:w="12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Pension Value</w:t>
            </w:r>
          </w:p>
        </w:tc>
        <w:tc>
          <w:tcPr>
            <w:tcW w:w="150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00249C"/>
          </w:tcPr>
          <w:p>
            <w:pPr>
              <w:spacing w:after="0"/>
              <w:rPr>
                <w:sz w:val="14"/>
                <w:szCs w:val="14"/>
                <w:color w:val="auto"/>
              </w:rPr>
            </w:pPr>
          </w:p>
        </w:tc>
        <w:tc>
          <w:tcPr>
            <w:tcW w:w="62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90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1500" w:type="dxa"/>
            <w:vAlign w:val="bottom"/>
            <w:shd w:val="clear" w:color="auto" w:fill="00249C"/>
          </w:tcPr>
          <w:p>
            <w:pPr>
              <w:spacing w:after="0"/>
              <w:rPr>
                <w:sz w:val="14"/>
                <w:szCs w:val="14"/>
                <w:color w:val="auto"/>
              </w:rPr>
            </w:pPr>
          </w:p>
        </w:tc>
        <w:tc>
          <w:tcPr>
            <w:tcW w:w="12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and Non-</w:t>
            </w:r>
          </w:p>
        </w:tc>
        <w:tc>
          <w:tcPr>
            <w:tcW w:w="150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00249C"/>
          </w:tcPr>
          <w:p>
            <w:pPr>
              <w:spacing w:after="0"/>
              <w:rPr>
                <w:sz w:val="14"/>
                <w:szCs w:val="14"/>
                <w:color w:val="auto"/>
              </w:rPr>
            </w:pPr>
          </w:p>
        </w:tc>
        <w:tc>
          <w:tcPr>
            <w:tcW w:w="62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90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1500" w:type="dxa"/>
            <w:vAlign w:val="bottom"/>
            <w:shd w:val="clear" w:color="auto" w:fill="00249C"/>
          </w:tcPr>
          <w:p>
            <w:pPr>
              <w:spacing w:after="0"/>
              <w:rPr>
                <w:sz w:val="14"/>
                <w:szCs w:val="14"/>
                <w:color w:val="auto"/>
              </w:rPr>
            </w:pPr>
          </w:p>
        </w:tc>
        <w:tc>
          <w:tcPr>
            <w:tcW w:w="12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Qualified</w:t>
            </w:r>
          </w:p>
        </w:tc>
        <w:tc>
          <w:tcPr>
            <w:tcW w:w="150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00249C"/>
          </w:tcPr>
          <w:p>
            <w:pPr>
              <w:spacing w:after="0"/>
              <w:rPr>
                <w:sz w:val="14"/>
                <w:szCs w:val="14"/>
                <w:color w:val="auto"/>
              </w:rPr>
            </w:pPr>
          </w:p>
        </w:tc>
        <w:tc>
          <w:tcPr>
            <w:tcW w:w="62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90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15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Non-Equity</w:t>
            </w:r>
          </w:p>
        </w:tc>
        <w:tc>
          <w:tcPr>
            <w:tcW w:w="12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Deferred</w:t>
            </w:r>
          </w:p>
        </w:tc>
        <w:tc>
          <w:tcPr>
            <w:tcW w:w="150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00249C"/>
          </w:tcPr>
          <w:p>
            <w:pPr>
              <w:spacing w:after="0"/>
              <w:rPr>
                <w:sz w:val="14"/>
                <w:szCs w:val="14"/>
                <w:color w:val="auto"/>
              </w:rPr>
            </w:pPr>
          </w:p>
        </w:tc>
        <w:tc>
          <w:tcPr>
            <w:tcW w:w="620" w:type="dxa"/>
            <w:vAlign w:val="bottom"/>
            <w:shd w:val="clear" w:color="auto" w:fill="00249C"/>
          </w:tcPr>
          <w:p>
            <w:pPr>
              <w:spacing w:after="0"/>
              <w:rPr>
                <w:sz w:val="14"/>
                <w:szCs w:val="14"/>
                <w:color w:val="auto"/>
              </w:rPr>
            </w:pPr>
          </w:p>
        </w:tc>
        <w:tc>
          <w:tcPr>
            <w:tcW w:w="1020" w:type="dxa"/>
            <w:vAlign w:val="bottom"/>
            <w:shd w:val="clear" w:color="auto" w:fill="00249C"/>
          </w:tcPr>
          <w:p>
            <w:pPr>
              <w:spacing w:after="0"/>
              <w:rPr>
                <w:sz w:val="14"/>
                <w:szCs w:val="14"/>
                <w:color w:val="auto"/>
              </w:rPr>
            </w:pPr>
          </w:p>
        </w:tc>
        <w:tc>
          <w:tcPr>
            <w:tcW w:w="900" w:type="dxa"/>
            <w:vAlign w:val="bottom"/>
            <w:shd w:val="clear" w:color="auto" w:fill="00249C"/>
          </w:tcPr>
          <w:p>
            <w:pPr>
              <w:spacing w:after="0"/>
              <w:rPr>
                <w:sz w:val="14"/>
                <w:szCs w:val="14"/>
                <w:color w:val="auto"/>
              </w:rPr>
            </w:pPr>
          </w:p>
        </w:tc>
        <w:tc>
          <w:tcPr>
            <w:tcW w:w="10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Stock</w:t>
            </w:r>
          </w:p>
        </w:tc>
        <w:tc>
          <w:tcPr>
            <w:tcW w:w="15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Compensation</w:t>
            </w:r>
          </w:p>
        </w:tc>
        <w:tc>
          <w:tcPr>
            <w:tcW w:w="15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All Other</w:t>
            </w:r>
          </w:p>
        </w:tc>
        <w:tc>
          <w:tcPr>
            <w:tcW w:w="102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00249C"/>
          </w:tcPr>
          <w:p>
            <w:pPr>
              <w:spacing w:after="0"/>
              <w:rPr>
                <w:sz w:val="14"/>
                <w:szCs w:val="14"/>
                <w:color w:val="auto"/>
              </w:rPr>
            </w:pPr>
          </w:p>
        </w:tc>
        <w:tc>
          <w:tcPr>
            <w:tcW w:w="620" w:type="dxa"/>
            <w:vAlign w:val="bottom"/>
            <w:shd w:val="clear" w:color="auto" w:fill="00249C"/>
          </w:tcPr>
          <w:p>
            <w:pPr>
              <w:spacing w:after="0"/>
              <w:rPr>
                <w:sz w:val="14"/>
                <w:szCs w:val="14"/>
                <w:color w:val="auto"/>
              </w:rPr>
            </w:pPr>
          </w:p>
        </w:tc>
        <w:tc>
          <w:tcPr>
            <w:tcW w:w="1020" w:type="dxa"/>
            <w:vAlign w:val="bottom"/>
            <w:shd w:val="clear" w:color="auto" w:fill="00249C"/>
          </w:tcPr>
          <w:p>
            <w:pPr>
              <w:ind w:left="180"/>
              <w:spacing w:after="0"/>
              <w:rPr>
                <w:sz w:val="20"/>
                <w:szCs w:val="20"/>
                <w:color w:val="auto"/>
              </w:rPr>
            </w:pPr>
            <w:r>
              <w:rPr>
                <w:rFonts w:ascii="Arial" w:cs="Arial" w:eastAsia="Arial" w:hAnsi="Arial"/>
                <w:sz w:val="14"/>
                <w:szCs w:val="14"/>
                <w:b w:val="1"/>
                <w:bCs w:val="1"/>
                <w:color w:val="FFFFFF"/>
              </w:rPr>
              <w:t>Salary (1)</w:t>
            </w:r>
          </w:p>
        </w:tc>
        <w:tc>
          <w:tcPr>
            <w:tcW w:w="900" w:type="dxa"/>
            <w:vAlign w:val="bottom"/>
            <w:shd w:val="clear" w:color="auto" w:fill="00249C"/>
          </w:tcPr>
          <w:p>
            <w:pPr>
              <w:ind w:left="240"/>
              <w:spacing w:after="0"/>
              <w:rPr>
                <w:sz w:val="20"/>
                <w:szCs w:val="20"/>
                <w:color w:val="auto"/>
              </w:rPr>
            </w:pPr>
            <w:r>
              <w:rPr>
                <w:rFonts w:ascii="Arial" w:cs="Arial" w:eastAsia="Arial" w:hAnsi="Arial"/>
                <w:sz w:val="14"/>
                <w:szCs w:val="14"/>
                <w:b w:val="1"/>
                <w:bCs w:val="1"/>
                <w:color w:val="FFFFFF"/>
              </w:rPr>
              <w:t>Bonus</w:t>
            </w:r>
          </w:p>
        </w:tc>
        <w:tc>
          <w:tcPr>
            <w:tcW w:w="10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Awards (2)</w:t>
            </w:r>
          </w:p>
        </w:tc>
        <w:tc>
          <w:tcPr>
            <w:tcW w:w="15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Compensation (3)</w:t>
            </w:r>
          </w:p>
        </w:tc>
        <w:tc>
          <w:tcPr>
            <w:tcW w:w="12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Earnings (4)</w:t>
            </w:r>
          </w:p>
        </w:tc>
        <w:tc>
          <w:tcPr>
            <w:tcW w:w="15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Compensation (5)</w:t>
            </w:r>
          </w:p>
        </w:tc>
        <w:tc>
          <w:tcPr>
            <w:tcW w:w="1020" w:type="dxa"/>
            <w:vAlign w:val="bottom"/>
            <w:shd w:val="clear" w:color="auto" w:fill="00249C"/>
          </w:tcPr>
          <w:p>
            <w:pPr>
              <w:ind w:left="340"/>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 &amp; Principal Position</w:t>
            </w:r>
          </w:p>
        </w:tc>
        <w:tc>
          <w:tcPr>
            <w:tcW w:w="620" w:type="dxa"/>
            <w:vAlign w:val="bottom"/>
            <w:tcBorders>
              <w:bottom w:val="single" w:sz="8" w:color="00249C"/>
            </w:tcBorders>
            <w:shd w:val="clear" w:color="auto" w:fill="00249C"/>
          </w:tcPr>
          <w:p>
            <w:pPr>
              <w:ind w:left="120"/>
              <w:spacing w:after="0"/>
              <w:rPr>
                <w:sz w:val="20"/>
                <w:szCs w:val="20"/>
                <w:color w:val="auto"/>
              </w:rPr>
            </w:pPr>
            <w:r>
              <w:rPr>
                <w:rFonts w:ascii="Arial" w:cs="Arial" w:eastAsia="Arial" w:hAnsi="Arial"/>
                <w:sz w:val="14"/>
                <w:szCs w:val="14"/>
                <w:b w:val="1"/>
                <w:bCs w:val="1"/>
                <w:color w:val="FFFFFF"/>
              </w:rPr>
              <w:t>Year</w:t>
            </w:r>
          </w:p>
        </w:tc>
        <w:tc>
          <w:tcPr>
            <w:tcW w:w="102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28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Borders>
              <w:bottom w:val="single" w:sz="8" w:color="00249C"/>
            </w:tcBorders>
            <w:shd w:val="clear" w:color="auto" w:fill="00249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380" w:type="dxa"/>
            <w:vAlign w:val="bottom"/>
          </w:tcPr>
          <w:p>
            <w:pPr>
              <w:ind w:left="40"/>
              <w:spacing w:after="0"/>
              <w:rPr>
                <w:sz w:val="20"/>
                <w:szCs w:val="20"/>
                <w:color w:val="auto"/>
              </w:rPr>
            </w:pPr>
            <w:r>
              <w:rPr>
                <w:rFonts w:ascii="Arial" w:cs="Arial" w:eastAsia="Arial" w:hAnsi="Arial"/>
                <w:sz w:val="14"/>
                <w:szCs w:val="14"/>
                <w:color w:val="auto"/>
              </w:rPr>
              <w:t>Kathy J. Warden</w:t>
            </w:r>
          </w:p>
        </w:tc>
        <w:tc>
          <w:tcPr>
            <w:tcW w:w="620" w:type="dxa"/>
            <w:vAlign w:val="bottom"/>
            <w:tcBorders>
              <w:bottom w:val="single" w:sz="8" w:color="CCD4DB"/>
            </w:tcBorders>
            <w:shd w:val="clear" w:color="auto" w:fill="CCD4DB"/>
          </w:tcPr>
          <w:p>
            <w:pPr>
              <w:ind w:left="120"/>
              <w:spacing w:after="0"/>
              <w:rPr>
                <w:sz w:val="20"/>
                <w:szCs w:val="20"/>
                <w:color w:val="auto"/>
              </w:rPr>
            </w:pPr>
            <w:r>
              <w:rPr>
                <w:rFonts w:ascii="Arial" w:cs="Arial" w:eastAsia="Arial" w:hAnsi="Arial"/>
                <w:sz w:val="14"/>
                <w:szCs w:val="14"/>
                <w:color w:val="auto"/>
              </w:rPr>
              <w:t>2019</w:t>
            </w:r>
          </w:p>
        </w:tc>
        <w:tc>
          <w:tcPr>
            <w:tcW w:w="10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1,488,462</w:t>
            </w:r>
          </w:p>
        </w:tc>
        <w:tc>
          <w:tcPr>
            <w:tcW w:w="9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13,000,159</w:t>
            </w:r>
          </w:p>
        </w:tc>
        <w:tc>
          <w:tcPr>
            <w:tcW w:w="15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4,509,000</w:t>
            </w:r>
          </w:p>
        </w:tc>
        <w:tc>
          <w:tcPr>
            <w:tcW w:w="12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687,615</w:t>
            </w:r>
          </w:p>
        </w:tc>
        <w:tc>
          <w:tcPr>
            <w:tcW w:w="15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622,758</w:t>
            </w:r>
          </w:p>
        </w:tc>
        <w:tc>
          <w:tcPr>
            <w:tcW w:w="10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20,307,994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80" w:type="dxa"/>
            <w:vAlign w:val="bottom"/>
          </w:tcPr>
          <w:p>
            <w:pPr>
              <w:ind w:left="200"/>
              <w:spacing w:after="0"/>
              <w:rPr>
                <w:sz w:val="20"/>
                <w:szCs w:val="20"/>
                <w:color w:val="auto"/>
              </w:rPr>
            </w:pPr>
            <w:r>
              <w:rPr>
                <w:rFonts w:ascii="Arial" w:cs="Arial" w:eastAsia="Arial" w:hAnsi="Arial"/>
                <w:sz w:val="14"/>
                <w:szCs w:val="14"/>
                <w:color w:val="auto"/>
              </w:rPr>
              <w:t>Chairman, Chief Executive</w:t>
            </w:r>
          </w:p>
        </w:tc>
        <w:tc>
          <w:tcPr>
            <w:tcW w:w="620" w:type="dxa"/>
            <w:vAlign w:val="bottom"/>
          </w:tcPr>
          <w:p>
            <w:pPr>
              <w:ind w:left="120"/>
              <w:spacing w:after="0"/>
              <w:rPr>
                <w:sz w:val="20"/>
                <w:szCs w:val="20"/>
                <w:color w:val="auto"/>
              </w:rPr>
            </w:pPr>
            <w:r>
              <w:rPr>
                <w:rFonts w:ascii="Arial" w:cs="Arial" w:eastAsia="Arial" w:hAnsi="Arial"/>
                <w:sz w:val="14"/>
                <w:szCs w:val="14"/>
                <w:color w:val="auto"/>
              </w:rPr>
              <w:t>2018</w:t>
            </w:r>
          </w:p>
        </w:tc>
        <w:tc>
          <w:tcPr>
            <w:tcW w:w="1020" w:type="dxa"/>
            <w:vAlign w:val="bottom"/>
          </w:tcPr>
          <w:p>
            <w:pPr>
              <w:jc w:val="center"/>
              <w:spacing w:after="0"/>
              <w:rPr>
                <w:sz w:val="20"/>
                <w:szCs w:val="20"/>
                <w:color w:val="auto"/>
              </w:rPr>
            </w:pPr>
            <w:r>
              <w:rPr>
                <w:rFonts w:ascii="Arial" w:cs="Arial" w:eastAsia="Arial" w:hAnsi="Arial"/>
                <w:sz w:val="14"/>
                <w:szCs w:val="14"/>
                <w:color w:val="auto"/>
              </w:rPr>
              <w:t>963,462</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9,999,869</w:t>
            </w:r>
          </w:p>
        </w:tc>
        <w:tc>
          <w:tcPr>
            <w:tcW w:w="1500" w:type="dxa"/>
            <w:vAlign w:val="bottom"/>
          </w:tcPr>
          <w:p>
            <w:pPr>
              <w:jc w:val="center"/>
              <w:spacing w:after="0"/>
              <w:rPr>
                <w:sz w:val="20"/>
                <w:szCs w:val="20"/>
                <w:color w:val="auto"/>
              </w:rPr>
            </w:pPr>
            <w:r>
              <w:rPr>
                <w:rFonts w:ascii="Arial" w:cs="Arial" w:eastAsia="Arial" w:hAnsi="Arial"/>
                <w:sz w:val="14"/>
                <w:szCs w:val="14"/>
                <w:color w:val="auto"/>
              </w:rPr>
              <w:t>1,920,000</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rPr>
              <w:t>458,976</w:t>
            </w:r>
          </w:p>
        </w:tc>
        <w:tc>
          <w:tcPr>
            <w:tcW w:w="1020" w:type="dxa"/>
            <w:vAlign w:val="bottom"/>
          </w:tcPr>
          <w:p>
            <w:pPr>
              <w:jc w:val="center"/>
              <w:spacing w:after="0"/>
              <w:rPr>
                <w:sz w:val="20"/>
                <w:szCs w:val="20"/>
                <w:color w:val="auto"/>
              </w:rPr>
            </w:pPr>
            <w:r>
              <w:rPr>
                <w:rFonts w:ascii="Arial" w:cs="Arial" w:eastAsia="Arial" w:hAnsi="Arial"/>
                <w:sz w:val="14"/>
                <w:szCs w:val="14"/>
                <w:color w:val="auto"/>
              </w:rPr>
              <w:t>13,342,307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380" w:type="dxa"/>
            <w:vAlign w:val="bottom"/>
            <w:vMerge w:val="restart"/>
          </w:tcPr>
          <w:p>
            <w:pPr>
              <w:ind w:left="200"/>
              <w:spacing w:after="0"/>
              <w:rPr>
                <w:sz w:val="20"/>
                <w:szCs w:val="20"/>
                <w:color w:val="auto"/>
              </w:rPr>
            </w:pPr>
            <w:r>
              <w:rPr>
                <w:rFonts w:ascii="Arial" w:cs="Arial" w:eastAsia="Arial" w:hAnsi="Arial"/>
                <w:sz w:val="14"/>
                <w:szCs w:val="14"/>
                <w:color w:val="auto"/>
              </w:rPr>
              <w:t>Officer and President</w:t>
            </w: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380" w:type="dxa"/>
            <w:vAlign w:val="bottom"/>
            <w:vMerge w:val="continue"/>
          </w:tcPr>
          <w:p>
            <w:pPr>
              <w:spacing w:after="0"/>
              <w:rPr>
                <w:sz w:val="8"/>
                <w:szCs w:val="8"/>
                <w:color w:val="auto"/>
              </w:rPr>
            </w:pPr>
          </w:p>
        </w:tc>
        <w:tc>
          <w:tcPr>
            <w:tcW w:w="620" w:type="dxa"/>
            <w:vAlign w:val="bottom"/>
            <w:vMerge w:val="restart"/>
            <w:shd w:val="clear" w:color="auto" w:fill="CCD4DB"/>
          </w:tcPr>
          <w:p>
            <w:pPr>
              <w:ind w:left="120"/>
              <w:spacing w:after="0"/>
              <w:rPr>
                <w:sz w:val="20"/>
                <w:szCs w:val="20"/>
                <w:color w:val="auto"/>
              </w:rPr>
            </w:pPr>
            <w:r>
              <w:rPr>
                <w:rFonts w:ascii="Arial" w:cs="Arial" w:eastAsia="Arial" w:hAnsi="Arial"/>
                <w:sz w:val="14"/>
                <w:szCs w:val="14"/>
                <w:color w:val="auto"/>
              </w:rPr>
              <w:t>2017</w:t>
            </w:r>
          </w:p>
        </w:tc>
        <w:tc>
          <w:tcPr>
            <w:tcW w:w="10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807,116</w:t>
            </w:r>
          </w:p>
        </w:tc>
        <w:tc>
          <w:tcPr>
            <w:tcW w:w="9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3,499,993</w:t>
            </w:r>
          </w:p>
        </w:tc>
        <w:tc>
          <w:tcPr>
            <w:tcW w:w="15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1,061,000</w:t>
            </w:r>
          </w:p>
        </w:tc>
        <w:tc>
          <w:tcPr>
            <w:tcW w:w="12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388,015</w:t>
            </w:r>
          </w:p>
        </w:tc>
        <w:tc>
          <w:tcPr>
            <w:tcW w:w="15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206,548</w:t>
            </w:r>
          </w:p>
        </w:tc>
        <w:tc>
          <w:tcPr>
            <w:tcW w:w="10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5,962,672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620" w:type="dxa"/>
            <w:vAlign w:val="bottom"/>
            <w:tcBorders>
              <w:bottom w:val="single" w:sz="8" w:color="CCD4DB"/>
            </w:tcBorders>
            <w:vMerge w:val="continue"/>
            <w:shd w:val="clear" w:color="auto" w:fill="CCD4DB"/>
          </w:tcPr>
          <w:p>
            <w:pPr>
              <w:spacing w:after="0"/>
              <w:rPr>
                <w:sz w:val="15"/>
                <w:szCs w:val="15"/>
                <w:color w:val="auto"/>
              </w:rPr>
            </w:pPr>
          </w:p>
        </w:tc>
        <w:tc>
          <w:tcPr>
            <w:tcW w:w="1020" w:type="dxa"/>
            <w:vAlign w:val="bottom"/>
            <w:tcBorders>
              <w:bottom w:val="single" w:sz="8" w:color="CCD4DB"/>
            </w:tcBorders>
            <w:vMerge w:val="continue"/>
            <w:shd w:val="clear" w:color="auto" w:fill="CCD4DB"/>
          </w:tcPr>
          <w:p>
            <w:pPr>
              <w:spacing w:after="0"/>
              <w:rPr>
                <w:sz w:val="15"/>
                <w:szCs w:val="15"/>
                <w:color w:val="auto"/>
              </w:rPr>
            </w:pPr>
          </w:p>
        </w:tc>
        <w:tc>
          <w:tcPr>
            <w:tcW w:w="900" w:type="dxa"/>
            <w:vAlign w:val="bottom"/>
            <w:tcBorders>
              <w:bottom w:val="single" w:sz="8" w:color="CCD4DB"/>
            </w:tcBorders>
            <w:vMerge w:val="continue"/>
            <w:shd w:val="clear" w:color="auto" w:fill="CCD4DB"/>
          </w:tcPr>
          <w:p>
            <w:pPr>
              <w:spacing w:after="0"/>
              <w:rPr>
                <w:sz w:val="15"/>
                <w:szCs w:val="15"/>
                <w:color w:val="auto"/>
              </w:rPr>
            </w:pPr>
          </w:p>
        </w:tc>
        <w:tc>
          <w:tcPr>
            <w:tcW w:w="1020" w:type="dxa"/>
            <w:vAlign w:val="bottom"/>
            <w:tcBorders>
              <w:bottom w:val="single" w:sz="8" w:color="CCD4DB"/>
            </w:tcBorders>
            <w:vMerge w:val="continue"/>
            <w:shd w:val="clear" w:color="auto" w:fill="CCD4DB"/>
          </w:tcPr>
          <w:p>
            <w:pPr>
              <w:spacing w:after="0"/>
              <w:rPr>
                <w:sz w:val="15"/>
                <w:szCs w:val="15"/>
                <w:color w:val="auto"/>
              </w:rPr>
            </w:pPr>
          </w:p>
        </w:tc>
        <w:tc>
          <w:tcPr>
            <w:tcW w:w="1500" w:type="dxa"/>
            <w:vAlign w:val="bottom"/>
            <w:tcBorders>
              <w:bottom w:val="single" w:sz="8" w:color="CCD4DB"/>
            </w:tcBorders>
            <w:vMerge w:val="continue"/>
            <w:shd w:val="clear" w:color="auto" w:fill="CCD4DB"/>
          </w:tcPr>
          <w:p>
            <w:pPr>
              <w:spacing w:after="0"/>
              <w:rPr>
                <w:sz w:val="15"/>
                <w:szCs w:val="15"/>
                <w:color w:val="auto"/>
              </w:rPr>
            </w:pPr>
          </w:p>
        </w:tc>
        <w:tc>
          <w:tcPr>
            <w:tcW w:w="1280" w:type="dxa"/>
            <w:vAlign w:val="bottom"/>
            <w:tcBorders>
              <w:bottom w:val="single" w:sz="8" w:color="CCD4DB"/>
            </w:tcBorders>
            <w:vMerge w:val="continue"/>
            <w:shd w:val="clear" w:color="auto" w:fill="CCD4DB"/>
          </w:tcPr>
          <w:p>
            <w:pPr>
              <w:spacing w:after="0"/>
              <w:rPr>
                <w:sz w:val="15"/>
                <w:szCs w:val="15"/>
                <w:color w:val="auto"/>
              </w:rPr>
            </w:pPr>
          </w:p>
        </w:tc>
        <w:tc>
          <w:tcPr>
            <w:tcW w:w="1500" w:type="dxa"/>
            <w:vAlign w:val="bottom"/>
            <w:tcBorders>
              <w:bottom w:val="single" w:sz="8" w:color="CCD4DB"/>
            </w:tcBorders>
            <w:vMerge w:val="continue"/>
            <w:shd w:val="clear" w:color="auto" w:fill="CCD4DB"/>
          </w:tcPr>
          <w:p>
            <w:pPr>
              <w:spacing w:after="0"/>
              <w:rPr>
                <w:sz w:val="15"/>
                <w:szCs w:val="15"/>
                <w:color w:val="auto"/>
              </w:rPr>
            </w:pPr>
          </w:p>
        </w:tc>
        <w:tc>
          <w:tcPr>
            <w:tcW w:w="1020" w:type="dxa"/>
            <w:vAlign w:val="bottom"/>
            <w:tcBorders>
              <w:bottom w:val="single" w:sz="8" w:color="CCD4DB"/>
            </w:tcBorders>
            <w:vMerge w:val="continue"/>
            <w:shd w:val="clear" w:color="auto" w:fill="CCD4D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380" w:type="dxa"/>
            <w:vAlign w:val="bottom"/>
            <w:tcBorders>
              <w:top w:val="single" w:sz="8" w:color="00249C"/>
            </w:tcBorders>
          </w:tcPr>
          <w:p>
            <w:pPr>
              <w:ind w:left="40"/>
              <w:spacing w:after="0"/>
              <w:rPr>
                <w:sz w:val="20"/>
                <w:szCs w:val="20"/>
                <w:color w:val="auto"/>
              </w:rPr>
            </w:pPr>
            <w:r>
              <w:rPr>
                <w:rFonts w:ascii="Arial" w:cs="Arial" w:eastAsia="Arial" w:hAnsi="Arial"/>
                <w:sz w:val="14"/>
                <w:szCs w:val="14"/>
                <w:color w:val="auto"/>
              </w:rPr>
              <w:t>Kenneth L. Bedingfield (6)</w:t>
            </w:r>
          </w:p>
        </w:tc>
        <w:tc>
          <w:tcPr>
            <w:tcW w:w="620" w:type="dxa"/>
            <w:vAlign w:val="bottom"/>
            <w:tcBorders>
              <w:top w:val="single" w:sz="8" w:color="00249C"/>
            </w:tcBorders>
          </w:tcPr>
          <w:p>
            <w:pPr>
              <w:ind w:left="120"/>
              <w:spacing w:after="0"/>
              <w:rPr>
                <w:sz w:val="20"/>
                <w:szCs w:val="20"/>
                <w:color w:val="auto"/>
              </w:rPr>
            </w:pPr>
            <w:r>
              <w:rPr>
                <w:rFonts w:ascii="Arial" w:cs="Arial" w:eastAsia="Arial" w:hAnsi="Arial"/>
                <w:sz w:val="14"/>
                <w:szCs w:val="14"/>
                <w:color w:val="auto"/>
              </w:rPr>
              <w:t>2019</w:t>
            </w:r>
          </w:p>
        </w:tc>
        <w:tc>
          <w:tcPr>
            <w:tcW w:w="102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834,385</w:t>
            </w:r>
          </w:p>
        </w:tc>
        <w:tc>
          <w:tcPr>
            <w:tcW w:w="90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3,499,779</w:t>
            </w:r>
          </w:p>
        </w:tc>
        <w:tc>
          <w:tcPr>
            <w:tcW w:w="150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1,401,000</w:t>
            </w:r>
          </w:p>
        </w:tc>
        <w:tc>
          <w:tcPr>
            <w:tcW w:w="128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296,756</w:t>
            </w:r>
          </w:p>
        </w:tc>
        <w:tc>
          <w:tcPr>
            <w:tcW w:w="102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6,031,920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380" w:type="dxa"/>
            <w:vAlign w:val="bottom"/>
            <w:vMerge w:val="restart"/>
          </w:tcPr>
          <w:p>
            <w:pPr>
              <w:ind w:left="200"/>
              <w:spacing w:after="0"/>
              <w:rPr>
                <w:sz w:val="20"/>
                <w:szCs w:val="20"/>
                <w:color w:val="auto"/>
              </w:rPr>
            </w:pPr>
            <w:r>
              <w:rPr>
                <w:rFonts w:ascii="Arial" w:cs="Arial" w:eastAsia="Arial" w:hAnsi="Arial"/>
                <w:sz w:val="14"/>
                <w:szCs w:val="14"/>
                <w:color w:val="auto"/>
              </w:rPr>
              <w:t>Corporate Vice President and</w:t>
            </w: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2380" w:type="dxa"/>
            <w:vAlign w:val="bottom"/>
            <w:vMerge w:val="continue"/>
          </w:tcPr>
          <w:p>
            <w:pPr>
              <w:spacing w:after="0"/>
              <w:rPr>
                <w:sz w:val="16"/>
                <w:szCs w:val="16"/>
                <w:color w:val="auto"/>
              </w:rPr>
            </w:pPr>
          </w:p>
        </w:tc>
        <w:tc>
          <w:tcPr>
            <w:tcW w:w="620" w:type="dxa"/>
            <w:vAlign w:val="bottom"/>
            <w:shd w:val="clear" w:color="auto" w:fill="CCD4DB"/>
          </w:tcPr>
          <w:p>
            <w:pPr>
              <w:ind w:left="120"/>
              <w:spacing w:after="0"/>
              <w:rPr>
                <w:sz w:val="20"/>
                <w:szCs w:val="20"/>
                <w:color w:val="auto"/>
              </w:rPr>
            </w:pPr>
            <w:r>
              <w:rPr>
                <w:rFonts w:ascii="Arial" w:cs="Arial" w:eastAsia="Arial" w:hAnsi="Arial"/>
                <w:sz w:val="14"/>
                <w:szCs w:val="14"/>
                <w:color w:val="auto"/>
              </w:rPr>
              <w:t>2018</w:t>
            </w:r>
          </w:p>
        </w:tc>
        <w:tc>
          <w:tcPr>
            <w:tcW w:w="10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811,154</w:t>
            </w:r>
          </w:p>
        </w:tc>
        <w:tc>
          <w:tcPr>
            <w:tcW w:w="90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3,500,008</w:t>
            </w:r>
          </w:p>
        </w:tc>
        <w:tc>
          <w:tcPr>
            <w:tcW w:w="15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1,304,000</w:t>
            </w:r>
          </w:p>
        </w:tc>
        <w:tc>
          <w:tcPr>
            <w:tcW w:w="128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312,214</w:t>
            </w:r>
          </w:p>
        </w:tc>
        <w:tc>
          <w:tcPr>
            <w:tcW w:w="10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5,927,376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380" w:type="dxa"/>
            <w:vAlign w:val="bottom"/>
            <w:vMerge w:val="restart"/>
          </w:tcPr>
          <w:p>
            <w:pPr>
              <w:ind w:left="200"/>
              <w:spacing w:after="0"/>
              <w:rPr>
                <w:sz w:val="20"/>
                <w:szCs w:val="20"/>
                <w:color w:val="auto"/>
              </w:rPr>
            </w:pPr>
            <w:r>
              <w:rPr>
                <w:rFonts w:ascii="Arial" w:cs="Arial" w:eastAsia="Arial" w:hAnsi="Arial"/>
                <w:sz w:val="14"/>
                <w:szCs w:val="14"/>
                <w:color w:val="auto"/>
              </w:rPr>
              <w:t>Chief Financial Officer</w:t>
            </w:r>
          </w:p>
        </w:tc>
        <w:tc>
          <w:tcPr>
            <w:tcW w:w="620" w:type="dxa"/>
            <w:vAlign w:val="bottom"/>
            <w:shd w:val="clear" w:color="auto" w:fill="CCD4DB"/>
          </w:tcPr>
          <w:p>
            <w:pPr>
              <w:spacing w:after="0"/>
              <w:rPr>
                <w:sz w:val="6"/>
                <w:szCs w:val="6"/>
                <w:color w:val="auto"/>
              </w:rPr>
            </w:pPr>
          </w:p>
        </w:tc>
        <w:tc>
          <w:tcPr>
            <w:tcW w:w="1020" w:type="dxa"/>
            <w:vAlign w:val="bottom"/>
            <w:shd w:val="clear" w:color="auto" w:fill="CCD4DB"/>
          </w:tcPr>
          <w:p>
            <w:pPr>
              <w:spacing w:after="0"/>
              <w:rPr>
                <w:sz w:val="6"/>
                <w:szCs w:val="6"/>
                <w:color w:val="auto"/>
              </w:rPr>
            </w:pPr>
          </w:p>
        </w:tc>
        <w:tc>
          <w:tcPr>
            <w:tcW w:w="900" w:type="dxa"/>
            <w:vAlign w:val="bottom"/>
            <w:shd w:val="clear" w:color="auto" w:fill="CCD4DB"/>
          </w:tcPr>
          <w:p>
            <w:pPr>
              <w:spacing w:after="0"/>
              <w:rPr>
                <w:sz w:val="6"/>
                <w:szCs w:val="6"/>
                <w:color w:val="auto"/>
              </w:rPr>
            </w:pPr>
          </w:p>
        </w:tc>
        <w:tc>
          <w:tcPr>
            <w:tcW w:w="1020" w:type="dxa"/>
            <w:vAlign w:val="bottom"/>
            <w:shd w:val="clear" w:color="auto" w:fill="CCD4DB"/>
          </w:tcPr>
          <w:p>
            <w:pPr>
              <w:spacing w:after="0"/>
              <w:rPr>
                <w:sz w:val="6"/>
                <w:szCs w:val="6"/>
                <w:color w:val="auto"/>
              </w:rPr>
            </w:pPr>
          </w:p>
        </w:tc>
        <w:tc>
          <w:tcPr>
            <w:tcW w:w="1500" w:type="dxa"/>
            <w:vAlign w:val="bottom"/>
            <w:shd w:val="clear" w:color="auto" w:fill="CCD4DB"/>
          </w:tcPr>
          <w:p>
            <w:pPr>
              <w:spacing w:after="0"/>
              <w:rPr>
                <w:sz w:val="6"/>
                <w:szCs w:val="6"/>
                <w:color w:val="auto"/>
              </w:rPr>
            </w:pPr>
          </w:p>
        </w:tc>
        <w:tc>
          <w:tcPr>
            <w:tcW w:w="1280" w:type="dxa"/>
            <w:vAlign w:val="bottom"/>
            <w:shd w:val="clear" w:color="auto" w:fill="CCD4DB"/>
          </w:tcPr>
          <w:p>
            <w:pPr>
              <w:spacing w:after="0"/>
              <w:rPr>
                <w:sz w:val="6"/>
                <w:szCs w:val="6"/>
                <w:color w:val="auto"/>
              </w:rPr>
            </w:pPr>
          </w:p>
        </w:tc>
        <w:tc>
          <w:tcPr>
            <w:tcW w:w="1500" w:type="dxa"/>
            <w:vAlign w:val="bottom"/>
            <w:shd w:val="clear" w:color="auto" w:fill="CCD4DB"/>
          </w:tcPr>
          <w:p>
            <w:pPr>
              <w:spacing w:after="0"/>
              <w:rPr>
                <w:sz w:val="6"/>
                <w:szCs w:val="6"/>
                <w:color w:val="auto"/>
              </w:rPr>
            </w:pPr>
          </w:p>
        </w:tc>
        <w:tc>
          <w:tcPr>
            <w:tcW w:w="1020" w:type="dxa"/>
            <w:vAlign w:val="bottom"/>
            <w:shd w:val="clear" w:color="auto" w:fill="CCD4D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380" w:type="dxa"/>
            <w:vAlign w:val="bottom"/>
            <w:vMerge w:val="continue"/>
          </w:tcPr>
          <w:p>
            <w:pPr>
              <w:spacing w:after="0"/>
              <w:rPr>
                <w:sz w:val="8"/>
                <w:szCs w:val="8"/>
                <w:color w:val="auto"/>
              </w:rPr>
            </w:pPr>
          </w:p>
        </w:tc>
        <w:tc>
          <w:tcPr>
            <w:tcW w:w="620" w:type="dxa"/>
            <w:vAlign w:val="bottom"/>
            <w:vMerge w:val="restart"/>
          </w:tcPr>
          <w:p>
            <w:pPr>
              <w:ind w:left="120"/>
              <w:spacing w:after="0"/>
              <w:rPr>
                <w:sz w:val="20"/>
                <w:szCs w:val="20"/>
                <w:color w:val="auto"/>
              </w:rPr>
            </w:pPr>
            <w:r>
              <w:rPr>
                <w:rFonts w:ascii="Arial" w:cs="Arial" w:eastAsia="Arial" w:hAnsi="Arial"/>
                <w:sz w:val="14"/>
                <w:szCs w:val="14"/>
                <w:color w:val="auto"/>
              </w:rPr>
              <w:t>2017</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790,192</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3,250,106</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1,041,000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351,426</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5,432,724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380" w:type="dxa"/>
            <w:vAlign w:val="bottom"/>
            <w:tcBorders>
              <w:bottom w:val="single" w:sz="8" w:color="00249C"/>
            </w:tcBorders>
          </w:tcPr>
          <w:p>
            <w:pPr>
              <w:spacing w:after="0"/>
              <w:rPr>
                <w:sz w:val="3"/>
                <w:szCs w:val="3"/>
                <w:color w:val="auto"/>
              </w:rPr>
            </w:pPr>
          </w:p>
        </w:tc>
        <w:tc>
          <w:tcPr>
            <w:tcW w:w="620" w:type="dxa"/>
            <w:vAlign w:val="bottom"/>
            <w:tcBorders>
              <w:bottom w:val="single" w:sz="8" w:color="00249C"/>
            </w:tcBorders>
          </w:tcPr>
          <w:p>
            <w:pPr>
              <w:spacing w:after="0"/>
              <w:rPr>
                <w:sz w:val="3"/>
                <w:szCs w:val="3"/>
                <w:color w:val="auto"/>
              </w:rPr>
            </w:pPr>
          </w:p>
        </w:tc>
        <w:tc>
          <w:tcPr>
            <w:tcW w:w="1020" w:type="dxa"/>
            <w:vAlign w:val="bottom"/>
            <w:tcBorders>
              <w:bottom w:val="single" w:sz="8" w:color="00249C"/>
            </w:tcBorders>
          </w:tcPr>
          <w:p>
            <w:pPr>
              <w:spacing w:after="0"/>
              <w:rPr>
                <w:sz w:val="3"/>
                <w:szCs w:val="3"/>
                <w:color w:val="auto"/>
              </w:rPr>
            </w:pPr>
          </w:p>
        </w:tc>
        <w:tc>
          <w:tcPr>
            <w:tcW w:w="900" w:type="dxa"/>
            <w:vAlign w:val="bottom"/>
            <w:tcBorders>
              <w:bottom w:val="single" w:sz="8" w:color="00249C"/>
            </w:tcBorders>
          </w:tcPr>
          <w:p>
            <w:pPr>
              <w:spacing w:after="0"/>
              <w:rPr>
                <w:sz w:val="3"/>
                <w:szCs w:val="3"/>
                <w:color w:val="auto"/>
              </w:rPr>
            </w:pPr>
          </w:p>
        </w:tc>
        <w:tc>
          <w:tcPr>
            <w:tcW w:w="1020" w:type="dxa"/>
            <w:vAlign w:val="bottom"/>
            <w:tcBorders>
              <w:bottom w:val="single" w:sz="8" w:color="00249C"/>
            </w:tcBorders>
          </w:tcPr>
          <w:p>
            <w:pPr>
              <w:spacing w:after="0"/>
              <w:rPr>
                <w:sz w:val="3"/>
                <w:szCs w:val="3"/>
                <w:color w:val="auto"/>
              </w:rPr>
            </w:pPr>
          </w:p>
        </w:tc>
        <w:tc>
          <w:tcPr>
            <w:tcW w:w="1500" w:type="dxa"/>
            <w:vAlign w:val="bottom"/>
            <w:tcBorders>
              <w:bottom w:val="single" w:sz="8" w:color="00249C"/>
            </w:tcBorders>
          </w:tcPr>
          <w:p>
            <w:pPr>
              <w:spacing w:after="0"/>
              <w:rPr>
                <w:sz w:val="3"/>
                <w:szCs w:val="3"/>
                <w:color w:val="auto"/>
              </w:rPr>
            </w:pPr>
          </w:p>
        </w:tc>
        <w:tc>
          <w:tcPr>
            <w:tcW w:w="1280" w:type="dxa"/>
            <w:vAlign w:val="bottom"/>
            <w:tcBorders>
              <w:bottom w:val="single" w:sz="8" w:color="00249C"/>
            </w:tcBorders>
          </w:tcPr>
          <w:p>
            <w:pPr>
              <w:spacing w:after="0"/>
              <w:rPr>
                <w:sz w:val="3"/>
                <w:szCs w:val="3"/>
                <w:color w:val="auto"/>
              </w:rPr>
            </w:pPr>
          </w:p>
        </w:tc>
        <w:tc>
          <w:tcPr>
            <w:tcW w:w="1500" w:type="dxa"/>
            <w:vAlign w:val="bottom"/>
            <w:tcBorders>
              <w:bottom w:val="single" w:sz="8" w:color="00249C"/>
            </w:tcBorders>
          </w:tcPr>
          <w:p>
            <w:pPr>
              <w:spacing w:after="0"/>
              <w:rPr>
                <w:sz w:val="3"/>
                <w:szCs w:val="3"/>
                <w:color w:val="auto"/>
              </w:rPr>
            </w:pPr>
          </w:p>
        </w:tc>
        <w:tc>
          <w:tcPr>
            <w:tcW w:w="1020" w:type="dxa"/>
            <w:vAlign w:val="bottom"/>
            <w:tcBorders>
              <w:bottom w:val="single" w:sz="8" w:color="00249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4"/>
                <w:szCs w:val="14"/>
                <w:color w:val="auto"/>
              </w:rPr>
              <w:t>Mark A. Caylor (7)</w:t>
            </w:r>
          </w:p>
        </w:tc>
        <w:tc>
          <w:tcPr>
            <w:tcW w:w="620" w:type="dxa"/>
            <w:vAlign w:val="bottom"/>
            <w:tcBorders>
              <w:bottom w:val="single" w:sz="8" w:color="CCD4DB"/>
            </w:tcBorders>
            <w:shd w:val="clear" w:color="auto" w:fill="CCD4DB"/>
          </w:tcPr>
          <w:p>
            <w:pPr>
              <w:ind w:left="120"/>
              <w:spacing w:after="0"/>
              <w:rPr>
                <w:sz w:val="20"/>
                <w:szCs w:val="20"/>
                <w:color w:val="auto"/>
              </w:rPr>
            </w:pPr>
            <w:r>
              <w:rPr>
                <w:rFonts w:ascii="Arial" w:cs="Arial" w:eastAsia="Arial" w:hAnsi="Arial"/>
                <w:sz w:val="14"/>
                <w:szCs w:val="14"/>
                <w:color w:val="auto"/>
              </w:rPr>
              <w:t>2019</w:t>
            </w:r>
          </w:p>
        </w:tc>
        <w:tc>
          <w:tcPr>
            <w:tcW w:w="10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850,192</w:t>
            </w:r>
          </w:p>
        </w:tc>
        <w:tc>
          <w:tcPr>
            <w:tcW w:w="9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3,499,779</w:t>
            </w:r>
          </w:p>
        </w:tc>
        <w:tc>
          <w:tcPr>
            <w:tcW w:w="15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1,428,000</w:t>
            </w:r>
          </w:p>
        </w:tc>
        <w:tc>
          <w:tcPr>
            <w:tcW w:w="12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886,646</w:t>
            </w:r>
          </w:p>
        </w:tc>
        <w:tc>
          <w:tcPr>
            <w:tcW w:w="15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129,727</w:t>
            </w:r>
          </w:p>
        </w:tc>
        <w:tc>
          <w:tcPr>
            <w:tcW w:w="10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6,794,344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80" w:type="dxa"/>
            <w:vAlign w:val="bottom"/>
          </w:tcPr>
          <w:p>
            <w:pPr>
              <w:ind w:left="200"/>
              <w:spacing w:after="0"/>
              <w:rPr>
                <w:sz w:val="20"/>
                <w:szCs w:val="20"/>
                <w:color w:val="auto"/>
              </w:rPr>
            </w:pPr>
            <w:r>
              <w:rPr>
                <w:rFonts w:ascii="Arial" w:cs="Arial" w:eastAsia="Arial" w:hAnsi="Arial"/>
                <w:sz w:val="14"/>
                <w:szCs w:val="14"/>
                <w:color w:val="auto"/>
              </w:rPr>
              <w:t>Corporate Vice President and</w:t>
            </w:r>
          </w:p>
        </w:tc>
        <w:tc>
          <w:tcPr>
            <w:tcW w:w="620" w:type="dxa"/>
            <w:vAlign w:val="bottom"/>
          </w:tcPr>
          <w:p>
            <w:pPr>
              <w:ind w:left="120"/>
              <w:spacing w:after="0"/>
              <w:rPr>
                <w:sz w:val="20"/>
                <w:szCs w:val="20"/>
                <w:color w:val="auto"/>
              </w:rPr>
            </w:pPr>
            <w:r>
              <w:rPr>
                <w:rFonts w:ascii="Arial" w:cs="Arial" w:eastAsia="Arial" w:hAnsi="Arial"/>
                <w:sz w:val="14"/>
                <w:szCs w:val="14"/>
                <w:color w:val="auto"/>
              </w:rPr>
              <w:t>2018</w:t>
            </w:r>
          </w:p>
        </w:tc>
        <w:tc>
          <w:tcPr>
            <w:tcW w:w="1020" w:type="dxa"/>
            <w:vAlign w:val="bottom"/>
          </w:tcPr>
          <w:p>
            <w:pPr>
              <w:jc w:val="center"/>
              <w:spacing w:after="0"/>
              <w:rPr>
                <w:sz w:val="20"/>
                <w:szCs w:val="20"/>
                <w:color w:val="auto"/>
              </w:rPr>
            </w:pPr>
            <w:r>
              <w:rPr>
                <w:rFonts w:ascii="Arial" w:cs="Arial" w:eastAsia="Arial" w:hAnsi="Arial"/>
                <w:sz w:val="14"/>
                <w:szCs w:val="14"/>
                <w:color w:val="auto"/>
              </w:rPr>
              <w:t>790,577</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3,900,096</w:t>
            </w:r>
          </w:p>
        </w:tc>
        <w:tc>
          <w:tcPr>
            <w:tcW w:w="1500" w:type="dxa"/>
            <w:vAlign w:val="bottom"/>
          </w:tcPr>
          <w:p>
            <w:pPr>
              <w:jc w:val="center"/>
              <w:spacing w:after="0"/>
              <w:rPr>
                <w:sz w:val="20"/>
                <w:szCs w:val="20"/>
                <w:color w:val="auto"/>
              </w:rPr>
            </w:pPr>
            <w:r>
              <w:rPr>
                <w:rFonts w:ascii="Arial" w:cs="Arial" w:eastAsia="Arial" w:hAnsi="Arial"/>
                <w:sz w:val="14"/>
                <w:szCs w:val="14"/>
                <w:color w:val="auto"/>
              </w:rPr>
              <w:t>1,328,000</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rPr>
              <w:t>127,017</w:t>
            </w:r>
          </w:p>
        </w:tc>
        <w:tc>
          <w:tcPr>
            <w:tcW w:w="1020" w:type="dxa"/>
            <w:vAlign w:val="bottom"/>
          </w:tcPr>
          <w:p>
            <w:pPr>
              <w:jc w:val="center"/>
              <w:spacing w:after="0"/>
              <w:rPr>
                <w:sz w:val="20"/>
                <w:szCs w:val="20"/>
                <w:color w:val="auto"/>
              </w:rPr>
            </w:pPr>
            <w:r>
              <w:rPr>
                <w:rFonts w:ascii="Arial" w:cs="Arial" w:eastAsia="Arial" w:hAnsi="Arial"/>
                <w:sz w:val="14"/>
                <w:szCs w:val="14"/>
                <w:color w:val="auto"/>
              </w:rPr>
              <w:t>6,145,690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380" w:type="dxa"/>
            <w:vAlign w:val="bottom"/>
            <w:vMerge w:val="restart"/>
          </w:tcPr>
          <w:p>
            <w:pPr>
              <w:ind w:left="200"/>
              <w:spacing w:after="0"/>
              <w:rPr>
                <w:sz w:val="20"/>
                <w:szCs w:val="20"/>
                <w:color w:val="auto"/>
              </w:rPr>
            </w:pPr>
            <w:r>
              <w:rPr>
                <w:rFonts w:ascii="Arial" w:cs="Arial" w:eastAsia="Arial" w:hAnsi="Arial"/>
                <w:sz w:val="14"/>
                <w:szCs w:val="14"/>
                <w:color w:val="auto"/>
              </w:rPr>
              <w:t>President, Mission Systems</w:t>
            </w: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380" w:type="dxa"/>
            <w:vAlign w:val="bottom"/>
            <w:vMerge w:val="continue"/>
          </w:tcPr>
          <w:p>
            <w:pPr>
              <w:spacing w:after="0"/>
              <w:rPr>
                <w:sz w:val="8"/>
                <w:szCs w:val="8"/>
                <w:color w:val="auto"/>
              </w:rPr>
            </w:pPr>
          </w:p>
        </w:tc>
        <w:tc>
          <w:tcPr>
            <w:tcW w:w="620" w:type="dxa"/>
            <w:vAlign w:val="bottom"/>
            <w:shd w:val="clear" w:color="auto" w:fill="CCD4DB"/>
          </w:tcPr>
          <w:p>
            <w:pPr>
              <w:spacing w:after="0"/>
              <w:rPr>
                <w:sz w:val="8"/>
                <w:szCs w:val="8"/>
                <w:color w:val="auto"/>
              </w:rPr>
            </w:pPr>
          </w:p>
        </w:tc>
        <w:tc>
          <w:tcPr>
            <w:tcW w:w="1020" w:type="dxa"/>
            <w:vAlign w:val="bottom"/>
            <w:shd w:val="clear" w:color="auto" w:fill="CCD4DB"/>
          </w:tcPr>
          <w:p>
            <w:pPr>
              <w:spacing w:after="0"/>
              <w:rPr>
                <w:sz w:val="8"/>
                <w:szCs w:val="8"/>
                <w:color w:val="auto"/>
              </w:rPr>
            </w:pPr>
          </w:p>
        </w:tc>
        <w:tc>
          <w:tcPr>
            <w:tcW w:w="900" w:type="dxa"/>
            <w:vAlign w:val="bottom"/>
            <w:shd w:val="clear" w:color="auto" w:fill="CCD4DB"/>
          </w:tcPr>
          <w:p>
            <w:pPr>
              <w:spacing w:after="0"/>
              <w:rPr>
                <w:sz w:val="8"/>
                <w:szCs w:val="8"/>
                <w:color w:val="auto"/>
              </w:rPr>
            </w:pPr>
          </w:p>
        </w:tc>
        <w:tc>
          <w:tcPr>
            <w:tcW w:w="1020" w:type="dxa"/>
            <w:vAlign w:val="bottom"/>
            <w:shd w:val="clear" w:color="auto" w:fill="CCD4DB"/>
          </w:tcPr>
          <w:p>
            <w:pPr>
              <w:spacing w:after="0"/>
              <w:rPr>
                <w:sz w:val="8"/>
                <w:szCs w:val="8"/>
                <w:color w:val="auto"/>
              </w:rPr>
            </w:pPr>
          </w:p>
        </w:tc>
        <w:tc>
          <w:tcPr>
            <w:tcW w:w="1500" w:type="dxa"/>
            <w:vAlign w:val="bottom"/>
            <w:shd w:val="clear" w:color="auto" w:fill="CCD4DB"/>
          </w:tcPr>
          <w:p>
            <w:pPr>
              <w:spacing w:after="0"/>
              <w:rPr>
                <w:sz w:val="8"/>
                <w:szCs w:val="8"/>
                <w:color w:val="auto"/>
              </w:rPr>
            </w:pPr>
          </w:p>
        </w:tc>
        <w:tc>
          <w:tcPr>
            <w:tcW w:w="1280" w:type="dxa"/>
            <w:vAlign w:val="bottom"/>
            <w:shd w:val="clear" w:color="auto" w:fill="CCD4DB"/>
          </w:tcPr>
          <w:p>
            <w:pPr>
              <w:spacing w:after="0"/>
              <w:rPr>
                <w:sz w:val="8"/>
                <w:szCs w:val="8"/>
                <w:color w:val="auto"/>
              </w:rPr>
            </w:pPr>
          </w:p>
        </w:tc>
        <w:tc>
          <w:tcPr>
            <w:tcW w:w="1500" w:type="dxa"/>
            <w:vAlign w:val="bottom"/>
            <w:shd w:val="clear" w:color="auto" w:fill="CCD4DB"/>
          </w:tcPr>
          <w:p>
            <w:pPr>
              <w:spacing w:after="0"/>
              <w:rPr>
                <w:sz w:val="8"/>
                <w:szCs w:val="8"/>
                <w:color w:val="auto"/>
              </w:rPr>
            </w:pPr>
          </w:p>
        </w:tc>
        <w:tc>
          <w:tcPr>
            <w:tcW w:w="1020" w:type="dxa"/>
            <w:vAlign w:val="bottom"/>
            <w:shd w:val="clear" w:color="auto" w:fill="CCD4D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80" w:type="dxa"/>
            <w:vAlign w:val="bottom"/>
            <w:tcBorders>
              <w:bottom w:val="single" w:sz="8" w:color="00249C"/>
            </w:tcBorders>
          </w:tcPr>
          <w:p>
            <w:pPr>
              <w:spacing w:after="0"/>
              <w:rPr>
                <w:sz w:val="15"/>
                <w:szCs w:val="15"/>
                <w:color w:val="auto"/>
              </w:rPr>
            </w:pPr>
          </w:p>
        </w:tc>
        <w:tc>
          <w:tcPr>
            <w:tcW w:w="620" w:type="dxa"/>
            <w:vAlign w:val="bottom"/>
            <w:tcBorders>
              <w:bottom w:val="single" w:sz="8" w:color="00249C"/>
            </w:tcBorders>
            <w:shd w:val="clear" w:color="auto" w:fill="CCD4DB"/>
          </w:tcPr>
          <w:p>
            <w:pPr>
              <w:spacing w:after="0"/>
              <w:rPr>
                <w:sz w:val="15"/>
                <w:szCs w:val="15"/>
                <w:color w:val="auto"/>
              </w:rPr>
            </w:pPr>
          </w:p>
        </w:tc>
        <w:tc>
          <w:tcPr>
            <w:tcW w:w="1020" w:type="dxa"/>
            <w:vAlign w:val="bottom"/>
            <w:tcBorders>
              <w:bottom w:val="single" w:sz="8" w:color="00249C"/>
            </w:tcBorders>
            <w:shd w:val="clear" w:color="auto" w:fill="CCD4DB"/>
          </w:tcPr>
          <w:p>
            <w:pPr>
              <w:spacing w:after="0"/>
              <w:rPr>
                <w:sz w:val="15"/>
                <w:szCs w:val="15"/>
                <w:color w:val="auto"/>
              </w:rPr>
            </w:pPr>
          </w:p>
        </w:tc>
        <w:tc>
          <w:tcPr>
            <w:tcW w:w="900" w:type="dxa"/>
            <w:vAlign w:val="bottom"/>
            <w:tcBorders>
              <w:bottom w:val="single" w:sz="8" w:color="00249C"/>
            </w:tcBorders>
            <w:shd w:val="clear" w:color="auto" w:fill="CCD4DB"/>
          </w:tcPr>
          <w:p>
            <w:pPr>
              <w:spacing w:after="0"/>
              <w:rPr>
                <w:sz w:val="15"/>
                <w:szCs w:val="15"/>
                <w:color w:val="auto"/>
              </w:rPr>
            </w:pPr>
          </w:p>
        </w:tc>
        <w:tc>
          <w:tcPr>
            <w:tcW w:w="1020" w:type="dxa"/>
            <w:vAlign w:val="bottom"/>
            <w:tcBorders>
              <w:bottom w:val="single" w:sz="8" w:color="00249C"/>
            </w:tcBorders>
            <w:shd w:val="clear" w:color="auto" w:fill="CCD4DB"/>
          </w:tcPr>
          <w:p>
            <w:pPr>
              <w:spacing w:after="0"/>
              <w:rPr>
                <w:sz w:val="15"/>
                <w:szCs w:val="15"/>
                <w:color w:val="auto"/>
              </w:rPr>
            </w:pPr>
          </w:p>
        </w:tc>
        <w:tc>
          <w:tcPr>
            <w:tcW w:w="1500" w:type="dxa"/>
            <w:vAlign w:val="bottom"/>
            <w:tcBorders>
              <w:bottom w:val="single" w:sz="8" w:color="00249C"/>
            </w:tcBorders>
            <w:shd w:val="clear" w:color="auto" w:fill="CCD4DB"/>
          </w:tcPr>
          <w:p>
            <w:pPr>
              <w:spacing w:after="0"/>
              <w:rPr>
                <w:sz w:val="15"/>
                <w:szCs w:val="15"/>
                <w:color w:val="auto"/>
              </w:rPr>
            </w:pPr>
          </w:p>
        </w:tc>
        <w:tc>
          <w:tcPr>
            <w:tcW w:w="1280" w:type="dxa"/>
            <w:vAlign w:val="bottom"/>
            <w:tcBorders>
              <w:bottom w:val="single" w:sz="8" w:color="00249C"/>
            </w:tcBorders>
            <w:shd w:val="clear" w:color="auto" w:fill="CCD4DB"/>
          </w:tcPr>
          <w:p>
            <w:pPr>
              <w:spacing w:after="0"/>
              <w:rPr>
                <w:sz w:val="15"/>
                <w:szCs w:val="15"/>
                <w:color w:val="auto"/>
              </w:rPr>
            </w:pPr>
          </w:p>
        </w:tc>
        <w:tc>
          <w:tcPr>
            <w:tcW w:w="1500" w:type="dxa"/>
            <w:vAlign w:val="bottom"/>
            <w:tcBorders>
              <w:bottom w:val="single" w:sz="8" w:color="00249C"/>
            </w:tcBorders>
            <w:shd w:val="clear" w:color="auto" w:fill="CCD4DB"/>
          </w:tcPr>
          <w:p>
            <w:pPr>
              <w:spacing w:after="0"/>
              <w:rPr>
                <w:sz w:val="15"/>
                <w:szCs w:val="15"/>
                <w:color w:val="auto"/>
              </w:rPr>
            </w:pPr>
          </w:p>
        </w:tc>
        <w:tc>
          <w:tcPr>
            <w:tcW w:w="1020" w:type="dxa"/>
            <w:vAlign w:val="bottom"/>
            <w:tcBorders>
              <w:bottom w:val="single" w:sz="8" w:color="00249C"/>
            </w:tcBorders>
            <w:shd w:val="clear" w:color="auto" w:fill="CCD4D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380" w:type="dxa"/>
            <w:vAlign w:val="bottom"/>
          </w:tcPr>
          <w:p>
            <w:pPr>
              <w:ind w:left="40"/>
              <w:spacing w:after="0"/>
              <w:rPr>
                <w:sz w:val="20"/>
                <w:szCs w:val="20"/>
                <w:color w:val="auto"/>
              </w:rPr>
            </w:pPr>
            <w:r>
              <w:rPr>
                <w:rFonts w:ascii="Arial" w:cs="Arial" w:eastAsia="Arial" w:hAnsi="Arial"/>
                <w:sz w:val="14"/>
                <w:szCs w:val="14"/>
                <w:color w:val="auto"/>
              </w:rPr>
              <w:t>Christopher T. Jones (8)</w:t>
            </w:r>
          </w:p>
        </w:tc>
        <w:tc>
          <w:tcPr>
            <w:tcW w:w="620" w:type="dxa"/>
            <w:vAlign w:val="bottom"/>
          </w:tcPr>
          <w:p>
            <w:pPr>
              <w:ind w:left="120"/>
              <w:spacing w:after="0"/>
              <w:rPr>
                <w:sz w:val="20"/>
                <w:szCs w:val="20"/>
                <w:color w:val="auto"/>
              </w:rPr>
            </w:pPr>
            <w:r>
              <w:rPr>
                <w:rFonts w:ascii="Arial" w:cs="Arial" w:eastAsia="Arial" w:hAnsi="Arial"/>
                <w:sz w:val="14"/>
                <w:szCs w:val="14"/>
                <w:color w:val="auto"/>
              </w:rPr>
              <w:t>2019</w:t>
            </w:r>
          </w:p>
        </w:tc>
        <w:tc>
          <w:tcPr>
            <w:tcW w:w="1020" w:type="dxa"/>
            <w:vAlign w:val="bottom"/>
          </w:tcPr>
          <w:p>
            <w:pPr>
              <w:jc w:val="center"/>
              <w:spacing w:after="0"/>
              <w:rPr>
                <w:sz w:val="20"/>
                <w:szCs w:val="20"/>
                <w:color w:val="auto"/>
              </w:rPr>
            </w:pPr>
            <w:r>
              <w:rPr>
                <w:rFonts w:ascii="Arial" w:cs="Arial" w:eastAsia="Arial" w:hAnsi="Arial"/>
                <w:sz w:val="14"/>
                <w:szCs w:val="14"/>
                <w:color w:val="auto"/>
              </w:rPr>
              <w:t>760,673</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3,000,163</w:t>
            </w:r>
          </w:p>
        </w:tc>
        <w:tc>
          <w:tcPr>
            <w:tcW w:w="1500" w:type="dxa"/>
            <w:vAlign w:val="bottom"/>
          </w:tcPr>
          <w:p>
            <w:pPr>
              <w:jc w:val="center"/>
              <w:spacing w:after="0"/>
              <w:rPr>
                <w:sz w:val="20"/>
                <w:szCs w:val="20"/>
                <w:color w:val="auto"/>
              </w:rPr>
            </w:pPr>
            <w:r>
              <w:rPr>
                <w:rFonts w:ascii="Arial" w:cs="Arial" w:eastAsia="Arial" w:hAnsi="Arial"/>
                <w:sz w:val="14"/>
                <w:szCs w:val="14"/>
                <w:color w:val="auto"/>
              </w:rPr>
              <w:t>1,278,000</w:t>
            </w:r>
          </w:p>
        </w:tc>
        <w:tc>
          <w:tcPr>
            <w:tcW w:w="1280" w:type="dxa"/>
            <w:vAlign w:val="bottom"/>
          </w:tcPr>
          <w:p>
            <w:pPr>
              <w:jc w:val="center"/>
              <w:spacing w:after="0"/>
              <w:rPr>
                <w:sz w:val="20"/>
                <w:szCs w:val="20"/>
                <w:color w:val="auto"/>
              </w:rPr>
            </w:pPr>
            <w:r>
              <w:rPr>
                <w:rFonts w:ascii="Arial" w:cs="Arial" w:eastAsia="Arial" w:hAnsi="Arial"/>
                <w:sz w:val="14"/>
                <w:szCs w:val="14"/>
                <w:color w:val="auto"/>
              </w:rPr>
              <w:t>762,993</w:t>
            </w:r>
          </w:p>
        </w:tc>
        <w:tc>
          <w:tcPr>
            <w:tcW w:w="1500" w:type="dxa"/>
            <w:vAlign w:val="bottom"/>
          </w:tcPr>
          <w:p>
            <w:pPr>
              <w:jc w:val="center"/>
              <w:spacing w:after="0"/>
              <w:rPr>
                <w:sz w:val="20"/>
                <w:szCs w:val="20"/>
                <w:color w:val="auto"/>
              </w:rPr>
            </w:pPr>
            <w:r>
              <w:rPr>
                <w:rFonts w:ascii="Arial" w:cs="Arial" w:eastAsia="Arial" w:hAnsi="Arial"/>
                <w:sz w:val="14"/>
                <w:szCs w:val="14"/>
                <w:color w:val="auto"/>
              </w:rPr>
              <w:t>226,203</w:t>
            </w:r>
          </w:p>
        </w:tc>
        <w:tc>
          <w:tcPr>
            <w:tcW w:w="1020" w:type="dxa"/>
            <w:vAlign w:val="bottom"/>
          </w:tcPr>
          <w:p>
            <w:pPr>
              <w:jc w:val="center"/>
              <w:spacing w:after="0"/>
              <w:rPr>
                <w:sz w:val="20"/>
                <w:szCs w:val="20"/>
                <w:color w:val="auto"/>
              </w:rPr>
            </w:pPr>
            <w:r>
              <w:rPr>
                <w:rFonts w:ascii="Arial" w:cs="Arial" w:eastAsia="Arial" w:hAnsi="Arial"/>
                <w:sz w:val="14"/>
                <w:szCs w:val="14"/>
                <w:color w:val="auto"/>
              </w:rPr>
              <w:t>6,028,032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380" w:type="dxa"/>
            <w:vAlign w:val="bottom"/>
            <w:vMerge w:val="restart"/>
          </w:tcPr>
          <w:p>
            <w:pPr>
              <w:ind w:left="200"/>
              <w:spacing w:after="0"/>
              <w:rPr>
                <w:sz w:val="20"/>
                <w:szCs w:val="20"/>
                <w:color w:val="auto"/>
              </w:rPr>
            </w:pPr>
            <w:r>
              <w:rPr>
                <w:rFonts w:ascii="Arial" w:cs="Arial" w:eastAsia="Arial" w:hAnsi="Arial"/>
                <w:sz w:val="14"/>
                <w:szCs w:val="14"/>
                <w:color w:val="auto"/>
              </w:rPr>
              <w:t>Corporate Vice President and</w:t>
            </w: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2380" w:type="dxa"/>
            <w:vAlign w:val="bottom"/>
            <w:vMerge w:val="continue"/>
          </w:tcPr>
          <w:p>
            <w:pPr>
              <w:spacing w:after="0"/>
              <w:rPr>
                <w:sz w:val="16"/>
                <w:szCs w:val="16"/>
                <w:color w:val="auto"/>
              </w:rPr>
            </w:pPr>
          </w:p>
        </w:tc>
        <w:tc>
          <w:tcPr>
            <w:tcW w:w="620" w:type="dxa"/>
            <w:vAlign w:val="bottom"/>
            <w:shd w:val="clear" w:color="auto" w:fill="CCD4DB"/>
          </w:tcPr>
          <w:p>
            <w:pPr>
              <w:spacing w:after="0"/>
              <w:rPr>
                <w:sz w:val="16"/>
                <w:szCs w:val="16"/>
                <w:color w:val="auto"/>
              </w:rPr>
            </w:pPr>
          </w:p>
        </w:tc>
        <w:tc>
          <w:tcPr>
            <w:tcW w:w="1020" w:type="dxa"/>
            <w:vAlign w:val="bottom"/>
            <w:shd w:val="clear" w:color="auto" w:fill="CCD4DB"/>
          </w:tcPr>
          <w:p>
            <w:pPr>
              <w:spacing w:after="0"/>
              <w:rPr>
                <w:sz w:val="16"/>
                <w:szCs w:val="16"/>
                <w:color w:val="auto"/>
              </w:rPr>
            </w:pPr>
          </w:p>
        </w:tc>
        <w:tc>
          <w:tcPr>
            <w:tcW w:w="900" w:type="dxa"/>
            <w:vAlign w:val="bottom"/>
            <w:shd w:val="clear" w:color="auto" w:fill="CCD4DB"/>
          </w:tcPr>
          <w:p>
            <w:pPr>
              <w:spacing w:after="0"/>
              <w:rPr>
                <w:sz w:val="16"/>
                <w:szCs w:val="16"/>
                <w:color w:val="auto"/>
              </w:rPr>
            </w:pPr>
          </w:p>
        </w:tc>
        <w:tc>
          <w:tcPr>
            <w:tcW w:w="1020" w:type="dxa"/>
            <w:vAlign w:val="bottom"/>
            <w:shd w:val="clear" w:color="auto" w:fill="CCD4DB"/>
          </w:tcPr>
          <w:p>
            <w:pPr>
              <w:spacing w:after="0"/>
              <w:rPr>
                <w:sz w:val="16"/>
                <w:szCs w:val="16"/>
                <w:color w:val="auto"/>
              </w:rPr>
            </w:pPr>
          </w:p>
        </w:tc>
        <w:tc>
          <w:tcPr>
            <w:tcW w:w="1500" w:type="dxa"/>
            <w:vAlign w:val="bottom"/>
            <w:shd w:val="clear" w:color="auto" w:fill="CCD4DB"/>
          </w:tcPr>
          <w:p>
            <w:pPr>
              <w:spacing w:after="0"/>
              <w:rPr>
                <w:sz w:val="16"/>
                <w:szCs w:val="16"/>
                <w:color w:val="auto"/>
              </w:rPr>
            </w:pPr>
          </w:p>
        </w:tc>
        <w:tc>
          <w:tcPr>
            <w:tcW w:w="1280" w:type="dxa"/>
            <w:vAlign w:val="bottom"/>
            <w:shd w:val="clear" w:color="auto" w:fill="CCD4DB"/>
          </w:tcPr>
          <w:p>
            <w:pPr>
              <w:spacing w:after="0"/>
              <w:rPr>
                <w:sz w:val="16"/>
                <w:szCs w:val="16"/>
                <w:color w:val="auto"/>
              </w:rPr>
            </w:pPr>
          </w:p>
        </w:tc>
        <w:tc>
          <w:tcPr>
            <w:tcW w:w="1500" w:type="dxa"/>
            <w:vAlign w:val="bottom"/>
            <w:shd w:val="clear" w:color="auto" w:fill="CCD4DB"/>
          </w:tcPr>
          <w:p>
            <w:pPr>
              <w:spacing w:after="0"/>
              <w:rPr>
                <w:sz w:val="16"/>
                <w:szCs w:val="16"/>
                <w:color w:val="auto"/>
              </w:rPr>
            </w:pPr>
          </w:p>
        </w:tc>
        <w:tc>
          <w:tcPr>
            <w:tcW w:w="1020" w:type="dxa"/>
            <w:vAlign w:val="bottom"/>
            <w:shd w:val="clear" w:color="auto" w:fill="CCD4D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380" w:type="dxa"/>
            <w:vAlign w:val="bottom"/>
            <w:vMerge w:val="restart"/>
          </w:tcPr>
          <w:p>
            <w:pPr>
              <w:ind w:left="200"/>
              <w:spacing w:after="0"/>
              <w:rPr>
                <w:sz w:val="20"/>
                <w:szCs w:val="20"/>
                <w:color w:val="auto"/>
              </w:rPr>
            </w:pPr>
            <w:r>
              <w:rPr>
                <w:rFonts w:ascii="Arial" w:cs="Arial" w:eastAsia="Arial" w:hAnsi="Arial"/>
                <w:sz w:val="14"/>
                <w:szCs w:val="14"/>
                <w:color w:val="auto"/>
              </w:rPr>
              <w:t>President, Technology Services</w:t>
            </w:r>
          </w:p>
        </w:tc>
        <w:tc>
          <w:tcPr>
            <w:tcW w:w="620" w:type="dxa"/>
            <w:vAlign w:val="bottom"/>
            <w:shd w:val="clear" w:color="auto" w:fill="CCD4DB"/>
          </w:tcPr>
          <w:p>
            <w:pPr>
              <w:spacing w:after="0"/>
              <w:rPr>
                <w:sz w:val="6"/>
                <w:szCs w:val="6"/>
                <w:color w:val="auto"/>
              </w:rPr>
            </w:pPr>
          </w:p>
        </w:tc>
        <w:tc>
          <w:tcPr>
            <w:tcW w:w="1020" w:type="dxa"/>
            <w:vAlign w:val="bottom"/>
            <w:shd w:val="clear" w:color="auto" w:fill="CCD4DB"/>
          </w:tcPr>
          <w:p>
            <w:pPr>
              <w:spacing w:after="0"/>
              <w:rPr>
                <w:sz w:val="6"/>
                <w:szCs w:val="6"/>
                <w:color w:val="auto"/>
              </w:rPr>
            </w:pPr>
          </w:p>
        </w:tc>
        <w:tc>
          <w:tcPr>
            <w:tcW w:w="900" w:type="dxa"/>
            <w:vAlign w:val="bottom"/>
            <w:shd w:val="clear" w:color="auto" w:fill="CCD4DB"/>
          </w:tcPr>
          <w:p>
            <w:pPr>
              <w:spacing w:after="0"/>
              <w:rPr>
                <w:sz w:val="6"/>
                <w:szCs w:val="6"/>
                <w:color w:val="auto"/>
              </w:rPr>
            </w:pPr>
          </w:p>
        </w:tc>
        <w:tc>
          <w:tcPr>
            <w:tcW w:w="1020" w:type="dxa"/>
            <w:vAlign w:val="bottom"/>
            <w:shd w:val="clear" w:color="auto" w:fill="CCD4DB"/>
          </w:tcPr>
          <w:p>
            <w:pPr>
              <w:spacing w:after="0"/>
              <w:rPr>
                <w:sz w:val="6"/>
                <w:szCs w:val="6"/>
                <w:color w:val="auto"/>
              </w:rPr>
            </w:pPr>
          </w:p>
        </w:tc>
        <w:tc>
          <w:tcPr>
            <w:tcW w:w="1500" w:type="dxa"/>
            <w:vAlign w:val="bottom"/>
            <w:shd w:val="clear" w:color="auto" w:fill="CCD4DB"/>
          </w:tcPr>
          <w:p>
            <w:pPr>
              <w:spacing w:after="0"/>
              <w:rPr>
                <w:sz w:val="6"/>
                <w:szCs w:val="6"/>
                <w:color w:val="auto"/>
              </w:rPr>
            </w:pPr>
          </w:p>
        </w:tc>
        <w:tc>
          <w:tcPr>
            <w:tcW w:w="1280" w:type="dxa"/>
            <w:vAlign w:val="bottom"/>
            <w:shd w:val="clear" w:color="auto" w:fill="CCD4DB"/>
          </w:tcPr>
          <w:p>
            <w:pPr>
              <w:spacing w:after="0"/>
              <w:rPr>
                <w:sz w:val="6"/>
                <w:szCs w:val="6"/>
                <w:color w:val="auto"/>
              </w:rPr>
            </w:pPr>
          </w:p>
        </w:tc>
        <w:tc>
          <w:tcPr>
            <w:tcW w:w="1500" w:type="dxa"/>
            <w:vAlign w:val="bottom"/>
            <w:shd w:val="clear" w:color="auto" w:fill="CCD4DB"/>
          </w:tcPr>
          <w:p>
            <w:pPr>
              <w:spacing w:after="0"/>
              <w:rPr>
                <w:sz w:val="6"/>
                <w:szCs w:val="6"/>
                <w:color w:val="auto"/>
              </w:rPr>
            </w:pPr>
          </w:p>
        </w:tc>
        <w:tc>
          <w:tcPr>
            <w:tcW w:w="1020" w:type="dxa"/>
            <w:vAlign w:val="bottom"/>
            <w:shd w:val="clear" w:color="auto" w:fill="CCD4D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3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00249C"/>
            </w:tcBorders>
          </w:tcPr>
          <w:p>
            <w:pPr>
              <w:spacing w:after="0"/>
              <w:rPr>
                <w:sz w:val="16"/>
                <w:szCs w:val="16"/>
                <w:color w:val="auto"/>
              </w:rPr>
            </w:pPr>
          </w:p>
        </w:tc>
        <w:tc>
          <w:tcPr>
            <w:tcW w:w="620" w:type="dxa"/>
            <w:vAlign w:val="bottom"/>
            <w:tcBorders>
              <w:bottom w:val="single" w:sz="8" w:color="00249C"/>
            </w:tcBorders>
          </w:tcPr>
          <w:p>
            <w:pPr>
              <w:spacing w:after="0"/>
              <w:rPr>
                <w:sz w:val="16"/>
                <w:szCs w:val="16"/>
                <w:color w:val="auto"/>
              </w:rPr>
            </w:pPr>
          </w:p>
        </w:tc>
        <w:tc>
          <w:tcPr>
            <w:tcW w:w="1020" w:type="dxa"/>
            <w:vAlign w:val="bottom"/>
            <w:tcBorders>
              <w:bottom w:val="single" w:sz="8" w:color="00249C"/>
            </w:tcBorders>
          </w:tcPr>
          <w:p>
            <w:pPr>
              <w:spacing w:after="0"/>
              <w:rPr>
                <w:sz w:val="16"/>
                <w:szCs w:val="16"/>
                <w:color w:val="auto"/>
              </w:rPr>
            </w:pPr>
          </w:p>
        </w:tc>
        <w:tc>
          <w:tcPr>
            <w:tcW w:w="900" w:type="dxa"/>
            <w:vAlign w:val="bottom"/>
            <w:tcBorders>
              <w:bottom w:val="single" w:sz="8" w:color="00249C"/>
            </w:tcBorders>
          </w:tcPr>
          <w:p>
            <w:pPr>
              <w:spacing w:after="0"/>
              <w:rPr>
                <w:sz w:val="16"/>
                <w:szCs w:val="16"/>
                <w:color w:val="auto"/>
              </w:rPr>
            </w:pPr>
          </w:p>
        </w:tc>
        <w:tc>
          <w:tcPr>
            <w:tcW w:w="1020" w:type="dxa"/>
            <w:vAlign w:val="bottom"/>
            <w:tcBorders>
              <w:bottom w:val="single" w:sz="8" w:color="00249C"/>
            </w:tcBorders>
          </w:tcPr>
          <w:p>
            <w:pPr>
              <w:spacing w:after="0"/>
              <w:rPr>
                <w:sz w:val="16"/>
                <w:szCs w:val="16"/>
                <w:color w:val="auto"/>
              </w:rPr>
            </w:pPr>
          </w:p>
        </w:tc>
        <w:tc>
          <w:tcPr>
            <w:tcW w:w="1500" w:type="dxa"/>
            <w:vAlign w:val="bottom"/>
            <w:tcBorders>
              <w:bottom w:val="single" w:sz="8" w:color="00249C"/>
            </w:tcBorders>
          </w:tcPr>
          <w:p>
            <w:pPr>
              <w:spacing w:after="0"/>
              <w:rPr>
                <w:sz w:val="16"/>
                <w:szCs w:val="16"/>
                <w:color w:val="auto"/>
              </w:rPr>
            </w:pPr>
          </w:p>
        </w:tc>
        <w:tc>
          <w:tcPr>
            <w:tcW w:w="1280" w:type="dxa"/>
            <w:vAlign w:val="bottom"/>
            <w:tcBorders>
              <w:bottom w:val="single" w:sz="8" w:color="00249C"/>
            </w:tcBorders>
          </w:tcPr>
          <w:p>
            <w:pPr>
              <w:spacing w:after="0"/>
              <w:rPr>
                <w:sz w:val="16"/>
                <w:szCs w:val="16"/>
                <w:color w:val="auto"/>
              </w:rPr>
            </w:pPr>
          </w:p>
        </w:tc>
        <w:tc>
          <w:tcPr>
            <w:tcW w:w="1500" w:type="dxa"/>
            <w:vAlign w:val="bottom"/>
            <w:tcBorders>
              <w:bottom w:val="single" w:sz="8" w:color="00249C"/>
            </w:tcBorders>
          </w:tcPr>
          <w:p>
            <w:pPr>
              <w:spacing w:after="0"/>
              <w:rPr>
                <w:sz w:val="16"/>
                <w:szCs w:val="16"/>
                <w:color w:val="auto"/>
              </w:rPr>
            </w:pPr>
          </w:p>
        </w:tc>
        <w:tc>
          <w:tcPr>
            <w:tcW w:w="1020" w:type="dxa"/>
            <w:vAlign w:val="bottom"/>
            <w:tcBorders>
              <w:bottom w:val="single" w:sz="8" w:color="00249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4"/>
                <w:szCs w:val="14"/>
                <w:color w:val="auto"/>
              </w:rPr>
              <w:t>Janis G. Pamiljans</w:t>
            </w:r>
          </w:p>
        </w:tc>
        <w:tc>
          <w:tcPr>
            <w:tcW w:w="620" w:type="dxa"/>
            <w:vAlign w:val="bottom"/>
            <w:tcBorders>
              <w:bottom w:val="single" w:sz="8" w:color="CCD4DB"/>
            </w:tcBorders>
            <w:shd w:val="clear" w:color="auto" w:fill="CCD4DB"/>
          </w:tcPr>
          <w:p>
            <w:pPr>
              <w:ind w:left="120"/>
              <w:spacing w:after="0"/>
              <w:rPr>
                <w:sz w:val="20"/>
                <w:szCs w:val="20"/>
                <w:color w:val="auto"/>
              </w:rPr>
            </w:pPr>
            <w:r>
              <w:rPr>
                <w:rFonts w:ascii="Arial" w:cs="Arial" w:eastAsia="Arial" w:hAnsi="Arial"/>
                <w:sz w:val="14"/>
                <w:szCs w:val="14"/>
                <w:color w:val="auto"/>
              </w:rPr>
              <w:t>2019</w:t>
            </w:r>
          </w:p>
        </w:tc>
        <w:tc>
          <w:tcPr>
            <w:tcW w:w="10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850,192</w:t>
            </w:r>
          </w:p>
        </w:tc>
        <w:tc>
          <w:tcPr>
            <w:tcW w:w="9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3,499,779</w:t>
            </w:r>
          </w:p>
        </w:tc>
        <w:tc>
          <w:tcPr>
            <w:tcW w:w="15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1,428,000</w:t>
            </w:r>
          </w:p>
        </w:tc>
        <w:tc>
          <w:tcPr>
            <w:tcW w:w="12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1,088,160</w:t>
            </w:r>
          </w:p>
        </w:tc>
        <w:tc>
          <w:tcPr>
            <w:tcW w:w="15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356,125</w:t>
            </w:r>
          </w:p>
        </w:tc>
        <w:tc>
          <w:tcPr>
            <w:tcW w:w="10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7,222,256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80" w:type="dxa"/>
            <w:vAlign w:val="bottom"/>
          </w:tcPr>
          <w:p>
            <w:pPr>
              <w:ind w:left="200"/>
              <w:spacing w:after="0"/>
              <w:rPr>
                <w:sz w:val="20"/>
                <w:szCs w:val="20"/>
                <w:color w:val="auto"/>
              </w:rPr>
            </w:pPr>
            <w:r>
              <w:rPr>
                <w:rFonts w:ascii="Arial" w:cs="Arial" w:eastAsia="Arial" w:hAnsi="Arial"/>
                <w:sz w:val="14"/>
                <w:szCs w:val="14"/>
                <w:color w:val="auto"/>
              </w:rPr>
              <w:t>Corporate Vice President and</w:t>
            </w:r>
          </w:p>
        </w:tc>
        <w:tc>
          <w:tcPr>
            <w:tcW w:w="620" w:type="dxa"/>
            <w:vAlign w:val="bottom"/>
          </w:tcPr>
          <w:p>
            <w:pPr>
              <w:ind w:left="120"/>
              <w:spacing w:after="0"/>
              <w:rPr>
                <w:sz w:val="20"/>
                <w:szCs w:val="20"/>
                <w:color w:val="auto"/>
              </w:rPr>
            </w:pPr>
            <w:r>
              <w:rPr>
                <w:rFonts w:ascii="Arial" w:cs="Arial" w:eastAsia="Arial" w:hAnsi="Arial"/>
                <w:sz w:val="14"/>
                <w:szCs w:val="14"/>
                <w:color w:val="auto"/>
              </w:rPr>
              <w:t>2018</w:t>
            </w:r>
          </w:p>
        </w:tc>
        <w:tc>
          <w:tcPr>
            <w:tcW w:w="1020" w:type="dxa"/>
            <w:vAlign w:val="bottom"/>
          </w:tcPr>
          <w:p>
            <w:pPr>
              <w:jc w:val="center"/>
              <w:spacing w:after="0"/>
              <w:rPr>
                <w:sz w:val="20"/>
                <w:szCs w:val="20"/>
                <w:color w:val="auto"/>
              </w:rPr>
            </w:pPr>
            <w:r>
              <w:rPr>
                <w:rFonts w:ascii="Arial" w:cs="Arial" w:eastAsia="Arial" w:hAnsi="Arial"/>
                <w:sz w:val="14"/>
                <w:szCs w:val="14"/>
                <w:color w:val="auto"/>
              </w:rPr>
              <w:t>826,154</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3,500,008</w:t>
            </w:r>
          </w:p>
        </w:tc>
        <w:tc>
          <w:tcPr>
            <w:tcW w:w="1500" w:type="dxa"/>
            <w:vAlign w:val="bottom"/>
          </w:tcPr>
          <w:p>
            <w:pPr>
              <w:jc w:val="center"/>
              <w:spacing w:after="0"/>
              <w:rPr>
                <w:sz w:val="20"/>
                <w:szCs w:val="20"/>
                <w:color w:val="auto"/>
              </w:rPr>
            </w:pPr>
            <w:r>
              <w:rPr>
                <w:rFonts w:ascii="Arial" w:cs="Arial" w:eastAsia="Arial" w:hAnsi="Arial"/>
                <w:sz w:val="14"/>
                <w:szCs w:val="14"/>
                <w:color w:val="auto"/>
              </w:rPr>
              <w:t>1,328,000</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rPr>
              <w:t>241,318</w:t>
            </w:r>
          </w:p>
        </w:tc>
        <w:tc>
          <w:tcPr>
            <w:tcW w:w="1020" w:type="dxa"/>
            <w:vAlign w:val="bottom"/>
          </w:tcPr>
          <w:p>
            <w:pPr>
              <w:jc w:val="center"/>
              <w:spacing w:after="0"/>
              <w:rPr>
                <w:sz w:val="20"/>
                <w:szCs w:val="20"/>
                <w:color w:val="auto"/>
              </w:rPr>
            </w:pPr>
            <w:r>
              <w:rPr>
                <w:rFonts w:ascii="Arial" w:cs="Arial" w:eastAsia="Arial" w:hAnsi="Arial"/>
                <w:sz w:val="14"/>
                <w:szCs w:val="14"/>
                <w:color w:val="auto"/>
              </w:rPr>
              <w:t>5,895,480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380" w:type="dxa"/>
            <w:vAlign w:val="bottom"/>
            <w:vMerge w:val="restart"/>
          </w:tcPr>
          <w:p>
            <w:pPr>
              <w:ind w:left="200"/>
              <w:spacing w:after="0"/>
              <w:rPr>
                <w:sz w:val="20"/>
                <w:szCs w:val="20"/>
                <w:color w:val="auto"/>
              </w:rPr>
            </w:pPr>
            <w:r>
              <w:rPr>
                <w:rFonts w:ascii="Arial" w:cs="Arial" w:eastAsia="Arial" w:hAnsi="Arial"/>
                <w:sz w:val="14"/>
                <w:szCs w:val="14"/>
                <w:color w:val="auto"/>
              </w:rPr>
              <w:t>President, Aerospace Systems</w:t>
            </w: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380" w:type="dxa"/>
            <w:vAlign w:val="bottom"/>
            <w:vMerge w:val="continue"/>
          </w:tcPr>
          <w:p>
            <w:pPr>
              <w:spacing w:after="0"/>
              <w:rPr>
                <w:sz w:val="8"/>
                <w:szCs w:val="8"/>
                <w:color w:val="auto"/>
              </w:rPr>
            </w:pPr>
          </w:p>
        </w:tc>
        <w:tc>
          <w:tcPr>
            <w:tcW w:w="620" w:type="dxa"/>
            <w:vAlign w:val="bottom"/>
            <w:vMerge w:val="restart"/>
            <w:shd w:val="clear" w:color="auto" w:fill="CCD4DB"/>
          </w:tcPr>
          <w:p>
            <w:pPr>
              <w:ind w:left="120"/>
              <w:spacing w:after="0"/>
              <w:rPr>
                <w:sz w:val="20"/>
                <w:szCs w:val="20"/>
                <w:color w:val="auto"/>
              </w:rPr>
            </w:pPr>
            <w:r>
              <w:rPr>
                <w:rFonts w:ascii="Arial" w:cs="Arial" w:eastAsia="Arial" w:hAnsi="Arial"/>
                <w:sz w:val="14"/>
                <w:szCs w:val="14"/>
                <w:color w:val="auto"/>
              </w:rPr>
              <w:t>2017</w:t>
            </w:r>
          </w:p>
        </w:tc>
        <w:tc>
          <w:tcPr>
            <w:tcW w:w="10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702,623</w:t>
            </w:r>
          </w:p>
        </w:tc>
        <w:tc>
          <w:tcPr>
            <w:tcW w:w="9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100,000</w:t>
            </w:r>
          </w:p>
        </w:tc>
        <w:tc>
          <w:tcPr>
            <w:tcW w:w="10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3,499,941</w:t>
            </w:r>
          </w:p>
        </w:tc>
        <w:tc>
          <w:tcPr>
            <w:tcW w:w="15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861,000</w:t>
            </w:r>
          </w:p>
        </w:tc>
        <w:tc>
          <w:tcPr>
            <w:tcW w:w="12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369,399</w:t>
            </w:r>
          </w:p>
        </w:tc>
        <w:tc>
          <w:tcPr>
            <w:tcW w:w="15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1,032,397</w:t>
            </w:r>
          </w:p>
        </w:tc>
        <w:tc>
          <w:tcPr>
            <w:tcW w:w="10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6,565,360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620" w:type="dxa"/>
            <w:vAlign w:val="bottom"/>
            <w:tcBorders>
              <w:bottom w:val="single" w:sz="8" w:color="CCD4DB"/>
            </w:tcBorders>
            <w:vMerge w:val="continue"/>
            <w:shd w:val="clear" w:color="auto" w:fill="CCD4DB"/>
          </w:tcPr>
          <w:p>
            <w:pPr>
              <w:spacing w:after="0"/>
              <w:rPr>
                <w:sz w:val="13"/>
                <w:szCs w:val="13"/>
                <w:color w:val="auto"/>
              </w:rPr>
            </w:pPr>
          </w:p>
        </w:tc>
        <w:tc>
          <w:tcPr>
            <w:tcW w:w="1020" w:type="dxa"/>
            <w:vAlign w:val="bottom"/>
            <w:tcBorders>
              <w:bottom w:val="single" w:sz="8" w:color="CCD4DB"/>
            </w:tcBorders>
            <w:vMerge w:val="continue"/>
            <w:shd w:val="clear" w:color="auto" w:fill="CCD4DB"/>
          </w:tcPr>
          <w:p>
            <w:pPr>
              <w:spacing w:after="0"/>
              <w:rPr>
                <w:sz w:val="13"/>
                <w:szCs w:val="13"/>
                <w:color w:val="auto"/>
              </w:rPr>
            </w:pPr>
          </w:p>
        </w:tc>
        <w:tc>
          <w:tcPr>
            <w:tcW w:w="900" w:type="dxa"/>
            <w:vAlign w:val="bottom"/>
            <w:tcBorders>
              <w:bottom w:val="single" w:sz="8" w:color="CCD4DB"/>
            </w:tcBorders>
            <w:vMerge w:val="continue"/>
            <w:shd w:val="clear" w:color="auto" w:fill="CCD4DB"/>
          </w:tcPr>
          <w:p>
            <w:pPr>
              <w:spacing w:after="0"/>
              <w:rPr>
                <w:sz w:val="13"/>
                <w:szCs w:val="13"/>
                <w:color w:val="auto"/>
              </w:rPr>
            </w:pPr>
          </w:p>
        </w:tc>
        <w:tc>
          <w:tcPr>
            <w:tcW w:w="1020" w:type="dxa"/>
            <w:vAlign w:val="bottom"/>
            <w:tcBorders>
              <w:bottom w:val="single" w:sz="8" w:color="CCD4DB"/>
            </w:tcBorders>
            <w:vMerge w:val="continue"/>
            <w:shd w:val="clear" w:color="auto" w:fill="CCD4DB"/>
          </w:tcPr>
          <w:p>
            <w:pPr>
              <w:spacing w:after="0"/>
              <w:rPr>
                <w:sz w:val="13"/>
                <w:szCs w:val="13"/>
                <w:color w:val="auto"/>
              </w:rPr>
            </w:pPr>
          </w:p>
        </w:tc>
        <w:tc>
          <w:tcPr>
            <w:tcW w:w="1500" w:type="dxa"/>
            <w:vAlign w:val="bottom"/>
            <w:tcBorders>
              <w:bottom w:val="single" w:sz="8" w:color="CCD4DB"/>
            </w:tcBorders>
            <w:vMerge w:val="continue"/>
            <w:shd w:val="clear" w:color="auto" w:fill="CCD4DB"/>
          </w:tcPr>
          <w:p>
            <w:pPr>
              <w:spacing w:after="0"/>
              <w:rPr>
                <w:sz w:val="13"/>
                <w:szCs w:val="13"/>
                <w:color w:val="auto"/>
              </w:rPr>
            </w:pPr>
          </w:p>
        </w:tc>
        <w:tc>
          <w:tcPr>
            <w:tcW w:w="1280" w:type="dxa"/>
            <w:vAlign w:val="bottom"/>
            <w:tcBorders>
              <w:bottom w:val="single" w:sz="8" w:color="CCD4DB"/>
            </w:tcBorders>
            <w:vMerge w:val="continue"/>
            <w:shd w:val="clear" w:color="auto" w:fill="CCD4DB"/>
          </w:tcPr>
          <w:p>
            <w:pPr>
              <w:spacing w:after="0"/>
              <w:rPr>
                <w:sz w:val="13"/>
                <w:szCs w:val="13"/>
                <w:color w:val="auto"/>
              </w:rPr>
            </w:pPr>
          </w:p>
        </w:tc>
        <w:tc>
          <w:tcPr>
            <w:tcW w:w="1500" w:type="dxa"/>
            <w:vAlign w:val="bottom"/>
            <w:tcBorders>
              <w:bottom w:val="single" w:sz="8" w:color="CCD4DB"/>
            </w:tcBorders>
            <w:vMerge w:val="continue"/>
            <w:shd w:val="clear" w:color="auto" w:fill="CCD4DB"/>
          </w:tcPr>
          <w:p>
            <w:pPr>
              <w:spacing w:after="0"/>
              <w:rPr>
                <w:sz w:val="13"/>
                <w:szCs w:val="13"/>
                <w:color w:val="auto"/>
              </w:rPr>
            </w:pPr>
          </w:p>
        </w:tc>
        <w:tc>
          <w:tcPr>
            <w:tcW w:w="1020" w:type="dxa"/>
            <w:vAlign w:val="bottom"/>
            <w:tcBorders>
              <w:bottom w:val="single" w:sz="8" w:color="CCD4DB"/>
            </w:tcBorders>
            <w:vMerge w:val="continue"/>
            <w:shd w:val="clear" w:color="auto" w:fill="CCD4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00249C"/>
          </w:tcPr>
          <w:p>
            <w:pPr>
              <w:spacing w:after="0" w:line="20" w:lineRule="exact"/>
              <w:rPr>
                <w:sz w:val="1"/>
                <w:szCs w:val="1"/>
                <w:color w:val="auto"/>
              </w:rPr>
            </w:pPr>
          </w:p>
        </w:tc>
        <w:tc>
          <w:tcPr>
            <w:tcW w:w="620" w:type="dxa"/>
            <w:vAlign w:val="bottom"/>
            <w:shd w:val="clear" w:color="auto" w:fill="00249C"/>
          </w:tcPr>
          <w:p>
            <w:pPr>
              <w:spacing w:after="0" w:line="20" w:lineRule="exact"/>
              <w:rPr>
                <w:sz w:val="1"/>
                <w:szCs w:val="1"/>
                <w:color w:val="auto"/>
              </w:rPr>
            </w:pPr>
          </w:p>
        </w:tc>
        <w:tc>
          <w:tcPr>
            <w:tcW w:w="1020" w:type="dxa"/>
            <w:vAlign w:val="bottom"/>
            <w:shd w:val="clear" w:color="auto" w:fill="00249C"/>
          </w:tcPr>
          <w:p>
            <w:pPr>
              <w:spacing w:after="0" w:line="20" w:lineRule="exact"/>
              <w:rPr>
                <w:sz w:val="1"/>
                <w:szCs w:val="1"/>
                <w:color w:val="auto"/>
              </w:rPr>
            </w:pPr>
          </w:p>
        </w:tc>
        <w:tc>
          <w:tcPr>
            <w:tcW w:w="900" w:type="dxa"/>
            <w:vAlign w:val="bottom"/>
            <w:shd w:val="clear" w:color="auto" w:fill="00249C"/>
          </w:tcPr>
          <w:p>
            <w:pPr>
              <w:spacing w:after="0" w:line="20" w:lineRule="exact"/>
              <w:rPr>
                <w:sz w:val="1"/>
                <w:szCs w:val="1"/>
                <w:color w:val="auto"/>
              </w:rPr>
            </w:pPr>
          </w:p>
        </w:tc>
        <w:tc>
          <w:tcPr>
            <w:tcW w:w="1020" w:type="dxa"/>
            <w:vAlign w:val="bottom"/>
            <w:shd w:val="clear" w:color="auto" w:fill="00249C"/>
          </w:tcPr>
          <w:p>
            <w:pPr>
              <w:spacing w:after="0" w:line="20" w:lineRule="exact"/>
              <w:rPr>
                <w:sz w:val="1"/>
                <w:szCs w:val="1"/>
                <w:color w:val="auto"/>
              </w:rPr>
            </w:pPr>
          </w:p>
        </w:tc>
        <w:tc>
          <w:tcPr>
            <w:tcW w:w="1500" w:type="dxa"/>
            <w:vAlign w:val="bottom"/>
            <w:shd w:val="clear" w:color="auto" w:fill="00249C"/>
          </w:tcPr>
          <w:p>
            <w:pPr>
              <w:spacing w:after="0" w:line="20" w:lineRule="exact"/>
              <w:rPr>
                <w:sz w:val="1"/>
                <w:szCs w:val="1"/>
                <w:color w:val="auto"/>
              </w:rPr>
            </w:pPr>
          </w:p>
        </w:tc>
        <w:tc>
          <w:tcPr>
            <w:tcW w:w="1280" w:type="dxa"/>
            <w:vAlign w:val="bottom"/>
            <w:shd w:val="clear" w:color="auto" w:fill="00249C"/>
          </w:tcPr>
          <w:p>
            <w:pPr>
              <w:spacing w:after="0" w:line="20" w:lineRule="exact"/>
              <w:rPr>
                <w:sz w:val="1"/>
                <w:szCs w:val="1"/>
                <w:color w:val="auto"/>
              </w:rPr>
            </w:pPr>
          </w:p>
        </w:tc>
        <w:tc>
          <w:tcPr>
            <w:tcW w:w="1500" w:type="dxa"/>
            <w:vAlign w:val="bottom"/>
            <w:shd w:val="clear" w:color="auto" w:fill="00249C"/>
          </w:tcPr>
          <w:p>
            <w:pPr>
              <w:spacing w:after="0" w:line="20" w:lineRule="exact"/>
              <w:rPr>
                <w:sz w:val="1"/>
                <w:szCs w:val="1"/>
                <w:color w:val="auto"/>
              </w:rPr>
            </w:pPr>
          </w:p>
        </w:tc>
        <w:tc>
          <w:tcPr>
            <w:tcW w:w="1020" w:type="dxa"/>
            <w:vAlign w:val="bottom"/>
            <w:shd w:val="clear" w:color="auto" w:fill="00249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amounts deferred under qualified savings and nonqualified deferred compensation plans.</w:t>
      </w:r>
    </w:p>
    <w:p>
      <w:pPr>
        <w:spacing w:after="0" w:line="90" w:lineRule="exact"/>
        <w:rPr>
          <w:rFonts w:ascii="Arial" w:cs="Arial" w:eastAsia="Arial" w:hAnsi="Arial"/>
          <w:sz w:val="18"/>
          <w:szCs w:val="18"/>
          <w:color w:val="auto"/>
        </w:rPr>
      </w:pPr>
    </w:p>
    <w:p>
      <w:pPr>
        <w:ind w:left="420" w:right="20" w:hanging="412"/>
        <w:spacing w:after="0" w:line="253"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grant date aggregate fair value of RPSRs and RSRs granted during the periods presented. The fair value of awards was computed in accordance with Financial Accounting Standards Board (FASB) Accounting Standards Codification (ASC) Topic 718, excluding any assumed forfeitures. Assumptions used in the calculation of these amounts are disclosed in Note 14 of the Company's 2019 Form 10-K. The maximum grant date fair values of the 2019 RPSRs are as follows, noting the grants assume a 150% maximum payout:</w:t>
      </w:r>
    </w:p>
    <w:p>
      <w:pPr>
        <w:spacing w:after="0" w:line="125"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3700" w:type="dxa"/>
            <w:vAlign w:val="bottom"/>
            <w:shd w:val="clear" w:color="auto" w:fill="00249C"/>
          </w:tcPr>
          <w:p>
            <w:pPr>
              <w:spacing w:after="0"/>
              <w:rPr>
                <w:sz w:val="16"/>
                <w:szCs w:val="16"/>
                <w:color w:val="auto"/>
              </w:rPr>
            </w:pPr>
          </w:p>
        </w:tc>
        <w:tc>
          <w:tcPr>
            <w:tcW w:w="3700" w:type="dxa"/>
            <w:vAlign w:val="bottom"/>
            <w:shd w:val="clear" w:color="auto" w:fill="00249C"/>
          </w:tcPr>
          <w:p>
            <w:pPr>
              <w:ind w:left="780"/>
              <w:spacing w:after="0"/>
              <w:rPr>
                <w:sz w:val="20"/>
                <w:szCs w:val="20"/>
                <w:color w:val="auto"/>
              </w:rPr>
            </w:pPr>
            <w:r>
              <w:rPr>
                <w:rFonts w:ascii="Arial" w:cs="Arial" w:eastAsia="Arial" w:hAnsi="Arial"/>
                <w:sz w:val="14"/>
                <w:szCs w:val="14"/>
                <w:b w:val="1"/>
                <w:bCs w:val="1"/>
                <w:color w:val="FFFFFF"/>
              </w:rPr>
              <w:t>Maximum Grant Date Fair Value</w:t>
            </w:r>
          </w:p>
        </w:tc>
        <w:tc>
          <w:tcPr>
            <w:tcW w:w="20" w:type="dxa"/>
            <w:vAlign w:val="bottom"/>
            <w:shd w:val="clear" w:color="auto" w:fill="00249C"/>
          </w:tcPr>
          <w:p>
            <w:pPr>
              <w:spacing w:after="0"/>
              <w:rPr>
                <w:sz w:val="16"/>
                <w:szCs w:val="16"/>
                <w:color w:val="auto"/>
              </w:rPr>
            </w:pPr>
          </w:p>
        </w:tc>
      </w:tr>
      <w:tr>
        <w:trPr>
          <w:trHeight w:val="196"/>
        </w:trPr>
        <w:tc>
          <w:tcPr>
            <w:tcW w:w="370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37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249C"/>
            </w:tcBorders>
            <w:shd w:val="clear" w:color="auto" w:fill="00249C"/>
          </w:tcPr>
          <w:p>
            <w:pPr>
              <w:spacing w:after="0"/>
              <w:rPr>
                <w:sz w:val="17"/>
                <w:szCs w:val="17"/>
                <w:color w:val="auto"/>
              </w:rPr>
            </w:pPr>
          </w:p>
        </w:tc>
      </w:tr>
      <w:tr>
        <w:trPr>
          <w:trHeight w:val="216"/>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Ms. Warden</w:t>
            </w:r>
          </w:p>
        </w:tc>
        <w:tc>
          <w:tcPr>
            <w:tcW w:w="37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13,650,381</w:t>
            </w:r>
          </w:p>
        </w:tc>
        <w:tc>
          <w:tcPr>
            <w:tcW w:w="20" w:type="dxa"/>
            <w:vAlign w:val="bottom"/>
          </w:tcPr>
          <w:p>
            <w:pPr>
              <w:spacing w:after="0"/>
              <w:rPr>
                <w:sz w:val="18"/>
                <w:szCs w:val="18"/>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Mr. Bedingfield</w:t>
            </w:r>
          </w:p>
        </w:tc>
        <w:tc>
          <w:tcPr>
            <w:tcW w:w="3700" w:type="dxa"/>
            <w:vAlign w:val="bottom"/>
          </w:tcPr>
          <w:p>
            <w:pPr>
              <w:jc w:val="center"/>
              <w:spacing w:after="0"/>
              <w:rPr>
                <w:sz w:val="20"/>
                <w:szCs w:val="20"/>
                <w:color w:val="auto"/>
              </w:rPr>
            </w:pPr>
            <w:r>
              <w:rPr>
                <w:rFonts w:ascii="Arial" w:cs="Arial" w:eastAsia="Arial" w:hAnsi="Arial"/>
                <w:sz w:val="14"/>
                <w:szCs w:val="14"/>
                <w:color w:val="auto"/>
              </w:rPr>
              <w:t>3,674,850</w:t>
            </w:r>
          </w:p>
        </w:tc>
        <w:tc>
          <w:tcPr>
            <w:tcW w:w="20" w:type="dxa"/>
            <w:vAlign w:val="bottom"/>
          </w:tcPr>
          <w:p>
            <w:pPr>
              <w:spacing w:after="0"/>
              <w:rPr>
                <w:sz w:val="18"/>
                <w:szCs w:val="18"/>
                <w:color w:val="auto"/>
              </w:rPr>
            </w:pPr>
          </w:p>
        </w:tc>
      </w:tr>
      <w:tr>
        <w:trPr>
          <w:trHeight w:val="222"/>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Mr. Caylor</w:t>
            </w:r>
          </w:p>
        </w:tc>
        <w:tc>
          <w:tcPr>
            <w:tcW w:w="37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3,674,850</w:t>
            </w:r>
          </w:p>
        </w:tc>
        <w:tc>
          <w:tcPr>
            <w:tcW w:w="20" w:type="dxa"/>
            <w:vAlign w:val="bottom"/>
          </w:tcPr>
          <w:p>
            <w:pPr>
              <w:spacing w:after="0"/>
              <w:rPr>
                <w:sz w:val="19"/>
                <w:szCs w:val="19"/>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Mr. Jones</w:t>
            </w:r>
          </w:p>
        </w:tc>
        <w:tc>
          <w:tcPr>
            <w:tcW w:w="3700" w:type="dxa"/>
            <w:vAlign w:val="bottom"/>
          </w:tcPr>
          <w:p>
            <w:pPr>
              <w:jc w:val="center"/>
              <w:spacing w:after="0"/>
              <w:rPr>
                <w:sz w:val="20"/>
                <w:szCs w:val="20"/>
                <w:color w:val="auto"/>
              </w:rPr>
            </w:pPr>
            <w:r>
              <w:rPr>
                <w:rFonts w:ascii="Arial" w:cs="Arial" w:eastAsia="Arial" w:hAnsi="Arial"/>
                <w:sz w:val="14"/>
                <w:szCs w:val="14"/>
                <w:color w:val="auto"/>
              </w:rPr>
              <w:t>3,150,341</w:t>
            </w:r>
          </w:p>
        </w:tc>
        <w:tc>
          <w:tcPr>
            <w:tcW w:w="20" w:type="dxa"/>
            <w:vAlign w:val="bottom"/>
          </w:tcPr>
          <w:p>
            <w:pPr>
              <w:spacing w:after="0"/>
              <w:rPr>
                <w:sz w:val="18"/>
                <w:szCs w:val="18"/>
                <w:color w:val="auto"/>
              </w:rPr>
            </w:pPr>
          </w:p>
        </w:tc>
      </w:tr>
      <w:tr>
        <w:trPr>
          <w:trHeight w:val="216"/>
        </w:trPr>
        <w:tc>
          <w:tcPr>
            <w:tcW w:w="370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4"/>
                <w:szCs w:val="14"/>
                <w:color w:val="auto"/>
              </w:rPr>
              <w:t>Mr. Pamiljans</w:t>
            </w:r>
          </w:p>
        </w:tc>
        <w:tc>
          <w:tcPr>
            <w:tcW w:w="37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3,674,850</w:t>
            </w:r>
          </w:p>
        </w:tc>
        <w:tc>
          <w:tcPr>
            <w:tcW w:w="20" w:type="dxa"/>
            <w:vAlign w:val="bottom"/>
          </w:tcPr>
          <w:p>
            <w:pPr>
              <w:spacing w:after="0"/>
              <w:rPr>
                <w:sz w:val="18"/>
                <w:szCs w:val="18"/>
                <w:color w:val="auto"/>
              </w:rPr>
            </w:pPr>
          </w:p>
        </w:tc>
      </w:tr>
    </w:tbl>
    <w:p>
      <w:pPr>
        <w:spacing w:after="0" w:line="80" w:lineRule="exact"/>
        <w:rPr>
          <w:sz w:val="20"/>
          <w:szCs w:val="20"/>
          <w:color w:val="auto"/>
        </w:rPr>
      </w:pPr>
    </w:p>
    <w:p>
      <w:pPr>
        <w:ind w:left="420" w:right="480" w:hanging="412"/>
        <w:spacing w:after="0" w:line="261" w:lineRule="auto"/>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These amounts were paid pursuant to the Company's AIP. Includes amounts deferred under the qualified savings and nonqualified deferred compensation plans.</w:t>
      </w:r>
    </w:p>
    <w:p>
      <w:pPr>
        <w:spacing w:after="0" w:line="62" w:lineRule="exact"/>
        <w:rPr>
          <w:rFonts w:ascii="Arial" w:cs="Arial" w:eastAsia="Arial" w:hAnsi="Arial"/>
          <w:sz w:val="18"/>
          <w:szCs w:val="18"/>
          <w:color w:val="auto"/>
        </w:rPr>
      </w:pPr>
    </w:p>
    <w:p>
      <w:pPr>
        <w:ind w:left="420" w:right="60" w:hanging="412"/>
        <w:spacing w:after="0" w:line="273" w:lineRule="auto"/>
        <w:tabs>
          <w:tab w:leader="none" w:pos="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These amounts relate solely to the increased present value of the NEO's pension plan benefits using mandatory SEC assumptions (see the descriptions of these plans under the Pension Benefits table on page 58). The amount accrued in each year differs from the amount accrued in prior years due to an increase in age, service and pay (salary and bonus). The change in pension value is also highly sensitive to changes in the interest rate used to determine the present value of the payments to be made over the life of the executive.</w:t>
      </w:r>
    </w:p>
    <w:p>
      <w:pPr>
        <w:spacing w:after="0" w:line="55" w:lineRule="exact"/>
        <w:rPr>
          <w:rFonts w:ascii="Arial" w:cs="Arial" w:eastAsia="Arial" w:hAnsi="Arial"/>
          <w:sz w:val="17"/>
          <w:szCs w:val="17"/>
          <w:color w:val="auto"/>
        </w:rPr>
      </w:pPr>
    </w:p>
    <w:p>
      <w:pPr>
        <w:ind w:left="420" w:right="240"/>
        <w:spacing w:after="0" w:line="261" w:lineRule="auto"/>
        <w:rPr>
          <w:rFonts w:ascii="Arial" w:cs="Arial" w:eastAsia="Arial" w:hAnsi="Arial"/>
          <w:sz w:val="17"/>
          <w:szCs w:val="17"/>
          <w:color w:val="auto"/>
        </w:rPr>
      </w:pPr>
      <w:r>
        <w:rPr>
          <w:rFonts w:ascii="Arial" w:cs="Arial" w:eastAsia="Arial" w:hAnsi="Arial"/>
          <w:sz w:val="18"/>
          <w:szCs w:val="18"/>
          <w:color w:val="auto"/>
        </w:rPr>
        <w:t>Mr. Bedingfield was hired after the Company's defined benefit pension plans were closed to new entrants, and as a result he does not participate in any defined benefit pension plans.</w:t>
      </w:r>
    </w:p>
    <w:p>
      <w:pPr>
        <w:spacing w:after="0" w:line="62" w:lineRule="exact"/>
        <w:rPr>
          <w:rFonts w:ascii="Arial" w:cs="Arial" w:eastAsia="Arial" w:hAnsi="Arial"/>
          <w:sz w:val="17"/>
          <w:szCs w:val="17"/>
          <w:color w:val="auto"/>
        </w:rPr>
      </w:pPr>
    </w:p>
    <w:p>
      <w:pPr>
        <w:ind w:left="420" w:right="220"/>
        <w:spacing w:after="0" w:line="261" w:lineRule="auto"/>
        <w:rPr>
          <w:rFonts w:ascii="Arial" w:cs="Arial" w:eastAsia="Arial" w:hAnsi="Arial"/>
          <w:sz w:val="17"/>
          <w:szCs w:val="17"/>
          <w:color w:val="auto"/>
        </w:rPr>
      </w:pPr>
      <w:r>
        <w:rPr>
          <w:rFonts w:ascii="Arial" w:cs="Arial" w:eastAsia="Arial" w:hAnsi="Arial"/>
          <w:sz w:val="18"/>
          <w:szCs w:val="18"/>
          <w:color w:val="auto"/>
        </w:rPr>
        <w:t>There were no above-market earnings in the nonqualified deferred compensation plans (see the descriptions of these plans under the Nonqualified Deferred Compensation table on page 62).</w:t>
      </w:r>
    </w:p>
    <w:p>
      <w:pPr>
        <w:spacing w:after="0" w:line="279"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53</w:t>
      </w:r>
    </w:p>
    <w:p>
      <w:pPr>
        <w:sectPr>
          <w:pgSz w:w="11900" w:h="16838" w:orient="portrait"/>
          <w:cols w:equalWidth="0" w:num="1">
            <w:col w:w="11260"/>
          </w:cols>
          <w:pgMar w:left="320" w:top="701" w:right="319" w:bottom="1440" w:gutter="0" w:footer="0" w:header="0"/>
        </w:sectPr>
      </w:pPr>
    </w:p>
    <w:bookmarkStart w:id="60" w:name="page61"/>
    <w:bookmarkEnd w:id="6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1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TABLES | S</w:t>
      </w:r>
      <w:r>
        <w:rPr>
          <w:rFonts w:ascii="Arial" w:cs="Arial" w:eastAsia="Arial" w:hAnsi="Arial"/>
          <w:sz w:val="17"/>
          <w:szCs w:val="17"/>
          <w:b w:val="1"/>
          <w:bCs w:val="1"/>
          <w:color w:val="FFFFFF"/>
        </w:rPr>
        <w:t>UMMARY</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OMPENSATION</w:t>
      </w:r>
      <w:r>
        <w:rPr>
          <w:rFonts w:ascii="Arial" w:cs="Arial" w:eastAsia="Arial" w:hAnsi="Arial"/>
          <w:sz w:val="22"/>
          <w:szCs w:val="22"/>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0" w:right="120" w:hanging="412"/>
        <w:spacing w:after="0" w:line="253" w:lineRule="auto"/>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include, as applicable, (a) the value of perquisites and personal benefits, (b) basic life insurance premiums, (c) matching contributions through the Northrop Grumman Foundation made to eligible educational institutions and to non-profit organizations under a Company program, and (d) Company contributions to defined contribution and deferred compensation plans. Where the value of the items reported in a particular category for an NEO exceeded $10,000 in 2019 (other than perquisites and personal benefits, which are subject to different thresholds as described below), those items are identified and quantified below.</w:t>
      </w:r>
    </w:p>
    <w:p>
      <w:pPr>
        <w:spacing w:after="0" w:line="52" w:lineRule="exact"/>
        <w:rPr>
          <w:rFonts w:ascii="Arial" w:cs="Arial" w:eastAsia="Arial" w:hAnsi="Arial"/>
          <w:sz w:val="18"/>
          <w:szCs w:val="18"/>
          <w:color w:val="auto"/>
        </w:rPr>
      </w:pPr>
    </w:p>
    <w:p>
      <w:pPr>
        <w:ind w:left="420" w:right="160"/>
        <w:spacing w:after="0" w:line="256" w:lineRule="auto"/>
        <w:rPr>
          <w:rFonts w:ascii="Arial" w:cs="Arial" w:eastAsia="Arial" w:hAnsi="Arial"/>
          <w:sz w:val="18"/>
          <w:szCs w:val="18"/>
          <w:color w:val="auto"/>
        </w:rPr>
      </w:pPr>
      <w:r>
        <w:rPr>
          <w:rFonts w:ascii="Arial" w:cs="Arial" w:eastAsia="Arial" w:hAnsi="Arial"/>
          <w:sz w:val="18"/>
          <w:szCs w:val="18"/>
          <w:i w:val="1"/>
          <w:iCs w:val="1"/>
          <w:color w:val="auto"/>
        </w:rPr>
        <w:t xml:space="preserve">Perquisites and Personal Benefits - </w:t>
      </w:r>
      <w:r>
        <w:rPr>
          <w:rFonts w:ascii="Arial" w:cs="Arial" w:eastAsia="Arial" w:hAnsi="Arial"/>
          <w:sz w:val="18"/>
          <w:szCs w:val="18"/>
          <w:color w:val="auto"/>
        </w:rPr>
        <w:t>Perquisites and other personal benefits provided to certain NEOs are as follows: security, travel-related perquisites (including use of Company aircraft or ground transportation services for personal travel and incidental expenses for family members if accompanying the NEO while on business travel), financial planning/income tax preparation services, insurance premiums paid by the Company on the NEO's behalf, executive physicals and other nominal perquisites or personal benefits. We determine the incremental cost for perquisites and personal benefits based on costs or charges incurred by the Company for the benefits.</w:t>
      </w:r>
    </w:p>
    <w:p>
      <w:pPr>
        <w:spacing w:after="0" w:line="70" w:lineRule="exact"/>
        <w:rPr>
          <w:rFonts w:ascii="Arial" w:cs="Arial" w:eastAsia="Arial" w:hAnsi="Arial"/>
          <w:sz w:val="18"/>
          <w:szCs w:val="18"/>
          <w:color w:val="auto"/>
        </w:rPr>
      </w:pPr>
    </w:p>
    <w:p>
      <w:pPr>
        <w:ind w:left="420"/>
        <w:spacing w:after="0" w:line="251" w:lineRule="auto"/>
        <w:rPr>
          <w:rFonts w:ascii="Arial" w:cs="Arial" w:eastAsia="Arial" w:hAnsi="Arial"/>
          <w:sz w:val="18"/>
          <w:szCs w:val="18"/>
          <w:color w:val="auto"/>
        </w:rPr>
      </w:pPr>
      <w:r>
        <w:rPr>
          <w:rFonts w:ascii="Arial" w:cs="Arial" w:eastAsia="Arial" w:hAnsi="Arial"/>
          <w:sz w:val="18"/>
          <w:szCs w:val="18"/>
          <w:color w:val="auto"/>
        </w:rPr>
        <w:t>As discussed in "Key Components of Our Programs - Security Arrangements," the Company provides NEOs with certain residential and travel security protection due to the nature of our business and security threat information. The amounts reflected in the "All Other Compensation" column include expenses for certain residential and travel security that we treat as perquisites under relevant SEC guidance, even though the need for such expenses arises from the risks attendant with their positions with the Company. The Company calculates the cost of travel security coverage based on the hourly rates and overhead fees charged directly to the Company by the firms providing security personnel. If Company security personnel are used, their hourly rates are used to calculate the cost of coverage. The Company calculates the value of personal use of Company aircraft based on the incremental cost of each element. Fixed costs that would be incurred in any event to operate Company aircraft (e.g., aircraft purchase costs, maintenance not related to personal trips and flight crew salaries) are not included.</w:t>
      </w:r>
    </w:p>
    <w:p>
      <w:pPr>
        <w:spacing w:after="0" w:line="76" w:lineRule="exact"/>
        <w:rPr>
          <w:rFonts w:ascii="Arial" w:cs="Arial" w:eastAsia="Arial" w:hAnsi="Arial"/>
          <w:sz w:val="18"/>
          <w:szCs w:val="18"/>
          <w:color w:val="auto"/>
        </w:rPr>
      </w:pPr>
    </w:p>
    <w:p>
      <w:pPr>
        <w:ind w:left="420" w:right="20"/>
        <w:spacing w:after="0" w:line="261" w:lineRule="auto"/>
        <w:rPr>
          <w:rFonts w:ascii="Arial" w:cs="Arial" w:eastAsia="Arial" w:hAnsi="Arial"/>
          <w:sz w:val="18"/>
          <w:szCs w:val="18"/>
          <w:color w:val="auto"/>
        </w:rPr>
      </w:pPr>
      <w:r>
        <w:rPr>
          <w:rFonts w:ascii="Arial" w:cs="Arial" w:eastAsia="Arial" w:hAnsi="Arial"/>
          <w:sz w:val="18"/>
          <w:szCs w:val="18"/>
          <w:color w:val="auto"/>
        </w:rPr>
        <w:t>The cost of any category of the listed perquisites and personal benefits did not exceed the greater of $25,000 or 10% of total perquisites and personal benefits for any NEO in 2019, except for the following:</w:t>
      </w:r>
    </w:p>
    <w:p>
      <w:pPr>
        <w:spacing w:after="0" w:line="49" w:lineRule="exact"/>
        <w:rPr>
          <w:rFonts w:ascii="Arial" w:cs="Arial" w:eastAsia="Arial" w:hAnsi="Arial"/>
          <w:sz w:val="18"/>
          <w:szCs w:val="18"/>
          <w:color w:val="auto"/>
        </w:rPr>
      </w:pPr>
    </w:p>
    <w:p>
      <w:pPr>
        <w:ind w:left="2120" w:right="20" w:hanging="1464"/>
        <w:spacing w:after="0" w:line="277" w:lineRule="auto"/>
        <w:tabs>
          <w:tab w:leader="none" w:pos="1229" w:val="left"/>
        </w:tabs>
        <w:numPr>
          <w:ilvl w:val="1"/>
          <w:numId w:val="64"/>
        </w:numPr>
        <w:rPr>
          <w:rFonts w:ascii="Arial" w:cs="Arial" w:eastAsia="Arial" w:hAnsi="Arial"/>
          <w:sz w:val="18"/>
          <w:szCs w:val="18"/>
          <w:color w:val="auto"/>
        </w:rPr>
      </w:pPr>
      <w:r>
        <w:rPr>
          <w:rFonts w:ascii="Arial" w:cs="Arial" w:eastAsia="Arial" w:hAnsi="Arial"/>
          <w:sz w:val="18"/>
          <w:szCs w:val="18"/>
          <w:color w:val="auto"/>
        </w:rPr>
        <w:t>Ms. Warden: costs attributable to security protection ($299,440), which includes personal travel on Company aircraft consistent with the Company's security program ($196,348),</w:t>
      </w:r>
    </w:p>
    <w:p>
      <w:pPr>
        <w:spacing w:after="0" w:line="35" w:lineRule="exact"/>
        <w:rPr>
          <w:rFonts w:ascii="Arial" w:cs="Arial" w:eastAsia="Arial" w:hAnsi="Arial"/>
          <w:sz w:val="18"/>
          <w:szCs w:val="18"/>
          <w:color w:val="auto"/>
        </w:rPr>
      </w:pPr>
    </w:p>
    <w:p>
      <w:pPr>
        <w:ind w:left="1220" w:hanging="564"/>
        <w:spacing w:after="0"/>
        <w:tabs>
          <w:tab w:leader="none" w:pos="12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Mr. Jones: costs attributable to security protection ($30,242) and</w:t>
      </w:r>
    </w:p>
    <w:p>
      <w:pPr>
        <w:spacing w:after="0" w:line="90" w:lineRule="exact"/>
        <w:rPr>
          <w:rFonts w:ascii="Arial" w:cs="Arial" w:eastAsia="Arial" w:hAnsi="Arial"/>
          <w:sz w:val="18"/>
          <w:szCs w:val="18"/>
          <w:color w:val="auto"/>
        </w:rPr>
      </w:pPr>
    </w:p>
    <w:p>
      <w:pPr>
        <w:ind w:left="1220" w:hanging="564"/>
        <w:spacing w:after="0"/>
        <w:tabs>
          <w:tab w:leader="none" w:pos="12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Mr. Pamiljans: costs attributable to security protection ($146,949).</w:t>
      </w:r>
    </w:p>
    <w:p>
      <w:pPr>
        <w:spacing w:after="0" w:line="85" w:lineRule="exact"/>
        <w:rPr>
          <w:sz w:val="20"/>
          <w:szCs w:val="20"/>
          <w:color w:val="auto"/>
        </w:rPr>
      </w:pPr>
    </w:p>
    <w:p>
      <w:pPr>
        <w:ind w:left="420" w:right="180"/>
        <w:spacing w:after="0" w:line="282" w:lineRule="auto"/>
        <w:rPr>
          <w:sz w:val="20"/>
          <w:szCs w:val="20"/>
          <w:color w:val="auto"/>
        </w:rPr>
      </w:pPr>
      <w:r>
        <w:rPr>
          <w:rFonts w:ascii="Arial" w:cs="Arial" w:eastAsia="Arial" w:hAnsi="Arial"/>
          <w:sz w:val="18"/>
          <w:szCs w:val="18"/>
          <w:i w:val="1"/>
          <w:iCs w:val="1"/>
          <w:color w:val="auto"/>
        </w:rPr>
        <w:t xml:space="preserve">Contributions to Plans </w:t>
      </w:r>
      <w:r>
        <w:rPr>
          <w:rFonts w:ascii="Arial" w:cs="Arial" w:eastAsia="Arial" w:hAnsi="Arial"/>
          <w:sz w:val="18"/>
          <w:szCs w:val="18"/>
          <w:color w:val="auto"/>
        </w:rPr>
        <w:t>- In 2019, we made the following Company contributions to the defined contribution and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3700" w:type="dxa"/>
            <w:vAlign w:val="bottom"/>
            <w:shd w:val="clear" w:color="auto" w:fill="00249C"/>
          </w:tcPr>
          <w:p>
            <w:pPr>
              <w:spacing w:after="0"/>
              <w:rPr>
                <w:sz w:val="16"/>
                <w:szCs w:val="16"/>
                <w:color w:val="auto"/>
              </w:rPr>
            </w:pPr>
          </w:p>
        </w:tc>
        <w:tc>
          <w:tcPr>
            <w:tcW w:w="3700" w:type="dxa"/>
            <w:vAlign w:val="bottom"/>
            <w:shd w:val="clear" w:color="auto" w:fill="00249C"/>
          </w:tcPr>
          <w:p>
            <w:pPr>
              <w:ind w:left="1040"/>
              <w:spacing w:after="0"/>
              <w:rPr>
                <w:sz w:val="20"/>
                <w:szCs w:val="20"/>
                <w:color w:val="auto"/>
              </w:rPr>
            </w:pPr>
            <w:r>
              <w:rPr>
                <w:rFonts w:ascii="Arial" w:cs="Arial" w:eastAsia="Arial" w:hAnsi="Arial"/>
                <w:sz w:val="14"/>
                <w:szCs w:val="14"/>
                <w:b w:val="1"/>
                <w:bCs w:val="1"/>
                <w:color w:val="FFFFFF"/>
              </w:rPr>
              <w:t>Company Contributions</w:t>
            </w:r>
          </w:p>
        </w:tc>
        <w:tc>
          <w:tcPr>
            <w:tcW w:w="20" w:type="dxa"/>
            <w:vAlign w:val="bottom"/>
            <w:shd w:val="clear" w:color="auto" w:fill="00249C"/>
          </w:tcPr>
          <w:p>
            <w:pPr>
              <w:spacing w:after="0"/>
              <w:rPr>
                <w:sz w:val="16"/>
                <w:szCs w:val="16"/>
                <w:color w:val="auto"/>
              </w:rPr>
            </w:pPr>
          </w:p>
        </w:tc>
      </w:tr>
      <w:tr>
        <w:trPr>
          <w:trHeight w:val="196"/>
        </w:trPr>
        <w:tc>
          <w:tcPr>
            <w:tcW w:w="370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37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249C"/>
            </w:tcBorders>
            <w:shd w:val="clear" w:color="auto" w:fill="00249C"/>
          </w:tcPr>
          <w:p>
            <w:pPr>
              <w:spacing w:after="0"/>
              <w:rPr>
                <w:sz w:val="17"/>
                <w:szCs w:val="17"/>
                <w:color w:val="auto"/>
              </w:rPr>
            </w:pPr>
          </w:p>
        </w:tc>
      </w:tr>
      <w:tr>
        <w:trPr>
          <w:trHeight w:val="216"/>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Ms. Warden</w:t>
            </w:r>
          </w:p>
        </w:tc>
        <w:tc>
          <w:tcPr>
            <w:tcW w:w="37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272,676</w:t>
            </w:r>
          </w:p>
        </w:tc>
        <w:tc>
          <w:tcPr>
            <w:tcW w:w="20" w:type="dxa"/>
            <w:vAlign w:val="bottom"/>
          </w:tcPr>
          <w:p>
            <w:pPr>
              <w:spacing w:after="0"/>
              <w:rPr>
                <w:sz w:val="18"/>
                <w:szCs w:val="18"/>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Mr. Bedingfield</w:t>
            </w:r>
          </w:p>
        </w:tc>
        <w:tc>
          <w:tcPr>
            <w:tcW w:w="3700" w:type="dxa"/>
            <w:vAlign w:val="bottom"/>
          </w:tcPr>
          <w:p>
            <w:pPr>
              <w:jc w:val="center"/>
              <w:spacing w:after="0"/>
              <w:rPr>
                <w:sz w:val="20"/>
                <w:szCs w:val="20"/>
                <w:color w:val="auto"/>
              </w:rPr>
            </w:pPr>
            <w:r>
              <w:rPr>
                <w:rFonts w:ascii="Arial" w:cs="Arial" w:eastAsia="Arial" w:hAnsi="Arial"/>
                <w:sz w:val="14"/>
                <w:szCs w:val="14"/>
                <w:color w:val="auto"/>
              </w:rPr>
              <w:t>256,606</w:t>
            </w:r>
          </w:p>
        </w:tc>
        <w:tc>
          <w:tcPr>
            <w:tcW w:w="20" w:type="dxa"/>
            <w:vAlign w:val="bottom"/>
          </w:tcPr>
          <w:p>
            <w:pPr>
              <w:spacing w:after="0"/>
              <w:rPr>
                <w:sz w:val="18"/>
                <w:szCs w:val="18"/>
                <w:color w:val="auto"/>
              </w:rPr>
            </w:pPr>
          </w:p>
        </w:tc>
      </w:tr>
      <w:tr>
        <w:trPr>
          <w:trHeight w:val="222"/>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Mr. Caylor</w:t>
            </w:r>
          </w:p>
        </w:tc>
        <w:tc>
          <w:tcPr>
            <w:tcW w:w="37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98,328</w:t>
            </w:r>
          </w:p>
        </w:tc>
        <w:tc>
          <w:tcPr>
            <w:tcW w:w="20" w:type="dxa"/>
            <w:vAlign w:val="bottom"/>
          </w:tcPr>
          <w:p>
            <w:pPr>
              <w:spacing w:after="0"/>
              <w:rPr>
                <w:sz w:val="19"/>
                <w:szCs w:val="19"/>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Mr. Jones</w:t>
            </w:r>
          </w:p>
        </w:tc>
        <w:tc>
          <w:tcPr>
            <w:tcW w:w="3700" w:type="dxa"/>
            <w:vAlign w:val="bottom"/>
          </w:tcPr>
          <w:p>
            <w:pPr>
              <w:jc w:val="center"/>
              <w:spacing w:after="0"/>
              <w:rPr>
                <w:sz w:val="20"/>
                <w:szCs w:val="20"/>
                <w:color w:val="auto"/>
              </w:rPr>
            </w:pPr>
            <w:r>
              <w:rPr>
                <w:rFonts w:ascii="Arial" w:cs="Arial" w:eastAsia="Arial" w:hAnsi="Arial"/>
                <w:sz w:val="14"/>
                <w:szCs w:val="14"/>
                <w:color w:val="auto"/>
              </w:rPr>
              <w:t>155,894</w:t>
            </w:r>
          </w:p>
        </w:tc>
        <w:tc>
          <w:tcPr>
            <w:tcW w:w="20" w:type="dxa"/>
            <w:vAlign w:val="bottom"/>
          </w:tcPr>
          <w:p>
            <w:pPr>
              <w:spacing w:after="0"/>
              <w:rPr>
                <w:sz w:val="18"/>
                <w:szCs w:val="18"/>
                <w:color w:val="auto"/>
              </w:rPr>
            </w:pPr>
          </w:p>
        </w:tc>
      </w:tr>
      <w:tr>
        <w:trPr>
          <w:trHeight w:val="216"/>
        </w:trPr>
        <w:tc>
          <w:tcPr>
            <w:tcW w:w="370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4"/>
                <w:szCs w:val="14"/>
                <w:color w:val="auto"/>
              </w:rPr>
              <w:t>Mr. Pamiljans</w:t>
            </w:r>
          </w:p>
        </w:tc>
        <w:tc>
          <w:tcPr>
            <w:tcW w:w="37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174,256</w:t>
            </w:r>
          </w:p>
        </w:tc>
        <w:tc>
          <w:tcPr>
            <w:tcW w:w="20" w:type="dxa"/>
            <w:vAlign w:val="bottom"/>
          </w:tcPr>
          <w:p>
            <w:pPr>
              <w:spacing w:after="0"/>
              <w:rPr>
                <w:sz w:val="18"/>
                <w:szCs w:val="18"/>
                <w:color w:val="auto"/>
              </w:rPr>
            </w:pPr>
          </w:p>
        </w:tc>
      </w:tr>
    </w:tbl>
    <w:p>
      <w:pPr>
        <w:spacing w:after="0" w:line="67" w:lineRule="exact"/>
        <w:rPr>
          <w:sz w:val="20"/>
          <w:szCs w:val="20"/>
          <w:color w:val="auto"/>
        </w:rPr>
      </w:pPr>
    </w:p>
    <w:p>
      <w:pPr>
        <w:jc w:val="both"/>
        <w:ind w:left="420" w:right="520" w:hanging="412"/>
        <w:spacing w:after="0" w:line="263"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Bedingfield was the Corporate Vice President and Chief Financial Officer in 2019. He stepped down from this position effective February 17, 2020 and left the Company February 21, 2020. On February 6, 2020, the Company filed a Form 8-K including as an exhibit the Separation Agreement with Mr. Bedingfield.</w:t>
      </w:r>
    </w:p>
    <w:p>
      <w:pPr>
        <w:spacing w:after="0" w:line="129" w:lineRule="exact"/>
        <w:rPr>
          <w:rFonts w:ascii="Arial" w:cs="Arial" w:eastAsia="Arial" w:hAnsi="Arial"/>
          <w:sz w:val="18"/>
          <w:szCs w:val="18"/>
          <w:color w:val="auto"/>
        </w:rPr>
      </w:pPr>
    </w:p>
    <w:p>
      <w:pPr>
        <w:ind w:left="420" w:hanging="412"/>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Caylor was not an NEO for 2017; therefore, data for 2017 is not reflected.</w:t>
      </w:r>
    </w:p>
    <w:p>
      <w:pPr>
        <w:spacing w:after="0" w:line="171" w:lineRule="exact"/>
        <w:rPr>
          <w:rFonts w:ascii="Arial" w:cs="Arial" w:eastAsia="Arial" w:hAnsi="Arial"/>
          <w:sz w:val="18"/>
          <w:szCs w:val="18"/>
          <w:color w:val="auto"/>
        </w:rPr>
      </w:pPr>
    </w:p>
    <w:p>
      <w:pPr>
        <w:ind w:left="420" w:right="300" w:hanging="412"/>
        <w:spacing w:after="0" w:line="277" w:lineRule="auto"/>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Jones was not an NEO for 2018 and 2017; therefore, data for those years is not reflected. Mr. Jones retired from the Company on January 10,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701" w:right="339" w:bottom="1440" w:gutter="0" w:footer="0" w:header="0"/>
        </w:sectPr>
      </w:pPr>
    </w:p>
    <w:bookmarkStart w:id="61" w:name="page62"/>
    <w:bookmarkEnd w:id="61"/>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1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TABLES | G</w:t>
      </w:r>
      <w:r>
        <w:rPr>
          <w:rFonts w:ascii="Arial" w:cs="Arial" w:eastAsia="Arial" w:hAnsi="Arial"/>
          <w:sz w:val="17"/>
          <w:szCs w:val="17"/>
          <w:b w:val="1"/>
          <w:bCs w:val="1"/>
          <w:color w:val="FFFFFF"/>
        </w:rPr>
        <w:t>RANTS OF</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LAN-</w:t>
      </w:r>
      <w:r>
        <w:rPr>
          <w:rFonts w:ascii="Arial" w:cs="Arial" w:eastAsia="Arial" w:hAnsi="Arial"/>
          <w:sz w:val="22"/>
          <w:szCs w:val="22"/>
          <w:b w:val="1"/>
          <w:bCs w:val="1"/>
          <w:color w:val="FFFFFF"/>
        </w:rPr>
        <w:t>B</w:t>
      </w:r>
      <w:r>
        <w:rPr>
          <w:rFonts w:ascii="Arial" w:cs="Arial" w:eastAsia="Arial" w:hAnsi="Arial"/>
          <w:sz w:val="17"/>
          <w:szCs w:val="17"/>
          <w:b w:val="1"/>
          <w:bCs w:val="1"/>
          <w:color w:val="FFFFFF"/>
        </w:rPr>
        <w:t>ASED</w:t>
      </w:r>
      <w:r>
        <w:rPr>
          <w:rFonts w:ascii="Arial" w:cs="Arial" w:eastAsia="Arial" w:hAnsi="Arial"/>
          <w:sz w:val="22"/>
          <w:szCs w:val="22"/>
          <w:b w:val="1"/>
          <w:bCs w:val="1"/>
          <w:color w:val="FFFFFF"/>
        </w:rPr>
        <w:t xml:space="preserve"> A</w:t>
      </w:r>
      <w:r>
        <w:rPr>
          <w:rFonts w:ascii="Arial" w:cs="Arial" w:eastAsia="Arial" w:hAnsi="Arial"/>
          <w:sz w:val="17"/>
          <w:szCs w:val="17"/>
          <w:b w:val="1"/>
          <w:bCs w:val="1"/>
          <w:color w:val="FFFFFF"/>
        </w:rPr>
        <w:t>WARDS</w:t>
      </w:r>
      <w:r>
        <w:rPr>
          <w:rFonts w:ascii="Arial" w:cs="Arial" w:eastAsia="Arial" w:hAnsi="Arial"/>
          <w:sz w:val="22"/>
          <w:szCs w:val="22"/>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20" w:type="dxa"/>
            <w:vAlign w:val="bottom"/>
            <w:shd w:val="clear" w:color="auto" w:fill="00249C"/>
          </w:tcPr>
          <w:p>
            <w:pPr>
              <w:spacing w:after="0"/>
              <w:rPr>
                <w:sz w:val="16"/>
                <w:szCs w:val="16"/>
                <w:color w:val="auto"/>
              </w:rPr>
            </w:pPr>
          </w:p>
        </w:tc>
        <w:tc>
          <w:tcPr>
            <w:tcW w:w="1140" w:type="dxa"/>
            <w:vAlign w:val="bottom"/>
            <w:shd w:val="clear" w:color="auto" w:fill="00249C"/>
          </w:tcPr>
          <w:p>
            <w:pPr>
              <w:spacing w:after="0"/>
              <w:rPr>
                <w:sz w:val="16"/>
                <w:szCs w:val="16"/>
                <w:color w:val="auto"/>
              </w:rPr>
            </w:pPr>
          </w:p>
        </w:tc>
        <w:tc>
          <w:tcPr>
            <w:tcW w:w="920" w:type="dxa"/>
            <w:vAlign w:val="bottom"/>
            <w:shd w:val="clear" w:color="auto" w:fill="00249C"/>
          </w:tcPr>
          <w:p>
            <w:pPr>
              <w:spacing w:after="0"/>
              <w:rPr>
                <w:sz w:val="16"/>
                <w:szCs w:val="16"/>
                <w:color w:val="auto"/>
              </w:rPr>
            </w:pPr>
          </w:p>
        </w:tc>
        <w:tc>
          <w:tcPr>
            <w:tcW w:w="800" w:type="dxa"/>
            <w:vAlign w:val="bottom"/>
            <w:shd w:val="clear" w:color="auto" w:fill="00249C"/>
          </w:tcPr>
          <w:p>
            <w:pPr>
              <w:spacing w:after="0"/>
              <w:rPr>
                <w:sz w:val="16"/>
                <w:szCs w:val="16"/>
                <w:color w:val="auto"/>
              </w:rPr>
            </w:pPr>
          </w:p>
        </w:tc>
        <w:tc>
          <w:tcPr>
            <w:tcW w:w="1100" w:type="dxa"/>
            <w:vAlign w:val="bottom"/>
            <w:shd w:val="clear" w:color="auto" w:fill="00249C"/>
          </w:tcPr>
          <w:p>
            <w:pPr>
              <w:spacing w:after="0"/>
              <w:rPr>
                <w:sz w:val="16"/>
                <w:szCs w:val="16"/>
                <w:color w:val="auto"/>
              </w:rPr>
            </w:pPr>
          </w:p>
        </w:tc>
        <w:tc>
          <w:tcPr>
            <w:tcW w:w="840" w:type="dxa"/>
            <w:vAlign w:val="bottom"/>
            <w:shd w:val="clear" w:color="auto" w:fill="00249C"/>
          </w:tcPr>
          <w:p>
            <w:pPr>
              <w:spacing w:after="0"/>
              <w:rPr>
                <w:sz w:val="16"/>
                <w:szCs w:val="16"/>
                <w:color w:val="auto"/>
              </w:rPr>
            </w:pPr>
          </w:p>
        </w:tc>
        <w:tc>
          <w:tcPr>
            <w:tcW w:w="860" w:type="dxa"/>
            <w:vAlign w:val="bottom"/>
            <w:shd w:val="clear" w:color="auto" w:fill="00249C"/>
          </w:tcPr>
          <w:p>
            <w:pPr>
              <w:spacing w:after="0"/>
              <w:rPr>
                <w:sz w:val="16"/>
                <w:szCs w:val="16"/>
                <w:color w:val="auto"/>
              </w:rPr>
            </w:pPr>
          </w:p>
        </w:tc>
        <w:tc>
          <w:tcPr>
            <w:tcW w:w="1080" w:type="dxa"/>
            <w:vAlign w:val="bottom"/>
            <w:shd w:val="clear" w:color="auto" w:fill="00249C"/>
          </w:tcPr>
          <w:p>
            <w:pPr>
              <w:spacing w:after="0"/>
              <w:rPr>
                <w:sz w:val="16"/>
                <w:szCs w:val="16"/>
                <w:color w:val="auto"/>
              </w:rPr>
            </w:pPr>
          </w:p>
        </w:tc>
        <w:tc>
          <w:tcPr>
            <w:tcW w:w="800" w:type="dxa"/>
            <w:vAlign w:val="bottom"/>
            <w:shd w:val="clear" w:color="auto" w:fill="00249C"/>
          </w:tcPr>
          <w:p>
            <w:pPr>
              <w:spacing w:after="0"/>
              <w:rPr>
                <w:sz w:val="16"/>
                <w:szCs w:val="16"/>
                <w:color w:val="auto"/>
              </w:rPr>
            </w:pPr>
          </w:p>
        </w:tc>
        <w:tc>
          <w:tcPr>
            <w:tcW w:w="8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00249C"/>
          </w:tcPr>
          <w:p>
            <w:pPr>
              <w:spacing w:after="0"/>
              <w:rPr>
                <w:sz w:val="16"/>
                <w:szCs w:val="16"/>
                <w:color w:val="auto"/>
              </w:rPr>
            </w:pP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00249C"/>
          </w:tcPr>
          <w:p>
            <w:pPr>
              <w:spacing w:after="0"/>
              <w:rPr>
                <w:sz w:val="14"/>
                <w:szCs w:val="14"/>
                <w:color w:val="auto"/>
              </w:rPr>
            </w:pPr>
          </w:p>
        </w:tc>
        <w:tc>
          <w:tcPr>
            <w:tcW w:w="1140" w:type="dxa"/>
            <w:vAlign w:val="bottom"/>
            <w:shd w:val="clear" w:color="auto" w:fill="00249C"/>
          </w:tcPr>
          <w:p>
            <w:pPr>
              <w:spacing w:after="0"/>
              <w:rPr>
                <w:sz w:val="14"/>
                <w:szCs w:val="14"/>
                <w:color w:val="auto"/>
              </w:rPr>
            </w:pPr>
          </w:p>
        </w:tc>
        <w:tc>
          <w:tcPr>
            <w:tcW w:w="920" w:type="dxa"/>
            <w:vAlign w:val="bottom"/>
            <w:shd w:val="clear" w:color="auto" w:fill="00249C"/>
          </w:tcPr>
          <w:p>
            <w:pPr>
              <w:spacing w:after="0"/>
              <w:rPr>
                <w:sz w:val="14"/>
                <w:szCs w:val="14"/>
                <w:color w:val="auto"/>
              </w:rPr>
            </w:pPr>
          </w:p>
        </w:tc>
        <w:tc>
          <w:tcPr>
            <w:tcW w:w="2740" w:type="dxa"/>
            <w:vAlign w:val="bottom"/>
            <w:gridSpan w:val="3"/>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2740" w:type="dxa"/>
            <w:vAlign w:val="bottom"/>
            <w:gridSpan w:val="3"/>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8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Stock</w:t>
            </w:r>
          </w:p>
        </w:tc>
        <w:tc>
          <w:tcPr>
            <w:tcW w:w="90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920" w:type="dxa"/>
            <w:vAlign w:val="bottom"/>
            <w:shd w:val="clear" w:color="auto" w:fill="00249C"/>
          </w:tcPr>
          <w:p>
            <w:pPr>
              <w:spacing w:after="0"/>
              <w:rPr>
                <w:sz w:val="8"/>
                <w:szCs w:val="8"/>
                <w:color w:val="auto"/>
              </w:rPr>
            </w:pPr>
          </w:p>
        </w:tc>
        <w:tc>
          <w:tcPr>
            <w:tcW w:w="1140" w:type="dxa"/>
            <w:vAlign w:val="bottom"/>
            <w:shd w:val="clear" w:color="auto" w:fill="00249C"/>
          </w:tcPr>
          <w:p>
            <w:pPr>
              <w:spacing w:after="0"/>
              <w:rPr>
                <w:sz w:val="8"/>
                <w:szCs w:val="8"/>
                <w:color w:val="auto"/>
              </w:rPr>
            </w:pPr>
          </w:p>
        </w:tc>
        <w:tc>
          <w:tcPr>
            <w:tcW w:w="920" w:type="dxa"/>
            <w:vAlign w:val="bottom"/>
            <w:shd w:val="clear" w:color="auto" w:fill="00249C"/>
          </w:tcPr>
          <w:p>
            <w:pPr>
              <w:spacing w:after="0"/>
              <w:rPr>
                <w:sz w:val="8"/>
                <w:szCs w:val="8"/>
                <w:color w:val="auto"/>
              </w:rPr>
            </w:pPr>
          </w:p>
        </w:tc>
        <w:tc>
          <w:tcPr>
            <w:tcW w:w="2740" w:type="dxa"/>
            <w:vAlign w:val="bottom"/>
            <w:gridSpan w:val="3"/>
            <w:vMerge w:val="continue"/>
            <w:shd w:val="clear" w:color="auto" w:fill="00249C"/>
          </w:tcPr>
          <w:p>
            <w:pPr>
              <w:spacing w:after="0"/>
              <w:rPr>
                <w:sz w:val="8"/>
                <w:szCs w:val="8"/>
                <w:color w:val="auto"/>
              </w:rPr>
            </w:pPr>
          </w:p>
        </w:tc>
        <w:tc>
          <w:tcPr>
            <w:tcW w:w="2740" w:type="dxa"/>
            <w:vAlign w:val="bottom"/>
            <w:gridSpan w:val="3"/>
            <w:vMerge w:val="continue"/>
            <w:shd w:val="clear" w:color="auto" w:fill="00249C"/>
          </w:tcPr>
          <w:p>
            <w:pPr>
              <w:spacing w:after="0"/>
              <w:rPr>
                <w:sz w:val="8"/>
                <w:szCs w:val="8"/>
                <w:color w:val="auto"/>
              </w:rPr>
            </w:pPr>
          </w:p>
        </w:tc>
        <w:tc>
          <w:tcPr>
            <w:tcW w:w="88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Awards:</w:t>
            </w:r>
          </w:p>
        </w:tc>
        <w:tc>
          <w:tcPr>
            <w:tcW w:w="90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Grant</w:t>
            </w:r>
          </w:p>
        </w:tc>
        <w:tc>
          <w:tcPr>
            <w:tcW w:w="20" w:type="dxa"/>
            <w:vAlign w:val="bottom"/>
            <w:shd w:val="clear" w:color="auto" w:fill="00249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shd w:val="clear" w:color="auto" w:fill="00249C"/>
          </w:tcPr>
          <w:p>
            <w:pPr>
              <w:spacing w:after="0"/>
              <w:rPr>
                <w:sz w:val="5"/>
                <w:szCs w:val="5"/>
                <w:color w:val="auto"/>
              </w:rPr>
            </w:pPr>
          </w:p>
        </w:tc>
        <w:tc>
          <w:tcPr>
            <w:tcW w:w="1140" w:type="dxa"/>
            <w:vAlign w:val="bottom"/>
            <w:shd w:val="clear" w:color="auto" w:fill="00249C"/>
          </w:tcPr>
          <w:p>
            <w:pPr>
              <w:spacing w:after="0"/>
              <w:rPr>
                <w:sz w:val="5"/>
                <w:szCs w:val="5"/>
                <w:color w:val="auto"/>
              </w:rPr>
            </w:pPr>
          </w:p>
        </w:tc>
        <w:tc>
          <w:tcPr>
            <w:tcW w:w="920" w:type="dxa"/>
            <w:vAlign w:val="bottom"/>
            <w:shd w:val="clear" w:color="auto" w:fill="00249C"/>
          </w:tcPr>
          <w:p>
            <w:pPr>
              <w:spacing w:after="0"/>
              <w:rPr>
                <w:sz w:val="5"/>
                <w:szCs w:val="5"/>
                <w:color w:val="auto"/>
              </w:rPr>
            </w:pPr>
          </w:p>
        </w:tc>
        <w:tc>
          <w:tcPr>
            <w:tcW w:w="2740" w:type="dxa"/>
            <w:vAlign w:val="bottom"/>
            <w:gridSpan w:val="3"/>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Non-Equity Incentive</w:t>
            </w:r>
          </w:p>
        </w:tc>
        <w:tc>
          <w:tcPr>
            <w:tcW w:w="2740" w:type="dxa"/>
            <w:vAlign w:val="bottom"/>
            <w:gridSpan w:val="3"/>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Under Equity Incentive</w:t>
            </w:r>
          </w:p>
        </w:tc>
        <w:tc>
          <w:tcPr>
            <w:tcW w:w="880" w:type="dxa"/>
            <w:vAlign w:val="bottom"/>
            <w:vMerge w:val="continue"/>
            <w:shd w:val="clear" w:color="auto" w:fill="00249C"/>
          </w:tcPr>
          <w:p>
            <w:pPr>
              <w:spacing w:after="0"/>
              <w:rPr>
                <w:sz w:val="5"/>
                <w:szCs w:val="5"/>
                <w:color w:val="auto"/>
              </w:rPr>
            </w:pPr>
          </w:p>
        </w:tc>
        <w:tc>
          <w:tcPr>
            <w:tcW w:w="900" w:type="dxa"/>
            <w:vAlign w:val="bottom"/>
            <w:vMerge w:val="continue"/>
            <w:shd w:val="clear" w:color="auto" w:fill="00249C"/>
          </w:tcPr>
          <w:p>
            <w:pPr>
              <w:spacing w:after="0"/>
              <w:rPr>
                <w:sz w:val="5"/>
                <w:szCs w:val="5"/>
                <w:color w:val="auto"/>
              </w:rPr>
            </w:pPr>
          </w:p>
        </w:tc>
        <w:tc>
          <w:tcPr>
            <w:tcW w:w="20" w:type="dxa"/>
            <w:vAlign w:val="bottom"/>
            <w:shd w:val="clear" w:color="auto" w:fill="00249C"/>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920" w:type="dxa"/>
            <w:vAlign w:val="bottom"/>
            <w:shd w:val="clear" w:color="auto" w:fill="00249C"/>
          </w:tcPr>
          <w:p>
            <w:pPr>
              <w:spacing w:after="0"/>
              <w:rPr>
                <w:sz w:val="8"/>
                <w:szCs w:val="8"/>
                <w:color w:val="auto"/>
              </w:rPr>
            </w:pPr>
          </w:p>
        </w:tc>
        <w:tc>
          <w:tcPr>
            <w:tcW w:w="1140" w:type="dxa"/>
            <w:vAlign w:val="bottom"/>
            <w:shd w:val="clear" w:color="auto" w:fill="00249C"/>
          </w:tcPr>
          <w:p>
            <w:pPr>
              <w:spacing w:after="0"/>
              <w:rPr>
                <w:sz w:val="8"/>
                <w:szCs w:val="8"/>
                <w:color w:val="auto"/>
              </w:rPr>
            </w:pPr>
          </w:p>
        </w:tc>
        <w:tc>
          <w:tcPr>
            <w:tcW w:w="920" w:type="dxa"/>
            <w:vAlign w:val="bottom"/>
            <w:shd w:val="clear" w:color="auto" w:fill="00249C"/>
          </w:tcPr>
          <w:p>
            <w:pPr>
              <w:spacing w:after="0"/>
              <w:rPr>
                <w:sz w:val="8"/>
                <w:szCs w:val="8"/>
                <w:color w:val="auto"/>
              </w:rPr>
            </w:pPr>
          </w:p>
        </w:tc>
        <w:tc>
          <w:tcPr>
            <w:tcW w:w="2740" w:type="dxa"/>
            <w:vAlign w:val="bottom"/>
            <w:gridSpan w:val="3"/>
            <w:vMerge w:val="continue"/>
            <w:shd w:val="clear" w:color="auto" w:fill="00249C"/>
          </w:tcPr>
          <w:p>
            <w:pPr>
              <w:spacing w:after="0"/>
              <w:rPr>
                <w:sz w:val="8"/>
                <w:szCs w:val="8"/>
                <w:color w:val="auto"/>
              </w:rPr>
            </w:pPr>
          </w:p>
        </w:tc>
        <w:tc>
          <w:tcPr>
            <w:tcW w:w="2740" w:type="dxa"/>
            <w:vAlign w:val="bottom"/>
            <w:gridSpan w:val="3"/>
            <w:vMerge w:val="continue"/>
            <w:shd w:val="clear" w:color="auto" w:fill="00249C"/>
          </w:tcPr>
          <w:p>
            <w:pPr>
              <w:spacing w:after="0"/>
              <w:rPr>
                <w:sz w:val="8"/>
                <w:szCs w:val="8"/>
                <w:color w:val="auto"/>
              </w:rPr>
            </w:pPr>
          </w:p>
        </w:tc>
        <w:tc>
          <w:tcPr>
            <w:tcW w:w="88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Number of</w:t>
            </w:r>
          </w:p>
        </w:tc>
        <w:tc>
          <w:tcPr>
            <w:tcW w:w="90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Date Fair</w:t>
            </w:r>
          </w:p>
        </w:tc>
        <w:tc>
          <w:tcPr>
            <w:tcW w:w="20" w:type="dxa"/>
            <w:vAlign w:val="bottom"/>
            <w:shd w:val="clear" w:color="auto" w:fill="00249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20" w:type="dxa"/>
            <w:vAlign w:val="bottom"/>
            <w:shd w:val="clear" w:color="auto" w:fill="00249C"/>
          </w:tcPr>
          <w:p>
            <w:pPr>
              <w:spacing w:after="0"/>
              <w:rPr>
                <w:sz w:val="5"/>
                <w:szCs w:val="5"/>
                <w:color w:val="auto"/>
              </w:rPr>
            </w:pPr>
          </w:p>
        </w:tc>
        <w:tc>
          <w:tcPr>
            <w:tcW w:w="1140" w:type="dxa"/>
            <w:vAlign w:val="bottom"/>
            <w:shd w:val="clear" w:color="auto" w:fill="00249C"/>
          </w:tcPr>
          <w:p>
            <w:pPr>
              <w:spacing w:after="0"/>
              <w:rPr>
                <w:sz w:val="5"/>
                <w:szCs w:val="5"/>
                <w:color w:val="auto"/>
              </w:rPr>
            </w:pPr>
          </w:p>
        </w:tc>
        <w:tc>
          <w:tcPr>
            <w:tcW w:w="920" w:type="dxa"/>
            <w:vAlign w:val="bottom"/>
            <w:shd w:val="clear" w:color="auto" w:fill="00249C"/>
          </w:tcPr>
          <w:p>
            <w:pPr>
              <w:spacing w:after="0"/>
              <w:rPr>
                <w:sz w:val="5"/>
                <w:szCs w:val="5"/>
                <w:color w:val="auto"/>
              </w:rPr>
            </w:pPr>
          </w:p>
        </w:tc>
        <w:tc>
          <w:tcPr>
            <w:tcW w:w="800" w:type="dxa"/>
            <w:vAlign w:val="bottom"/>
            <w:shd w:val="clear" w:color="auto" w:fill="00249C"/>
          </w:tcPr>
          <w:p>
            <w:pPr>
              <w:spacing w:after="0"/>
              <w:rPr>
                <w:sz w:val="5"/>
                <w:szCs w:val="5"/>
                <w:color w:val="auto"/>
              </w:rPr>
            </w:pPr>
          </w:p>
        </w:tc>
        <w:tc>
          <w:tcPr>
            <w:tcW w:w="110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Plan Awards (1)</w:t>
            </w:r>
          </w:p>
        </w:tc>
        <w:tc>
          <w:tcPr>
            <w:tcW w:w="840" w:type="dxa"/>
            <w:vAlign w:val="bottom"/>
            <w:shd w:val="clear" w:color="auto" w:fill="00249C"/>
          </w:tcPr>
          <w:p>
            <w:pPr>
              <w:spacing w:after="0"/>
              <w:rPr>
                <w:sz w:val="5"/>
                <w:szCs w:val="5"/>
                <w:color w:val="auto"/>
              </w:rPr>
            </w:pPr>
          </w:p>
        </w:tc>
        <w:tc>
          <w:tcPr>
            <w:tcW w:w="860" w:type="dxa"/>
            <w:vAlign w:val="bottom"/>
            <w:shd w:val="clear" w:color="auto" w:fill="00249C"/>
          </w:tcPr>
          <w:p>
            <w:pPr>
              <w:spacing w:after="0"/>
              <w:rPr>
                <w:sz w:val="5"/>
                <w:szCs w:val="5"/>
                <w:color w:val="auto"/>
              </w:rPr>
            </w:pPr>
          </w:p>
        </w:tc>
        <w:tc>
          <w:tcPr>
            <w:tcW w:w="108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Plan Awards (2)</w:t>
            </w:r>
          </w:p>
        </w:tc>
        <w:tc>
          <w:tcPr>
            <w:tcW w:w="800" w:type="dxa"/>
            <w:vAlign w:val="bottom"/>
            <w:shd w:val="clear" w:color="auto" w:fill="00249C"/>
          </w:tcPr>
          <w:p>
            <w:pPr>
              <w:spacing w:after="0"/>
              <w:rPr>
                <w:sz w:val="5"/>
                <w:szCs w:val="5"/>
                <w:color w:val="auto"/>
              </w:rPr>
            </w:pPr>
          </w:p>
        </w:tc>
        <w:tc>
          <w:tcPr>
            <w:tcW w:w="880" w:type="dxa"/>
            <w:vAlign w:val="bottom"/>
            <w:vMerge w:val="continue"/>
            <w:shd w:val="clear" w:color="auto" w:fill="00249C"/>
          </w:tcPr>
          <w:p>
            <w:pPr>
              <w:spacing w:after="0"/>
              <w:rPr>
                <w:sz w:val="5"/>
                <w:szCs w:val="5"/>
                <w:color w:val="auto"/>
              </w:rPr>
            </w:pPr>
          </w:p>
        </w:tc>
        <w:tc>
          <w:tcPr>
            <w:tcW w:w="900" w:type="dxa"/>
            <w:vAlign w:val="bottom"/>
            <w:vMerge w:val="continue"/>
            <w:shd w:val="clear" w:color="auto" w:fill="00249C"/>
          </w:tcPr>
          <w:p>
            <w:pPr>
              <w:spacing w:after="0"/>
              <w:rPr>
                <w:sz w:val="5"/>
                <w:szCs w:val="5"/>
                <w:color w:val="auto"/>
              </w:rPr>
            </w:pPr>
          </w:p>
        </w:tc>
        <w:tc>
          <w:tcPr>
            <w:tcW w:w="20" w:type="dxa"/>
            <w:vAlign w:val="bottom"/>
            <w:shd w:val="clear" w:color="auto" w:fill="00249C"/>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920" w:type="dxa"/>
            <w:vAlign w:val="bottom"/>
            <w:shd w:val="clear" w:color="auto" w:fill="00249C"/>
          </w:tcPr>
          <w:p>
            <w:pPr>
              <w:spacing w:after="0"/>
              <w:rPr>
                <w:sz w:val="10"/>
                <w:szCs w:val="10"/>
                <w:color w:val="auto"/>
              </w:rPr>
            </w:pPr>
          </w:p>
        </w:tc>
        <w:tc>
          <w:tcPr>
            <w:tcW w:w="1140" w:type="dxa"/>
            <w:vAlign w:val="bottom"/>
            <w:shd w:val="clear" w:color="auto" w:fill="00249C"/>
          </w:tcPr>
          <w:p>
            <w:pPr>
              <w:spacing w:after="0"/>
              <w:rPr>
                <w:sz w:val="10"/>
                <w:szCs w:val="10"/>
                <w:color w:val="auto"/>
              </w:rPr>
            </w:pPr>
          </w:p>
        </w:tc>
        <w:tc>
          <w:tcPr>
            <w:tcW w:w="920" w:type="dxa"/>
            <w:vAlign w:val="bottom"/>
            <w:shd w:val="clear" w:color="auto" w:fill="00249C"/>
          </w:tcPr>
          <w:p>
            <w:pPr>
              <w:spacing w:after="0"/>
              <w:rPr>
                <w:sz w:val="10"/>
                <w:szCs w:val="10"/>
                <w:color w:val="auto"/>
              </w:rPr>
            </w:pPr>
          </w:p>
        </w:tc>
        <w:tc>
          <w:tcPr>
            <w:tcW w:w="800" w:type="dxa"/>
            <w:vAlign w:val="bottom"/>
            <w:shd w:val="clear" w:color="auto" w:fill="00249C"/>
          </w:tcPr>
          <w:p>
            <w:pPr>
              <w:spacing w:after="0"/>
              <w:rPr>
                <w:sz w:val="10"/>
                <w:szCs w:val="10"/>
                <w:color w:val="auto"/>
              </w:rPr>
            </w:pPr>
          </w:p>
        </w:tc>
        <w:tc>
          <w:tcPr>
            <w:tcW w:w="1100" w:type="dxa"/>
            <w:vAlign w:val="bottom"/>
            <w:vMerge w:val="continue"/>
            <w:shd w:val="clear" w:color="auto" w:fill="00249C"/>
          </w:tcPr>
          <w:p>
            <w:pPr>
              <w:spacing w:after="0"/>
              <w:rPr>
                <w:sz w:val="10"/>
                <w:szCs w:val="10"/>
                <w:color w:val="auto"/>
              </w:rPr>
            </w:pPr>
          </w:p>
        </w:tc>
        <w:tc>
          <w:tcPr>
            <w:tcW w:w="840" w:type="dxa"/>
            <w:vAlign w:val="bottom"/>
            <w:shd w:val="clear" w:color="auto" w:fill="00249C"/>
          </w:tcPr>
          <w:p>
            <w:pPr>
              <w:spacing w:after="0"/>
              <w:rPr>
                <w:sz w:val="10"/>
                <w:szCs w:val="10"/>
                <w:color w:val="auto"/>
              </w:rPr>
            </w:pPr>
          </w:p>
        </w:tc>
        <w:tc>
          <w:tcPr>
            <w:tcW w:w="860" w:type="dxa"/>
            <w:vAlign w:val="bottom"/>
            <w:shd w:val="clear" w:color="auto" w:fill="00249C"/>
          </w:tcPr>
          <w:p>
            <w:pPr>
              <w:spacing w:after="0"/>
              <w:rPr>
                <w:sz w:val="10"/>
                <w:szCs w:val="10"/>
                <w:color w:val="auto"/>
              </w:rPr>
            </w:pPr>
          </w:p>
        </w:tc>
        <w:tc>
          <w:tcPr>
            <w:tcW w:w="1080" w:type="dxa"/>
            <w:vAlign w:val="bottom"/>
            <w:vMerge w:val="continue"/>
            <w:shd w:val="clear" w:color="auto" w:fill="00249C"/>
          </w:tcPr>
          <w:p>
            <w:pPr>
              <w:spacing w:after="0"/>
              <w:rPr>
                <w:sz w:val="10"/>
                <w:szCs w:val="10"/>
                <w:color w:val="auto"/>
              </w:rPr>
            </w:pPr>
          </w:p>
        </w:tc>
        <w:tc>
          <w:tcPr>
            <w:tcW w:w="800" w:type="dxa"/>
            <w:vAlign w:val="bottom"/>
            <w:shd w:val="clear" w:color="auto" w:fill="00249C"/>
          </w:tcPr>
          <w:p>
            <w:pPr>
              <w:spacing w:after="0"/>
              <w:rPr>
                <w:sz w:val="10"/>
                <w:szCs w:val="10"/>
                <w:color w:val="auto"/>
              </w:rPr>
            </w:pPr>
          </w:p>
        </w:tc>
        <w:tc>
          <w:tcPr>
            <w:tcW w:w="88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Shares of</w:t>
            </w:r>
          </w:p>
        </w:tc>
        <w:tc>
          <w:tcPr>
            <w:tcW w:w="90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Value of</w:t>
            </w:r>
          </w:p>
        </w:tc>
        <w:tc>
          <w:tcPr>
            <w:tcW w:w="20" w:type="dxa"/>
            <w:vAlign w:val="bottom"/>
            <w:shd w:val="clear" w:color="auto" w:fill="00249C"/>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920" w:type="dxa"/>
            <w:vAlign w:val="bottom"/>
            <w:shd w:val="clear" w:color="auto" w:fill="00249C"/>
          </w:tcPr>
          <w:p>
            <w:pPr>
              <w:spacing w:after="0"/>
              <w:rPr>
                <w:sz w:val="3"/>
                <w:szCs w:val="3"/>
                <w:color w:val="auto"/>
              </w:rPr>
            </w:pPr>
          </w:p>
        </w:tc>
        <w:tc>
          <w:tcPr>
            <w:tcW w:w="1140" w:type="dxa"/>
            <w:vAlign w:val="bottom"/>
            <w:shd w:val="clear" w:color="auto" w:fill="00249C"/>
          </w:tcPr>
          <w:p>
            <w:pPr>
              <w:spacing w:after="0"/>
              <w:rPr>
                <w:sz w:val="3"/>
                <w:szCs w:val="3"/>
                <w:color w:val="auto"/>
              </w:rPr>
            </w:pPr>
          </w:p>
        </w:tc>
        <w:tc>
          <w:tcPr>
            <w:tcW w:w="920" w:type="dxa"/>
            <w:vAlign w:val="bottom"/>
            <w:shd w:val="clear" w:color="auto" w:fill="00249C"/>
          </w:tcPr>
          <w:p>
            <w:pPr>
              <w:spacing w:after="0"/>
              <w:rPr>
                <w:sz w:val="3"/>
                <w:szCs w:val="3"/>
                <w:color w:val="auto"/>
              </w:rPr>
            </w:pPr>
          </w:p>
        </w:tc>
        <w:tc>
          <w:tcPr>
            <w:tcW w:w="800" w:type="dxa"/>
            <w:vAlign w:val="bottom"/>
            <w:shd w:val="clear" w:color="auto" w:fill="00249C"/>
          </w:tcPr>
          <w:p>
            <w:pPr>
              <w:spacing w:after="0"/>
              <w:rPr>
                <w:sz w:val="3"/>
                <w:szCs w:val="3"/>
                <w:color w:val="auto"/>
              </w:rPr>
            </w:pPr>
          </w:p>
        </w:tc>
        <w:tc>
          <w:tcPr>
            <w:tcW w:w="1100" w:type="dxa"/>
            <w:vAlign w:val="bottom"/>
            <w:shd w:val="clear" w:color="auto" w:fill="00249C"/>
          </w:tcPr>
          <w:p>
            <w:pPr>
              <w:spacing w:after="0"/>
              <w:rPr>
                <w:sz w:val="3"/>
                <w:szCs w:val="3"/>
                <w:color w:val="auto"/>
              </w:rPr>
            </w:pPr>
          </w:p>
        </w:tc>
        <w:tc>
          <w:tcPr>
            <w:tcW w:w="840" w:type="dxa"/>
            <w:vAlign w:val="bottom"/>
            <w:shd w:val="clear" w:color="auto" w:fill="00249C"/>
          </w:tcPr>
          <w:p>
            <w:pPr>
              <w:spacing w:after="0"/>
              <w:rPr>
                <w:sz w:val="3"/>
                <w:szCs w:val="3"/>
                <w:color w:val="auto"/>
              </w:rPr>
            </w:pPr>
          </w:p>
        </w:tc>
        <w:tc>
          <w:tcPr>
            <w:tcW w:w="860" w:type="dxa"/>
            <w:vAlign w:val="bottom"/>
            <w:shd w:val="clear" w:color="auto" w:fill="00249C"/>
          </w:tcPr>
          <w:p>
            <w:pPr>
              <w:spacing w:after="0"/>
              <w:rPr>
                <w:sz w:val="3"/>
                <w:szCs w:val="3"/>
                <w:color w:val="auto"/>
              </w:rPr>
            </w:pPr>
          </w:p>
        </w:tc>
        <w:tc>
          <w:tcPr>
            <w:tcW w:w="1080" w:type="dxa"/>
            <w:vAlign w:val="bottom"/>
            <w:shd w:val="clear" w:color="auto" w:fill="00249C"/>
          </w:tcPr>
          <w:p>
            <w:pPr>
              <w:spacing w:after="0"/>
              <w:rPr>
                <w:sz w:val="3"/>
                <w:szCs w:val="3"/>
                <w:color w:val="auto"/>
              </w:rPr>
            </w:pPr>
          </w:p>
        </w:tc>
        <w:tc>
          <w:tcPr>
            <w:tcW w:w="800" w:type="dxa"/>
            <w:vAlign w:val="bottom"/>
            <w:shd w:val="clear" w:color="auto" w:fill="00249C"/>
          </w:tcPr>
          <w:p>
            <w:pPr>
              <w:spacing w:after="0"/>
              <w:rPr>
                <w:sz w:val="3"/>
                <w:szCs w:val="3"/>
                <w:color w:val="auto"/>
              </w:rPr>
            </w:pPr>
          </w:p>
        </w:tc>
        <w:tc>
          <w:tcPr>
            <w:tcW w:w="880" w:type="dxa"/>
            <w:vAlign w:val="bottom"/>
            <w:vMerge w:val="continue"/>
            <w:shd w:val="clear" w:color="auto" w:fill="00249C"/>
          </w:tcPr>
          <w:p>
            <w:pPr>
              <w:spacing w:after="0"/>
              <w:rPr>
                <w:sz w:val="3"/>
                <w:szCs w:val="3"/>
                <w:color w:val="auto"/>
              </w:rPr>
            </w:pPr>
          </w:p>
        </w:tc>
        <w:tc>
          <w:tcPr>
            <w:tcW w:w="900" w:type="dxa"/>
            <w:vAlign w:val="bottom"/>
            <w:vMerge w:val="continue"/>
            <w:shd w:val="clear" w:color="auto" w:fill="00249C"/>
          </w:tcPr>
          <w:p>
            <w:pPr>
              <w:spacing w:after="0"/>
              <w:rPr>
                <w:sz w:val="3"/>
                <w:szCs w:val="3"/>
                <w:color w:val="auto"/>
              </w:rPr>
            </w:pPr>
          </w:p>
        </w:tc>
        <w:tc>
          <w:tcPr>
            <w:tcW w:w="20" w:type="dxa"/>
            <w:vAlign w:val="bottom"/>
            <w:shd w:val="clear" w:color="auto" w:fill="00249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920" w:type="dxa"/>
            <w:vAlign w:val="bottom"/>
            <w:shd w:val="clear" w:color="auto" w:fill="00249C"/>
          </w:tcPr>
          <w:p>
            <w:pPr>
              <w:spacing w:after="0"/>
              <w:rPr>
                <w:sz w:val="14"/>
                <w:szCs w:val="14"/>
                <w:color w:val="auto"/>
              </w:rPr>
            </w:pPr>
          </w:p>
        </w:tc>
        <w:tc>
          <w:tcPr>
            <w:tcW w:w="1140" w:type="dxa"/>
            <w:vAlign w:val="bottom"/>
            <w:shd w:val="clear" w:color="auto" w:fill="00249C"/>
          </w:tcPr>
          <w:p>
            <w:pPr>
              <w:spacing w:after="0"/>
              <w:rPr>
                <w:sz w:val="14"/>
                <w:szCs w:val="14"/>
                <w:color w:val="auto"/>
              </w:rPr>
            </w:pPr>
          </w:p>
        </w:tc>
        <w:tc>
          <w:tcPr>
            <w:tcW w:w="920" w:type="dxa"/>
            <w:vAlign w:val="bottom"/>
            <w:shd w:val="clear" w:color="auto" w:fill="00249C"/>
          </w:tcPr>
          <w:p>
            <w:pPr>
              <w:spacing w:after="0"/>
              <w:rPr>
                <w:sz w:val="14"/>
                <w:szCs w:val="14"/>
                <w:color w:val="auto"/>
              </w:rPr>
            </w:pPr>
          </w:p>
        </w:tc>
        <w:tc>
          <w:tcPr>
            <w:tcW w:w="800" w:type="dxa"/>
            <w:vAlign w:val="bottom"/>
            <w:shd w:val="clear" w:color="auto" w:fill="00249C"/>
          </w:tcPr>
          <w:p>
            <w:pPr>
              <w:spacing w:after="0"/>
              <w:rPr>
                <w:sz w:val="14"/>
                <w:szCs w:val="14"/>
                <w:color w:val="auto"/>
              </w:rPr>
            </w:pPr>
          </w:p>
        </w:tc>
        <w:tc>
          <w:tcPr>
            <w:tcW w:w="1100" w:type="dxa"/>
            <w:vAlign w:val="bottom"/>
            <w:shd w:val="clear" w:color="auto" w:fill="00249C"/>
          </w:tcPr>
          <w:p>
            <w:pPr>
              <w:spacing w:after="0"/>
              <w:rPr>
                <w:sz w:val="14"/>
                <w:szCs w:val="14"/>
                <w:color w:val="auto"/>
              </w:rPr>
            </w:pPr>
          </w:p>
        </w:tc>
        <w:tc>
          <w:tcPr>
            <w:tcW w:w="840" w:type="dxa"/>
            <w:vAlign w:val="bottom"/>
            <w:shd w:val="clear" w:color="auto" w:fill="00249C"/>
          </w:tcPr>
          <w:p>
            <w:pPr>
              <w:spacing w:after="0"/>
              <w:rPr>
                <w:sz w:val="14"/>
                <w:szCs w:val="14"/>
                <w:color w:val="auto"/>
              </w:rPr>
            </w:pPr>
          </w:p>
        </w:tc>
        <w:tc>
          <w:tcPr>
            <w:tcW w:w="860" w:type="dxa"/>
            <w:vAlign w:val="bottom"/>
            <w:shd w:val="clear" w:color="auto" w:fill="00249C"/>
          </w:tcPr>
          <w:p>
            <w:pPr>
              <w:spacing w:after="0"/>
              <w:rPr>
                <w:sz w:val="14"/>
                <w:szCs w:val="14"/>
                <w:color w:val="auto"/>
              </w:rPr>
            </w:pPr>
          </w:p>
        </w:tc>
        <w:tc>
          <w:tcPr>
            <w:tcW w:w="1080" w:type="dxa"/>
            <w:vAlign w:val="bottom"/>
            <w:shd w:val="clear" w:color="auto" w:fill="00249C"/>
          </w:tcPr>
          <w:p>
            <w:pPr>
              <w:spacing w:after="0"/>
              <w:rPr>
                <w:sz w:val="14"/>
                <w:szCs w:val="14"/>
                <w:color w:val="auto"/>
              </w:rPr>
            </w:pPr>
          </w:p>
        </w:tc>
        <w:tc>
          <w:tcPr>
            <w:tcW w:w="800" w:type="dxa"/>
            <w:vAlign w:val="bottom"/>
            <w:shd w:val="clear" w:color="auto" w:fill="00249C"/>
          </w:tcPr>
          <w:p>
            <w:pPr>
              <w:spacing w:after="0"/>
              <w:rPr>
                <w:sz w:val="14"/>
                <w:szCs w:val="14"/>
                <w:color w:val="auto"/>
              </w:rPr>
            </w:pPr>
          </w:p>
        </w:tc>
        <w:tc>
          <w:tcPr>
            <w:tcW w:w="8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Stock or</w:t>
            </w:r>
          </w:p>
        </w:tc>
        <w:tc>
          <w:tcPr>
            <w:tcW w:w="9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Stock</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00249C"/>
          </w:tcPr>
          <w:p>
            <w:pPr>
              <w:spacing w:after="0"/>
              <w:rPr>
                <w:sz w:val="14"/>
                <w:szCs w:val="14"/>
                <w:color w:val="auto"/>
              </w:rPr>
            </w:pPr>
          </w:p>
        </w:tc>
        <w:tc>
          <w:tcPr>
            <w:tcW w:w="1140" w:type="dxa"/>
            <w:vAlign w:val="bottom"/>
            <w:shd w:val="clear" w:color="auto" w:fill="00249C"/>
          </w:tcPr>
          <w:p>
            <w:pPr>
              <w:spacing w:after="0"/>
              <w:rPr>
                <w:sz w:val="14"/>
                <w:szCs w:val="14"/>
                <w:color w:val="auto"/>
              </w:rPr>
            </w:pPr>
          </w:p>
        </w:tc>
        <w:tc>
          <w:tcPr>
            <w:tcW w:w="920" w:type="dxa"/>
            <w:vAlign w:val="bottom"/>
            <w:shd w:val="clear" w:color="auto" w:fill="00249C"/>
          </w:tcPr>
          <w:p>
            <w:pPr>
              <w:spacing w:after="0"/>
              <w:rPr>
                <w:sz w:val="14"/>
                <w:szCs w:val="14"/>
                <w:color w:val="auto"/>
              </w:rPr>
            </w:pPr>
          </w:p>
        </w:tc>
        <w:tc>
          <w:tcPr>
            <w:tcW w:w="800" w:type="dxa"/>
            <w:vAlign w:val="bottom"/>
            <w:shd w:val="clear" w:color="auto" w:fill="00249C"/>
          </w:tcPr>
          <w:p>
            <w:pPr>
              <w:ind w:left="80"/>
              <w:spacing w:after="0"/>
              <w:rPr>
                <w:sz w:val="20"/>
                <w:szCs w:val="20"/>
                <w:color w:val="auto"/>
              </w:rPr>
            </w:pPr>
            <w:r>
              <w:rPr>
                <w:rFonts w:ascii="Arial" w:cs="Arial" w:eastAsia="Arial" w:hAnsi="Arial"/>
                <w:sz w:val="14"/>
                <w:szCs w:val="14"/>
                <w:b w:val="1"/>
                <w:bCs w:val="1"/>
                <w:color w:val="FFFFFF"/>
              </w:rPr>
              <w:t>Threshold</w:t>
            </w:r>
          </w:p>
        </w:tc>
        <w:tc>
          <w:tcPr>
            <w:tcW w:w="11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Target</w:t>
            </w:r>
          </w:p>
        </w:tc>
        <w:tc>
          <w:tcPr>
            <w:tcW w:w="840" w:type="dxa"/>
            <w:vAlign w:val="bottom"/>
            <w:shd w:val="clear" w:color="auto" w:fill="00249C"/>
          </w:tcPr>
          <w:p>
            <w:pPr>
              <w:ind w:left="20"/>
              <w:spacing w:after="0"/>
              <w:rPr>
                <w:sz w:val="20"/>
                <w:szCs w:val="20"/>
                <w:color w:val="auto"/>
              </w:rPr>
            </w:pPr>
            <w:r>
              <w:rPr>
                <w:rFonts w:ascii="Arial" w:cs="Arial" w:eastAsia="Arial" w:hAnsi="Arial"/>
                <w:sz w:val="14"/>
                <w:szCs w:val="14"/>
                <w:b w:val="1"/>
                <w:bCs w:val="1"/>
                <w:color w:val="FFFFFF"/>
              </w:rPr>
              <w:t>Maximum</w:t>
            </w:r>
          </w:p>
        </w:tc>
        <w:tc>
          <w:tcPr>
            <w:tcW w:w="860" w:type="dxa"/>
            <w:vAlign w:val="bottom"/>
            <w:shd w:val="clear" w:color="auto" w:fill="00249C"/>
          </w:tcPr>
          <w:p>
            <w:pPr>
              <w:ind w:left="160"/>
              <w:spacing w:after="0"/>
              <w:rPr>
                <w:sz w:val="20"/>
                <w:szCs w:val="20"/>
                <w:color w:val="auto"/>
              </w:rPr>
            </w:pPr>
            <w:r>
              <w:rPr>
                <w:rFonts w:ascii="Arial" w:cs="Arial" w:eastAsia="Arial" w:hAnsi="Arial"/>
                <w:sz w:val="14"/>
                <w:szCs w:val="14"/>
                <w:b w:val="1"/>
                <w:bCs w:val="1"/>
                <w:color w:val="FFFFFF"/>
              </w:rPr>
              <w:t>Threshold</w:t>
            </w:r>
          </w:p>
        </w:tc>
        <w:tc>
          <w:tcPr>
            <w:tcW w:w="10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Target</w:t>
            </w:r>
          </w:p>
        </w:tc>
        <w:tc>
          <w:tcPr>
            <w:tcW w:w="800" w:type="dxa"/>
            <w:vAlign w:val="bottom"/>
            <w:shd w:val="clear" w:color="auto" w:fill="00249C"/>
          </w:tcPr>
          <w:p>
            <w:pPr>
              <w:ind w:left="20"/>
              <w:spacing w:after="0"/>
              <w:rPr>
                <w:sz w:val="20"/>
                <w:szCs w:val="20"/>
                <w:color w:val="auto"/>
              </w:rPr>
            </w:pPr>
            <w:r>
              <w:rPr>
                <w:rFonts w:ascii="Arial" w:cs="Arial" w:eastAsia="Arial" w:hAnsi="Arial"/>
                <w:sz w:val="14"/>
                <w:szCs w:val="14"/>
                <w:b w:val="1"/>
                <w:bCs w:val="1"/>
                <w:color w:val="FFFFFF"/>
              </w:rPr>
              <w:t>Maximum</w:t>
            </w:r>
          </w:p>
        </w:tc>
        <w:tc>
          <w:tcPr>
            <w:tcW w:w="8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Units (3)</w:t>
            </w:r>
          </w:p>
        </w:tc>
        <w:tc>
          <w:tcPr>
            <w:tcW w:w="9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Awards (4)</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1140" w:type="dxa"/>
            <w:vAlign w:val="bottom"/>
            <w:tcBorders>
              <w:bottom w:val="single" w:sz="8" w:color="00249C"/>
            </w:tcBorders>
            <w:shd w:val="clear" w:color="auto" w:fill="00249C"/>
          </w:tcPr>
          <w:p>
            <w:pPr>
              <w:ind w:left="200"/>
              <w:spacing w:after="0"/>
              <w:rPr>
                <w:sz w:val="20"/>
                <w:szCs w:val="20"/>
                <w:color w:val="auto"/>
              </w:rPr>
            </w:pPr>
            <w:r>
              <w:rPr>
                <w:rFonts w:ascii="Arial" w:cs="Arial" w:eastAsia="Arial" w:hAnsi="Arial"/>
                <w:sz w:val="14"/>
                <w:szCs w:val="14"/>
                <w:b w:val="1"/>
                <w:bCs w:val="1"/>
                <w:color w:val="FFFFFF"/>
              </w:rPr>
              <w:t>Grant Type</w:t>
            </w:r>
          </w:p>
        </w:tc>
        <w:tc>
          <w:tcPr>
            <w:tcW w:w="92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Grant Date</w:t>
            </w:r>
          </w:p>
        </w:tc>
        <w:tc>
          <w:tcPr>
            <w:tcW w:w="8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840" w:type="dxa"/>
            <w:vAlign w:val="bottom"/>
            <w:tcBorders>
              <w:bottom w:val="single" w:sz="8" w:color="00249C"/>
            </w:tcBorders>
            <w:shd w:val="clear" w:color="auto" w:fill="00249C"/>
          </w:tcPr>
          <w:p>
            <w:pPr>
              <w:jc w:val="center"/>
              <w:ind w:right="68"/>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bottom w:val="single" w:sz="8" w:color="00249C"/>
            </w:tcBorders>
            <w:shd w:val="clear" w:color="auto" w:fill="00249C"/>
          </w:tcPr>
          <w:p>
            <w:pPr>
              <w:jc w:val="center"/>
              <w:ind w:left="88"/>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800" w:type="dxa"/>
            <w:vAlign w:val="bottom"/>
            <w:tcBorders>
              <w:bottom w:val="single" w:sz="8" w:color="00249C"/>
            </w:tcBorders>
            <w:shd w:val="clear" w:color="auto" w:fill="00249C"/>
          </w:tcPr>
          <w:p>
            <w:pPr>
              <w:jc w:val="center"/>
              <w:ind w:right="28"/>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249C"/>
            </w:tcBorders>
            <w:shd w:val="clear" w:color="auto" w:fill="00249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11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rPr>
              <w:t>Incentive Plan</w:t>
            </w:r>
          </w:p>
        </w:tc>
        <w:tc>
          <w:tcPr>
            <w:tcW w:w="920" w:type="dxa"/>
            <w:vAlign w:val="bottom"/>
            <w:tcBorders>
              <w:bottom w:val="single" w:sz="8" w:color="CCD4DB"/>
            </w:tcBorders>
            <w:shd w:val="clear" w:color="auto" w:fill="CCD4DB"/>
          </w:tcPr>
          <w:p>
            <w:pPr>
              <w:spacing w:after="0"/>
              <w:rPr>
                <w:sz w:val="21"/>
                <w:szCs w:val="21"/>
                <w:color w:val="auto"/>
              </w:rPr>
            </w:pPr>
          </w:p>
        </w:tc>
        <w:tc>
          <w:tcPr>
            <w:tcW w:w="8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2,700,000</w:t>
            </w:r>
          </w:p>
        </w:tc>
        <w:tc>
          <w:tcPr>
            <w:tcW w:w="840" w:type="dxa"/>
            <w:vAlign w:val="bottom"/>
            <w:tcBorders>
              <w:bottom w:val="single" w:sz="8" w:color="CCD4DB"/>
            </w:tcBorders>
            <w:shd w:val="clear" w:color="auto" w:fill="CCD4DB"/>
          </w:tcPr>
          <w:p>
            <w:pPr>
              <w:jc w:val="center"/>
              <w:ind w:right="88"/>
              <w:spacing w:after="0"/>
              <w:rPr>
                <w:sz w:val="20"/>
                <w:szCs w:val="20"/>
                <w:color w:val="auto"/>
              </w:rPr>
            </w:pPr>
            <w:r>
              <w:rPr>
                <w:rFonts w:ascii="Arial" w:cs="Arial" w:eastAsia="Arial" w:hAnsi="Arial"/>
                <w:sz w:val="14"/>
                <w:szCs w:val="14"/>
                <w:color w:val="auto"/>
              </w:rPr>
              <w:t>5,400,000</w:t>
            </w:r>
          </w:p>
        </w:tc>
        <w:tc>
          <w:tcPr>
            <w:tcW w:w="860" w:type="dxa"/>
            <w:vAlign w:val="bottom"/>
            <w:tcBorders>
              <w:bottom w:val="single" w:sz="8" w:color="CCD4DB"/>
            </w:tcBorders>
            <w:shd w:val="clear" w:color="auto" w:fill="CCD4DB"/>
          </w:tcPr>
          <w:p>
            <w:pPr>
              <w:spacing w:after="0"/>
              <w:rPr>
                <w:sz w:val="21"/>
                <w:szCs w:val="21"/>
                <w:color w:val="auto"/>
              </w:rPr>
            </w:pPr>
          </w:p>
        </w:tc>
        <w:tc>
          <w:tcPr>
            <w:tcW w:w="1080" w:type="dxa"/>
            <w:vAlign w:val="bottom"/>
            <w:tcBorders>
              <w:bottom w:val="single" w:sz="8" w:color="CCD4DB"/>
            </w:tcBorders>
            <w:shd w:val="clear" w:color="auto" w:fill="CCD4DB"/>
          </w:tcPr>
          <w:p>
            <w:pPr>
              <w:spacing w:after="0"/>
              <w:rPr>
                <w:sz w:val="21"/>
                <w:szCs w:val="21"/>
                <w:color w:val="auto"/>
              </w:rPr>
            </w:pPr>
          </w:p>
        </w:tc>
        <w:tc>
          <w:tcPr>
            <w:tcW w:w="800" w:type="dxa"/>
            <w:vAlign w:val="bottom"/>
            <w:tcBorders>
              <w:bottom w:val="single" w:sz="8" w:color="CCD4DB"/>
            </w:tcBorders>
            <w:shd w:val="clear" w:color="auto" w:fill="CCD4DB"/>
          </w:tcPr>
          <w:p>
            <w:pPr>
              <w:spacing w:after="0"/>
              <w:rPr>
                <w:sz w:val="21"/>
                <w:szCs w:val="21"/>
                <w:color w:val="auto"/>
              </w:rPr>
            </w:pPr>
          </w:p>
        </w:tc>
        <w:tc>
          <w:tcPr>
            <w:tcW w:w="880" w:type="dxa"/>
            <w:vAlign w:val="bottom"/>
            <w:tcBorders>
              <w:bottom w:val="single" w:sz="8" w:color="CCD4DB"/>
            </w:tcBorders>
            <w:shd w:val="clear" w:color="auto" w:fill="CCD4DB"/>
          </w:tcPr>
          <w:p>
            <w:pPr>
              <w:spacing w:after="0"/>
              <w:rPr>
                <w:sz w:val="21"/>
                <w:szCs w:val="21"/>
                <w:color w:val="auto"/>
              </w:rPr>
            </w:pPr>
          </w:p>
        </w:tc>
        <w:tc>
          <w:tcPr>
            <w:tcW w:w="900" w:type="dxa"/>
            <w:vAlign w:val="bottom"/>
            <w:tcBorders>
              <w:bottom w:val="single" w:sz="8" w:color="CCD4DB"/>
            </w:tcBorders>
            <w:shd w:val="clear" w:color="auto" w:fill="CCD4DB"/>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920" w:type="dxa"/>
            <w:vAlign w:val="bottom"/>
          </w:tcPr>
          <w:p>
            <w:pPr>
              <w:ind w:left="40"/>
              <w:spacing w:after="0"/>
              <w:rPr>
                <w:sz w:val="20"/>
                <w:szCs w:val="20"/>
                <w:color w:val="auto"/>
              </w:rPr>
            </w:pPr>
            <w:r>
              <w:rPr>
                <w:rFonts w:ascii="Arial" w:cs="Arial" w:eastAsia="Arial" w:hAnsi="Arial"/>
                <w:sz w:val="14"/>
                <w:szCs w:val="14"/>
                <w:color w:val="auto"/>
              </w:rPr>
              <w:t>Kathy J. Warden</w:t>
            </w:r>
          </w:p>
        </w:tc>
        <w:tc>
          <w:tcPr>
            <w:tcW w:w="1140" w:type="dxa"/>
            <w:vAlign w:val="bottom"/>
          </w:tcPr>
          <w:p>
            <w:pPr>
              <w:ind w:left="40"/>
              <w:spacing w:after="0"/>
              <w:rPr>
                <w:sz w:val="20"/>
                <w:szCs w:val="20"/>
                <w:color w:val="auto"/>
              </w:rPr>
            </w:pPr>
            <w:r>
              <w:rPr>
                <w:rFonts w:ascii="Arial" w:cs="Arial" w:eastAsia="Arial" w:hAnsi="Arial"/>
                <w:sz w:val="14"/>
                <w:szCs w:val="14"/>
                <w:color w:val="auto"/>
              </w:rPr>
              <w:t>RPSR</w:t>
            </w:r>
          </w:p>
        </w:tc>
        <w:tc>
          <w:tcPr>
            <w:tcW w:w="920" w:type="dxa"/>
            <w:vAlign w:val="bottom"/>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33,572</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50,358</w:t>
            </w:r>
          </w:p>
        </w:tc>
        <w:tc>
          <w:tcPr>
            <w:tcW w:w="8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9,100,254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Pr>
          <w:p>
            <w:pPr>
              <w:spacing w:after="0"/>
              <w:rPr>
                <w:sz w:val="23"/>
                <w:szCs w:val="23"/>
                <w:color w:val="auto"/>
              </w:rPr>
            </w:pPr>
          </w:p>
        </w:tc>
        <w:tc>
          <w:tcPr>
            <w:tcW w:w="11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rPr>
              <w:t>RSR</w:t>
            </w:r>
          </w:p>
        </w:tc>
        <w:tc>
          <w:tcPr>
            <w:tcW w:w="9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Borders>
              <w:bottom w:val="single" w:sz="8" w:color="CCD4DB"/>
            </w:tcBorders>
            <w:shd w:val="clear" w:color="auto" w:fill="CCD4DB"/>
          </w:tcPr>
          <w:p>
            <w:pPr>
              <w:spacing w:after="0"/>
              <w:rPr>
                <w:sz w:val="23"/>
                <w:szCs w:val="23"/>
                <w:color w:val="auto"/>
              </w:rPr>
            </w:pPr>
          </w:p>
        </w:tc>
        <w:tc>
          <w:tcPr>
            <w:tcW w:w="1100" w:type="dxa"/>
            <w:vAlign w:val="bottom"/>
            <w:tcBorders>
              <w:bottom w:val="single" w:sz="8" w:color="CCD4DB"/>
            </w:tcBorders>
            <w:shd w:val="clear" w:color="auto" w:fill="CCD4DB"/>
          </w:tcPr>
          <w:p>
            <w:pPr>
              <w:spacing w:after="0"/>
              <w:rPr>
                <w:sz w:val="23"/>
                <w:szCs w:val="23"/>
                <w:color w:val="auto"/>
              </w:rPr>
            </w:pPr>
          </w:p>
        </w:tc>
        <w:tc>
          <w:tcPr>
            <w:tcW w:w="840" w:type="dxa"/>
            <w:vAlign w:val="bottom"/>
            <w:tcBorders>
              <w:bottom w:val="single" w:sz="8" w:color="CCD4DB"/>
            </w:tcBorders>
            <w:shd w:val="clear" w:color="auto" w:fill="CCD4DB"/>
          </w:tcPr>
          <w:p>
            <w:pPr>
              <w:spacing w:after="0"/>
              <w:rPr>
                <w:sz w:val="23"/>
                <w:szCs w:val="23"/>
                <w:color w:val="auto"/>
              </w:rPr>
            </w:pPr>
          </w:p>
        </w:tc>
        <w:tc>
          <w:tcPr>
            <w:tcW w:w="860" w:type="dxa"/>
            <w:vAlign w:val="bottom"/>
            <w:tcBorders>
              <w:bottom w:val="single" w:sz="8" w:color="CCD4DB"/>
            </w:tcBorders>
            <w:shd w:val="clear" w:color="auto" w:fill="CCD4DB"/>
          </w:tcPr>
          <w:p>
            <w:pPr>
              <w:spacing w:after="0"/>
              <w:rPr>
                <w:sz w:val="23"/>
                <w:szCs w:val="23"/>
                <w:color w:val="auto"/>
              </w:rPr>
            </w:pPr>
          </w:p>
        </w:tc>
        <w:tc>
          <w:tcPr>
            <w:tcW w:w="1080" w:type="dxa"/>
            <w:vAlign w:val="bottom"/>
            <w:tcBorders>
              <w:bottom w:val="single" w:sz="8" w:color="CCD4DB"/>
            </w:tcBorders>
            <w:shd w:val="clear" w:color="auto" w:fill="CCD4DB"/>
          </w:tcPr>
          <w:p>
            <w:pPr>
              <w:spacing w:after="0"/>
              <w:rPr>
                <w:sz w:val="23"/>
                <w:szCs w:val="23"/>
                <w:color w:val="auto"/>
              </w:rPr>
            </w:pPr>
          </w:p>
        </w:tc>
        <w:tc>
          <w:tcPr>
            <w:tcW w:w="800" w:type="dxa"/>
            <w:vAlign w:val="bottom"/>
            <w:tcBorders>
              <w:bottom w:val="single" w:sz="8" w:color="CCD4DB"/>
            </w:tcBorders>
            <w:shd w:val="clear" w:color="auto" w:fill="CCD4DB"/>
          </w:tcPr>
          <w:p>
            <w:pPr>
              <w:spacing w:after="0"/>
              <w:rPr>
                <w:sz w:val="23"/>
                <w:szCs w:val="23"/>
                <w:color w:val="auto"/>
              </w:rPr>
            </w:pPr>
          </w:p>
        </w:tc>
        <w:tc>
          <w:tcPr>
            <w:tcW w:w="8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14,227</w:t>
            </w:r>
          </w:p>
        </w:tc>
        <w:tc>
          <w:tcPr>
            <w:tcW w:w="9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3,899,905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920" w:type="dxa"/>
            <w:vAlign w:val="bottom"/>
            <w:tcBorders>
              <w:top w:val="single" w:sz="8" w:color="00249C"/>
            </w:tcBorders>
          </w:tcPr>
          <w:p>
            <w:pPr>
              <w:spacing w:after="0"/>
              <w:rPr>
                <w:sz w:val="19"/>
                <w:szCs w:val="19"/>
                <w:color w:val="auto"/>
              </w:rPr>
            </w:pPr>
          </w:p>
        </w:tc>
        <w:tc>
          <w:tcPr>
            <w:tcW w:w="1140" w:type="dxa"/>
            <w:vAlign w:val="bottom"/>
            <w:tcBorders>
              <w:top w:val="single" w:sz="8" w:color="00249C"/>
            </w:tcBorders>
          </w:tcPr>
          <w:p>
            <w:pPr>
              <w:ind w:left="40"/>
              <w:spacing w:after="0"/>
              <w:rPr>
                <w:sz w:val="20"/>
                <w:szCs w:val="20"/>
                <w:color w:val="auto"/>
              </w:rPr>
            </w:pPr>
            <w:r>
              <w:rPr>
                <w:rFonts w:ascii="Arial" w:cs="Arial" w:eastAsia="Arial" w:hAnsi="Arial"/>
                <w:sz w:val="14"/>
                <w:szCs w:val="14"/>
                <w:color w:val="auto"/>
              </w:rPr>
              <w:t>Incentive Plan</w:t>
            </w:r>
          </w:p>
        </w:tc>
        <w:tc>
          <w:tcPr>
            <w:tcW w:w="920" w:type="dxa"/>
            <w:vAlign w:val="bottom"/>
            <w:tcBorders>
              <w:top w:val="single" w:sz="8" w:color="00249C"/>
            </w:tcBorders>
          </w:tcPr>
          <w:p>
            <w:pPr>
              <w:spacing w:after="0"/>
              <w:rPr>
                <w:sz w:val="19"/>
                <w:szCs w:val="19"/>
                <w:color w:val="auto"/>
              </w:rPr>
            </w:pPr>
          </w:p>
        </w:tc>
        <w:tc>
          <w:tcPr>
            <w:tcW w:w="80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839,000</w:t>
            </w:r>
          </w:p>
        </w:tc>
        <w:tc>
          <w:tcPr>
            <w:tcW w:w="840" w:type="dxa"/>
            <w:vAlign w:val="bottom"/>
            <w:tcBorders>
              <w:top w:val="single" w:sz="8" w:color="00249C"/>
            </w:tcBorders>
          </w:tcPr>
          <w:p>
            <w:pPr>
              <w:jc w:val="center"/>
              <w:ind w:right="88"/>
              <w:spacing w:after="0"/>
              <w:rPr>
                <w:sz w:val="20"/>
                <w:szCs w:val="20"/>
                <w:color w:val="auto"/>
              </w:rPr>
            </w:pPr>
            <w:r>
              <w:rPr>
                <w:rFonts w:ascii="Arial" w:cs="Arial" w:eastAsia="Arial" w:hAnsi="Arial"/>
                <w:sz w:val="14"/>
                <w:szCs w:val="14"/>
                <w:color w:val="auto"/>
              </w:rPr>
              <w:t>1,678,000</w:t>
            </w:r>
          </w:p>
        </w:tc>
        <w:tc>
          <w:tcPr>
            <w:tcW w:w="860" w:type="dxa"/>
            <w:vAlign w:val="bottom"/>
            <w:tcBorders>
              <w:top w:val="single" w:sz="8" w:color="00249C"/>
            </w:tcBorders>
          </w:tcPr>
          <w:p>
            <w:pPr>
              <w:spacing w:after="0"/>
              <w:rPr>
                <w:sz w:val="19"/>
                <w:szCs w:val="19"/>
                <w:color w:val="auto"/>
              </w:rPr>
            </w:pPr>
          </w:p>
        </w:tc>
        <w:tc>
          <w:tcPr>
            <w:tcW w:w="1080" w:type="dxa"/>
            <w:vAlign w:val="bottom"/>
            <w:tcBorders>
              <w:top w:val="single" w:sz="8" w:color="00249C"/>
            </w:tcBorders>
          </w:tcPr>
          <w:p>
            <w:pPr>
              <w:spacing w:after="0"/>
              <w:rPr>
                <w:sz w:val="19"/>
                <w:szCs w:val="19"/>
                <w:color w:val="auto"/>
              </w:rPr>
            </w:pPr>
          </w:p>
        </w:tc>
        <w:tc>
          <w:tcPr>
            <w:tcW w:w="800" w:type="dxa"/>
            <w:vAlign w:val="bottom"/>
            <w:tcBorders>
              <w:top w:val="single" w:sz="8" w:color="00249C"/>
            </w:tcBorders>
          </w:tcPr>
          <w:p>
            <w:pPr>
              <w:spacing w:after="0"/>
              <w:rPr>
                <w:sz w:val="19"/>
                <w:szCs w:val="19"/>
                <w:color w:val="auto"/>
              </w:rPr>
            </w:pPr>
          </w:p>
        </w:tc>
        <w:tc>
          <w:tcPr>
            <w:tcW w:w="880" w:type="dxa"/>
            <w:vAlign w:val="bottom"/>
            <w:tcBorders>
              <w:top w:val="single" w:sz="8" w:color="00249C"/>
            </w:tcBorders>
          </w:tcPr>
          <w:p>
            <w:pPr>
              <w:spacing w:after="0"/>
              <w:rPr>
                <w:sz w:val="19"/>
                <w:szCs w:val="19"/>
                <w:color w:val="auto"/>
              </w:rPr>
            </w:pPr>
          </w:p>
        </w:tc>
        <w:tc>
          <w:tcPr>
            <w:tcW w:w="900" w:type="dxa"/>
            <w:vAlign w:val="bottom"/>
            <w:tcBorders>
              <w:top w:val="single" w:sz="8" w:color="00249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Pr>
          <w:p>
            <w:pPr>
              <w:ind w:left="40"/>
              <w:spacing w:after="0"/>
              <w:rPr>
                <w:sz w:val="20"/>
                <w:szCs w:val="20"/>
                <w:color w:val="auto"/>
              </w:rPr>
            </w:pPr>
            <w:r>
              <w:rPr>
                <w:rFonts w:ascii="Arial" w:cs="Arial" w:eastAsia="Arial" w:hAnsi="Arial"/>
                <w:sz w:val="14"/>
                <w:szCs w:val="14"/>
                <w:color w:val="auto"/>
              </w:rPr>
              <w:t>Kenneth L. Bedingfield</w:t>
            </w:r>
          </w:p>
        </w:tc>
        <w:tc>
          <w:tcPr>
            <w:tcW w:w="11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rPr>
              <w:t>RPSR</w:t>
            </w:r>
          </w:p>
        </w:tc>
        <w:tc>
          <w:tcPr>
            <w:tcW w:w="9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Borders>
              <w:bottom w:val="single" w:sz="8" w:color="CCD4DB"/>
            </w:tcBorders>
            <w:shd w:val="clear" w:color="auto" w:fill="CCD4DB"/>
          </w:tcPr>
          <w:p>
            <w:pPr>
              <w:spacing w:after="0"/>
              <w:rPr>
                <w:sz w:val="21"/>
                <w:szCs w:val="21"/>
                <w:color w:val="auto"/>
              </w:rPr>
            </w:pPr>
          </w:p>
        </w:tc>
        <w:tc>
          <w:tcPr>
            <w:tcW w:w="1100" w:type="dxa"/>
            <w:vAlign w:val="bottom"/>
            <w:tcBorders>
              <w:bottom w:val="single" w:sz="8" w:color="CCD4DB"/>
            </w:tcBorders>
            <w:shd w:val="clear" w:color="auto" w:fill="CCD4DB"/>
          </w:tcPr>
          <w:p>
            <w:pPr>
              <w:spacing w:after="0"/>
              <w:rPr>
                <w:sz w:val="21"/>
                <w:szCs w:val="21"/>
                <w:color w:val="auto"/>
              </w:rPr>
            </w:pPr>
          </w:p>
        </w:tc>
        <w:tc>
          <w:tcPr>
            <w:tcW w:w="840" w:type="dxa"/>
            <w:vAlign w:val="bottom"/>
            <w:tcBorders>
              <w:bottom w:val="single" w:sz="8" w:color="CCD4DB"/>
            </w:tcBorders>
            <w:shd w:val="clear" w:color="auto" w:fill="CCD4DB"/>
          </w:tcPr>
          <w:p>
            <w:pPr>
              <w:spacing w:after="0"/>
              <w:rPr>
                <w:sz w:val="21"/>
                <w:szCs w:val="21"/>
                <w:color w:val="auto"/>
              </w:rPr>
            </w:pPr>
          </w:p>
        </w:tc>
        <w:tc>
          <w:tcPr>
            <w:tcW w:w="860" w:type="dxa"/>
            <w:vAlign w:val="bottom"/>
            <w:tcBorders>
              <w:bottom w:val="single" w:sz="8" w:color="CCD4DB"/>
            </w:tcBorders>
            <w:shd w:val="clear" w:color="auto" w:fill="CCD4DB"/>
          </w:tcPr>
          <w:p>
            <w:pPr>
              <w:jc w:val="center"/>
              <w:ind w:left="88"/>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9,038</w:t>
            </w:r>
          </w:p>
        </w:tc>
        <w:tc>
          <w:tcPr>
            <w:tcW w:w="800" w:type="dxa"/>
            <w:vAlign w:val="bottom"/>
            <w:tcBorders>
              <w:bottom w:val="single" w:sz="8" w:color="CCD4DB"/>
            </w:tcBorders>
            <w:shd w:val="clear" w:color="auto" w:fill="CCD4DB"/>
          </w:tcPr>
          <w:p>
            <w:pPr>
              <w:jc w:val="center"/>
              <w:ind w:right="8"/>
              <w:spacing w:after="0"/>
              <w:rPr>
                <w:sz w:val="20"/>
                <w:szCs w:val="20"/>
                <w:color w:val="auto"/>
              </w:rPr>
            </w:pPr>
            <w:r>
              <w:rPr>
                <w:rFonts w:ascii="Arial" w:cs="Arial" w:eastAsia="Arial" w:hAnsi="Arial"/>
                <w:sz w:val="14"/>
                <w:szCs w:val="14"/>
                <w:color w:val="auto"/>
              </w:rPr>
              <w:t>13,557</w:t>
            </w:r>
          </w:p>
        </w:tc>
        <w:tc>
          <w:tcPr>
            <w:tcW w:w="880" w:type="dxa"/>
            <w:vAlign w:val="bottom"/>
            <w:tcBorders>
              <w:bottom w:val="single" w:sz="8" w:color="CCD4DB"/>
            </w:tcBorders>
            <w:shd w:val="clear" w:color="auto" w:fill="CCD4DB"/>
          </w:tcPr>
          <w:p>
            <w:pPr>
              <w:spacing w:after="0"/>
              <w:rPr>
                <w:sz w:val="21"/>
                <w:szCs w:val="21"/>
                <w:color w:val="auto"/>
              </w:rPr>
            </w:pPr>
          </w:p>
        </w:tc>
        <w:tc>
          <w:tcPr>
            <w:tcW w:w="9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2,449,900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920" w:type="dxa"/>
            <w:vAlign w:val="bottom"/>
          </w:tcPr>
          <w:p>
            <w:pPr>
              <w:spacing w:after="0"/>
              <w:rPr>
                <w:sz w:val="20"/>
                <w:szCs w:val="20"/>
                <w:color w:val="auto"/>
              </w:rPr>
            </w:pPr>
          </w:p>
        </w:tc>
        <w:tc>
          <w:tcPr>
            <w:tcW w:w="1140" w:type="dxa"/>
            <w:vAlign w:val="bottom"/>
          </w:tcPr>
          <w:p>
            <w:pPr>
              <w:ind w:left="40"/>
              <w:spacing w:after="0"/>
              <w:rPr>
                <w:sz w:val="20"/>
                <w:szCs w:val="20"/>
                <w:color w:val="auto"/>
              </w:rPr>
            </w:pPr>
            <w:r>
              <w:rPr>
                <w:rFonts w:ascii="Arial" w:cs="Arial" w:eastAsia="Arial" w:hAnsi="Arial"/>
                <w:sz w:val="14"/>
                <w:szCs w:val="14"/>
                <w:color w:val="auto"/>
              </w:rPr>
              <w:t>RSR</w:t>
            </w:r>
          </w:p>
        </w:tc>
        <w:tc>
          <w:tcPr>
            <w:tcW w:w="920" w:type="dxa"/>
            <w:vAlign w:val="bottom"/>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3,830</w:t>
            </w:r>
          </w:p>
        </w:tc>
        <w:tc>
          <w:tcPr>
            <w:tcW w:w="900" w:type="dxa"/>
            <w:vAlign w:val="bottom"/>
          </w:tcPr>
          <w:p>
            <w:pPr>
              <w:jc w:val="center"/>
              <w:spacing w:after="0"/>
              <w:rPr>
                <w:sz w:val="20"/>
                <w:szCs w:val="20"/>
                <w:color w:val="auto"/>
              </w:rPr>
            </w:pPr>
            <w:r>
              <w:rPr>
                <w:rFonts w:ascii="Arial" w:cs="Arial" w:eastAsia="Arial" w:hAnsi="Arial"/>
                <w:sz w:val="14"/>
                <w:szCs w:val="14"/>
                <w:color w:val="auto"/>
              </w:rPr>
              <w:t>1,049,879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920" w:type="dxa"/>
            <w:vAlign w:val="bottom"/>
            <w:tcBorders>
              <w:bottom w:val="single" w:sz="8" w:color="00249C"/>
            </w:tcBorders>
          </w:tcPr>
          <w:p>
            <w:pPr>
              <w:spacing w:after="0"/>
              <w:rPr>
                <w:sz w:val="3"/>
                <w:szCs w:val="3"/>
                <w:color w:val="auto"/>
              </w:rPr>
            </w:pPr>
          </w:p>
        </w:tc>
        <w:tc>
          <w:tcPr>
            <w:tcW w:w="1140" w:type="dxa"/>
            <w:vAlign w:val="bottom"/>
            <w:tcBorders>
              <w:bottom w:val="single" w:sz="8" w:color="00249C"/>
            </w:tcBorders>
          </w:tcPr>
          <w:p>
            <w:pPr>
              <w:spacing w:after="0"/>
              <w:rPr>
                <w:sz w:val="3"/>
                <w:szCs w:val="3"/>
                <w:color w:val="auto"/>
              </w:rPr>
            </w:pPr>
          </w:p>
        </w:tc>
        <w:tc>
          <w:tcPr>
            <w:tcW w:w="920" w:type="dxa"/>
            <w:vAlign w:val="bottom"/>
            <w:tcBorders>
              <w:bottom w:val="single" w:sz="8" w:color="00249C"/>
            </w:tcBorders>
          </w:tcPr>
          <w:p>
            <w:pPr>
              <w:spacing w:after="0"/>
              <w:rPr>
                <w:sz w:val="3"/>
                <w:szCs w:val="3"/>
                <w:color w:val="auto"/>
              </w:rPr>
            </w:pPr>
          </w:p>
        </w:tc>
        <w:tc>
          <w:tcPr>
            <w:tcW w:w="800" w:type="dxa"/>
            <w:vAlign w:val="bottom"/>
            <w:tcBorders>
              <w:bottom w:val="single" w:sz="8" w:color="00249C"/>
            </w:tcBorders>
          </w:tcPr>
          <w:p>
            <w:pPr>
              <w:spacing w:after="0"/>
              <w:rPr>
                <w:sz w:val="3"/>
                <w:szCs w:val="3"/>
                <w:color w:val="auto"/>
              </w:rPr>
            </w:pPr>
          </w:p>
        </w:tc>
        <w:tc>
          <w:tcPr>
            <w:tcW w:w="1100" w:type="dxa"/>
            <w:vAlign w:val="bottom"/>
            <w:tcBorders>
              <w:bottom w:val="single" w:sz="8" w:color="00249C"/>
            </w:tcBorders>
          </w:tcPr>
          <w:p>
            <w:pPr>
              <w:spacing w:after="0"/>
              <w:rPr>
                <w:sz w:val="3"/>
                <w:szCs w:val="3"/>
                <w:color w:val="auto"/>
              </w:rPr>
            </w:pPr>
          </w:p>
        </w:tc>
        <w:tc>
          <w:tcPr>
            <w:tcW w:w="840" w:type="dxa"/>
            <w:vAlign w:val="bottom"/>
            <w:tcBorders>
              <w:bottom w:val="single" w:sz="8" w:color="00249C"/>
            </w:tcBorders>
          </w:tcPr>
          <w:p>
            <w:pPr>
              <w:spacing w:after="0"/>
              <w:rPr>
                <w:sz w:val="3"/>
                <w:szCs w:val="3"/>
                <w:color w:val="auto"/>
              </w:rPr>
            </w:pPr>
          </w:p>
        </w:tc>
        <w:tc>
          <w:tcPr>
            <w:tcW w:w="860" w:type="dxa"/>
            <w:vAlign w:val="bottom"/>
            <w:tcBorders>
              <w:bottom w:val="single" w:sz="8" w:color="00249C"/>
            </w:tcBorders>
          </w:tcPr>
          <w:p>
            <w:pPr>
              <w:spacing w:after="0"/>
              <w:rPr>
                <w:sz w:val="3"/>
                <w:szCs w:val="3"/>
                <w:color w:val="auto"/>
              </w:rPr>
            </w:pPr>
          </w:p>
        </w:tc>
        <w:tc>
          <w:tcPr>
            <w:tcW w:w="1080" w:type="dxa"/>
            <w:vAlign w:val="bottom"/>
            <w:tcBorders>
              <w:bottom w:val="single" w:sz="8" w:color="00249C"/>
            </w:tcBorders>
          </w:tcPr>
          <w:p>
            <w:pPr>
              <w:spacing w:after="0"/>
              <w:rPr>
                <w:sz w:val="3"/>
                <w:szCs w:val="3"/>
                <w:color w:val="auto"/>
              </w:rPr>
            </w:pPr>
          </w:p>
        </w:tc>
        <w:tc>
          <w:tcPr>
            <w:tcW w:w="800" w:type="dxa"/>
            <w:vAlign w:val="bottom"/>
            <w:tcBorders>
              <w:bottom w:val="single" w:sz="8" w:color="00249C"/>
            </w:tcBorders>
          </w:tcPr>
          <w:p>
            <w:pPr>
              <w:spacing w:after="0"/>
              <w:rPr>
                <w:sz w:val="3"/>
                <w:szCs w:val="3"/>
                <w:color w:val="auto"/>
              </w:rPr>
            </w:pPr>
          </w:p>
        </w:tc>
        <w:tc>
          <w:tcPr>
            <w:tcW w:w="880" w:type="dxa"/>
            <w:vAlign w:val="bottom"/>
            <w:tcBorders>
              <w:bottom w:val="single" w:sz="8" w:color="00249C"/>
            </w:tcBorders>
          </w:tcPr>
          <w:p>
            <w:pPr>
              <w:spacing w:after="0"/>
              <w:rPr>
                <w:sz w:val="3"/>
                <w:szCs w:val="3"/>
                <w:color w:val="auto"/>
              </w:rPr>
            </w:pPr>
          </w:p>
        </w:tc>
        <w:tc>
          <w:tcPr>
            <w:tcW w:w="900" w:type="dxa"/>
            <w:vAlign w:val="bottom"/>
            <w:tcBorders>
              <w:bottom w:val="single" w:sz="8" w:color="00249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11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rPr>
              <w:t>Incentive Plan</w:t>
            </w:r>
          </w:p>
        </w:tc>
        <w:tc>
          <w:tcPr>
            <w:tcW w:w="920" w:type="dxa"/>
            <w:vAlign w:val="bottom"/>
            <w:tcBorders>
              <w:bottom w:val="single" w:sz="8" w:color="CCD4DB"/>
            </w:tcBorders>
            <w:shd w:val="clear" w:color="auto" w:fill="CCD4DB"/>
          </w:tcPr>
          <w:p>
            <w:pPr>
              <w:spacing w:after="0"/>
              <w:rPr>
                <w:sz w:val="21"/>
                <w:szCs w:val="21"/>
                <w:color w:val="auto"/>
              </w:rPr>
            </w:pPr>
          </w:p>
        </w:tc>
        <w:tc>
          <w:tcPr>
            <w:tcW w:w="8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855,000</w:t>
            </w:r>
          </w:p>
        </w:tc>
        <w:tc>
          <w:tcPr>
            <w:tcW w:w="840" w:type="dxa"/>
            <w:vAlign w:val="bottom"/>
            <w:tcBorders>
              <w:bottom w:val="single" w:sz="8" w:color="CCD4DB"/>
            </w:tcBorders>
            <w:shd w:val="clear" w:color="auto" w:fill="CCD4DB"/>
          </w:tcPr>
          <w:p>
            <w:pPr>
              <w:jc w:val="center"/>
              <w:ind w:right="88"/>
              <w:spacing w:after="0"/>
              <w:rPr>
                <w:sz w:val="20"/>
                <w:szCs w:val="20"/>
                <w:color w:val="auto"/>
              </w:rPr>
            </w:pPr>
            <w:r>
              <w:rPr>
                <w:rFonts w:ascii="Arial" w:cs="Arial" w:eastAsia="Arial" w:hAnsi="Arial"/>
                <w:sz w:val="14"/>
                <w:szCs w:val="14"/>
                <w:color w:val="auto"/>
              </w:rPr>
              <w:t>1,710,000</w:t>
            </w:r>
          </w:p>
        </w:tc>
        <w:tc>
          <w:tcPr>
            <w:tcW w:w="860" w:type="dxa"/>
            <w:vAlign w:val="bottom"/>
            <w:tcBorders>
              <w:bottom w:val="single" w:sz="8" w:color="CCD4DB"/>
            </w:tcBorders>
            <w:shd w:val="clear" w:color="auto" w:fill="CCD4DB"/>
          </w:tcPr>
          <w:p>
            <w:pPr>
              <w:spacing w:after="0"/>
              <w:rPr>
                <w:sz w:val="21"/>
                <w:szCs w:val="21"/>
                <w:color w:val="auto"/>
              </w:rPr>
            </w:pPr>
          </w:p>
        </w:tc>
        <w:tc>
          <w:tcPr>
            <w:tcW w:w="1080" w:type="dxa"/>
            <w:vAlign w:val="bottom"/>
            <w:tcBorders>
              <w:bottom w:val="single" w:sz="8" w:color="CCD4DB"/>
            </w:tcBorders>
            <w:shd w:val="clear" w:color="auto" w:fill="CCD4DB"/>
          </w:tcPr>
          <w:p>
            <w:pPr>
              <w:spacing w:after="0"/>
              <w:rPr>
                <w:sz w:val="21"/>
                <w:szCs w:val="21"/>
                <w:color w:val="auto"/>
              </w:rPr>
            </w:pPr>
          </w:p>
        </w:tc>
        <w:tc>
          <w:tcPr>
            <w:tcW w:w="800" w:type="dxa"/>
            <w:vAlign w:val="bottom"/>
            <w:tcBorders>
              <w:bottom w:val="single" w:sz="8" w:color="CCD4DB"/>
            </w:tcBorders>
            <w:shd w:val="clear" w:color="auto" w:fill="CCD4DB"/>
          </w:tcPr>
          <w:p>
            <w:pPr>
              <w:spacing w:after="0"/>
              <w:rPr>
                <w:sz w:val="21"/>
                <w:szCs w:val="21"/>
                <w:color w:val="auto"/>
              </w:rPr>
            </w:pPr>
          </w:p>
        </w:tc>
        <w:tc>
          <w:tcPr>
            <w:tcW w:w="880" w:type="dxa"/>
            <w:vAlign w:val="bottom"/>
            <w:tcBorders>
              <w:bottom w:val="single" w:sz="8" w:color="CCD4DB"/>
            </w:tcBorders>
            <w:shd w:val="clear" w:color="auto" w:fill="CCD4DB"/>
          </w:tcPr>
          <w:p>
            <w:pPr>
              <w:spacing w:after="0"/>
              <w:rPr>
                <w:sz w:val="21"/>
                <w:szCs w:val="21"/>
                <w:color w:val="auto"/>
              </w:rPr>
            </w:pPr>
          </w:p>
        </w:tc>
        <w:tc>
          <w:tcPr>
            <w:tcW w:w="900" w:type="dxa"/>
            <w:vAlign w:val="bottom"/>
            <w:tcBorders>
              <w:bottom w:val="single" w:sz="8" w:color="CCD4DB"/>
            </w:tcBorders>
            <w:shd w:val="clear" w:color="auto" w:fill="CCD4DB"/>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920" w:type="dxa"/>
            <w:vAlign w:val="bottom"/>
          </w:tcPr>
          <w:p>
            <w:pPr>
              <w:ind w:left="40"/>
              <w:spacing w:after="0"/>
              <w:rPr>
                <w:sz w:val="20"/>
                <w:szCs w:val="20"/>
                <w:color w:val="auto"/>
              </w:rPr>
            </w:pPr>
            <w:r>
              <w:rPr>
                <w:rFonts w:ascii="Arial" w:cs="Arial" w:eastAsia="Arial" w:hAnsi="Arial"/>
                <w:sz w:val="14"/>
                <w:szCs w:val="14"/>
                <w:color w:val="auto"/>
              </w:rPr>
              <w:t>Mark A. Caylor</w:t>
            </w:r>
          </w:p>
        </w:tc>
        <w:tc>
          <w:tcPr>
            <w:tcW w:w="1140" w:type="dxa"/>
            <w:vAlign w:val="bottom"/>
          </w:tcPr>
          <w:p>
            <w:pPr>
              <w:ind w:left="40"/>
              <w:spacing w:after="0"/>
              <w:rPr>
                <w:sz w:val="20"/>
                <w:szCs w:val="20"/>
                <w:color w:val="auto"/>
              </w:rPr>
            </w:pPr>
            <w:r>
              <w:rPr>
                <w:rFonts w:ascii="Arial" w:cs="Arial" w:eastAsia="Arial" w:hAnsi="Arial"/>
                <w:sz w:val="14"/>
                <w:szCs w:val="14"/>
                <w:color w:val="auto"/>
              </w:rPr>
              <w:t>RPSR</w:t>
            </w:r>
          </w:p>
        </w:tc>
        <w:tc>
          <w:tcPr>
            <w:tcW w:w="920" w:type="dxa"/>
            <w:vAlign w:val="bottom"/>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9,038</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13,557</w:t>
            </w:r>
          </w:p>
        </w:tc>
        <w:tc>
          <w:tcPr>
            <w:tcW w:w="8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2,449,900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Pr>
          <w:p>
            <w:pPr>
              <w:spacing w:after="0"/>
              <w:rPr>
                <w:sz w:val="23"/>
                <w:szCs w:val="23"/>
                <w:color w:val="auto"/>
              </w:rPr>
            </w:pPr>
          </w:p>
        </w:tc>
        <w:tc>
          <w:tcPr>
            <w:tcW w:w="11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rPr>
              <w:t>RSR</w:t>
            </w:r>
          </w:p>
        </w:tc>
        <w:tc>
          <w:tcPr>
            <w:tcW w:w="9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Borders>
              <w:bottom w:val="single" w:sz="8" w:color="CCD4DB"/>
            </w:tcBorders>
            <w:shd w:val="clear" w:color="auto" w:fill="CCD4DB"/>
          </w:tcPr>
          <w:p>
            <w:pPr>
              <w:spacing w:after="0"/>
              <w:rPr>
                <w:sz w:val="23"/>
                <w:szCs w:val="23"/>
                <w:color w:val="auto"/>
              </w:rPr>
            </w:pPr>
          </w:p>
        </w:tc>
        <w:tc>
          <w:tcPr>
            <w:tcW w:w="1100" w:type="dxa"/>
            <w:vAlign w:val="bottom"/>
            <w:tcBorders>
              <w:bottom w:val="single" w:sz="8" w:color="CCD4DB"/>
            </w:tcBorders>
            <w:shd w:val="clear" w:color="auto" w:fill="CCD4DB"/>
          </w:tcPr>
          <w:p>
            <w:pPr>
              <w:spacing w:after="0"/>
              <w:rPr>
                <w:sz w:val="23"/>
                <w:szCs w:val="23"/>
                <w:color w:val="auto"/>
              </w:rPr>
            </w:pPr>
          </w:p>
        </w:tc>
        <w:tc>
          <w:tcPr>
            <w:tcW w:w="840" w:type="dxa"/>
            <w:vAlign w:val="bottom"/>
            <w:tcBorders>
              <w:bottom w:val="single" w:sz="8" w:color="CCD4DB"/>
            </w:tcBorders>
            <w:shd w:val="clear" w:color="auto" w:fill="CCD4DB"/>
          </w:tcPr>
          <w:p>
            <w:pPr>
              <w:spacing w:after="0"/>
              <w:rPr>
                <w:sz w:val="23"/>
                <w:szCs w:val="23"/>
                <w:color w:val="auto"/>
              </w:rPr>
            </w:pPr>
          </w:p>
        </w:tc>
        <w:tc>
          <w:tcPr>
            <w:tcW w:w="860" w:type="dxa"/>
            <w:vAlign w:val="bottom"/>
            <w:tcBorders>
              <w:bottom w:val="single" w:sz="8" w:color="CCD4DB"/>
            </w:tcBorders>
            <w:shd w:val="clear" w:color="auto" w:fill="CCD4DB"/>
          </w:tcPr>
          <w:p>
            <w:pPr>
              <w:spacing w:after="0"/>
              <w:rPr>
                <w:sz w:val="23"/>
                <w:szCs w:val="23"/>
                <w:color w:val="auto"/>
              </w:rPr>
            </w:pPr>
          </w:p>
        </w:tc>
        <w:tc>
          <w:tcPr>
            <w:tcW w:w="1080" w:type="dxa"/>
            <w:vAlign w:val="bottom"/>
            <w:tcBorders>
              <w:bottom w:val="single" w:sz="8" w:color="CCD4DB"/>
            </w:tcBorders>
            <w:shd w:val="clear" w:color="auto" w:fill="CCD4DB"/>
          </w:tcPr>
          <w:p>
            <w:pPr>
              <w:spacing w:after="0"/>
              <w:rPr>
                <w:sz w:val="23"/>
                <w:szCs w:val="23"/>
                <w:color w:val="auto"/>
              </w:rPr>
            </w:pPr>
          </w:p>
        </w:tc>
        <w:tc>
          <w:tcPr>
            <w:tcW w:w="800" w:type="dxa"/>
            <w:vAlign w:val="bottom"/>
            <w:tcBorders>
              <w:bottom w:val="single" w:sz="8" w:color="CCD4DB"/>
            </w:tcBorders>
            <w:shd w:val="clear" w:color="auto" w:fill="CCD4DB"/>
          </w:tcPr>
          <w:p>
            <w:pPr>
              <w:spacing w:after="0"/>
              <w:rPr>
                <w:sz w:val="23"/>
                <w:szCs w:val="23"/>
                <w:color w:val="auto"/>
              </w:rPr>
            </w:pPr>
          </w:p>
        </w:tc>
        <w:tc>
          <w:tcPr>
            <w:tcW w:w="8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3,830</w:t>
            </w:r>
          </w:p>
        </w:tc>
        <w:tc>
          <w:tcPr>
            <w:tcW w:w="9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1,049,879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920" w:type="dxa"/>
            <w:vAlign w:val="bottom"/>
            <w:tcBorders>
              <w:top w:val="single" w:sz="8" w:color="00249C"/>
            </w:tcBorders>
          </w:tcPr>
          <w:p>
            <w:pPr>
              <w:spacing w:after="0"/>
              <w:rPr>
                <w:sz w:val="19"/>
                <w:szCs w:val="19"/>
                <w:color w:val="auto"/>
              </w:rPr>
            </w:pPr>
          </w:p>
        </w:tc>
        <w:tc>
          <w:tcPr>
            <w:tcW w:w="1140" w:type="dxa"/>
            <w:vAlign w:val="bottom"/>
            <w:tcBorders>
              <w:top w:val="single" w:sz="8" w:color="00249C"/>
            </w:tcBorders>
          </w:tcPr>
          <w:p>
            <w:pPr>
              <w:ind w:left="40"/>
              <w:spacing w:after="0"/>
              <w:rPr>
                <w:sz w:val="20"/>
                <w:szCs w:val="20"/>
                <w:color w:val="auto"/>
              </w:rPr>
            </w:pPr>
            <w:r>
              <w:rPr>
                <w:rFonts w:ascii="Arial" w:cs="Arial" w:eastAsia="Arial" w:hAnsi="Arial"/>
                <w:sz w:val="14"/>
                <w:szCs w:val="14"/>
                <w:color w:val="auto"/>
              </w:rPr>
              <w:t>Incentive Plan</w:t>
            </w:r>
          </w:p>
        </w:tc>
        <w:tc>
          <w:tcPr>
            <w:tcW w:w="920" w:type="dxa"/>
            <w:vAlign w:val="bottom"/>
            <w:tcBorders>
              <w:top w:val="single" w:sz="8" w:color="00249C"/>
            </w:tcBorders>
          </w:tcPr>
          <w:p>
            <w:pPr>
              <w:spacing w:after="0"/>
              <w:rPr>
                <w:sz w:val="19"/>
                <w:szCs w:val="19"/>
                <w:color w:val="auto"/>
              </w:rPr>
            </w:pPr>
          </w:p>
        </w:tc>
        <w:tc>
          <w:tcPr>
            <w:tcW w:w="80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765,000</w:t>
            </w:r>
          </w:p>
        </w:tc>
        <w:tc>
          <w:tcPr>
            <w:tcW w:w="840" w:type="dxa"/>
            <w:vAlign w:val="bottom"/>
            <w:tcBorders>
              <w:top w:val="single" w:sz="8" w:color="00249C"/>
            </w:tcBorders>
          </w:tcPr>
          <w:p>
            <w:pPr>
              <w:jc w:val="center"/>
              <w:ind w:right="88"/>
              <w:spacing w:after="0"/>
              <w:rPr>
                <w:sz w:val="20"/>
                <w:szCs w:val="20"/>
                <w:color w:val="auto"/>
              </w:rPr>
            </w:pPr>
            <w:r>
              <w:rPr>
                <w:rFonts w:ascii="Arial" w:cs="Arial" w:eastAsia="Arial" w:hAnsi="Arial"/>
                <w:sz w:val="14"/>
                <w:szCs w:val="14"/>
                <w:color w:val="auto"/>
              </w:rPr>
              <w:t>1,530,000</w:t>
            </w:r>
          </w:p>
        </w:tc>
        <w:tc>
          <w:tcPr>
            <w:tcW w:w="860" w:type="dxa"/>
            <w:vAlign w:val="bottom"/>
            <w:tcBorders>
              <w:top w:val="single" w:sz="8" w:color="00249C"/>
            </w:tcBorders>
          </w:tcPr>
          <w:p>
            <w:pPr>
              <w:spacing w:after="0"/>
              <w:rPr>
                <w:sz w:val="19"/>
                <w:szCs w:val="19"/>
                <w:color w:val="auto"/>
              </w:rPr>
            </w:pPr>
          </w:p>
        </w:tc>
        <w:tc>
          <w:tcPr>
            <w:tcW w:w="1080" w:type="dxa"/>
            <w:vAlign w:val="bottom"/>
            <w:tcBorders>
              <w:top w:val="single" w:sz="8" w:color="00249C"/>
            </w:tcBorders>
          </w:tcPr>
          <w:p>
            <w:pPr>
              <w:spacing w:after="0"/>
              <w:rPr>
                <w:sz w:val="19"/>
                <w:szCs w:val="19"/>
                <w:color w:val="auto"/>
              </w:rPr>
            </w:pPr>
          </w:p>
        </w:tc>
        <w:tc>
          <w:tcPr>
            <w:tcW w:w="800" w:type="dxa"/>
            <w:vAlign w:val="bottom"/>
            <w:tcBorders>
              <w:top w:val="single" w:sz="8" w:color="00249C"/>
            </w:tcBorders>
          </w:tcPr>
          <w:p>
            <w:pPr>
              <w:spacing w:after="0"/>
              <w:rPr>
                <w:sz w:val="19"/>
                <w:szCs w:val="19"/>
                <w:color w:val="auto"/>
              </w:rPr>
            </w:pPr>
          </w:p>
        </w:tc>
        <w:tc>
          <w:tcPr>
            <w:tcW w:w="880" w:type="dxa"/>
            <w:vAlign w:val="bottom"/>
            <w:tcBorders>
              <w:top w:val="single" w:sz="8" w:color="00249C"/>
            </w:tcBorders>
          </w:tcPr>
          <w:p>
            <w:pPr>
              <w:spacing w:after="0"/>
              <w:rPr>
                <w:sz w:val="19"/>
                <w:szCs w:val="19"/>
                <w:color w:val="auto"/>
              </w:rPr>
            </w:pPr>
          </w:p>
        </w:tc>
        <w:tc>
          <w:tcPr>
            <w:tcW w:w="900" w:type="dxa"/>
            <w:vAlign w:val="bottom"/>
            <w:tcBorders>
              <w:top w:val="single" w:sz="8" w:color="00249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Pr>
          <w:p>
            <w:pPr>
              <w:ind w:left="40"/>
              <w:spacing w:after="0"/>
              <w:rPr>
                <w:sz w:val="20"/>
                <w:szCs w:val="20"/>
                <w:color w:val="auto"/>
              </w:rPr>
            </w:pPr>
            <w:r>
              <w:rPr>
                <w:rFonts w:ascii="Arial" w:cs="Arial" w:eastAsia="Arial" w:hAnsi="Arial"/>
                <w:sz w:val="14"/>
                <w:szCs w:val="14"/>
                <w:color w:val="auto"/>
              </w:rPr>
              <w:t>Christopher T. Jones</w:t>
            </w:r>
          </w:p>
        </w:tc>
        <w:tc>
          <w:tcPr>
            <w:tcW w:w="11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rPr>
              <w:t>RPSR</w:t>
            </w:r>
          </w:p>
        </w:tc>
        <w:tc>
          <w:tcPr>
            <w:tcW w:w="9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Borders>
              <w:bottom w:val="single" w:sz="8" w:color="CCD4DB"/>
            </w:tcBorders>
            <w:shd w:val="clear" w:color="auto" w:fill="CCD4DB"/>
          </w:tcPr>
          <w:p>
            <w:pPr>
              <w:spacing w:after="0"/>
              <w:rPr>
                <w:sz w:val="21"/>
                <w:szCs w:val="21"/>
                <w:color w:val="auto"/>
              </w:rPr>
            </w:pPr>
          </w:p>
        </w:tc>
        <w:tc>
          <w:tcPr>
            <w:tcW w:w="1100" w:type="dxa"/>
            <w:vAlign w:val="bottom"/>
            <w:tcBorders>
              <w:bottom w:val="single" w:sz="8" w:color="CCD4DB"/>
            </w:tcBorders>
            <w:shd w:val="clear" w:color="auto" w:fill="CCD4DB"/>
          </w:tcPr>
          <w:p>
            <w:pPr>
              <w:spacing w:after="0"/>
              <w:rPr>
                <w:sz w:val="21"/>
                <w:szCs w:val="21"/>
                <w:color w:val="auto"/>
              </w:rPr>
            </w:pPr>
          </w:p>
        </w:tc>
        <w:tc>
          <w:tcPr>
            <w:tcW w:w="840" w:type="dxa"/>
            <w:vAlign w:val="bottom"/>
            <w:tcBorders>
              <w:bottom w:val="single" w:sz="8" w:color="CCD4DB"/>
            </w:tcBorders>
            <w:shd w:val="clear" w:color="auto" w:fill="CCD4DB"/>
          </w:tcPr>
          <w:p>
            <w:pPr>
              <w:spacing w:after="0"/>
              <w:rPr>
                <w:sz w:val="21"/>
                <w:szCs w:val="21"/>
                <w:color w:val="auto"/>
              </w:rPr>
            </w:pPr>
          </w:p>
        </w:tc>
        <w:tc>
          <w:tcPr>
            <w:tcW w:w="860" w:type="dxa"/>
            <w:vAlign w:val="bottom"/>
            <w:tcBorders>
              <w:bottom w:val="single" w:sz="8" w:color="CCD4DB"/>
            </w:tcBorders>
            <w:shd w:val="clear" w:color="auto" w:fill="CCD4DB"/>
          </w:tcPr>
          <w:p>
            <w:pPr>
              <w:jc w:val="center"/>
              <w:ind w:left="88"/>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7,748</w:t>
            </w:r>
          </w:p>
        </w:tc>
        <w:tc>
          <w:tcPr>
            <w:tcW w:w="800" w:type="dxa"/>
            <w:vAlign w:val="bottom"/>
            <w:tcBorders>
              <w:bottom w:val="single" w:sz="8" w:color="CCD4DB"/>
            </w:tcBorders>
            <w:shd w:val="clear" w:color="auto" w:fill="CCD4DB"/>
          </w:tcPr>
          <w:p>
            <w:pPr>
              <w:jc w:val="center"/>
              <w:ind w:right="8"/>
              <w:spacing w:after="0"/>
              <w:rPr>
                <w:sz w:val="20"/>
                <w:szCs w:val="20"/>
                <w:color w:val="auto"/>
              </w:rPr>
            </w:pPr>
            <w:r>
              <w:rPr>
                <w:rFonts w:ascii="Arial" w:cs="Arial" w:eastAsia="Arial" w:hAnsi="Arial"/>
                <w:sz w:val="14"/>
                <w:szCs w:val="14"/>
                <w:color w:val="auto"/>
              </w:rPr>
              <w:t>11,622</w:t>
            </w:r>
          </w:p>
        </w:tc>
        <w:tc>
          <w:tcPr>
            <w:tcW w:w="880" w:type="dxa"/>
            <w:vAlign w:val="bottom"/>
            <w:tcBorders>
              <w:bottom w:val="single" w:sz="8" w:color="CCD4DB"/>
            </w:tcBorders>
            <w:shd w:val="clear" w:color="auto" w:fill="CCD4DB"/>
          </w:tcPr>
          <w:p>
            <w:pPr>
              <w:spacing w:after="0"/>
              <w:rPr>
                <w:sz w:val="21"/>
                <w:szCs w:val="21"/>
                <w:color w:val="auto"/>
              </w:rPr>
            </w:pPr>
          </w:p>
        </w:tc>
        <w:tc>
          <w:tcPr>
            <w:tcW w:w="9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2,100,227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920" w:type="dxa"/>
            <w:vAlign w:val="bottom"/>
          </w:tcPr>
          <w:p>
            <w:pPr>
              <w:spacing w:after="0"/>
              <w:rPr>
                <w:sz w:val="20"/>
                <w:szCs w:val="20"/>
                <w:color w:val="auto"/>
              </w:rPr>
            </w:pPr>
          </w:p>
        </w:tc>
        <w:tc>
          <w:tcPr>
            <w:tcW w:w="1140" w:type="dxa"/>
            <w:vAlign w:val="bottom"/>
          </w:tcPr>
          <w:p>
            <w:pPr>
              <w:ind w:left="40"/>
              <w:spacing w:after="0"/>
              <w:rPr>
                <w:sz w:val="20"/>
                <w:szCs w:val="20"/>
                <w:color w:val="auto"/>
              </w:rPr>
            </w:pPr>
            <w:r>
              <w:rPr>
                <w:rFonts w:ascii="Arial" w:cs="Arial" w:eastAsia="Arial" w:hAnsi="Arial"/>
                <w:sz w:val="14"/>
                <w:szCs w:val="14"/>
                <w:color w:val="auto"/>
              </w:rPr>
              <w:t>RSR</w:t>
            </w:r>
          </w:p>
        </w:tc>
        <w:tc>
          <w:tcPr>
            <w:tcW w:w="920" w:type="dxa"/>
            <w:vAlign w:val="bottom"/>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3,283</w:t>
            </w:r>
          </w:p>
        </w:tc>
        <w:tc>
          <w:tcPr>
            <w:tcW w:w="900" w:type="dxa"/>
            <w:vAlign w:val="bottom"/>
          </w:tcPr>
          <w:p>
            <w:pPr>
              <w:jc w:val="center"/>
              <w:spacing w:after="0"/>
              <w:rPr>
                <w:sz w:val="20"/>
                <w:szCs w:val="20"/>
                <w:color w:val="auto"/>
              </w:rPr>
            </w:pPr>
            <w:r>
              <w:rPr>
                <w:rFonts w:ascii="Arial" w:cs="Arial" w:eastAsia="Arial" w:hAnsi="Arial"/>
                <w:sz w:val="14"/>
                <w:szCs w:val="14"/>
                <w:color w:val="auto"/>
              </w:rPr>
              <w:t>899,936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920" w:type="dxa"/>
            <w:vAlign w:val="bottom"/>
            <w:tcBorders>
              <w:bottom w:val="single" w:sz="8" w:color="00249C"/>
            </w:tcBorders>
          </w:tcPr>
          <w:p>
            <w:pPr>
              <w:spacing w:after="0"/>
              <w:rPr>
                <w:sz w:val="3"/>
                <w:szCs w:val="3"/>
                <w:color w:val="auto"/>
              </w:rPr>
            </w:pPr>
          </w:p>
        </w:tc>
        <w:tc>
          <w:tcPr>
            <w:tcW w:w="1140" w:type="dxa"/>
            <w:vAlign w:val="bottom"/>
            <w:tcBorders>
              <w:bottom w:val="single" w:sz="8" w:color="00249C"/>
            </w:tcBorders>
          </w:tcPr>
          <w:p>
            <w:pPr>
              <w:spacing w:after="0"/>
              <w:rPr>
                <w:sz w:val="3"/>
                <w:szCs w:val="3"/>
                <w:color w:val="auto"/>
              </w:rPr>
            </w:pPr>
          </w:p>
        </w:tc>
        <w:tc>
          <w:tcPr>
            <w:tcW w:w="920" w:type="dxa"/>
            <w:vAlign w:val="bottom"/>
            <w:tcBorders>
              <w:bottom w:val="single" w:sz="8" w:color="00249C"/>
            </w:tcBorders>
          </w:tcPr>
          <w:p>
            <w:pPr>
              <w:spacing w:after="0"/>
              <w:rPr>
                <w:sz w:val="3"/>
                <w:szCs w:val="3"/>
                <w:color w:val="auto"/>
              </w:rPr>
            </w:pPr>
          </w:p>
        </w:tc>
        <w:tc>
          <w:tcPr>
            <w:tcW w:w="800" w:type="dxa"/>
            <w:vAlign w:val="bottom"/>
            <w:tcBorders>
              <w:bottom w:val="single" w:sz="8" w:color="00249C"/>
            </w:tcBorders>
          </w:tcPr>
          <w:p>
            <w:pPr>
              <w:spacing w:after="0"/>
              <w:rPr>
                <w:sz w:val="3"/>
                <w:szCs w:val="3"/>
                <w:color w:val="auto"/>
              </w:rPr>
            </w:pPr>
          </w:p>
        </w:tc>
        <w:tc>
          <w:tcPr>
            <w:tcW w:w="1100" w:type="dxa"/>
            <w:vAlign w:val="bottom"/>
            <w:tcBorders>
              <w:bottom w:val="single" w:sz="8" w:color="00249C"/>
            </w:tcBorders>
          </w:tcPr>
          <w:p>
            <w:pPr>
              <w:spacing w:after="0"/>
              <w:rPr>
                <w:sz w:val="3"/>
                <w:szCs w:val="3"/>
                <w:color w:val="auto"/>
              </w:rPr>
            </w:pPr>
          </w:p>
        </w:tc>
        <w:tc>
          <w:tcPr>
            <w:tcW w:w="840" w:type="dxa"/>
            <w:vAlign w:val="bottom"/>
            <w:tcBorders>
              <w:bottom w:val="single" w:sz="8" w:color="00249C"/>
            </w:tcBorders>
          </w:tcPr>
          <w:p>
            <w:pPr>
              <w:spacing w:after="0"/>
              <w:rPr>
                <w:sz w:val="3"/>
                <w:szCs w:val="3"/>
                <w:color w:val="auto"/>
              </w:rPr>
            </w:pPr>
          </w:p>
        </w:tc>
        <w:tc>
          <w:tcPr>
            <w:tcW w:w="860" w:type="dxa"/>
            <w:vAlign w:val="bottom"/>
            <w:tcBorders>
              <w:bottom w:val="single" w:sz="8" w:color="00249C"/>
            </w:tcBorders>
          </w:tcPr>
          <w:p>
            <w:pPr>
              <w:spacing w:after="0"/>
              <w:rPr>
                <w:sz w:val="3"/>
                <w:szCs w:val="3"/>
                <w:color w:val="auto"/>
              </w:rPr>
            </w:pPr>
          </w:p>
        </w:tc>
        <w:tc>
          <w:tcPr>
            <w:tcW w:w="1080" w:type="dxa"/>
            <w:vAlign w:val="bottom"/>
            <w:tcBorders>
              <w:bottom w:val="single" w:sz="8" w:color="00249C"/>
            </w:tcBorders>
          </w:tcPr>
          <w:p>
            <w:pPr>
              <w:spacing w:after="0"/>
              <w:rPr>
                <w:sz w:val="3"/>
                <w:szCs w:val="3"/>
                <w:color w:val="auto"/>
              </w:rPr>
            </w:pPr>
          </w:p>
        </w:tc>
        <w:tc>
          <w:tcPr>
            <w:tcW w:w="800" w:type="dxa"/>
            <w:vAlign w:val="bottom"/>
            <w:tcBorders>
              <w:bottom w:val="single" w:sz="8" w:color="00249C"/>
            </w:tcBorders>
          </w:tcPr>
          <w:p>
            <w:pPr>
              <w:spacing w:after="0"/>
              <w:rPr>
                <w:sz w:val="3"/>
                <w:szCs w:val="3"/>
                <w:color w:val="auto"/>
              </w:rPr>
            </w:pPr>
          </w:p>
        </w:tc>
        <w:tc>
          <w:tcPr>
            <w:tcW w:w="880" w:type="dxa"/>
            <w:vAlign w:val="bottom"/>
            <w:tcBorders>
              <w:bottom w:val="single" w:sz="8" w:color="00249C"/>
            </w:tcBorders>
          </w:tcPr>
          <w:p>
            <w:pPr>
              <w:spacing w:after="0"/>
              <w:rPr>
                <w:sz w:val="3"/>
                <w:szCs w:val="3"/>
                <w:color w:val="auto"/>
              </w:rPr>
            </w:pPr>
          </w:p>
        </w:tc>
        <w:tc>
          <w:tcPr>
            <w:tcW w:w="900" w:type="dxa"/>
            <w:vAlign w:val="bottom"/>
            <w:tcBorders>
              <w:bottom w:val="single" w:sz="8" w:color="00249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11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rPr>
              <w:t>Incentive Plan</w:t>
            </w:r>
          </w:p>
        </w:tc>
        <w:tc>
          <w:tcPr>
            <w:tcW w:w="920" w:type="dxa"/>
            <w:vAlign w:val="bottom"/>
            <w:tcBorders>
              <w:bottom w:val="single" w:sz="8" w:color="CCD4DB"/>
            </w:tcBorders>
            <w:shd w:val="clear" w:color="auto" w:fill="CCD4DB"/>
          </w:tcPr>
          <w:p>
            <w:pPr>
              <w:spacing w:after="0"/>
              <w:rPr>
                <w:sz w:val="21"/>
                <w:szCs w:val="21"/>
                <w:color w:val="auto"/>
              </w:rPr>
            </w:pPr>
          </w:p>
        </w:tc>
        <w:tc>
          <w:tcPr>
            <w:tcW w:w="8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855,000</w:t>
            </w:r>
          </w:p>
        </w:tc>
        <w:tc>
          <w:tcPr>
            <w:tcW w:w="840" w:type="dxa"/>
            <w:vAlign w:val="bottom"/>
            <w:tcBorders>
              <w:bottom w:val="single" w:sz="8" w:color="CCD4DB"/>
            </w:tcBorders>
            <w:shd w:val="clear" w:color="auto" w:fill="CCD4DB"/>
          </w:tcPr>
          <w:p>
            <w:pPr>
              <w:jc w:val="center"/>
              <w:ind w:right="88"/>
              <w:spacing w:after="0"/>
              <w:rPr>
                <w:sz w:val="20"/>
                <w:szCs w:val="20"/>
                <w:color w:val="auto"/>
              </w:rPr>
            </w:pPr>
            <w:r>
              <w:rPr>
                <w:rFonts w:ascii="Arial" w:cs="Arial" w:eastAsia="Arial" w:hAnsi="Arial"/>
                <w:sz w:val="14"/>
                <w:szCs w:val="14"/>
                <w:color w:val="auto"/>
              </w:rPr>
              <w:t>1,710,000</w:t>
            </w:r>
          </w:p>
        </w:tc>
        <w:tc>
          <w:tcPr>
            <w:tcW w:w="860" w:type="dxa"/>
            <w:vAlign w:val="bottom"/>
            <w:tcBorders>
              <w:bottom w:val="single" w:sz="8" w:color="CCD4DB"/>
            </w:tcBorders>
            <w:shd w:val="clear" w:color="auto" w:fill="CCD4DB"/>
          </w:tcPr>
          <w:p>
            <w:pPr>
              <w:spacing w:after="0"/>
              <w:rPr>
                <w:sz w:val="21"/>
                <w:szCs w:val="21"/>
                <w:color w:val="auto"/>
              </w:rPr>
            </w:pPr>
          </w:p>
        </w:tc>
        <w:tc>
          <w:tcPr>
            <w:tcW w:w="1080" w:type="dxa"/>
            <w:vAlign w:val="bottom"/>
            <w:tcBorders>
              <w:bottom w:val="single" w:sz="8" w:color="CCD4DB"/>
            </w:tcBorders>
            <w:shd w:val="clear" w:color="auto" w:fill="CCD4DB"/>
          </w:tcPr>
          <w:p>
            <w:pPr>
              <w:spacing w:after="0"/>
              <w:rPr>
                <w:sz w:val="21"/>
                <w:szCs w:val="21"/>
                <w:color w:val="auto"/>
              </w:rPr>
            </w:pPr>
          </w:p>
        </w:tc>
        <w:tc>
          <w:tcPr>
            <w:tcW w:w="800" w:type="dxa"/>
            <w:vAlign w:val="bottom"/>
            <w:tcBorders>
              <w:bottom w:val="single" w:sz="8" w:color="CCD4DB"/>
            </w:tcBorders>
            <w:shd w:val="clear" w:color="auto" w:fill="CCD4DB"/>
          </w:tcPr>
          <w:p>
            <w:pPr>
              <w:spacing w:after="0"/>
              <w:rPr>
                <w:sz w:val="21"/>
                <w:szCs w:val="21"/>
                <w:color w:val="auto"/>
              </w:rPr>
            </w:pPr>
          </w:p>
        </w:tc>
        <w:tc>
          <w:tcPr>
            <w:tcW w:w="880" w:type="dxa"/>
            <w:vAlign w:val="bottom"/>
            <w:tcBorders>
              <w:bottom w:val="single" w:sz="8" w:color="CCD4DB"/>
            </w:tcBorders>
            <w:shd w:val="clear" w:color="auto" w:fill="CCD4DB"/>
          </w:tcPr>
          <w:p>
            <w:pPr>
              <w:spacing w:after="0"/>
              <w:rPr>
                <w:sz w:val="21"/>
                <w:szCs w:val="21"/>
                <w:color w:val="auto"/>
              </w:rPr>
            </w:pPr>
          </w:p>
        </w:tc>
        <w:tc>
          <w:tcPr>
            <w:tcW w:w="900" w:type="dxa"/>
            <w:vAlign w:val="bottom"/>
            <w:tcBorders>
              <w:bottom w:val="single" w:sz="8" w:color="CCD4DB"/>
            </w:tcBorders>
            <w:shd w:val="clear" w:color="auto" w:fill="CCD4DB"/>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920" w:type="dxa"/>
            <w:vAlign w:val="bottom"/>
          </w:tcPr>
          <w:p>
            <w:pPr>
              <w:ind w:left="40"/>
              <w:spacing w:after="0"/>
              <w:rPr>
                <w:sz w:val="20"/>
                <w:szCs w:val="20"/>
                <w:color w:val="auto"/>
              </w:rPr>
            </w:pPr>
            <w:r>
              <w:rPr>
                <w:rFonts w:ascii="Arial" w:cs="Arial" w:eastAsia="Arial" w:hAnsi="Arial"/>
                <w:sz w:val="14"/>
                <w:szCs w:val="14"/>
                <w:color w:val="auto"/>
              </w:rPr>
              <w:t>Janis G. Pamiljans</w:t>
            </w:r>
          </w:p>
        </w:tc>
        <w:tc>
          <w:tcPr>
            <w:tcW w:w="1140" w:type="dxa"/>
            <w:vAlign w:val="bottom"/>
          </w:tcPr>
          <w:p>
            <w:pPr>
              <w:ind w:left="40"/>
              <w:spacing w:after="0"/>
              <w:rPr>
                <w:sz w:val="20"/>
                <w:szCs w:val="20"/>
                <w:color w:val="auto"/>
              </w:rPr>
            </w:pPr>
            <w:r>
              <w:rPr>
                <w:rFonts w:ascii="Arial" w:cs="Arial" w:eastAsia="Arial" w:hAnsi="Arial"/>
                <w:sz w:val="14"/>
                <w:szCs w:val="14"/>
                <w:color w:val="auto"/>
              </w:rPr>
              <w:t>RPSR</w:t>
            </w:r>
          </w:p>
        </w:tc>
        <w:tc>
          <w:tcPr>
            <w:tcW w:w="920" w:type="dxa"/>
            <w:vAlign w:val="bottom"/>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9,038</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13,557</w:t>
            </w:r>
          </w:p>
        </w:tc>
        <w:tc>
          <w:tcPr>
            <w:tcW w:w="8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2,449,900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Pr>
          <w:p>
            <w:pPr>
              <w:spacing w:after="0"/>
              <w:rPr>
                <w:sz w:val="21"/>
                <w:szCs w:val="21"/>
                <w:color w:val="auto"/>
              </w:rPr>
            </w:pPr>
          </w:p>
        </w:tc>
        <w:tc>
          <w:tcPr>
            <w:tcW w:w="114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rPr>
              <w:t>RSR</w:t>
            </w:r>
          </w:p>
        </w:tc>
        <w:tc>
          <w:tcPr>
            <w:tcW w:w="9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2/13/2019</w:t>
            </w:r>
          </w:p>
        </w:tc>
        <w:tc>
          <w:tcPr>
            <w:tcW w:w="800" w:type="dxa"/>
            <w:vAlign w:val="bottom"/>
            <w:tcBorders>
              <w:bottom w:val="single" w:sz="8" w:color="CCD4DB"/>
            </w:tcBorders>
            <w:shd w:val="clear" w:color="auto" w:fill="CCD4DB"/>
          </w:tcPr>
          <w:p>
            <w:pPr>
              <w:spacing w:after="0"/>
              <w:rPr>
                <w:sz w:val="21"/>
                <w:szCs w:val="21"/>
                <w:color w:val="auto"/>
              </w:rPr>
            </w:pPr>
          </w:p>
        </w:tc>
        <w:tc>
          <w:tcPr>
            <w:tcW w:w="1100" w:type="dxa"/>
            <w:vAlign w:val="bottom"/>
            <w:tcBorders>
              <w:bottom w:val="single" w:sz="8" w:color="CCD4DB"/>
            </w:tcBorders>
            <w:shd w:val="clear" w:color="auto" w:fill="CCD4DB"/>
          </w:tcPr>
          <w:p>
            <w:pPr>
              <w:spacing w:after="0"/>
              <w:rPr>
                <w:sz w:val="21"/>
                <w:szCs w:val="21"/>
                <w:color w:val="auto"/>
              </w:rPr>
            </w:pPr>
          </w:p>
        </w:tc>
        <w:tc>
          <w:tcPr>
            <w:tcW w:w="840" w:type="dxa"/>
            <w:vAlign w:val="bottom"/>
            <w:tcBorders>
              <w:bottom w:val="single" w:sz="8" w:color="CCD4DB"/>
            </w:tcBorders>
            <w:shd w:val="clear" w:color="auto" w:fill="CCD4DB"/>
          </w:tcPr>
          <w:p>
            <w:pPr>
              <w:spacing w:after="0"/>
              <w:rPr>
                <w:sz w:val="21"/>
                <w:szCs w:val="21"/>
                <w:color w:val="auto"/>
              </w:rPr>
            </w:pPr>
          </w:p>
        </w:tc>
        <w:tc>
          <w:tcPr>
            <w:tcW w:w="860" w:type="dxa"/>
            <w:vAlign w:val="bottom"/>
            <w:tcBorders>
              <w:bottom w:val="single" w:sz="8" w:color="CCD4DB"/>
            </w:tcBorders>
            <w:shd w:val="clear" w:color="auto" w:fill="CCD4DB"/>
          </w:tcPr>
          <w:p>
            <w:pPr>
              <w:spacing w:after="0"/>
              <w:rPr>
                <w:sz w:val="21"/>
                <w:szCs w:val="21"/>
                <w:color w:val="auto"/>
              </w:rPr>
            </w:pPr>
          </w:p>
        </w:tc>
        <w:tc>
          <w:tcPr>
            <w:tcW w:w="1080" w:type="dxa"/>
            <w:vAlign w:val="bottom"/>
            <w:tcBorders>
              <w:bottom w:val="single" w:sz="8" w:color="CCD4DB"/>
            </w:tcBorders>
            <w:shd w:val="clear" w:color="auto" w:fill="CCD4DB"/>
          </w:tcPr>
          <w:p>
            <w:pPr>
              <w:spacing w:after="0"/>
              <w:rPr>
                <w:sz w:val="21"/>
                <w:szCs w:val="21"/>
                <w:color w:val="auto"/>
              </w:rPr>
            </w:pPr>
          </w:p>
        </w:tc>
        <w:tc>
          <w:tcPr>
            <w:tcW w:w="800" w:type="dxa"/>
            <w:vAlign w:val="bottom"/>
            <w:tcBorders>
              <w:bottom w:val="single" w:sz="8" w:color="CCD4DB"/>
            </w:tcBorders>
            <w:shd w:val="clear" w:color="auto" w:fill="CCD4DB"/>
          </w:tcPr>
          <w:p>
            <w:pPr>
              <w:spacing w:after="0"/>
              <w:rPr>
                <w:sz w:val="21"/>
                <w:szCs w:val="21"/>
                <w:color w:val="auto"/>
              </w:rPr>
            </w:pPr>
          </w:p>
        </w:tc>
        <w:tc>
          <w:tcPr>
            <w:tcW w:w="8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3,830</w:t>
            </w:r>
          </w:p>
        </w:tc>
        <w:tc>
          <w:tcPr>
            <w:tcW w:w="9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1,049,879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249C"/>
          </w:tcPr>
          <w:p>
            <w:pPr>
              <w:spacing w:after="0" w:line="20" w:lineRule="exact"/>
              <w:rPr>
                <w:sz w:val="1"/>
                <w:szCs w:val="1"/>
                <w:color w:val="auto"/>
              </w:rPr>
            </w:pPr>
          </w:p>
        </w:tc>
        <w:tc>
          <w:tcPr>
            <w:tcW w:w="1140" w:type="dxa"/>
            <w:vAlign w:val="bottom"/>
            <w:shd w:val="clear" w:color="auto" w:fill="00249C"/>
          </w:tcPr>
          <w:p>
            <w:pPr>
              <w:spacing w:after="0" w:line="20" w:lineRule="exact"/>
              <w:rPr>
                <w:sz w:val="1"/>
                <w:szCs w:val="1"/>
                <w:color w:val="auto"/>
              </w:rPr>
            </w:pPr>
          </w:p>
        </w:tc>
        <w:tc>
          <w:tcPr>
            <w:tcW w:w="920" w:type="dxa"/>
            <w:vAlign w:val="bottom"/>
            <w:shd w:val="clear" w:color="auto" w:fill="00249C"/>
          </w:tcPr>
          <w:p>
            <w:pPr>
              <w:spacing w:after="0" w:line="20" w:lineRule="exact"/>
              <w:rPr>
                <w:sz w:val="1"/>
                <w:szCs w:val="1"/>
                <w:color w:val="auto"/>
              </w:rPr>
            </w:pPr>
          </w:p>
        </w:tc>
        <w:tc>
          <w:tcPr>
            <w:tcW w:w="800" w:type="dxa"/>
            <w:vAlign w:val="bottom"/>
            <w:shd w:val="clear" w:color="auto" w:fill="00249C"/>
          </w:tcPr>
          <w:p>
            <w:pPr>
              <w:spacing w:after="0" w:line="20" w:lineRule="exact"/>
              <w:rPr>
                <w:sz w:val="1"/>
                <w:szCs w:val="1"/>
                <w:color w:val="auto"/>
              </w:rPr>
            </w:pPr>
          </w:p>
        </w:tc>
        <w:tc>
          <w:tcPr>
            <w:tcW w:w="1100" w:type="dxa"/>
            <w:vAlign w:val="bottom"/>
            <w:shd w:val="clear" w:color="auto" w:fill="00249C"/>
          </w:tcPr>
          <w:p>
            <w:pPr>
              <w:spacing w:after="0" w:line="20" w:lineRule="exact"/>
              <w:rPr>
                <w:sz w:val="1"/>
                <w:szCs w:val="1"/>
                <w:color w:val="auto"/>
              </w:rPr>
            </w:pPr>
          </w:p>
        </w:tc>
        <w:tc>
          <w:tcPr>
            <w:tcW w:w="840" w:type="dxa"/>
            <w:vAlign w:val="bottom"/>
            <w:shd w:val="clear" w:color="auto" w:fill="00249C"/>
          </w:tcPr>
          <w:p>
            <w:pPr>
              <w:spacing w:after="0" w:line="20" w:lineRule="exact"/>
              <w:rPr>
                <w:sz w:val="1"/>
                <w:szCs w:val="1"/>
                <w:color w:val="auto"/>
              </w:rPr>
            </w:pPr>
          </w:p>
        </w:tc>
        <w:tc>
          <w:tcPr>
            <w:tcW w:w="860" w:type="dxa"/>
            <w:vAlign w:val="bottom"/>
            <w:shd w:val="clear" w:color="auto" w:fill="00249C"/>
          </w:tcPr>
          <w:p>
            <w:pPr>
              <w:spacing w:after="0" w:line="20" w:lineRule="exact"/>
              <w:rPr>
                <w:sz w:val="1"/>
                <w:szCs w:val="1"/>
                <w:color w:val="auto"/>
              </w:rPr>
            </w:pPr>
          </w:p>
        </w:tc>
        <w:tc>
          <w:tcPr>
            <w:tcW w:w="1080" w:type="dxa"/>
            <w:vAlign w:val="bottom"/>
            <w:shd w:val="clear" w:color="auto" w:fill="00249C"/>
          </w:tcPr>
          <w:p>
            <w:pPr>
              <w:spacing w:after="0" w:line="20" w:lineRule="exact"/>
              <w:rPr>
                <w:sz w:val="1"/>
                <w:szCs w:val="1"/>
                <w:color w:val="auto"/>
              </w:rPr>
            </w:pPr>
          </w:p>
        </w:tc>
        <w:tc>
          <w:tcPr>
            <w:tcW w:w="800" w:type="dxa"/>
            <w:vAlign w:val="bottom"/>
            <w:shd w:val="clear" w:color="auto" w:fill="00249C"/>
          </w:tcPr>
          <w:p>
            <w:pPr>
              <w:spacing w:after="0" w:line="20" w:lineRule="exact"/>
              <w:rPr>
                <w:sz w:val="1"/>
                <w:szCs w:val="1"/>
                <w:color w:val="auto"/>
              </w:rPr>
            </w:pPr>
          </w:p>
        </w:tc>
        <w:tc>
          <w:tcPr>
            <w:tcW w:w="880" w:type="dxa"/>
            <w:vAlign w:val="bottom"/>
            <w:shd w:val="clear" w:color="auto" w:fill="00249C"/>
          </w:tcPr>
          <w:p>
            <w:pPr>
              <w:spacing w:after="0" w:line="20" w:lineRule="exact"/>
              <w:rPr>
                <w:sz w:val="1"/>
                <w:szCs w:val="1"/>
                <w:color w:val="auto"/>
              </w:rPr>
            </w:pPr>
          </w:p>
        </w:tc>
        <w:tc>
          <w:tcPr>
            <w:tcW w:w="900" w:type="dxa"/>
            <w:vAlign w:val="bottom"/>
            <w:shd w:val="clear" w:color="auto" w:fill="00249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20" w:right="280" w:hanging="412"/>
        <w:spacing w:after="0" w:line="261"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the potential range of payouts under the Company's AIP. Actual payouts are shown in the Summary Compensation Table column entitled "Non-Equity Incentive Plan Compensation" on page 53.</w:t>
      </w:r>
    </w:p>
    <w:p>
      <w:pPr>
        <w:spacing w:after="0" w:line="49" w:lineRule="exact"/>
        <w:rPr>
          <w:rFonts w:ascii="Arial" w:cs="Arial" w:eastAsia="Arial" w:hAnsi="Arial"/>
          <w:sz w:val="18"/>
          <w:szCs w:val="18"/>
          <w:color w:val="auto"/>
        </w:rPr>
      </w:pPr>
    </w:p>
    <w:p>
      <w:pPr>
        <w:ind w:left="420" w:right="220" w:hanging="412"/>
        <w:spacing w:after="0" w:line="277"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These amounts relate to RPSRs granted in 2019 under the 2011 Plan. For additional details on our RPSRs, refer to "Key Components of Our Programs - Long-Term Incentive Compensation" on page 47.</w:t>
      </w:r>
    </w:p>
    <w:p>
      <w:pPr>
        <w:spacing w:after="0" w:line="35" w:lineRule="exact"/>
        <w:rPr>
          <w:rFonts w:ascii="Arial" w:cs="Arial" w:eastAsia="Arial" w:hAnsi="Arial"/>
          <w:sz w:val="18"/>
          <w:szCs w:val="18"/>
          <w:color w:val="auto"/>
        </w:rPr>
      </w:pPr>
    </w:p>
    <w:p>
      <w:pPr>
        <w:ind w:left="420" w:right="260" w:hanging="412"/>
        <w:spacing w:after="0" w:line="277"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These amounts relate to RSRs granted in 2019 under the 2011 Plan. For additional details on our RSRs, refer to "Key Components of Our Programs - Long-Term Incentive Compensation" on page 47.</w:t>
      </w:r>
    </w:p>
    <w:p>
      <w:pPr>
        <w:spacing w:after="0" w:line="48" w:lineRule="exact"/>
        <w:rPr>
          <w:rFonts w:ascii="Arial" w:cs="Arial" w:eastAsia="Arial" w:hAnsi="Arial"/>
          <w:sz w:val="18"/>
          <w:szCs w:val="18"/>
          <w:color w:val="auto"/>
        </w:rPr>
      </w:pPr>
    </w:p>
    <w:p>
      <w:pPr>
        <w:ind w:left="420" w:hanging="412"/>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fair value of awards was computed in accordance with FASB ASC Topic 718.</w:t>
      </w:r>
    </w:p>
    <w:p>
      <w:pPr>
        <w:spacing w:after="0" w:line="306"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55</w:t>
      </w:r>
    </w:p>
    <w:p>
      <w:pPr>
        <w:sectPr>
          <w:pgSz w:w="11900" w:h="16838" w:orient="portrait"/>
          <w:cols w:equalWidth="0" w:num="1">
            <w:col w:w="11260"/>
          </w:cols>
          <w:pgMar w:left="320" w:top="701" w:right="319" w:bottom="1440" w:gutter="0" w:footer="0" w:header="0"/>
        </w:sectPr>
      </w:pPr>
    </w:p>
    <w:bookmarkStart w:id="62" w:name="page63"/>
    <w:bookmarkEnd w:id="62"/>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1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TABLES | OUTSTANDING EQUITY AWARDS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Outstanding Equity Awards at 2019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280" w:type="dxa"/>
            <w:vAlign w:val="bottom"/>
            <w:shd w:val="clear" w:color="auto" w:fill="00249C"/>
          </w:tcPr>
          <w:p>
            <w:pPr>
              <w:spacing w:after="0"/>
              <w:rPr>
                <w:sz w:val="13"/>
                <w:szCs w:val="13"/>
                <w:color w:val="auto"/>
              </w:rPr>
            </w:pPr>
          </w:p>
        </w:tc>
        <w:tc>
          <w:tcPr>
            <w:tcW w:w="960" w:type="dxa"/>
            <w:vAlign w:val="bottom"/>
            <w:shd w:val="clear" w:color="auto" w:fill="00249C"/>
          </w:tcPr>
          <w:p>
            <w:pPr>
              <w:spacing w:after="0"/>
              <w:rPr>
                <w:sz w:val="13"/>
                <w:szCs w:val="13"/>
                <w:color w:val="auto"/>
              </w:rPr>
            </w:pPr>
          </w:p>
        </w:tc>
        <w:tc>
          <w:tcPr>
            <w:tcW w:w="1400" w:type="dxa"/>
            <w:vAlign w:val="bottom"/>
            <w:shd w:val="clear" w:color="auto" w:fill="00249C"/>
          </w:tcPr>
          <w:p>
            <w:pPr>
              <w:spacing w:after="0"/>
              <w:rPr>
                <w:sz w:val="13"/>
                <w:szCs w:val="13"/>
                <w:color w:val="auto"/>
              </w:rPr>
            </w:pPr>
          </w:p>
        </w:tc>
        <w:tc>
          <w:tcPr>
            <w:tcW w:w="1740" w:type="dxa"/>
            <w:vAlign w:val="bottom"/>
            <w:shd w:val="clear" w:color="auto" w:fill="00249C"/>
          </w:tcPr>
          <w:p>
            <w:pPr>
              <w:spacing w:after="0"/>
              <w:rPr>
                <w:sz w:val="13"/>
                <w:szCs w:val="13"/>
                <w:color w:val="auto"/>
              </w:rPr>
            </w:pPr>
          </w:p>
        </w:tc>
        <w:tc>
          <w:tcPr>
            <w:tcW w:w="1380" w:type="dxa"/>
            <w:vAlign w:val="bottom"/>
            <w:shd w:val="clear" w:color="auto" w:fill="00249C"/>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1480" w:type="dxa"/>
            <w:vAlign w:val="bottom"/>
            <w:shd w:val="clear" w:color="auto" w:fill="00249C"/>
          </w:tcPr>
          <w:p>
            <w:pPr>
              <w:spacing w:after="0"/>
              <w:rPr>
                <w:sz w:val="13"/>
                <w:szCs w:val="13"/>
                <w:color w:val="auto"/>
              </w:rPr>
            </w:pPr>
          </w:p>
        </w:tc>
        <w:tc>
          <w:tcPr>
            <w:tcW w:w="20" w:type="dxa"/>
            <w:vAlign w:val="bottom"/>
            <w:shd w:val="clear" w:color="auto" w:fill="00249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1400" w:type="dxa"/>
            <w:vAlign w:val="bottom"/>
            <w:shd w:val="clear" w:color="auto" w:fill="00249C"/>
          </w:tcPr>
          <w:p>
            <w:pPr>
              <w:spacing w:after="0"/>
              <w:rPr>
                <w:sz w:val="11"/>
                <w:szCs w:val="11"/>
                <w:color w:val="auto"/>
              </w:rPr>
            </w:pPr>
          </w:p>
        </w:tc>
        <w:tc>
          <w:tcPr>
            <w:tcW w:w="1740" w:type="dxa"/>
            <w:vAlign w:val="bottom"/>
            <w:shd w:val="clear" w:color="auto" w:fill="00249C"/>
          </w:tcPr>
          <w:p>
            <w:pPr>
              <w:spacing w:after="0"/>
              <w:rPr>
                <w:sz w:val="11"/>
                <w:szCs w:val="11"/>
                <w:color w:val="auto"/>
              </w:rPr>
            </w:pPr>
          </w:p>
        </w:tc>
        <w:tc>
          <w:tcPr>
            <w:tcW w:w="138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1480" w:type="dxa"/>
            <w:vAlign w:val="bottom"/>
            <w:shd w:val="clear" w:color="auto" w:fill="00249C"/>
          </w:tcPr>
          <w:p>
            <w:pPr>
              <w:jc w:val="center"/>
              <w:ind w:left="71"/>
              <w:spacing w:after="0" w:line="135" w:lineRule="exact"/>
              <w:rPr>
                <w:sz w:val="20"/>
                <w:szCs w:val="20"/>
                <w:color w:val="auto"/>
              </w:rPr>
            </w:pPr>
            <w:r>
              <w:rPr>
                <w:rFonts w:ascii="Arial" w:cs="Arial" w:eastAsia="Arial" w:hAnsi="Arial"/>
                <w:sz w:val="13"/>
                <w:szCs w:val="13"/>
                <w:b w:val="1"/>
                <w:bCs w:val="1"/>
                <w:color w:val="FFFFFF"/>
                <w:w w:val="96"/>
              </w:rPr>
              <w:t>Equity Incentive Plan</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1400" w:type="dxa"/>
            <w:vAlign w:val="bottom"/>
            <w:shd w:val="clear" w:color="auto" w:fill="00249C"/>
          </w:tcPr>
          <w:p>
            <w:pPr>
              <w:spacing w:after="0"/>
              <w:rPr>
                <w:sz w:val="11"/>
                <w:szCs w:val="11"/>
                <w:color w:val="auto"/>
              </w:rPr>
            </w:pPr>
          </w:p>
        </w:tc>
        <w:tc>
          <w:tcPr>
            <w:tcW w:w="1740" w:type="dxa"/>
            <w:vAlign w:val="bottom"/>
            <w:shd w:val="clear" w:color="auto" w:fill="00249C"/>
          </w:tcPr>
          <w:p>
            <w:pPr>
              <w:spacing w:after="0"/>
              <w:rPr>
                <w:sz w:val="11"/>
                <w:szCs w:val="11"/>
                <w:color w:val="auto"/>
              </w:rPr>
            </w:pPr>
          </w:p>
        </w:tc>
        <w:tc>
          <w:tcPr>
            <w:tcW w:w="138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480" w:type="dxa"/>
            <w:vAlign w:val="bottom"/>
            <w:shd w:val="clear" w:color="auto" w:fill="00249C"/>
          </w:tcPr>
          <w:p>
            <w:pPr>
              <w:jc w:val="center"/>
              <w:ind w:left="71"/>
              <w:spacing w:after="0" w:line="135" w:lineRule="exact"/>
              <w:rPr>
                <w:sz w:val="20"/>
                <w:szCs w:val="20"/>
                <w:color w:val="auto"/>
              </w:rPr>
            </w:pPr>
            <w:r>
              <w:rPr>
                <w:rFonts w:ascii="Arial" w:cs="Arial" w:eastAsia="Arial" w:hAnsi="Arial"/>
                <w:sz w:val="13"/>
                <w:szCs w:val="13"/>
                <w:b w:val="1"/>
                <w:bCs w:val="1"/>
                <w:color w:val="FFFFFF"/>
                <w:w w:val="96"/>
              </w:rPr>
              <w:t>Awards: Market or</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1400" w:type="dxa"/>
            <w:vAlign w:val="bottom"/>
            <w:shd w:val="clear" w:color="auto" w:fill="00249C"/>
          </w:tcPr>
          <w:p>
            <w:pPr>
              <w:spacing w:after="0"/>
              <w:rPr>
                <w:sz w:val="11"/>
                <w:szCs w:val="11"/>
                <w:color w:val="auto"/>
              </w:rPr>
            </w:pPr>
          </w:p>
        </w:tc>
        <w:tc>
          <w:tcPr>
            <w:tcW w:w="1740" w:type="dxa"/>
            <w:vAlign w:val="bottom"/>
            <w:shd w:val="clear" w:color="auto" w:fill="00249C"/>
          </w:tcPr>
          <w:p>
            <w:pPr>
              <w:spacing w:after="0"/>
              <w:rPr>
                <w:sz w:val="11"/>
                <w:szCs w:val="11"/>
                <w:color w:val="auto"/>
              </w:rPr>
            </w:pPr>
          </w:p>
        </w:tc>
        <w:tc>
          <w:tcPr>
            <w:tcW w:w="138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6"/>
              </w:rPr>
              <w:t>Unearned</w:t>
            </w:r>
          </w:p>
        </w:tc>
        <w:tc>
          <w:tcPr>
            <w:tcW w:w="1480" w:type="dxa"/>
            <w:vAlign w:val="bottom"/>
            <w:shd w:val="clear" w:color="auto" w:fill="00249C"/>
          </w:tcPr>
          <w:p>
            <w:pPr>
              <w:jc w:val="center"/>
              <w:ind w:left="71"/>
              <w:spacing w:after="0" w:line="135" w:lineRule="exact"/>
              <w:rPr>
                <w:sz w:val="20"/>
                <w:szCs w:val="20"/>
                <w:color w:val="auto"/>
              </w:rPr>
            </w:pPr>
            <w:r>
              <w:rPr>
                <w:rFonts w:ascii="Arial" w:cs="Arial" w:eastAsia="Arial" w:hAnsi="Arial"/>
                <w:sz w:val="13"/>
                <w:szCs w:val="13"/>
                <w:b w:val="1"/>
                <w:bCs w:val="1"/>
                <w:color w:val="FFFFFF"/>
                <w:w w:val="96"/>
              </w:rPr>
              <w:t>Payout Value of</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140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6"/>
              </w:rPr>
              <w:t>Number of Shares</w:t>
            </w:r>
          </w:p>
        </w:tc>
        <w:tc>
          <w:tcPr>
            <w:tcW w:w="1740" w:type="dxa"/>
            <w:vAlign w:val="bottom"/>
            <w:shd w:val="clear" w:color="auto" w:fill="00249C"/>
          </w:tcPr>
          <w:p>
            <w:pPr>
              <w:spacing w:after="0"/>
              <w:rPr>
                <w:sz w:val="11"/>
                <w:szCs w:val="11"/>
                <w:color w:val="auto"/>
              </w:rPr>
            </w:pPr>
          </w:p>
        </w:tc>
        <w:tc>
          <w:tcPr>
            <w:tcW w:w="138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7"/>
              </w:rPr>
              <w:t>Shares,</w:t>
            </w:r>
          </w:p>
        </w:tc>
        <w:tc>
          <w:tcPr>
            <w:tcW w:w="1480" w:type="dxa"/>
            <w:vAlign w:val="bottom"/>
            <w:shd w:val="clear" w:color="auto" w:fill="00249C"/>
          </w:tcPr>
          <w:p>
            <w:pPr>
              <w:jc w:val="center"/>
              <w:ind w:left="71"/>
              <w:spacing w:after="0" w:line="135" w:lineRule="exact"/>
              <w:rPr>
                <w:sz w:val="20"/>
                <w:szCs w:val="20"/>
                <w:color w:val="auto"/>
              </w:rPr>
            </w:pPr>
            <w:r>
              <w:rPr>
                <w:rFonts w:ascii="Arial" w:cs="Arial" w:eastAsia="Arial" w:hAnsi="Arial"/>
                <w:sz w:val="13"/>
                <w:szCs w:val="13"/>
                <w:b w:val="1"/>
                <w:bCs w:val="1"/>
                <w:color w:val="FFFFFF"/>
                <w:w w:val="95"/>
              </w:rPr>
              <w:t>Unearned Shares,</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140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6"/>
              </w:rPr>
              <w:t>or Units of Stock</w:t>
            </w:r>
          </w:p>
        </w:tc>
        <w:tc>
          <w:tcPr>
            <w:tcW w:w="174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6"/>
              </w:rPr>
              <w:t>Market Value of Shares</w:t>
            </w:r>
          </w:p>
        </w:tc>
        <w:tc>
          <w:tcPr>
            <w:tcW w:w="138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8"/>
              </w:rPr>
              <w:t>Units or Other</w:t>
            </w:r>
          </w:p>
        </w:tc>
        <w:tc>
          <w:tcPr>
            <w:tcW w:w="1480" w:type="dxa"/>
            <w:vAlign w:val="bottom"/>
            <w:shd w:val="clear" w:color="auto" w:fill="00249C"/>
          </w:tcPr>
          <w:p>
            <w:pPr>
              <w:jc w:val="center"/>
              <w:ind w:left="71"/>
              <w:spacing w:after="0" w:line="135" w:lineRule="exact"/>
              <w:rPr>
                <w:sz w:val="20"/>
                <w:szCs w:val="20"/>
                <w:color w:val="auto"/>
              </w:rPr>
            </w:pPr>
            <w:r>
              <w:rPr>
                <w:rFonts w:ascii="Arial" w:cs="Arial" w:eastAsia="Arial" w:hAnsi="Arial"/>
                <w:sz w:val="13"/>
                <w:szCs w:val="13"/>
                <w:b w:val="1"/>
                <w:bCs w:val="1"/>
                <w:color w:val="FFFFFF"/>
                <w:w w:val="95"/>
              </w:rPr>
              <w:t>Units or Other Rights</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140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5"/>
              </w:rPr>
              <w:t>that Have Not</w:t>
            </w:r>
          </w:p>
        </w:tc>
        <w:tc>
          <w:tcPr>
            <w:tcW w:w="174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5"/>
              </w:rPr>
              <w:t>or Units of Stock that</w:t>
            </w:r>
          </w:p>
        </w:tc>
        <w:tc>
          <w:tcPr>
            <w:tcW w:w="138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7"/>
              </w:rPr>
              <w:t>Rights that Have</w:t>
            </w:r>
          </w:p>
        </w:tc>
        <w:tc>
          <w:tcPr>
            <w:tcW w:w="1480" w:type="dxa"/>
            <w:vAlign w:val="bottom"/>
            <w:shd w:val="clear" w:color="auto" w:fill="00249C"/>
          </w:tcPr>
          <w:p>
            <w:pPr>
              <w:jc w:val="center"/>
              <w:ind w:left="71"/>
              <w:spacing w:after="0" w:line="135" w:lineRule="exact"/>
              <w:rPr>
                <w:sz w:val="20"/>
                <w:szCs w:val="20"/>
                <w:color w:val="auto"/>
              </w:rPr>
            </w:pPr>
            <w:r>
              <w:rPr>
                <w:rFonts w:ascii="Arial" w:cs="Arial" w:eastAsia="Arial" w:hAnsi="Arial"/>
                <w:sz w:val="13"/>
                <w:szCs w:val="13"/>
                <w:b w:val="1"/>
                <w:bCs w:val="1"/>
                <w:color w:val="FFFFFF"/>
                <w:w w:val="96"/>
              </w:rPr>
              <w:t>that Have Not Vested</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140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6"/>
              </w:rPr>
              <w:t>Vested (1)</w:t>
            </w:r>
          </w:p>
        </w:tc>
        <w:tc>
          <w:tcPr>
            <w:tcW w:w="174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6"/>
              </w:rPr>
              <w:t>Have Not Vested (2)</w:t>
            </w:r>
          </w:p>
        </w:tc>
        <w:tc>
          <w:tcPr>
            <w:tcW w:w="1380" w:type="dxa"/>
            <w:vAlign w:val="bottom"/>
            <w:shd w:val="clear" w:color="auto" w:fill="00249C"/>
          </w:tcPr>
          <w:p>
            <w:pPr>
              <w:jc w:val="center"/>
              <w:spacing w:after="0" w:line="135" w:lineRule="exact"/>
              <w:rPr>
                <w:sz w:val="20"/>
                <w:szCs w:val="20"/>
                <w:color w:val="auto"/>
              </w:rPr>
            </w:pPr>
            <w:r>
              <w:rPr>
                <w:rFonts w:ascii="Arial" w:cs="Arial" w:eastAsia="Arial" w:hAnsi="Arial"/>
                <w:sz w:val="13"/>
                <w:szCs w:val="13"/>
                <w:b w:val="1"/>
                <w:bCs w:val="1"/>
                <w:color w:val="FFFFFF"/>
                <w:w w:val="96"/>
              </w:rPr>
              <w:t>Not Vested (3)</w:t>
            </w:r>
          </w:p>
        </w:tc>
        <w:tc>
          <w:tcPr>
            <w:tcW w:w="1480" w:type="dxa"/>
            <w:vAlign w:val="bottom"/>
            <w:shd w:val="clear" w:color="auto" w:fill="00249C"/>
          </w:tcPr>
          <w:p>
            <w:pPr>
              <w:jc w:val="center"/>
              <w:ind w:left="71"/>
              <w:spacing w:after="0" w:line="135" w:lineRule="exact"/>
              <w:rPr>
                <w:sz w:val="20"/>
                <w:szCs w:val="20"/>
                <w:color w:val="auto"/>
              </w:rPr>
            </w:pPr>
            <w:r>
              <w:rPr>
                <w:rFonts w:ascii="Arial" w:cs="Arial" w:eastAsia="Arial" w:hAnsi="Arial"/>
                <w:sz w:val="13"/>
                <w:szCs w:val="13"/>
                <w:b w:val="1"/>
                <w:bCs w:val="1"/>
                <w:color w:val="FFFFFF"/>
                <w:w w:val="87"/>
              </w:rPr>
              <w:t>(2)</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00249C"/>
            </w:tcBorders>
            <w:shd w:val="clear" w:color="auto" w:fill="00249C"/>
          </w:tcPr>
          <w:p>
            <w:pPr>
              <w:ind w:left="80"/>
              <w:spacing w:after="0"/>
              <w:rPr>
                <w:sz w:val="20"/>
                <w:szCs w:val="20"/>
                <w:color w:val="auto"/>
              </w:rPr>
            </w:pPr>
            <w:r>
              <w:rPr>
                <w:rFonts w:ascii="Arial" w:cs="Arial" w:eastAsia="Arial" w:hAnsi="Arial"/>
                <w:sz w:val="13"/>
                <w:szCs w:val="13"/>
                <w:b w:val="1"/>
                <w:bCs w:val="1"/>
                <w:color w:val="FFFFFF"/>
              </w:rPr>
              <w:t>Name</w:t>
            </w:r>
          </w:p>
        </w:tc>
        <w:tc>
          <w:tcPr>
            <w:tcW w:w="960" w:type="dxa"/>
            <w:vAlign w:val="bottom"/>
            <w:tcBorders>
              <w:bottom w:val="single" w:sz="8" w:color="00249C"/>
            </w:tcBorders>
            <w:shd w:val="clear" w:color="auto" w:fill="00249C"/>
          </w:tcPr>
          <w:p>
            <w:pPr>
              <w:ind w:left="200"/>
              <w:spacing w:after="0"/>
              <w:rPr>
                <w:sz w:val="20"/>
                <w:szCs w:val="20"/>
                <w:color w:val="auto"/>
              </w:rPr>
            </w:pPr>
            <w:r>
              <w:rPr>
                <w:rFonts w:ascii="Arial" w:cs="Arial" w:eastAsia="Arial" w:hAnsi="Arial"/>
                <w:sz w:val="13"/>
                <w:szCs w:val="13"/>
                <w:b w:val="1"/>
                <w:bCs w:val="1"/>
                <w:color w:val="FFFFFF"/>
              </w:rPr>
              <w:t>Grant Date</w:t>
            </w:r>
          </w:p>
        </w:tc>
        <w:tc>
          <w:tcPr>
            <w:tcW w:w="14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3"/>
                <w:szCs w:val="13"/>
                <w:b w:val="1"/>
                <w:bCs w:val="1"/>
                <w:color w:val="FFFFFF"/>
              </w:rPr>
              <w:t>(#)</w:t>
            </w:r>
          </w:p>
        </w:tc>
        <w:tc>
          <w:tcPr>
            <w:tcW w:w="174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3"/>
                <w:szCs w:val="13"/>
                <w:b w:val="1"/>
                <w:bCs w:val="1"/>
                <w:color w:val="FFFFFF"/>
                <w:w w:val="87"/>
              </w:rPr>
              <w:t>($)</w:t>
            </w:r>
          </w:p>
        </w:tc>
        <w:tc>
          <w:tcPr>
            <w:tcW w:w="138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3"/>
                <w:szCs w:val="13"/>
                <w:b w:val="1"/>
                <w:bCs w:val="1"/>
                <w:color w:val="FFFFFF"/>
              </w:rPr>
              <w:t>(#)</w:t>
            </w:r>
          </w:p>
        </w:tc>
        <w:tc>
          <w:tcPr>
            <w:tcW w:w="1480" w:type="dxa"/>
            <w:vAlign w:val="bottom"/>
            <w:tcBorders>
              <w:bottom w:val="single" w:sz="8" w:color="00249C"/>
            </w:tcBorders>
            <w:shd w:val="clear" w:color="auto" w:fill="00249C"/>
          </w:tcPr>
          <w:p>
            <w:pPr>
              <w:jc w:val="center"/>
              <w:ind w:left="71"/>
              <w:spacing w:after="0"/>
              <w:rPr>
                <w:sz w:val="20"/>
                <w:szCs w:val="20"/>
                <w:color w:val="auto"/>
              </w:rPr>
            </w:pPr>
            <w:r>
              <w:rPr>
                <w:rFonts w:ascii="Arial" w:cs="Arial" w:eastAsia="Arial" w:hAnsi="Arial"/>
                <w:sz w:val="13"/>
                <w:szCs w:val="13"/>
                <w:b w:val="1"/>
                <w:bCs w:val="1"/>
                <w:color w:val="FFFFFF"/>
                <w:w w:val="87"/>
              </w:rPr>
              <w:t>($)</w:t>
            </w:r>
          </w:p>
        </w:tc>
        <w:tc>
          <w:tcPr>
            <w:tcW w:w="20" w:type="dxa"/>
            <w:vAlign w:val="bottom"/>
            <w:tcBorders>
              <w:bottom w:val="single" w:sz="8" w:color="00249C"/>
            </w:tcBorders>
            <w:shd w:val="clear" w:color="auto" w:fill="00249C"/>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960" w:type="dxa"/>
            <w:vAlign w:val="bottom"/>
            <w:tcBorders>
              <w:bottom w:val="single" w:sz="8" w:color="CCD4DB"/>
            </w:tcBorders>
            <w:shd w:val="clear" w:color="auto" w:fill="CCD4DB"/>
          </w:tcPr>
          <w:p>
            <w:pPr>
              <w:jc w:val="center"/>
              <w:ind w:left="9"/>
              <w:spacing w:after="0"/>
              <w:rPr>
                <w:sz w:val="20"/>
                <w:szCs w:val="20"/>
                <w:color w:val="auto"/>
              </w:rPr>
            </w:pPr>
            <w:r>
              <w:rPr>
                <w:rFonts w:ascii="Arial" w:cs="Arial" w:eastAsia="Arial" w:hAnsi="Arial"/>
                <w:sz w:val="14"/>
                <w:szCs w:val="14"/>
                <w:color w:val="auto"/>
              </w:rPr>
              <w:t>2/13/2019</w:t>
            </w:r>
          </w:p>
        </w:tc>
        <w:tc>
          <w:tcPr>
            <w:tcW w:w="14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14,227</w:t>
            </w:r>
          </w:p>
        </w:tc>
        <w:tc>
          <w:tcPr>
            <w:tcW w:w="17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4,893,661</w:t>
            </w:r>
          </w:p>
        </w:tc>
        <w:tc>
          <w:tcPr>
            <w:tcW w:w="13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33,572</w:t>
            </w:r>
          </w:p>
        </w:tc>
        <w:tc>
          <w:tcPr>
            <w:tcW w:w="1480" w:type="dxa"/>
            <w:vAlign w:val="bottom"/>
            <w:tcBorders>
              <w:bottom w:val="single" w:sz="8" w:color="CCD4DB"/>
            </w:tcBorders>
            <w:shd w:val="clear" w:color="auto" w:fill="CCD4DB"/>
          </w:tcPr>
          <w:p>
            <w:pPr>
              <w:jc w:val="center"/>
              <w:ind w:left="91"/>
              <w:spacing w:after="0"/>
              <w:rPr>
                <w:sz w:val="20"/>
                <w:szCs w:val="20"/>
                <w:color w:val="auto"/>
              </w:rPr>
            </w:pPr>
            <w:r>
              <w:rPr>
                <w:rFonts w:ascii="Arial" w:cs="Arial" w:eastAsia="Arial" w:hAnsi="Arial"/>
                <w:sz w:val="14"/>
                <w:szCs w:val="14"/>
                <w:color w:val="auto"/>
              </w:rPr>
              <w:t>11,547,761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280" w:type="dxa"/>
            <w:vAlign w:val="bottom"/>
            <w:vMerge w:val="restart"/>
          </w:tcPr>
          <w:p>
            <w:pPr>
              <w:ind w:left="40"/>
              <w:spacing w:after="0"/>
              <w:rPr>
                <w:sz w:val="20"/>
                <w:szCs w:val="20"/>
                <w:color w:val="auto"/>
              </w:rPr>
            </w:pPr>
            <w:r>
              <w:rPr>
                <w:rFonts w:ascii="Arial" w:cs="Arial" w:eastAsia="Arial" w:hAnsi="Arial"/>
                <w:sz w:val="14"/>
                <w:szCs w:val="14"/>
                <w:color w:val="auto"/>
              </w:rPr>
              <w:t>Kathy J. Warden</w:t>
            </w: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9/19/2018</w:t>
            </w:r>
          </w:p>
        </w:tc>
        <w:tc>
          <w:tcPr>
            <w:tcW w:w="1400" w:type="dxa"/>
            <w:vAlign w:val="bottom"/>
          </w:tcPr>
          <w:p>
            <w:pPr>
              <w:jc w:val="center"/>
              <w:spacing w:after="0"/>
              <w:rPr>
                <w:sz w:val="20"/>
                <w:szCs w:val="20"/>
                <w:color w:val="auto"/>
              </w:rPr>
            </w:pPr>
            <w:r>
              <w:rPr>
                <w:rFonts w:ascii="Arial" w:cs="Arial" w:eastAsia="Arial" w:hAnsi="Arial"/>
                <w:sz w:val="14"/>
                <w:szCs w:val="14"/>
                <w:color w:val="auto"/>
              </w:rPr>
              <w:t>4,943</w:t>
            </w:r>
          </w:p>
        </w:tc>
        <w:tc>
          <w:tcPr>
            <w:tcW w:w="1740" w:type="dxa"/>
            <w:vAlign w:val="bottom"/>
          </w:tcPr>
          <w:p>
            <w:pPr>
              <w:jc w:val="center"/>
              <w:spacing w:after="0"/>
              <w:rPr>
                <w:sz w:val="20"/>
                <w:szCs w:val="20"/>
                <w:color w:val="auto"/>
              </w:rPr>
            </w:pPr>
            <w:r>
              <w:rPr>
                <w:rFonts w:ascii="Arial" w:cs="Arial" w:eastAsia="Arial" w:hAnsi="Arial"/>
                <w:sz w:val="14"/>
                <w:szCs w:val="14"/>
                <w:color w:val="auto"/>
              </w:rPr>
              <w:t>1,700,244</w:t>
            </w:r>
          </w:p>
        </w:tc>
        <w:tc>
          <w:tcPr>
            <w:tcW w:w="1380" w:type="dxa"/>
            <w:vAlign w:val="bottom"/>
          </w:tcPr>
          <w:p>
            <w:pPr>
              <w:jc w:val="center"/>
              <w:spacing w:after="0"/>
              <w:rPr>
                <w:sz w:val="20"/>
                <w:szCs w:val="20"/>
                <w:color w:val="auto"/>
              </w:rPr>
            </w:pPr>
            <w:r>
              <w:rPr>
                <w:rFonts w:ascii="Arial" w:cs="Arial" w:eastAsia="Arial" w:hAnsi="Arial"/>
                <w:sz w:val="14"/>
                <w:szCs w:val="14"/>
                <w:color w:val="auto"/>
              </w:rPr>
              <w:t>13,016</w:t>
            </w:r>
          </w:p>
        </w:tc>
        <w:tc>
          <w:tcPr>
            <w:tcW w:w="1480" w:type="dxa"/>
            <w:vAlign w:val="bottom"/>
          </w:tcPr>
          <w:p>
            <w:pPr>
              <w:jc w:val="center"/>
              <w:ind w:left="91"/>
              <w:spacing w:after="0"/>
              <w:rPr>
                <w:sz w:val="20"/>
                <w:szCs w:val="20"/>
                <w:color w:val="auto"/>
              </w:rPr>
            </w:pPr>
            <w:r>
              <w:rPr>
                <w:rFonts w:ascii="Arial" w:cs="Arial" w:eastAsia="Arial" w:hAnsi="Arial"/>
                <w:sz w:val="14"/>
                <w:szCs w:val="14"/>
                <w:color w:val="auto"/>
              </w:rPr>
              <w:t>4,477,114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2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4280" w:type="dxa"/>
            <w:vAlign w:val="bottom"/>
            <w:vMerge w:val="continue"/>
          </w:tcPr>
          <w:p>
            <w:pPr>
              <w:spacing w:after="0"/>
              <w:rPr>
                <w:sz w:val="8"/>
                <w:szCs w:val="8"/>
                <w:color w:val="auto"/>
              </w:rPr>
            </w:pPr>
          </w:p>
        </w:tc>
        <w:tc>
          <w:tcPr>
            <w:tcW w:w="960" w:type="dxa"/>
            <w:vAlign w:val="bottom"/>
            <w:vMerge w:val="restart"/>
            <w:shd w:val="clear" w:color="auto" w:fill="CCD4DB"/>
          </w:tcPr>
          <w:p>
            <w:pPr>
              <w:jc w:val="center"/>
              <w:ind w:left="9"/>
              <w:spacing w:after="0"/>
              <w:rPr>
                <w:sz w:val="20"/>
                <w:szCs w:val="20"/>
                <w:color w:val="auto"/>
              </w:rPr>
            </w:pPr>
            <w:r>
              <w:rPr>
                <w:rFonts w:ascii="Arial" w:cs="Arial" w:eastAsia="Arial" w:hAnsi="Arial"/>
                <w:sz w:val="14"/>
                <w:szCs w:val="14"/>
                <w:color w:val="auto"/>
              </w:rPr>
              <w:t>2/13/2018</w:t>
            </w:r>
          </w:p>
        </w:tc>
        <w:tc>
          <w:tcPr>
            <w:tcW w:w="14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4,516</w:t>
            </w:r>
          </w:p>
        </w:tc>
        <w:tc>
          <w:tcPr>
            <w:tcW w:w="174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1,553,369</w:t>
            </w:r>
          </w:p>
        </w:tc>
        <w:tc>
          <w:tcPr>
            <w:tcW w:w="13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9,944</w:t>
            </w:r>
          </w:p>
        </w:tc>
        <w:tc>
          <w:tcPr>
            <w:tcW w:w="1480" w:type="dxa"/>
            <w:vAlign w:val="bottom"/>
            <w:vMerge w:val="restart"/>
            <w:shd w:val="clear" w:color="auto" w:fill="CCD4DB"/>
          </w:tcPr>
          <w:p>
            <w:pPr>
              <w:jc w:val="center"/>
              <w:ind w:left="91"/>
              <w:spacing w:after="0"/>
              <w:rPr>
                <w:sz w:val="20"/>
                <w:szCs w:val="20"/>
                <w:color w:val="auto"/>
              </w:rPr>
            </w:pPr>
            <w:r>
              <w:rPr>
                <w:rFonts w:ascii="Arial" w:cs="Arial" w:eastAsia="Arial" w:hAnsi="Arial"/>
                <w:sz w:val="14"/>
                <w:szCs w:val="14"/>
                <w:color w:val="auto"/>
              </w:rPr>
              <w:t>3,420,438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960" w:type="dxa"/>
            <w:vAlign w:val="bottom"/>
            <w:tcBorders>
              <w:bottom w:val="single" w:sz="8" w:color="CCD4DB"/>
            </w:tcBorders>
            <w:vMerge w:val="continue"/>
            <w:shd w:val="clear" w:color="auto" w:fill="CCD4DB"/>
          </w:tcPr>
          <w:p>
            <w:pPr>
              <w:spacing w:after="0"/>
              <w:rPr>
                <w:sz w:val="13"/>
                <w:szCs w:val="13"/>
                <w:color w:val="auto"/>
              </w:rPr>
            </w:pPr>
          </w:p>
        </w:tc>
        <w:tc>
          <w:tcPr>
            <w:tcW w:w="1400" w:type="dxa"/>
            <w:vAlign w:val="bottom"/>
            <w:tcBorders>
              <w:bottom w:val="single" w:sz="8" w:color="CCD4DB"/>
            </w:tcBorders>
            <w:vMerge w:val="continue"/>
            <w:shd w:val="clear" w:color="auto" w:fill="CCD4DB"/>
          </w:tcPr>
          <w:p>
            <w:pPr>
              <w:spacing w:after="0"/>
              <w:rPr>
                <w:sz w:val="13"/>
                <w:szCs w:val="13"/>
                <w:color w:val="auto"/>
              </w:rPr>
            </w:pPr>
          </w:p>
        </w:tc>
        <w:tc>
          <w:tcPr>
            <w:tcW w:w="1740" w:type="dxa"/>
            <w:vAlign w:val="bottom"/>
            <w:tcBorders>
              <w:bottom w:val="single" w:sz="8" w:color="CCD4DB"/>
            </w:tcBorders>
            <w:vMerge w:val="continue"/>
            <w:shd w:val="clear" w:color="auto" w:fill="CCD4DB"/>
          </w:tcPr>
          <w:p>
            <w:pPr>
              <w:spacing w:after="0"/>
              <w:rPr>
                <w:sz w:val="13"/>
                <w:szCs w:val="13"/>
                <w:color w:val="auto"/>
              </w:rPr>
            </w:pPr>
          </w:p>
        </w:tc>
        <w:tc>
          <w:tcPr>
            <w:tcW w:w="1380" w:type="dxa"/>
            <w:vAlign w:val="bottom"/>
            <w:tcBorders>
              <w:bottom w:val="single" w:sz="8" w:color="CCD4DB"/>
            </w:tcBorders>
            <w:vMerge w:val="continue"/>
            <w:shd w:val="clear" w:color="auto" w:fill="CCD4DB"/>
          </w:tcPr>
          <w:p>
            <w:pPr>
              <w:spacing w:after="0"/>
              <w:rPr>
                <w:sz w:val="13"/>
                <w:szCs w:val="13"/>
                <w:color w:val="auto"/>
              </w:rPr>
            </w:pPr>
          </w:p>
        </w:tc>
        <w:tc>
          <w:tcPr>
            <w:tcW w:w="1480" w:type="dxa"/>
            <w:vAlign w:val="bottom"/>
            <w:tcBorders>
              <w:bottom w:val="single" w:sz="8" w:color="CCD4DB"/>
            </w:tcBorders>
            <w:vMerge w:val="continue"/>
            <w:shd w:val="clear" w:color="auto" w:fill="CCD4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280" w:type="dxa"/>
            <w:vAlign w:val="bottom"/>
          </w:tcPr>
          <w:p>
            <w:pPr>
              <w:spacing w:after="0"/>
              <w:rPr>
                <w:sz w:val="20"/>
                <w:szCs w:val="20"/>
                <w:color w:val="auto"/>
              </w:rPr>
            </w:pP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2/17/2017</w:t>
            </w:r>
          </w:p>
        </w:tc>
        <w:tc>
          <w:tcPr>
            <w:tcW w:w="1400" w:type="dxa"/>
            <w:vAlign w:val="bottom"/>
          </w:tcPr>
          <w:p>
            <w:pPr>
              <w:jc w:val="center"/>
              <w:spacing w:after="0"/>
              <w:rPr>
                <w:sz w:val="20"/>
                <w:szCs w:val="20"/>
                <w:color w:val="auto"/>
              </w:rPr>
            </w:pPr>
            <w:r>
              <w:rPr>
                <w:rFonts w:ascii="Arial" w:cs="Arial" w:eastAsia="Arial" w:hAnsi="Arial"/>
                <w:sz w:val="14"/>
                <w:szCs w:val="14"/>
                <w:color w:val="auto"/>
              </w:rPr>
              <w:t>4,465</w:t>
            </w:r>
          </w:p>
        </w:tc>
        <w:tc>
          <w:tcPr>
            <w:tcW w:w="1740" w:type="dxa"/>
            <w:vAlign w:val="bottom"/>
          </w:tcPr>
          <w:p>
            <w:pPr>
              <w:jc w:val="center"/>
              <w:spacing w:after="0"/>
              <w:rPr>
                <w:sz w:val="20"/>
                <w:szCs w:val="20"/>
                <w:color w:val="auto"/>
              </w:rPr>
            </w:pPr>
            <w:r>
              <w:rPr>
                <w:rFonts w:ascii="Arial" w:cs="Arial" w:eastAsia="Arial" w:hAnsi="Arial"/>
                <w:sz w:val="14"/>
                <w:szCs w:val="14"/>
                <w:color w:val="auto"/>
              </w:rPr>
              <w:t>1,535,826</w:t>
            </w:r>
          </w:p>
        </w:tc>
        <w:tc>
          <w:tcPr>
            <w:tcW w:w="1380" w:type="dxa"/>
            <w:vAlign w:val="bottom"/>
          </w:tcPr>
          <w:p>
            <w:pPr>
              <w:jc w:val="center"/>
              <w:spacing w:after="0"/>
              <w:rPr>
                <w:sz w:val="20"/>
                <w:szCs w:val="20"/>
                <w:color w:val="auto"/>
              </w:rPr>
            </w:pPr>
            <w:r>
              <w:rPr>
                <w:rFonts w:ascii="Arial" w:cs="Arial" w:eastAsia="Arial" w:hAnsi="Arial"/>
                <w:sz w:val="14"/>
                <w:szCs w:val="14"/>
                <w:color w:val="auto"/>
              </w:rPr>
              <w:t>10,676</w:t>
            </w:r>
          </w:p>
        </w:tc>
        <w:tc>
          <w:tcPr>
            <w:tcW w:w="1480" w:type="dxa"/>
            <w:vAlign w:val="bottom"/>
          </w:tcPr>
          <w:p>
            <w:pPr>
              <w:jc w:val="center"/>
              <w:ind w:left="91"/>
              <w:spacing w:after="0"/>
              <w:rPr>
                <w:sz w:val="20"/>
                <w:szCs w:val="20"/>
                <w:color w:val="auto"/>
              </w:rPr>
            </w:pPr>
            <w:r>
              <w:rPr>
                <w:rFonts w:ascii="Arial" w:cs="Arial" w:eastAsia="Arial" w:hAnsi="Arial"/>
                <w:sz w:val="14"/>
                <w:szCs w:val="14"/>
                <w:color w:val="auto"/>
              </w:rPr>
              <w:t>3,672,224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280" w:type="dxa"/>
            <w:vAlign w:val="bottom"/>
            <w:tcBorders>
              <w:bottom w:val="single" w:sz="8" w:color="00249C"/>
            </w:tcBorders>
          </w:tcPr>
          <w:p>
            <w:pPr>
              <w:spacing w:after="0"/>
              <w:rPr>
                <w:sz w:val="3"/>
                <w:szCs w:val="3"/>
                <w:color w:val="auto"/>
              </w:rPr>
            </w:pPr>
          </w:p>
        </w:tc>
        <w:tc>
          <w:tcPr>
            <w:tcW w:w="960" w:type="dxa"/>
            <w:vAlign w:val="bottom"/>
            <w:tcBorders>
              <w:bottom w:val="single" w:sz="8" w:color="00249C"/>
            </w:tcBorders>
          </w:tcPr>
          <w:p>
            <w:pPr>
              <w:spacing w:after="0"/>
              <w:rPr>
                <w:sz w:val="3"/>
                <w:szCs w:val="3"/>
                <w:color w:val="auto"/>
              </w:rPr>
            </w:pPr>
          </w:p>
        </w:tc>
        <w:tc>
          <w:tcPr>
            <w:tcW w:w="1400" w:type="dxa"/>
            <w:vAlign w:val="bottom"/>
            <w:tcBorders>
              <w:bottom w:val="single" w:sz="8" w:color="00249C"/>
            </w:tcBorders>
          </w:tcPr>
          <w:p>
            <w:pPr>
              <w:spacing w:after="0"/>
              <w:rPr>
                <w:sz w:val="3"/>
                <w:szCs w:val="3"/>
                <w:color w:val="auto"/>
              </w:rPr>
            </w:pPr>
          </w:p>
        </w:tc>
        <w:tc>
          <w:tcPr>
            <w:tcW w:w="1740" w:type="dxa"/>
            <w:vAlign w:val="bottom"/>
            <w:tcBorders>
              <w:bottom w:val="single" w:sz="8" w:color="00249C"/>
            </w:tcBorders>
          </w:tcPr>
          <w:p>
            <w:pPr>
              <w:spacing w:after="0"/>
              <w:rPr>
                <w:sz w:val="3"/>
                <w:szCs w:val="3"/>
                <w:color w:val="auto"/>
              </w:rPr>
            </w:pPr>
          </w:p>
        </w:tc>
        <w:tc>
          <w:tcPr>
            <w:tcW w:w="1380" w:type="dxa"/>
            <w:vAlign w:val="bottom"/>
            <w:tcBorders>
              <w:bottom w:val="single" w:sz="8" w:color="00249C"/>
            </w:tcBorders>
          </w:tcPr>
          <w:p>
            <w:pPr>
              <w:spacing w:after="0"/>
              <w:rPr>
                <w:sz w:val="3"/>
                <w:szCs w:val="3"/>
                <w:color w:val="auto"/>
              </w:rPr>
            </w:pPr>
          </w:p>
        </w:tc>
        <w:tc>
          <w:tcPr>
            <w:tcW w:w="1480" w:type="dxa"/>
            <w:vAlign w:val="bottom"/>
            <w:tcBorders>
              <w:bottom w:val="single" w:sz="8" w:color="00249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960" w:type="dxa"/>
            <w:vAlign w:val="bottom"/>
            <w:tcBorders>
              <w:bottom w:val="single" w:sz="8" w:color="CCD4DB"/>
            </w:tcBorders>
            <w:shd w:val="clear" w:color="auto" w:fill="CCD4DB"/>
          </w:tcPr>
          <w:p>
            <w:pPr>
              <w:jc w:val="center"/>
              <w:ind w:left="9"/>
              <w:spacing w:after="0"/>
              <w:rPr>
                <w:sz w:val="20"/>
                <w:szCs w:val="20"/>
                <w:color w:val="auto"/>
              </w:rPr>
            </w:pPr>
            <w:r>
              <w:rPr>
                <w:rFonts w:ascii="Arial" w:cs="Arial" w:eastAsia="Arial" w:hAnsi="Arial"/>
                <w:sz w:val="14"/>
                <w:szCs w:val="14"/>
                <w:color w:val="auto"/>
              </w:rPr>
              <w:t>2/13/2019</w:t>
            </w:r>
          </w:p>
        </w:tc>
        <w:tc>
          <w:tcPr>
            <w:tcW w:w="14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3,830</w:t>
            </w:r>
          </w:p>
        </w:tc>
        <w:tc>
          <w:tcPr>
            <w:tcW w:w="17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1,317,405</w:t>
            </w:r>
          </w:p>
        </w:tc>
        <w:tc>
          <w:tcPr>
            <w:tcW w:w="13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9,038</w:t>
            </w:r>
          </w:p>
        </w:tc>
        <w:tc>
          <w:tcPr>
            <w:tcW w:w="1480" w:type="dxa"/>
            <w:vAlign w:val="bottom"/>
            <w:tcBorders>
              <w:bottom w:val="single" w:sz="8" w:color="CCD4DB"/>
            </w:tcBorders>
            <w:shd w:val="clear" w:color="auto" w:fill="CCD4DB"/>
          </w:tcPr>
          <w:p>
            <w:pPr>
              <w:jc w:val="center"/>
              <w:ind w:left="91"/>
              <w:spacing w:after="0"/>
              <w:rPr>
                <w:sz w:val="20"/>
                <w:szCs w:val="20"/>
                <w:color w:val="auto"/>
              </w:rPr>
            </w:pPr>
            <w:r>
              <w:rPr>
                <w:rFonts w:ascii="Arial" w:cs="Arial" w:eastAsia="Arial" w:hAnsi="Arial"/>
                <w:sz w:val="14"/>
                <w:szCs w:val="14"/>
                <w:color w:val="auto"/>
              </w:rPr>
              <w:t>3,108,801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280" w:type="dxa"/>
            <w:vAlign w:val="bottom"/>
          </w:tcPr>
          <w:p>
            <w:pPr>
              <w:ind w:left="40"/>
              <w:spacing w:after="0"/>
              <w:rPr>
                <w:sz w:val="20"/>
                <w:szCs w:val="20"/>
                <w:color w:val="auto"/>
              </w:rPr>
            </w:pPr>
            <w:r>
              <w:rPr>
                <w:rFonts w:ascii="Arial" w:cs="Arial" w:eastAsia="Arial" w:hAnsi="Arial"/>
                <w:sz w:val="14"/>
                <w:szCs w:val="14"/>
                <w:color w:val="auto"/>
              </w:rPr>
              <w:t>Kenneth L. Bedingfield</w:t>
            </w: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2/13/2018</w:t>
            </w:r>
          </w:p>
        </w:tc>
        <w:tc>
          <w:tcPr>
            <w:tcW w:w="1400" w:type="dxa"/>
            <w:vAlign w:val="bottom"/>
          </w:tcPr>
          <w:p>
            <w:pPr>
              <w:jc w:val="center"/>
              <w:spacing w:after="0"/>
              <w:rPr>
                <w:sz w:val="20"/>
                <w:szCs w:val="20"/>
                <w:color w:val="auto"/>
              </w:rPr>
            </w:pPr>
            <w:r>
              <w:rPr>
                <w:rFonts w:ascii="Arial" w:cs="Arial" w:eastAsia="Arial" w:hAnsi="Arial"/>
                <w:sz w:val="14"/>
                <w:szCs w:val="14"/>
                <w:color w:val="auto"/>
              </w:rPr>
              <w:t>3,161</w:t>
            </w:r>
          </w:p>
        </w:tc>
        <w:tc>
          <w:tcPr>
            <w:tcW w:w="1740" w:type="dxa"/>
            <w:vAlign w:val="bottom"/>
          </w:tcPr>
          <w:p>
            <w:pPr>
              <w:jc w:val="center"/>
              <w:spacing w:after="0"/>
              <w:rPr>
                <w:sz w:val="20"/>
                <w:szCs w:val="20"/>
                <w:color w:val="auto"/>
              </w:rPr>
            </w:pPr>
            <w:r>
              <w:rPr>
                <w:rFonts w:ascii="Arial" w:cs="Arial" w:eastAsia="Arial" w:hAnsi="Arial"/>
                <w:sz w:val="14"/>
                <w:szCs w:val="14"/>
                <w:color w:val="auto"/>
              </w:rPr>
              <w:t>1,087,289</w:t>
            </w:r>
          </w:p>
        </w:tc>
        <w:tc>
          <w:tcPr>
            <w:tcW w:w="1380" w:type="dxa"/>
            <w:vAlign w:val="bottom"/>
          </w:tcPr>
          <w:p>
            <w:pPr>
              <w:jc w:val="center"/>
              <w:spacing w:after="0"/>
              <w:rPr>
                <w:sz w:val="20"/>
                <w:szCs w:val="20"/>
                <w:color w:val="auto"/>
              </w:rPr>
            </w:pPr>
            <w:r>
              <w:rPr>
                <w:rFonts w:ascii="Arial" w:cs="Arial" w:eastAsia="Arial" w:hAnsi="Arial"/>
                <w:sz w:val="14"/>
                <w:szCs w:val="14"/>
                <w:color w:val="auto"/>
              </w:rPr>
              <w:t>6,961</w:t>
            </w:r>
          </w:p>
        </w:tc>
        <w:tc>
          <w:tcPr>
            <w:tcW w:w="1480" w:type="dxa"/>
            <w:vAlign w:val="bottom"/>
          </w:tcPr>
          <w:p>
            <w:pPr>
              <w:jc w:val="center"/>
              <w:ind w:left="91"/>
              <w:spacing w:after="0"/>
              <w:rPr>
                <w:sz w:val="20"/>
                <w:szCs w:val="20"/>
                <w:color w:val="auto"/>
              </w:rPr>
            </w:pPr>
            <w:r>
              <w:rPr>
                <w:rFonts w:ascii="Arial" w:cs="Arial" w:eastAsia="Arial" w:hAnsi="Arial"/>
                <w:sz w:val="14"/>
                <w:szCs w:val="14"/>
                <w:color w:val="auto"/>
              </w:rPr>
              <w:t>2,394,375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Pr>
          <w:p>
            <w:pPr>
              <w:spacing w:after="0"/>
              <w:rPr>
                <w:sz w:val="23"/>
                <w:szCs w:val="23"/>
                <w:color w:val="auto"/>
              </w:rPr>
            </w:pPr>
          </w:p>
        </w:tc>
        <w:tc>
          <w:tcPr>
            <w:tcW w:w="960" w:type="dxa"/>
            <w:vAlign w:val="bottom"/>
            <w:tcBorders>
              <w:bottom w:val="single" w:sz="8" w:color="CCD4DB"/>
            </w:tcBorders>
            <w:shd w:val="clear" w:color="auto" w:fill="CCD4DB"/>
          </w:tcPr>
          <w:p>
            <w:pPr>
              <w:jc w:val="center"/>
              <w:ind w:left="9"/>
              <w:spacing w:after="0"/>
              <w:rPr>
                <w:sz w:val="20"/>
                <w:szCs w:val="20"/>
                <w:color w:val="auto"/>
              </w:rPr>
            </w:pPr>
            <w:r>
              <w:rPr>
                <w:rFonts w:ascii="Arial" w:cs="Arial" w:eastAsia="Arial" w:hAnsi="Arial"/>
                <w:sz w:val="14"/>
                <w:szCs w:val="14"/>
                <w:color w:val="auto"/>
              </w:rPr>
              <w:t>2/17/2017</w:t>
            </w:r>
          </w:p>
        </w:tc>
        <w:tc>
          <w:tcPr>
            <w:tcW w:w="14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4,146</w:t>
            </w:r>
          </w:p>
        </w:tc>
        <w:tc>
          <w:tcPr>
            <w:tcW w:w="17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1,426,100</w:t>
            </w:r>
          </w:p>
        </w:tc>
        <w:tc>
          <w:tcPr>
            <w:tcW w:w="13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9,914</w:t>
            </w:r>
          </w:p>
        </w:tc>
        <w:tc>
          <w:tcPr>
            <w:tcW w:w="1480" w:type="dxa"/>
            <w:vAlign w:val="bottom"/>
            <w:tcBorders>
              <w:bottom w:val="single" w:sz="8" w:color="CCD4DB"/>
            </w:tcBorders>
            <w:shd w:val="clear" w:color="auto" w:fill="CCD4DB"/>
          </w:tcPr>
          <w:p>
            <w:pPr>
              <w:jc w:val="center"/>
              <w:ind w:left="91"/>
              <w:spacing w:after="0"/>
              <w:rPr>
                <w:sz w:val="20"/>
                <w:szCs w:val="20"/>
                <w:color w:val="auto"/>
              </w:rPr>
            </w:pPr>
            <w:r>
              <w:rPr>
                <w:rFonts w:ascii="Arial" w:cs="Arial" w:eastAsia="Arial" w:hAnsi="Arial"/>
                <w:sz w:val="14"/>
                <w:szCs w:val="14"/>
                <w:color w:val="auto"/>
              </w:rPr>
              <w:t>3,410,119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00249C"/>
            </w:tcBorders>
          </w:tcPr>
          <w:p>
            <w:pPr>
              <w:spacing w:after="0"/>
              <w:rPr>
                <w:sz w:val="19"/>
                <w:szCs w:val="19"/>
                <w:color w:val="auto"/>
              </w:rPr>
            </w:pPr>
          </w:p>
        </w:tc>
        <w:tc>
          <w:tcPr>
            <w:tcW w:w="960" w:type="dxa"/>
            <w:vAlign w:val="bottom"/>
            <w:tcBorders>
              <w:top w:val="single" w:sz="8" w:color="00249C"/>
            </w:tcBorders>
          </w:tcPr>
          <w:p>
            <w:pPr>
              <w:jc w:val="center"/>
              <w:ind w:left="9"/>
              <w:spacing w:after="0"/>
              <w:rPr>
                <w:sz w:val="20"/>
                <w:szCs w:val="20"/>
                <w:color w:val="auto"/>
              </w:rPr>
            </w:pPr>
            <w:r>
              <w:rPr>
                <w:rFonts w:ascii="Arial" w:cs="Arial" w:eastAsia="Arial" w:hAnsi="Arial"/>
                <w:sz w:val="14"/>
                <w:szCs w:val="14"/>
                <w:color w:val="auto"/>
              </w:rPr>
              <w:t>2/13/2019</w:t>
            </w:r>
          </w:p>
        </w:tc>
        <w:tc>
          <w:tcPr>
            <w:tcW w:w="140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3,830</w:t>
            </w:r>
          </w:p>
        </w:tc>
        <w:tc>
          <w:tcPr>
            <w:tcW w:w="174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1,317,405</w:t>
            </w:r>
          </w:p>
        </w:tc>
        <w:tc>
          <w:tcPr>
            <w:tcW w:w="138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9,038</w:t>
            </w:r>
          </w:p>
        </w:tc>
        <w:tc>
          <w:tcPr>
            <w:tcW w:w="1480" w:type="dxa"/>
            <w:vAlign w:val="bottom"/>
            <w:tcBorders>
              <w:top w:val="single" w:sz="8" w:color="00249C"/>
            </w:tcBorders>
          </w:tcPr>
          <w:p>
            <w:pPr>
              <w:jc w:val="center"/>
              <w:ind w:left="91"/>
              <w:spacing w:after="0"/>
              <w:rPr>
                <w:sz w:val="20"/>
                <w:szCs w:val="20"/>
                <w:color w:val="auto"/>
              </w:rPr>
            </w:pPr>
            <w:r>
              <w:rPr>
                <w:rFonts w:ascii="Arial" w:cs="Arial" w:eastAsia="Arial" w:hAnsi="Arial"/>
                <w:sz w:val="14"/>
                <w:szCs w:val="14"/>
                <w:color w:val="auto"/>
              </w:rPr>
              <w:t>3,108,801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vMerge w:val="restart"/>
          </w:tcPr>
          <w:p>
            <w:pPr>
              <w:ind w:left="40"/>
              <w:spacing w:after="0"/>
              <w:rPr>
                <w:sz w:val="20"/>
                <w:szCs w:val="20"/>
                <w:color w:val="auto"/>
              </w:rPr>
            </w:pPr>
            <w:r>
              <w:rPr>
                <w:rFonts w:ascii="Arial" w:cs="Arial" w:eastAsia="Arial" w:hAnsi="Arial"/>
                <w:sz w:val="14"/>
                <w:szCs w:val="14"/>
                <w:color w:val="auto"/>
              </w:rPr>
              <w:t>Mark A. Caylor</w:t>
            </w:r>
          </w:p>
        </w:tc>
        <w:tc>
          <w:tcPr>
            <w:tcW w:w="960" w:type="dxa"/>
            <w:vAlign w:val="bottom"/>
            <w:tcBorders>
              <w:bottom w:val="single" w:sz="8" w:color="CCD4DB"/>
            </w:tcBorders>
            <w:shd w:val="clear" w:color="auto" w:fill="CCD4DB"/>
          </w:tcPr>
          <w:p>
            <w:pPr>
              <w:jc w:val="center"/>
              <w:ind w:left="9"/>
              <w:spacing w:after="0"/>
              <w:rPr>
                <w:sz w:val="20"/>
                <w:szCs w:val="20"/>
                <w:color w:val="auto"/>
              </w:rPr>
            </w:pPr>
            <w:r>
              <w:rPr>
                <w:rFonts w:ascii="Arial" w:cs="Arial" w:eastAsia="Arial" w:hAnsi="Arial"/>
                <w:sz w:val="14"/>
                <w:szCs w:val="14"/>
                <w:color w:val="auto"/>
              </w:rPr>
              <w:t>12/4/2018</w:t>
            </w:r>
          </w:p>
        </w:tc>
        <w:tc>
          <w:tcPr>
            <w:tcW w:w="14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1,655</w:t>
            </w:r>
          </w:p>
        </w:tc>
        <w:tc>
          <w:tcPr>
            <w:tcW w:w="17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569,270</w:t>
            </w:r>
          </w:p>
        </w:tc>
        <w:tc>
          <w:tcPr>
            <w:tcW w:w="13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CCD4DB"/>
            </w:tcBorders>
            <w:shd w:val="clear" w:color="auto" w:fill="CCD4DB"/>
          </w:tcPr>
          <w:p>
            <w:pPr>
              <w:jc w:val="center"/>
              <w:ind w:left="71"/>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4280" w:type="dxa"/>
            <w:vAlign w:val="bottom"/>
            <w:vMerge w:val="continue"/>
          </w:tcPr>
          <w:p>
            <w:pPr>
              <w:spacing w:after="0"/>
              <w:rPr>
                <w:sz w:val="8"/>
                <w:szCs w:val="8"/>
                <w:color w:val="auto"/>
              </w:rPr>
            </w:pPr>
          </w:p>
        </w:tc>
        <w:tc>
          <w:tcPr>
            <w:tcW w:w="960" w:type="dxa"/>
            <w:vAlign w:val="bottom"/>
            <w:vMerge w:val="restart"/>
          </w:tcPr>
          <w:p>
            <w:pPr>
              <w:jc w:val="center"/>
              <w:ind w:left="9"/>
              <w:spacing w:after="0"/>
              <w:rPr>
                <w:sz w:val="20"/>
                <w:szCs w:val="20"/>
                <w:color w:val="auto"/>
              </w:rPr>
            </w:pPr>
            <w:r>
              <w:rPr>
                <w:rFonts w:ascii="Arial" w:cs="Arial" w:eastAsia="Arial" w:hAnsi="Arial"/>
                <w:sz w:val="14"/>
                <w:szCs w:val="14"/>
                <w:color w:val="auto"/>
              </w:rPr>
              <w:t>2/13/2018</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3,161</w:t>
            </w:r>
          </w:p>
        </w:tc>
        <w:tc>
          <w:tcPr>
            <w:tcW w:w="1740" w:type="dxa"/>
            <w:vAlign w:val="bottom"/>
            <w:vMerge w:val="restart"/>
          </w:tcPr>
          <w:p>
            <w:pPr>
              <w:jc w:val="center"/>
              <w:spacing w:after="0"/>
              <w:rPr>
                <w:sz w:val="20"/>
                <w:szCs w:val="20"/>
                <w:color w:val="auto"/>
              </w:rPr>
            </w:pPr>
            <w:r>
              <w:rPr>
                <w:rFonts w:ascii="Arial" w:cs="Arial" w:eastAsia="Arial" w:hAnsi="Arial"/>
                <w:sz w:val="14"/>
                <w:szCs w:val="14"/>
                <w:color w:val="auto"/>
              </w:rPr>
              <w:t>1,087,289</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6,961</w:t>
            </w:r>
          </w:p>
        </w:tc>
        <w:tc>
          <w:tcPr>
            <w:tcW w:w="1480" w:type="dxa"/>
            <w:vAlign w:val="bottom"/>
            <w:vMerge w:val="restart"/>
          </w:tcPr>
          <w:p>
            <w:pPr>
              <w:jc w:val="center"/>
              <w:ind w:left="91"/>
              <w:spacing w:after="0"/>
              <w:rPr>
                <w:sz w:val="20"/>
                <w:szCs w:val="20"/>
                <w:color w:val="auto"/>
              </w:rPr>
            </w:pPr>
            <w:r>
              <w:rPr>
                <w:rFonts w:ascii="Arial" w:cs="Arial" w:eastAsia="Arial" w:hAnsi="Arial"/>
                <w:sz w:val="14"/>
                <w:szCs w:val="14"/>
                <w:color w:val="auto"/>
              </w:rPr>
              <w:t>2,394,375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Pr>
          <w:p>
            <w:pPr>
              <w:spacing w:after="0"/>
              <w:rPr>
                <w:sz w:val="23"/>
                <w:szCs w:val="23"/>
                <w:color w:val="auto"/>
              </w:rPr>
            </w:pPr>
          </w:p>
        </w:tc>
        <w:tc>
          <w:tcPr>
            <w:tcW w:w="960" w:type="dxa"/>
            <w:vAlign w:val="bottom"/>
            <w:tcBorders>
              <w:bottom w:val="single" w:sz="8" w:color="CCD4DB"/>
            </w:tcBorders>
            <w:shd w:val="clear" w:color="auto" w:fill="CCD4DB"/>
          </w:tcPr>
          <w:p>
            <w:pPr>
              <w:jc w:val="center"/>
              <w:ind w:left="9"/>
              <w:spacing w:after="0"/>
              <w:rPr>
                <w:sz w:val="20"/>
                <w:szCs w:val="20"/>
                <w:color w:val="auto"/>
              </w:rPr>
            </w:pPr>
            <w:r>
              <w:rPr>
                <w:rFonts w:ascii="Arial" w:cs="Arial" w:eastAsia="Arial" w:hAnsi="Arial"/>
                <w:sz w:val="14"/>
                <w:szCs w:val="14"/>
                <w:color w:val="auto"/>
              </w:rPr>
              <w:t>2/17/2017</w:t>
            </w:r>
          </w:p>
        </w:tc>
        <w:tc>
          <w:tcPr>
            <w:tcW w:w="14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3,189</w:t>
            </w:r>
          </w:p>
        </w:tc>
        <w:tc>
          <w:tcPr>
            <w:tcW w:w="17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1,096,920</w:t>
            </w:r>
          </w:p>
        </w:tc>
        <w:tc>
          <w:tcPr>
            <w:tcW w:w="13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7,626</w:t>
            </w:r>
          </w:p>
        </w:tc>
        <w:tc>
          <w:tcPr>
            <w:tcW w:w="1480" w:type="dxa"/>
            <w:vAlign w:val="bottom"/>
            <w:tcBorders>
              <w:bottom w:val="single" w:sz="8" w:color="CCD4DB"/>
            </w:tcBorders>
            <w:shd w:val="clear" w:color="auto" w:fill="CCD4DB"/>
          </w:tcPr>
          <w:p>
            <w:pPr>
              <w:jc w:val="center"/>
              <w:ind w:left="91"/>
              <w:spacing w:after="0"/>
              <w:rPr>
                <w:sz w:val="20"/>
                <w:szCs w:val="20"/>
                <w:color w:val="auto"/>
              </w:rPr>
            </w:pPr>
            <w:r>
              <w:rPr>
                <w:rFonts w:ascii="Arial" w:cs="Arial" w:eastAsia="Arial" w:hAnsi="Arial"/>
                <w:sz w:val="14"/>
                <w:szCs w:val="14"/>
                <w:color w:val="auto"/>
              </w:rPr>
              <w:t>2,623,115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280" w:type="dxa"/>
            <w:vAlign w:val="bottom"/>
            <w:tcBorders>
              <w:top w:val="single" w:sz="8" w:color="00249C"/>
            </w:tcBorders>
          </w:tcPr>
          <w:p>
            <w:pPr>
              <w:spacing w:after="0"/>
              <w:rPr>
                <w:sz w:val="19"/>
                <w:szCs w:val="19"/>
                <w:color w:val="auto"/>
              </w:rPr>
            </w:pPr>
          </w:p>
        </w:tc>
        <w:tc>
          <w:tcPr>
            <w:tcW w:w="960" w:type="dxa"/>
            <w:vAlign w:val="bottom"/>
            <w:tcBorders>
              <w:top w:val="single" w:sz="8" w:color="00249C"/>
            </w:tcBorders>
          </w:tcPr>
          <w:p>
            <w:pPr>
              <w:jc w:val="center"/>
              <w:ind w:left="9"/>
              <w:spacing w:after="0"/>
              <w:rPr>
                <w:sz w:val="20"/>
                <w:szCs w:val="20"/>
                <w:color w:val="auto"/>
              </w:rPr>
            </w:pPr>
            <w:r>
              <w:rPr>
                <w:rFonts w:ascii="Arial" w:cs="Arial" w:eastAsia="Arial" w:hAnsi="Arial"/>
                <w:sz w:val="14"/>
                <w:szCs w:val="14"/>
                <w:color w:val="auto"/>
              </w:rPr>
              <w:t>2/13/2019</w:t>
            </w:r>
          </w:p>
        </w:tc>
        <w:tc>
          <w:tcPr>
            <w:tcW w:w="140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3,283</w:t>
            </w:r>
          </w:p>
        </w:tc>
        <w:tc>
          <w:tcPr>
            <w:tcW w:w="174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1,129,254</w:t>
            </w:r>
          </w:p>
        </w:tc>
        <w:tc>
          <w:tcPr>
            <w:tcW w:w="1380" w:type="dxa"/>
            <w:vAlign w:val="bottom"/>
            <w:tcBorders>
              <w:top w:val="single" w:sz="8" w:color="00249C"/>
            </w:tcBorders>
          </w:tcPr>
          <w:p>
            <w:pPr>
              <w:jc w:val="center"/>
              <w:spacing w:after="0"/>
              <w:rPr>
                <w:sz w:val="20"/>
                <w:szCs w:val="20"/>
                <w:color w:val="auto"/>
              </w:rPr>
            </w:pPr>
            <w:r>
              <w:rPr>
                <w:rFonts w:ascii="Arial" w:cs="Arial" w:eastAsia="Arial" w:hAnsi="Arial"/>
                <w:sz w:val="14"/>
                <w:szCs w:val="14"/>
                <w:color w:val="auto"/>
              </w:rPr>
              <w:t>7,748</w:t>
            </w:r>
          </w:p>
        </w:tc>
        <w:tc>
          <w:tcPr>
            <w:tcW w:w="1480" w:type="dxa"/>
            <w:vAlign w:val="bottom"/>
            <w:tcBorders>
              <w:top w:val="single" w:sz="8" w:color="00249C"/>
            </w:tcBorders>
          </w:tcPr>
          <w:p>
            <w:pPr>
              <w:jc w:val="center"/>
              <w:ind w:left="91"/>
              <w:spacing w:after="0"/>
              <w:rPr>
                <w:sz w:val="20"/>
                <w:szCs w:val="20"/>
                <w:color w:val="auto"/>
              </w:rPr>
            </w:pPr>
            <w:r>
              <w:rPr>
                <w:rFonts w:ascii="Arial" w:cs="Arial" w:eastAsia="Arial" w:hAnsi="Arial"/>
                <w:sz w:val="14"/>
                <w:szCs w:val="14"/>
                <w:color w:val="auto"/>
              </w:rPr>
              <w:t>2,665,080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Pr>
          <w:p>
            <w:pPr>
              <w:ind w:left="40"/>
              <w:spacing w:after="0"/>
              <w:rPr>
                <w:sz w:val="20"/>
                <w:szCs w:val="20"/>
                <w:color w:val="auto"/>
              </w:rPr>
            </w:pPr>
            <w:r>
              <w:rPr>
                <w:rFonts w:ascii="Arial" w:cs="Arial" w:eastAsia="Arial" w:hAnsi="Arial"/>
                <w:sz w:val="14"/>
                <w:szCs w:val="14"/>
                <w:color w:val="auto"/>
              </w:rPr>
              <w:t>Christopher T. Jones</w:t>
            </w:r>
          </w:p>
        </w:tc>
        <w:tc>
          <w:tcPr>
            <w:tcW w:w="960" w:type="dxa"/>
            <w:vAlign w:val="bottom"/>
            <w:tcBorders>
              <w:bottom w:val="single" w:sz="8" w:color="CCD4DB"/>
            </w:tcBorders>
            <w:shd w:val="clear" w:color="auto" w:fill="CCD4DB"/>
          </w:tcPr>
          <w:p>
            <w:pPr>
              <w:jc w:val="center"/>
              <w:ind w:left="9"/>
              <w:spacing w:after="0"/>
              <w:rPr>
                <w:sz w:val="20"/>
                <w:szCs w:val="20"/>
                <w:color w:val="auto"/>
              </w:rPr>
            </w:pPr>
            <w:r>
              <w:rPr>
                <w:rFonts w:ascii="Arial" w:cs="Arial" w:eastAsia="Arial" w:hAnsi="Arial"/>
                <w:sz w:val="14"/>
                <w:szCs w:val="14"/>
                <w:color w:val="auto"/>
              </w:rPr>
              <w:t>2/13/2018</w:t>
            </w:r>
          </w:p>
        </w:tc>
        <w:tc>
          <w:tcPr>
            <w:tcW w:w="14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2,710</w:t>
            </w:r>
          </w:p>
        </w:tc>
        <w:tc>
          <w:tcPr>
            <w:tcW w:w="17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932,159</w:t>
            </w:r>
          </w:p>
        </w:tc>
        <w:tc>
          <w:tcPr>
            <w:tcW w:w="13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5,966</w:t>
            </w:r>
          </w:p>
        </w:tc>
        <w:tc>
          <w:tcPr>
            <w:tcW w:w="1480" w:type="dxa"/>
            <w:vAlign w:val="bottom"/>
            <w:tcBorders>
              <w:bottom w:val="single" w:sz="8" w:color="CCD4DB"/>
            </w:tcBorders>
            <w:shd w:val="clear" w:color="auto" w:fill="CCD4DB"/>
          </w:tcPr>
          <w:p>
            <w:pPr>
              <w:jc w:val="center"/>
              <w:ind w:left="91"/>
              <w:spacing w:after="0"/>
              <w:rPr>
                <w:sz w:val="20"/>
                <w:szCs w:val="20"/>
                <w:color w:val="auto"/>
              </w:rPr>
            </w:pPr>
            <w:r>
              <w:rPr>
                <w:rFonts w:ascii="Arial" w:cs="Arial" w:eastAsia="Arial" w:hAnsi="Arial"/>
                <w:sz w:val="14"/>
                <w:szCs w:val="14"/>
                <w:color w:val="auto"/>
              </w:rPr>
              <w:t>2,052,125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280" w:type="dxa"/>
            <w:vAlign w:val="bottom"/>
          </w:tcPr>
          <w:p>
            <w:pPr>
              <w:spacing w:after="0"/>
              <w:rPr>
                <w:sz w:val="20"/>
                <w:szCs w:val="20"/>
                <w:color w:val="auto"/>
              </w:rPr>
            </w:pP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2/17/2017</w:t>
            </w:r>
          </w:p>
        </w:tc>
        <w:tc>
          <w:tcPr>
            <w:tcW w:w="1400" w:type="dxa"/>
            <w:vAlign w:val="bottom"/>
          </w:tcPr>
          <w:p>
            <w:pPr>
              <w:jc w:val="center"/>
              <w:spacing w:after="0"/>
              <w:rPr>
                <w:sz w:val="20"/>
                <w:szCs w:val="20"/>
                <w:color w:val="auto"/>
              </w:rPr>
            </w:pPr>
            <w:r>
              <w:rPr>
                <w:rFonts w:ascii="Arial" w:cs="Arial" w:eastAsia="Arial" w:hAnsi="Arial"/>
                <w:sz w:val="14"/>
                <w:szCs w:val="14"/>
                <w:color w:val="auto"/>
              </w:rPr>
              <w:t>3,827</w:t>
            </w:r>
          </w:p>
        </w:tc>
        <w:tc>
          <w:tcPr>
            <w:tcW w:w="1740" w:type="dxa"/>
            <w:vAlign w:val="bottom"/>
          </w:tcPr>
          <w:p>
            <w:pPr>
              <w:jc w:val="center"/>
              <w:spacing w:after="0"/>
              <w:rPr>
                <w:sz w:val="20"/>
                <w:szCs w:val="20"/>
                <w:color w:val="auto"/>
              </w:rPr>
            </w:pPr>
            <w:r>
              <w:rPr>
                <w:rFonts w:ascii="Arial" w:cs="Arial" w:eastAsia="Arial" w:hAnsi="Arial"/>
                <w:sz w:val="14"/>
                <w:szCs w:val="14"/>
                <w:color w:val="auto"/>
              </w:rPr>
              <w:t>1,316,373</w:t>
            </w:r>
          </w:p>
        </w:tc>
        <w:tc>
          <w:tcPr>
            <w:tcW w:w="1380" w:type="dxa"/>
            <w:vAlign w:val="bottom"/>
          </w:tcPr>
          <w:p>
            <w:pPr>
              <w:jc w:val="center"/>
              <w:spacing w:after="0"/>
              <w:rPr>
                <w:sz w:val="20"/>
                <w:szCs w:val="20"/>
                <w:color w:val="auto"/>
              </w:rPr>
            </w:pPr>
            <w:r>
              <w:rPr>
                <w:rFonts w:ascii="Arial" w:cs="Arial" w:eastAsia="Arial" w:hAnsi="Arial"/>
                <w:sz w:val="14"/>
                <w:szCs w:val="14"/>
                <w:color w:val="auto"/>
              </w:rPr>
              <w:t>9,151</w:t>
            </w:r>
          </w:p>
        </w:tc>
        <w:tc>
          <w:tcPr>
            <w:tcW w:w="1480" w:type="dxa"/>
            <w:vAlign w:val="bottom"/>
          </w:tcPr>
          <w:p>
            <w:pPr>
              <w:jc w:val="center"/>
              <w:ind w:left="91"/>
              <w:spacing w:after="0"/>
              <w:rPr>
                <w:sz w:val="20"/>
                <w:szCs w:val="20"/>
                <w:color w:val="auto"/>
              </w:rPr>
            </w:pPr>
            <w:r>
              <w:rPr>
                <w:rFonts w:ascii="Arial" w:cs="Arial" w:eastAsia="Arial" w:hAnsi="Arial"/>
                <w:sz w:val="14"/>
                <w:szCs w:val="14"/>
                <w:color w:val="auto"/>
              </w:rPr>
              <w:t>3,147,669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280" w:type="dxa"/>
            <w:vAlign w:val="bottom"/>
            <w:tcBorders>
              <w:bottom w:val="single" w:sz="8" w:color="00249C"/>
            </w:tcBorders>
          </w:tcPr>
          <w:p>
            <w:pPr>
              <w:spacing w:after="0"/>
              <w:rPr>
                <w:sz w:val="3"/>
                <w:szCs w:val="3"/>
                <w:color w:val="auto"/>
              </w:rPr>
            </w:pPr>
          </w:p>
        </w:tc>
        <w:tc>
          <w:tcPr>
            <w:tcW w:w="960" w:type="dxa"/>
            <w:vAlign w:val="bottom"/>
            <w:tcBorders>
              <w:bottom w:val="single" w:sz="8" w:color="00249C"/>
            </w:tcBorders>
          </w:tcPr>
          <w:p>
            <w:pPr>
              <w:spacing w:after="0"/>
              <w:rPr>
                <w:sz w:val="3"/>
                <w:szCs w:val="3"/>
                <w:color w:val="auto"/>
              </w:rPr>
            </w:pPr>
          </w:p>
        </w:tc>
        <w:tc>
          <w:tcPr>
            <w:tcW w:w="1400" w:type="dxa"/>
            <w:vAlign w:val="bottom"/>
            <w:tcBorders>
              <w:bottom w:val="single" w:sz="8" w:color="00249C"/>
            </w:tcBorders>
          </w:tcPr>
          <w:p>
            <w:pPr>
              <w:spacing w:after="0"/>
              <w:rPr>
                <w:sz w:val="3"/>
                <w:szCs w:val="3"/>
                <w:color w:val="auto"/>
              </w:rPr>
            </w:pPr>
          </w:p>
        </w:tc>
        <w:tc>
          <w:tcPr>
            <w:tcW w:w="1740" w:type="dxa"/>
            <w:vAlign w:val="bottom"/>
            <w:tcBorders>
              <w:bottom w:val="single" w:sz="8" w:color="00249C"/>
            </w:tcBorders>
          </w:tcPr>
          <w:p>
            <w:pPr>
              <w:spacing w:after="0"/>
              <w:rPr>
                <w:sz w:val="3"/>
                <w:szCs w:val="3"/>
                <w:color w:val="auto"/>
              </w:rPr>
            </w:pPr>
          </w:p>
        </w:tc>
        <w:tc>
          <w:tcPr>
            <w:tcW w:w="1380" w:type="dxa"/>
            <w:vAlign w:val="bottom"/>
            <w:tcBorders>
              <w:bottom w:val="single" w:sz="8" w:color="00249C"/>
            </w:tcBorders>
          </w:tcPr>
          <w:p>
            <w:pPr>
              <w:spacing w:after="0"/>
              <w:rPr>
                <w:sz w:val="3"/>
                <w:szCs w:val="3"/>
                <w:color w:val="auto"/>
              </w:rPr>
            </w:pPr>
          </w:p>
        </w:tc>
        <w:tc>
          <w:tcPr>
            <w:tcW w:w="1480" w:type="dxa"/>
            <w:vAlign w:val="bottom"/>
            <w:tcBorders>
              <w:bottom w:val="single" w:sz="8" w:color="00249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960" w:type="dxa"/>
            <w:vAlign w:val="bottom"/>
            <w:tcBorders>
              <w:bottom w:val="single" w:sz="8" w:color="CCD4DB"/>
            </w:tcBorders>
            <w:shd w:val="clear" w:color="auto" w:fill="CCD4DB"/>
          </w:tcPr>
          <w:p>
            <w:pPr>
              <w:jc w:val="center"/>
              <w:ind w:left="9"/>
              <w:spacing w:after="0"/>
              <w:rPr>
                <w:sz w:val="20"/>
                <w:szCs w:val="20"/>
                <w:color w:val="auto"/>
              </w:rPr>
            </w:pPr>
            <w:r>
              <w:rPr>
                <w:rFonts w:ascii="Arial" w:cs="Arial" w:eastAsia="Arial" w:hAnsi="Arial"/>
                <w:sz w:val="14"/>
                <w:szCs w:val="14"/>
                <w:color w:val="auto"/>
              </w:rPr>
              <w:t>2/13/2019</w:t>
            </w:r>
          </w:p>
        </w:tc>
        <w:tc>
          <w:tcPr>
            <w:tcW w:w="14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3,830</w:t>
            </w:r>
          </w:p>
        </w:tc>
        <w:tc>
          <w:tcPr>
            <w:tcW w:w="17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1,317,405</w:t>
            </w:r>
          </w:p>
        </w:tc>
        <w:tc>
          <w:tcPr>
            <w:tcW w:w="13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9,038</w:t>
            </w:r>
          </w:p>
        </w:tc>
        <w:tc>
          <w:tcPr>
            <w:tcW w:w="1480" w:type="dxa"/>
            <w:vAlign w:val="bottom"/>
            <w:tcBorders>
              <w:bottom w:val="single" w:sz="8" w:color="CCD4DB"/>
            </w:tcBorders>
            <w:shd w:val="clear" w:color="auto" w:fill="CCD4DB"/>
          </w:tcPr>
          <w:p>
            <w:pPr>
              <w:jc w:val="center"/>
              <w:ind w:left="91"/>
              <w:spacing w:after="0"/>
              <w:rPr>
                <w:sz w:val="20"/>
                <w:szCs w:val="20"/>
                <w:color w:val="auto"/>
              </w:rPr>
            </w:pPr>
            <w:r>
              <w:rPr>
                <w:rFonts w:ascii="Arial" w:cs="Arial" w:eastAsia="Arial" w:hAnsi="Arial"/>
                <w:sz w:val="14"/>
                <w:szCs w:val="14"/>
                <w:color w:val="auto"/>
              </w:rPr>
              <w:t>3,108,801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280" w:type="dxa"/>
            <w:vAlign w:val="bottom"/>
            <w:vMerge w:val="restart"/>
          </w:tcPr>
          <w:p>
            <w:pPr>
              <w:ind w:left="40"/>
              <w:spacing w:after="0"/>
              <w:rPr>
                <w:sz w:val="20"/>
                <w:szCs w:val="20"/>
                <w:color w:val="auto"/>
              </w:rPr>
            </w:pPr>
            <w:r>
              <w:rPr>
                <w:rFonts w:ascii="Arial" w:cs="Arial" w:eastAsia="Arial" w:hAnsi="Arial"/>
                <w:sz w:val="14"/>
                <w:szCs w:val="14"/>
                <w:color w:val="auto"/>
              </w:rPr>
              <w:t>Janis G. Pamiljans</w:t>
            </w: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2/13/2018</w:t>
            </w:r>
          </w:p>
        </w:tc>
        <w:tc>
          <w:tcPr>
            <w:tcW w:w="1400" w:type="dxa"/>
            <w:vAlign w:val="bottom"/>
          </w:tcPr>
          <w:p>
            <w:pPr>
              <w:jc w:val="center"/>
              <w:spacing w:after="0"/>
              <w:rPr>
                <w:sz w:val="20"/>
                <w:szCs w:val="20"/>
                <w:color w:val="auto"/>
              </w:rPr>
            </w:pPr>
            <w:r>
              <w:rPr>
                <w:rFonts w:ascii="Arial" w:cs="Arial" w:eastAsia="Arial" w:hAnsi="Arial"/>
                <w:sz w:val="14"/>
                <w:szCs w:val="14"/>
                <w:color w:val="auto"/>
              </w:rPr>
              <w:t>3,161</w:t>
            </w:r>
          </w:p>
        </w:tc>
        <w:tc>
          <w:tcPr>
            <w:tcW w:w="1740" w:type="dxa"/>
            <w:vAlign w:val="bottom"/>
          </w:tcPr>
          <w:p>
            <w:pPr>
              <w:jc w:val="center"/>
              <w:spacing w:after="0"/>
              <w:rPr>
                <w:sz w:val="20"/>
                <w:szCs w:val="20"/>
                <w:color w:val="auto"/>
              </w:rPr>
            </w:pPr>
            <w:r>
              <w:rPr>
                <w:rFonts w:ascii="Arial" w:cs="Arial" w:eastAsia="Arial" w:hAnsi="Arial"/>
                <w:sz w:val="14"/>
                <w:szCs w:val="14"/>
                <w:color w:val="auto"/>
              </w:rPr>
              <w:t>1,087,289</w:t>
            </w:r>
          </w:p>
        </w:tc>
        <w:tc>
          <w:tcPr>
            <w:tcW w:w="1380" w:type="dxa"/>
            <w:vAlign w:val="bottom"/>
          </w:tcPr>
          <w:p>
            <w:pPr>
              <w:jc w:val="center"/>
              <w:spacing w:after="0"/>
              <w:rPr>
                <w:sz w:val="20"/>
                <w:szCs w:val="20"/>
                <w:color w:val="auto"/>
              </w:rPr>
            </w:pPr>
            <w:r>
              <w:rPr>
                <w:rFonts w:ascii="Arial" w:cs="Arial" w:eastAsia="Arial" w:hAnsi="Arial"/>
                <w:sz w:val="14"/>
                <w:szCs w:val="14"/>
                <w:color w:val="auto"/>
              </w:rPr>
              <w:t>6,961</w:t>
            </w:r>
          </w:p>
        </w:tc>
        <w:tc>
          <w:tcPr>
            <w:tcW w:w="1480" w:type="dxa"/>
            <w:vAlign w:val="bottom"/>
          </w:tcPr>
          <w:p>
            <w:pPr>
              <w:jc w:val="center"/>
              <w:ind w:left="91"/>
              <w:spacing w:after="0"/>
              <w:rPr>
                <w:sz w:val="20"/>
                <w:szCs w:val="20"/>
                <w:color w:val="auto"/>
              </w:rPr>
            </w:pPr>
            <w:r>
              <w:rPr>
                <w:rFonts w:ascii="Arial" w:cs="Arial" w:eastAsia="Arial" w:hAnsi="Arial"/>
                <w:sz w:val="14"/>
                <w:szCs w:val="14"/>
                <w:color w:val="auto"/>
              </w:rPr>
              <w:t>2,394,375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2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4280" w:type="dxa"/>
            <w:vAlign w:val="bottom"/>
            <w:vMerge w:val="continue"/>
          </w:tcPr>
          <w:p>
            <w:pPr>
              <w:spacing w:after="0"/>
              <w:rPr>
                <w:sz w:val="8"/>
                <w:szCs w:val="8"/>
                <w:color w:val="auto"/>
              </w:rPr>
            </w:pPr>
          </w:p>
        </w:tc>
        <w:tc>
          <w:tcPr>
            <w:tcW w:w="960" w:type="dxa"/>
            <w:vAlign w:val="bottom"/>
            <w:vMerge w:val="restart"/>
            <w:shd w:val="clear" w:color="auto" w:fill="CCD4DB"/>
          </w:tcPr>
          <w:p>
            <w:pPr>
              <w:jc w:val="center"/>
              <w:ind w:left="9"/>
              <w:spacing w:after="0"/>
              <w:rPr>
                <w:sz w:val="20"/>
                <w:szCs w:val="20"/>
                <w:color w:val="auto"/>
              </w:rPr>
            </w:pPr>
            <w:r>
              <w:rPr>
                <w:rFonts w:ascii="Arial" w:cs="Arial" w:eastAsia="Arial" w:hAnsi="Arial"/>
                <w:sz w:val="14"/>
                <w:szCs w:val="14"/>
                <w:color w:val="auto"/>
              </w:rPr>
              <w:t>4/1/2017</w:t>
            </w:r>
          </w:p>
        </w:tc>
        <w:tc>
          <w:tcPr>
            <w:tcW w:w="14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w:t>
            </w:r>
          </w:p>
        </w:tc>
        <w:tc>
          <w:tcPr>
            <w:tcW w:w="174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9,395</w:t>
            </w:r>
          </w:p>
        </w:tc>
        <w:tc>
          <w:tcPr>
            <w:tcW w:w="1480" w:type="dxa"/>
            <w:vAlign w:val="bottom"/>
            <w:vMerge w:val="restart"/>
            <w:shd w:val="clear" w:color="auto" w:fill="CCD4DB"/>
          </w:tcPr>
          <w:p>
            <w:pPr>
              <w:jc w:val="center"/>
              <w:ind w:left="91"/>
              <w:spacing w:after="0"/>
              <w:rPr>
                <w:sz w:val="20"/>
                <w:szCs w:val="20"/>
                <w:color w:val="auto"/>
              </w:rPr>
            </w:pPr>
            <w:r>
              <w:rPr>
                <w:rFonts w:ascii="Arial" w:cs="Arial" w:eastAsia="Arial" w:hAnsi="Arial"/>
                <w:sz w:val="14"/>
                <w:szCs w:val="14"/>
                <w:color w:val="auto"/>
              </w:rPr>
              <w:t>3,231,598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rPr>
                <w:sz w:val="15"/>
                <w:szCs w:val="15"/>
                <w:color w:val="auto"/>
              </w:rPr>
            </w:pPr>
          </w:p>
        </w:tc>
        <w:tc>
          <w:tcPr>
            <w:tcW w:w="960" w:type="dxa"/>
            <w:vAlign w:val="bottom"/>
            <w:vMerge w:val="continue"/>
            <w:shd w:val="clear" w:color="auto" w:fill="CCD4DB"/>
          </w:tcPr>
          <w:p>
            <w:pPr>
              <w:spacing w:after="0"/>
              <w:rPr>
                <w:sz w:val="15"/>
                <w:szCs w:val="15"/>
                <w:color w:val="auto"/>
              </w:rPr>
            </w:pPr>
          </w:p>
        </w:tc>
        <w:tc>
          <w:tcPr>
            <w:tcW w:w="1400" w:type="dxa"/>
            <w:vAlign w:val="bottom"/>
            <w:vMerge w:val="continue"/>
            <w:shd w:val="clear" w:color="auto" w:fill="CCD4DB"/>
          </w:tcPr>
          <w:p>
            <w:pPr>
              <w:spacing w:after="0"/>
              <w:rPr>
                <w:sz w:val="15"/>
                <w:szCs w:val="15"/>
                <w:color w:val="auto"/>
              </w:rPr>
            </w:pPr>
          </w:p>
        </w:tc>
        <w:tc>
          <w:tcPr>
            <w:tcW w:w="1740" w:type="dxa"/>
            <w:vAlign w:val="bottom"/>
            <w:vMerge w:val="continue"/>
            <w:shd w:val="clear" w:color="auto" w:fill="CCD4DB"/>
          </w:tcPr>
          <w:p>
            <w:pPr>
              <w:spacing w:after="0"/>
              <w:rPr>
                <w:sz w:val="15"/>
                <w:szCs w:val="15"/>
                <w:color w:val="auto"/>
              </w:rPr>
            </w:pPr>
          </w:p>
        </w:tc>
        <w:tc>
          <w:tcPr>
            <w:tcW w:w="1380" w:type="dxa"/>
            <w:vAlign w:val="bottom"/>
            <w:vMerge w:val="continue"/>
            <w:shd w:val="clear" w:color="auto" w:fill="CCD4DB"/>
          </w:tcPr>
          <w:p>
            <w:pPr>
              <w:spacing w:after="0"/>
              <w:rPr>
                <w:sz w:val="15"/>
                <w:szCs w:val="15"/>
                <w:color w:val="auto"/>
              </w:rPr>
            </w:pPr>
          </w:p>
        </w:tc>
        <w:tc>
          <w:tcPr>
            <w:tcW w:w="1480" w:type="dxa"/>
            <w:vAlign w:val="bottom"/>
            <w:vMerge w:val="continue"/>
            <w:shd w:val="clear" w:color="auto" w:fill="CCD4D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00249C"/>
            </w:tcBorders>
          </w:tcPr>
          <w:p>
            <w:pPr>
              <w:spacing w:after="0"/>
              <w:rPr>
                <w:sz w:val="22"/>
                <w:szCs w:val="22"/>
                <w:color w:val="auto"/>
              </w:rPr>
            </w:pPr>
          </w:p>
        </w:tc>
        <w:tc>
          <w:tcPr>
            <w:tcW w:w="960" w:type="dxa"/>
            <w:vAlign w:val="bottom"/>
            <w:tcBorders>
              <w:bottom w:val="single" w:sz="8" w:color="00249C"/>
            </w:tcBorders>
          </w:tcPr>
          <w:p>
            <w:pPr>
              <w:jc w:val="center"/>
              <w:ind w:left="9"/>
              <w:spacing w:after="0"/>
              <w:rPr>
                <w:sz w:val="20"/>
                <w:szCs w:val="20"/>
                <w:color w:val="auto"/>
              </w:rPr>
            </w:pPr>
            <w:r>
              <w:rPr>
                <w:rFonts w:ascii="Arial" w:cs="Arial" w:eastAsia="Arial" w:hAnsi="Arial"/>
                <w:sz w:val="14"/>
                <w:szCs w:val="14"/>
                <w:color w:val="auto"/>
              </w:rPr>
              <w:t>2/17/2017</w:t>
            </w:r>
          </w:p>
        </w:tc>
        <w:tc>
          <w:tcPr>
            <w:tcW w:w="140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765</w:t>
            </w:r>
          </w:p>
        </w:tc>
        <w:tc>
          <w:tcPr>
            <w:tcW w:w="174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263,137</w:t>
            </w:r>
          </w:p>
        </w:tc>
        <w:tc>
          <w:tcPr>
            <w:tcW w:w="138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1,786</w:t>
            </w:r>
          </w:p>
        </w:tc>
        <w:tc>
          <w:tcPr>
            <w:tcW w:w="1480" w:type="dxa"/>
            <w:vAlign w:val="bottom"/>
            <w:tcBorders>
              <w:bottom w:val="single" w:sz="8" w:color="00249C"/>
            </w:tcBorders>
          </w:tcPr>
          <w:p>
            <w:pPr>
              <w:jc w:val="center"/>
              <w:ind w:left="91"/>
              <w:spacing w:after="0"/>
              <w:rPr>
                <w:sz w:val="20"/>
                <w:szCs w:val="20"/>
                <w:color w:val="auto"/>
              </w:rPr>
            </w:pPr>
            <w:r>
              <w:rPr>
                <w:rFonts w:ascii="Arial" w:cs="Arial" w:eastAsia="Arial" w:hAnsi="Arial"/>
                <w:sz w:val="14"/>
                <w:szCs w:val="14"/>
                <w:color w:val="auto"/>
              </w:rPr>
              <w:t>614,330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hanging="412"/>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Outstanding RSRs generally vest three years from date of grant.</w:t>
      </w:r>
    </w:p>
    <w:p>
      <w:pPr>
        <w:spacing w:after="0" w:line="76" w:lineRule="exact"/>
        <w:rPr>
          <w:rFonts w:ascii="Arial" w:cs="Arial" w:eastAsia="Arial" w:hAnsi="Arial"/>
          <w:sz w:val="18"/>
          <w:szCs w:val="18"/>
          <w:color w:val="auto"/>
        </w:rPr>
      </w:pPr>
    </w:p>
    <w:p>
      <w:pPr>
        <w:ind w:left="420" w:hanging="412"/>
        <w:spacing w:after="0"/>
        <w:tabs>
          <w:tab w:leader="none" w:pos="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value listed is based on the closing price of the Company's stock of $343.97 on December 31, 2019, the last trading day of the year.</w:t>
      </w:r>
    </w:p>
    <w:p>
      <w:pPr>
        <w:spacing w:after="0" w:line="101" w:lineRule="exact"/>
        <w:rPr>
          <w:rFonts w:ascii="Arial" w:cs="Arial" w:eastAsia="Arial" w:hAnsi="Arial"/>
          <w:sz w:val="17"/>
          <w:szCs w:val="17"/>
          <w:color w:val="auto"/>
        </w:rPr>
      </w:pPr>
    </w:p>
    <w:p>
      <w:pPr>
        <w:ind w:left="420" w:right="120" w:hanging="412"/>
        <w:spacing w:after="0" w:line="257"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Outstanding RPSRs granted in 2019, 2018 and 2017 generally vest based on performance for the three-year performance period ending on December 31, 2021, 2020 and 2019, respectively. All RPSR grants are subject to the Compensation Committee's approval of the performance-based earnout percentage applicable to the grant following the end of the performance period. Amounts presented assume target level performance. The 2017 RPSRs were distributed in February 2020 upon the Compensation Committee's approval. The actual number of shares distributed to the NEOs in February 2020 as a result of the vesting RPSRs was as follows:</w:t>
      </w:r>
    </w:p>
    <w:p>
      <w:pPr>
        <w:spacing w:after="0" w:line="121"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3440" w:type="dxa"/>
            <w:vAlign w:val="bottom"/>
            <w:shd w:val="clear" w:color="auto" w:fill="00249C"/>
          </w:tcPr>
          <w:p>
            <w:pPr>
              <w:spacing w:after="0"/>
              <w:rPr>
                <w:sz w:val="16"/>
                <w:szCs w:val="16"/>
                <w:color w:val="auto"/>
              </w:rPr>
            </w:pPr>
          </w:p>
        </w:tc>
        <w:tc>
          <w:tcPr>
            <w:tcW w:w="3460" w:type="dxa"/>
            <w:vAlign w:val="bottom"/>
            <w:shd w:val="clear" w:color="auto" w:fill="00249C"/>
          </w:tcPr>
          <w:p>
            <w:pPr>
              <w:ind w:left="840"/>
              <w:spacing w:after="0"/>
              <w:rPr>
                <w:sz w:val="20"/>
                <w:szCs w:val="20"/>
                <w:color w:val="auto"/>
              </w:rPr>
            </w:pPr>
            <w:r>
              <w:rPr>
                <w:rFonts w:ascii="Arial" w:cs="Arial" w:eastAsia="Arial" w:hAnsi="Arial"/>
                <w:sz w:val="14"/>
                <w:szCs w:val="14"/>
                <w:b w:val="1"/>
                <w:bCs w:val="1"/>
                <w:color w:val="FFFFFF"/>
              </w:rPr>
              <w:t>Actual Shares Distributed</w:t>
            </w:r>
          </w:p>
        </w:tc>
        <w:tc>
          <w:tcPr>
            <w:tcW w:w="20" w:type="dxa"/>
            <w:vAlign w:val="bottom"/>
            <w:shd w:val="clear" w:color="auto" w:fill="00249C"/>
          </w:tcPr>
          <w:p>
            <w:pPr>
              <w:spacing w:after="0"/>
              <w:rPr>
                <w:sz w:val="16"/>
                <w:szCs w:val="16"/>
                <w:color w:val="auto"/>
              </w:rPr>
            </w:pPr>
          </w:p>
        </w:tc>
      </w:tr>
      <w:tr>
        <w:trPr>
          <w:trHeight w:val="196"/>
        </w:trPr>
        <w:tc>
          <w:tcPr>
            <w:tcW w:w="344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346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249C"/>
            </w:tcBorders>
            <w:shd w:val="clear" w:color="auto" w:fill="00249C"/>
          </w:tcPr>
          <w:p>
            <w:pPr>
              <w:spacing w:after="0"/>
              <w:rPr>
                <w:sz w:val="17"/>
                <w:szCs w:val="17"/>
                <w:color w:val="auto"/>
              </w:rPr>
            </w:pPr>
          </w:p>
        </w:tc>
      </w:tr>
      <w:tr>
        <w:trPr>
          <w:trHeight w:val="196"/>
        </w:trPr>
        <w:tc>
          <w:tcPr>
            <w:tcW w:w="344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highlight w:val="lightGray"/>
              </w:rPr>
              <w:t>Ms. Warden</w:t>
            </w:r>
          </w:p>
        </w:tc>
        <w:tc>
          <w:tcPr>
            <w:tcW w:w="34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12,704</w:t>
            </w:r>
          </w:p>
        </w:tc>
        <w:tc>
          <w:tcPr>
            <w:tcW w:w="20" w:type="dxa"/>
            <w:vAlign w:val="bottom"/>
          </w:tcPr>
          <w:p>
            <w:pPr>
              <w:spacing w:after="0"/>
              <w:rPr>
                <w:sz w:val="17"/>
                <w:szCs w:val="17"/>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4"/>
                <w:szCs w:val="14"/>
                <w:color w:val="auto"/>
              </w:rPr>
              <w:t>Mr. Bedingfield</w:t>
            </w:r>
          </w:p>
        </w:tc>
        <w:tc>
          <w:tcPr>
            <w:tcW w:w="3460" w:type="dxa"/>
            <w:vAlign w:val="bottom"/>
          </w:tcPr>
          <w:p>
            <w:pPr>
              <w:jc w:val="center"/>
              <w:spacing w:after="0"/>
              <w:rPr>
                <w:sz w:val="20"/>
                <w:szCs w:val="20"/>
                <w:color w:val="auto"/>
              </w:rPr>
            </w:pPr>
            <w:r>
              <w:rPr>
                <w:rFonts w:ascii="Arial" w:cs="Arial" w:eastAsia="Arial" w:hAnsi="Arial"/>
                <w:sz w:val="14"/>
                <w:szCs w:val="14"/>
                <w:color w:val="auto"/>
              </w:rPr>
              <w:t>11,798</w:t>
            </w:r>
          </w:p>
        </w:tc>
        <w:tc>
          <w:tcPr>
            <w:tcW w:w="20" w:type="dxa"/>
            <w:vAlign w:val="bottom"/>
          </w:tcPr>
          <w:p>
            <w:pPr>
              <w:spacing w:after="0"/>
              <w:rPr>
                <w:sz w:val="18"/>
                <w:szCs w:val="18"/>
                <w:color w:val="auto"/>
              </w:rPr>
            </w:pPr>
          </w:p>
        </w:tc>
      </w:tr>
      <w:tr>
        <w:trPr>
          <w:trHeight w:val="202"/>
        </w:trPr>
        <w:tc>
          <w:tcPr>
            <w:tcW w:w="344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highlight w:val="lightGray"/>
              </w:rPr>
              <w:t>Mr. Caylor</w:t>
            </w:r>
          </w:p>
        </w:tc>
        <w:tc>
          <w:tcPr>
            <w:tcW w:w="34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9,075</w:t>
            </w:r>
          </w:p>
        </w:tc>
        <w:tc>
          <w:tcPr>
            <w:tcW w:w="20" w:type="dxa"/>
            <w:vAlign w:val="bottom"/>
          </w:tcPr>
          <w:p>
            <w:pPr>
              <w:spacing w:after="0"/>
              <w:rPr>
                <w:sz w:val="17"/>
                <w:szCs w:val="17"/>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4"/>
                <w:szCs w:val="14"/>
                <w:color w:val="auto"/>
              </w:rPr>
              <w:t>Mr. Jones</w:t>
            </w:r>
          </w:p>
        </w:tc>
        <w:tc>
          <w:tcPr>
            <w:tcW w:w="3460" w:type="dxa"/>
            <w:vAlign w:val="bottom"/>
          </w:tcPr>
          <w:p>
            <w:pPr>
              <w:jc w:val="center"/>
              <w:spacing w:after="0"/>
              <w:rPr>
                <w:sz w:val="20"/>
                <w:szCs w:val="20"/>
                <w:color w:val="auto"/>
              </w:rPr>
            </w:pPr>
            <w:r>
              <w:rPr>
                <w:rFonts w:ascii="Arial" w:cs="Arial" w:eastAsia="Arial" w:hAnsi="Arial"/>
                <w:sz w:val="14"/>
                <w:szCs w:val="14"/>
                <w:color w:val="auto"/>
              </w:rPr>
              <w:t>10,890</w:t>
            </w:r>
          </w:p>
        </w:tc>
        <w:tc>
          <w:tcPr>
            <w:tcW w:w="20" w:type="dxa"/>
            <w:vAlign w:val="bottom"/>
          </w:tcPr>
          <w:p>
            <w:pPr>
              <w:spacing w:after="0"/>
              <w:rPr>
                <w:sz w:val="18"/>
                <w:szCs w:val="18"/>
                <w:color w:val="auto"/>
              </w:rPr>
            </w:pPr>
          </w:p>
        </w:tc>
      </w:tr>
      <w:tr>
        <w:trPr>
          <w:trHeight w:val="202"/>
        </w:trPr>
        <w:tc>
          <w:tcPr>
            <w:tcW w:w="344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highlight w:val="lightGray"/>
              </w:rPr>
              <w:t>Mr. Pamiljans</w:t>
            </w:r>
          </w:p>
        </w:tc>
        <w:tc>
          <w:tcPr>
            <w:tcW w:w="34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14,752</w:t>
            </w:r>
          </w:p>
        </w:tc>
        <w:tc>
          <w:tcPr>
            <w:tcW w:w="20" w:type="dxa"/>
            <w:vAlign w:val="bottom"/>
          </w:tcPr>
          <w:p>
            <w:pPr>
              <w:spacing w:after="0"/>
              <w:rPr>
                <w:sz w:val="17"/>
                <w:szCs w:val="17"/>
                <w:color w:val="auto"/>
              </w:rPr>
            </w:pPr>
          </w:p>
        </w:tc>
      </w:tr>
      <w:tr>
        <w:trPr>
          <w:trHeight w:val="20"/>
        </w:trPr>
        <w:tc>
          <w:tcPr>
            <w:tcW w:w="3440" w:type="dxa"/>
            <w:vAlign w:val="bottom"/>
            <w:shd w:val="clear" w:color="auto" w:fill="00249C"/>
          </w:tcPr>
          <w:p>
            <w:pPr>
              <w:spacing w:after="0" w:line="20" w:lineRule="exact"/>
              <w:rPr>
                <w:sz w:val="1"/>
                <w:szCs w:val="1"/>
                <w:color w:val="auto"/>
              </w:rPr>
            </w:pPr>
          </w:p>
        </w:tc>
        <w:tc>
          <w:tcPr>
            <w:tcW w:w="3460" w:type="dxa"/>
            <w:vAlign w:val="bottom"/>
            <w:shd w:val="clear" w:color="auto" w:fill="00249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60"/>
          </w:cols>
          <w:pgMar w:left="320" w:top="701" w:right="319" w:bottom="1440" w:gutter="0" w:footer="0" w:header="0"/>
        </w:sectPr>
      </w:pPr>
    </w:p>
    <w:bookmarkStart w:id="63" w:name="page64"/>
    <w:bookmarkEnd w:id="63"/>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1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TABLES | S</w:t>
      </w:r>
      <w:r>
        <w:rPr>
          <w:rFonts w:ascii="Arial" w:cs="Arial" w:eastAsia="Arial" w:hAnsi="Arial"/>
          <w:sz w:val="17"/>
          <w:szCs w:val="17"/>
          <w:b w:val="1"/>
          <w:bCs w:val="1"/>
          <w:color w:val="FFFFFF"/>
        </w:rPr>
        <w:t>TOCK</w:t>
      </w:r>
      <w:r>
        <w:rPr>
          <w:rFonts w:ascii="Arial" w:cs="Arial" w:eastAsia="Arial" w:hAnsi="Arial"/>
          <w:sz w:val="22"/>
          <w:szCs w:val="22"/>
          <w:b w:val="1"/>
          <w:bCs w:val="1"/>
          <w:color w:val="FFFFFF"/>
        </w:rPr>
        <w:t xml:space="preserve"> V</w:t>
      </w:r>
      <w:r>
        <w:rPr>
          <w:rFonts w:ascii="Arial" w:cs="Arial" w:eastAsia="Arial" w:hAnsi="Arial"/>
          <w:sz w:val="17"/>
          <w:szCs w:val="17"/>
          <w:b w:val="1"/>
          <w:bCs w:val="1"/>
          <w:color w:val="FFFFFF"/>
        </w:rPr>
        <w:t>ESTED</w:t>
      </w:r>
      <w:r>
        <w:rPr>
          <w:rFonts w:ascii="Arial" w:cs="Arial" w:eastAsia="Arial" w:hAnsi="Arial"/>
          <w:sz w:val="22"/>
          <w:szCs w:val="22"/>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300" w:type="dxa"/>
            <w:vAlign w:val="bottom"/>
            <w:shd w:val="clear" w:color="auto" w:fill="00249C"/>
          </w:tcPr>
          <w:p>
            <w:pPr>
              <w:spacing w:after="0"/>
              <w:rPr>
                <w:sz w:val="23"/>
                <w:szCs w:val="23"/>
                <w:color w:val="auto"/>
              </w:rPr>
            </w:pPr>
          </w:p>
        </w:tc>
        <w:tc>
          <w:tcPr>
            <w:tcW w:w="1760" w:type="dxa"/>
            <w:vAlign w:val="bottom"/>
            <w:shd w:val="clear" w:color="auto" w:fill="00249C"/>
          </w:tcPr>
          <w:p>
            <w:pPr>
              <w:spacing w:after="0"/>
              <w:rPr>
                <w:sz w:val="23"/>
                <w:szCs w:val="23"/>
                <w:color w:val="auto"/>
              </w:rPr>
            </w:pPr>
          </w:p>
        </w:tc>
        <w:tc>
          <w:tcPr>
            <w:tcW w:w="3180" w:type="dxa"/>
            <w:vAlign w:val="bottom"/>
            <w:shd w:val="clear" w:color="auto" w:fill="00249C"/>
          </w:tcPr>
          <w:p>
            <w:pPr>
              <w:ind w:left="80"/>
              <w:spacing w:after="0"/>
              <w:rPr>
                <w:sz w:val="20"/>
                <w:szCs w:val="20"/>
                <w:color w:val="auto"/>
              </w:rPr>
            </w:pPr>
            <w:r>
              <w:rPr>
                <w:rFonts w:ascii="Arial" w:cs="Arial" w:eastAsia="Arial" w:hAnsi="Arial"/>
                <w:sz w:val="14"/>
                <w:szCs w:val="14"/>
                <w:b w:val="1"/>
                <w:bCs w:val="1"/>
                <w:color w:val="FFFFFF"/>
              </w:rPr>
              <w:t>Stock Awards (1) (2)</w:t>
            </w:r>
          </w:p>
        </w:tc>
        <w:tc>
          <w:tcPr>
            <w:tcW w:w="20" w:type="dxa"/>
            <w:vAlign w:val="bottom"/>
            <w:shd w:val="clear" w:color="auto" w:fill="00249C"/>
          </w:tcPr>
          <w:p>
            <w:pPr>
              <w:spacing w:after="0"/>
              <w:rPr>
                <w:sz w:val="23"/>
                <w:szCs w:val="23"/>
                <w:color w:val="auto"/>
              </w:rPr>
            </w:pPr>
          </w:p>
        </w:tc>
      </w:tr>
      <w:tr>
        <w:trPr>
          <w:trHeight w:val="188"/>
        </w:trPr>
        <w:tc>
          <w:tcPr>
            <w:tcW w:w="6300" w:type="dxa"/>
            <w:vAlign w:val="bottom"/>
            <w:shd w:val="clear" w:color="auto" w:fill="00249C"/>
          </w:tcPr>
          <w:p>
            <w:pPr>
              <w:spacing w:after="0"/>
              <w:rPr>
                <w:sz w:val="16"/>
                <w:szCs w:val="16"/>
                <w:color w:val="auto"/>
              </w:rPr>
            </w:pPr>
          </w:p>
        </w:tc>
        <w:tc>
          <w:tcPr>
            <w:tcW w:w="4940" w:type="dxa"/>
            <w:vAlign w:val="bottom"/>
            <w:gridSpan w:val="2"/>
            <w:shd w:val="clear" w:color="auto" w:fill="00249C"/>
          </w:tcPr>
          <w:p>
            <w:pPr>
              <w:jc w:val="center"/>
              <w:ind w:right="2248"/>
              <w:spacing w:after="0"/>
              <w:rPr>
                <w:sz w:val="20"/>
                <w:szCs w:val="20"/>
                <w:color w:val="auto"/>
              </w:rPr>
            </w:pPr>
            <w:r>
              <w:rPr>
                <w:rFonts w:ascii="Arial" w:cs="Arial" w:eastAsia="Arial" w:hAnsi="Arial"/>
                <w:sz w:val="14"/>
                <w:szCs w:val="14"/>
                <w:b w:val="1"/>
                <w:bCs w:val="1"/>
                <w:color w:val="FFFFFF"/>
              </w:rPr>
              <w:t>Number of Shares Acquired</w:t>
            </w:r>
          </w:p>
        </w:tc>
        <w:tc>
          <w:tcPr>
            <w:tcW w:w="20" w:type="dxa"/>
            <w:vAlign w:val="bottom"/>
            <w:shd w:val="clear" w:color="auto" w:fill="00249C"/>
          </w:tcPr>
          <w:p>
            <w:pPr>
              <w:spacing w:after="0"/>
              <w:rPr>
                <w:sz w:val="16"/>
                <w:szCs w:val="16"/>
                <w:color w:val="auto"/>
              </w:rPr>
            </w:pPr>
          </w:p>
        </w:tc>
      </w:tr>
      <w:tr>
        <w:trPr>
          <w:trHeight w:val="162"/>
        </w:trPr>
        <w:tc>
          <w:tcPr>
            <w:tcW w:w="6300" w:type="dxa"/>
            <w:vAlign w:val="bottom"/>
            <w:shd w:val="clear" w:color="auto" w:fill="00249C"/>
          </w:tcPr>
          <w:p>
            <w:pPr>
              <w:spacing w:after="0"/>
              <w:rPr>
                <w:sz w:val="14"/>
                <w:szCs w:val="14"/>
                <w:color w:val="auto"/>
              </w:rPr>
            </w:pPr>
          </w:p>
        </w:tc>
        <w:tc>
          <w:tcPr>
            <w:tcW w:w="1760" w:type="dxa"/>
            <w:vAlign w:val="bottom"/>
            <w:shd w:val="clear" w:color="auto" w:fill="00249C"/>
          </w:tcPr>
          <w:p>
            <w:pPr>
              <w:jc w:val="center"/>
              <w:ind w:left="768"/>
              <w:spacing w:after="0"/>
              <w:rPr>
                <w:sz w:val="20"/>
                <w:szCs w:val="20"/>
                <w:color w:val="auto"/>
              </w:rPr>
            </w:pPr>
            <w:r>
              <w:rPr>
                <w:rFonts w:ascii="Arial" w:cs="Arial" w:eastAsia="Arial" w:hAnsi="Arial"/>
                <w:sz w:val="14"/>
                <w:szCs w:val="14"/>
                <w:b w:val="1"/>
                <w:bCs w:val="1"/>
                <w:color w:val="FFFFFF"/>
              </w:rPr>
              <w:t>on Vesting</w:t>
            </w:r>
          </w:p>
        </w:tc>
        <w:tc>
          <w:tcPr>
            <w:tcW w:w="3180" w:type="dxa"/>
            <w:vAlign w:val="bottom"/>
            <w:shd w:val="clear" w:color="auto" w:fill="00249C"/>
          </w:tcPr>
          <w:p>
            <w:pPr>
              <w:ind w:left="1120"/>
              <w:spacing w:after="0"/>
              <w:rPr>
                <w:sz w:val="20"/>
                <w:szCs w:val="20"/>
                <w:color w:val="auto"/>
              </w:rPr>
            </w:pPr>
            <w:r>
              <w:rPr>
                <w:rFonts w:ascii="Arial" w:cs="Arial" w:eastAsia="Arial" w:hAnsi="Arial"/>
                <w:sz w:val="14"/>
                <w:szCs w:val="14"/>
                <w:b w:val="1"/>
                <w:bCs w:val="1"/>
                <w:color w:val="FFFFFF"/>
              </w:rPr>
              <w:t>Value Realized on Vesting</w:t>
            </w:r>
          </w:p>
        </w:tc>
        <w:tc>
          <w:tcPr>
            <w:tcW w:w="20" w:type="dxa"/>
            <w:vAlign w:val="bottom"/>
            <w:shd w:val="clear" w:color="auto" w:fill="00249C"/>
          </w:tcPr>
          <w:p>
            <w:pPr>
              <w:spacing w:after="0"/>
              <w:rPr>
                <w:sz w:val="14"/>
                <w:szCs w:val="14"/>
                <w:color w:val="auto"/>
              </w:rPr>
            </w:pPr>
          </w:p>
        </w:tc>
      </w:tr>
      <w:tr>
        <w:trPr>
          <w:trHeight w:val="202"/>
        </w:trPr>
        <w:tc>
          <w:tcPr>
            <w:tcW w:w="6300" w:type="dxa"/>
            <w:vAlign w:val="bottom"/>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1760" w:type="dxa"/>
            <w:vAlign w:val="bottom"/>
            <w:shd w:val="clear" w:color="auto" w:fill="00249C"/>
          </w:tcPr>
          <w:p>
            <w:pPr>
              <w:jc w:val="center"/>
              <w:ind w:left="768"/>
              <w:spacing w:after="0"/>
              <w:rPr>
                <w:sz w:val="20"/>
                <w:szCs w:val="20"/>
                <w:color w:val="auto"/>
              </w:rPr>
            </w:pPr>
            <w:r>
              <w:rPr>
                <w:rFonts w:ascii="Arial" w:cs="Arial" w:eastAsia="Arial" w:hAnsi="Arial"/>
                <w:sz w:val="14"/>
                <w:szCs w:val="14"/>
                <w:b w:val="1"/>
                <w:bCs w:val="1"/>
                <w:color w:val="FFFFFF"/>
                <w:w w:val="93"/>
              </w:rPr>
              <w:t>(#)</w:t>
            </w:r>
          </w:p>
        </w:tc>
        <w:tc>
          <w:tcPr>
            <w:tcW w:w="3180" w:type="dxa"/>
            <w:vAlign w:val="bottom"/>
            <w:shd w:val="clear" w:color="auto" w:fill="00249C"/>
          </w:tcPr>
          <w:p>
            <w:pPr>
              <w:jc w:val="center"/>
              <w:ind w:left="768"/>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00249C"/>
          </w:tcPr>
          <w:p>
            <w:pPr>
              <w:spacing w:after="0"/>
              <w:rPr>
                <w:sz w:val="17"/>
                <w:szCs w:val="17"/>
                <w:color w:val="auto"/>
              </w:rPr>
            </w:pPr>
          </w:p>
        </w:tc>
      </w:tr>
      <w:tr>
        <w:trPr>
          <w:trHeight w:val="250"/>
        </w:trPr>
        <w:tc>
          <w:tcPr>
            <w:tcW w:w="630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highlight w:val="lightGray"/>
              </w:rPr>
              <w:t>Kathy J. Warden</w:t>
            </w:r>
          </w:p>
        </w:tc>
        <w:tc>
          <w:tcPr>
            <w:tcW w:w="1760" w:type="dxa"/>
            <w:vAlign w:val="bottom"/>
            <w:tcBorders>
              <w:bottom w:val="single" w:sz="8" w:color="CCD4DB"/>
            </w:tcBorders>
            <w:shd w:val="clear" w:color="auto" w:fill="CCD4DB"/>
          </w:tcPr>
          <w:p>
            <w:pPr>
              <w:jc w:val="center"/>
              <w:ind w:left="768"/>
              <w:spacing w:after="0"/>
              <w:rPr>
                <w:sz w:val="20"/>
                <w:szCs w:val="20"/>
                <w:color w:val="auto"/>
              </w:rPr>
            </w:pPr>
            <w:r>
              <w:rPr>
                <w:rFonts w:ascii="Arial" w:cs="Arial" w:eastAsia="Arial" w:hAnsi="Arial"/>
                <w:sz w:val="14"/>
                <w:szCs w:val="14"/>
                <w:color w:val="auto"/>
              </w:rPr>
              <w:t>20,384</w:t>
            </w:r>
          </w:p>
        </w:tc>
        <w:tc>
          <w:tcPr>
            <w:tcW w:w="3180" w:type="dxa"/>
            <w:vAlign w:val="bottom"/>
            <w:tcBorders>
              <w:bottom w:val="single" w:sz="8" w:color="CCD4DB"/>
            </w:tcBorders>
            <w:shd w:val="clear" w:color="auto" w:fill="CCD4DB"/>
          </w:tcPr>
          <w:p>
            <w:pPr>
              <w:jc w:val="center"/>
              <w:ind w:left="748"/>
              <w:spacing w:after="0"/>
              <w:rPr>
                <w:sz w:val="20"/>
                <w:szCs w:val="20"/>
                <w:color w:val="auto"/>
              </w:rPr>
            </w:pPr>
            <w:r>
              <w:rPr>
                <w:rFonts w:ascii="Arial" w:cs="Arial" w:eastAsia="Arial" w:hAnsi="Arial"/>
                <w:sz w:val="14"/>
                <w:szCs w:val="14"/>
                <w:color w:val="auto"/>
              </w:rPr>
              <w:t>5,798,002</w:t>
            </w:r>
          </w:p>
        </w:tc>
        <w:tc>
          <w:tcPr>
            <w:tcW w:w="20" w:type="dxa"/>
            <w:vAlign w:val="bottom"/>
          </w:tcPr>
          <w:p>
            <w:pPr>
              <w:spacing w:after="0"/>
              <w:rPr>
                <w:sz w:val="21"/>
                <w:szCs w:val="21"/>
                <w:color w:val="auto"/>
              </w:rPr>
            </w:pPr>
          </w:p>
        </w:tc>
      </w:tr>
      <w:tr>
        <w:trPr>
          <w:trHeight w:val="231"/>
        </w:trPr>
        <w:tc>
          <w:tcPr>
            <w:tcW w:w="6300" w:type="dxa"/>
            <w:vAlign w:val="bottom"/>
          </w:tcPr>
          <w:p>
            <w:pPr>
              <w:ind w:left="40"/>
              <w:spacing w:after="0"/>
              <w:rPr>
                <w:sz w:val="20"/>
                <w:szCs w:val="20"/>
                <w:color w:val="auto"/>
              </w:rPr>
            </w:pPr>
            <w:r>
              <w:rPr>
                <w:rFonts w:ascii="Arial" w:cs="Arial" w:eastAsia="Arial" w:hAnsi="Arial"/>
                <w:sz w:val="14"/>
                <w:szCs w:val="14"/>
                <w:color w:val="auto"/>
              </w:rPr>
              <w:t>Kenneth L. Bedingfield</w:t>
            </w:r>
          </w:p>
        </w:tc>
        <w:tc>
          <w:tcPr>
            <w:tcW w:w="1760" w:type="dxa"/>
            <w:vAlign w:val="bottom"/>
          </w:tcPr>
          <w:p>
            <w:pPr>
              <w:jc w:val="center"/>
              <w:ind w:left="768"/>
              <w:spacing w:after="0"/>
              <w:rPr>
                <w:sz w:val="20"/>
                <w:szCs w:val="20"/>
                <w:color w:val="auto"/>
              </w:rPr>
            </w:pPr>
            <w:r>
              <w:rPr>
                <w:rFonts w:ascii="Arial" w:cs="Arial" w:eastAsia="Arial" w:hAnsi="Arial"/>
                <w:sz w:val="14"/>
                <w:szCs w:val="14"/>
                <w:color w:val="auto"/>
              </w:rPr>
              <w:t>17,472</w:t>
            </w:r>
          </w:p>
        </w:tc>
        <w:tc>
          <w:tcPr>
            <w:tcW w:w="3180" w:type="dxa"/>
            <w:vAlign w:val="bottom"/>
          </w:tcPr>
          <w:p>
            <w:pPr>
              <w:jc w:val="center"/>
              <w:ind w:left="748"/>
              <w:spacing w:after="0"/>
              <w:rPr>
                <w:sz w:val="20"/>
                <w:szCs w:val="20"/>
                <w:color w:val="auto"/>
              </w:rPr>
            </w:pPr>
            <w:r>
              <w:rPr>
                <w:rFonts w:ascii="Arial" w:cs="Arial" w:eastAsia="Arial" w:hAnsi="Arial"/>
                <w:sz w:val="14"/>
                <w:szCs w:val="14"/>
                <w:color w:val="auto"/>
              </w:rPr>
              <w:t>4,969,908</w:t>
            </w:r>
          </w:p>
        </w:tc>
        <w:tc>
          <w:tcPr>
            <w:tcW w:w="20" w:type="dxa"/>
            <w:vAlign w:val="bottom"/>
          </w:tcPr>
          <w:p>
            <w:pPr>
              <w:spacing w:after="0"/>
              <w:rPr>
                <w:sz w:val="20"/>
                <w:szCs w:val="20"/>
                <w:color w:val="auto"/>
              </w:rPr>
            </w:pPr>
          </w:p>
        </w:tc>
      </w:tr>
      <w:tr>
        <w:trPr>
          <w:trHeight w:val="39"/>
        </w:trPr>
        <w:tc>
          <w:tcPr>
            <w:tcW w:w="6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0"/>
        </w:trPr>
        <w:tc>
          <w:tcPr>
            <w:tcW w:w="630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highlight w:val="lightGray"/>
              </w:rPr>
              <w:t>Mark A. Caylor</w:t>
            </w:r>
          </w:p>
        </w:tc>
        <w:tc>
          <w:tcPr>
            <w:tcW w:w="1760" w:type="dxa"/>
            <w:vAlign w:val="bottom"/>
            <w:tcBorders>
              <w:bottom w:val="single" w:sz="8" w:color="CCD4DB"/>
            </w:tcBorders>
            <w:shd w:val="clear" w:color="auto" w:fill="CCD4DB"/>
          </w:tcPr>
          <w:p>
            <w:pPr>
              <w:jc w:val="center"/>
              <w:ind w:left="768"/>
              <w:spacing w:after="0"/>
              <w:rPr>
                <w:sz w:val="20"/>
                <w:szCs w:val="20"/>
                <w:color w:val="auto"/>
              </w:rPr>
            </w:pPr>
            <w:r>
              <w:rPr>
                <w:rFonts w:ascii="Arial" w:cs="Arial" w:eastAsia="Arial" w:hAnsi="Arial"/>
                <w:sz w:val="14"/>
                <w:szCs w:val="14"/>
                <w:color w:val="auto"/>
              </w:rPr>
              <w:t>14,561</w:t>
            </w:r>
          </w:p>
        </w:tc>
        <w:tc>
          <w:tcPr>
            <w:tcW w:w="3180" w:type="dxa"/>
            <w:vAlign w:val="bottom"/>
            <w:tcBorders>
              <w:bottom w:val="single" w:sz="8" w:color="CCD4DB"/>
            </w:tcBorders>
            <w:shd w:val="clear" w:color="auto" w:fill="CCD4DB"/>
          </w:tcPr>
          <w:p>
            <w:pPr>
              <w:jc w:val="center"/>
              <w:ind w:left="748"/>
              <w:spacing w:after="0"/>
              <w:rPr>
                <w:sz w:val="20"/>
                <w:szCs w:val="20"/>
                <w:color w:val="auto"/>
              </w:rPr>
            </w:pPr>
            <w:r>
              <w:rPr>
                <w:rFonts w:ascii="Arial" w:cs="Arial" w:eastAsia="Arial" w:hAnsi="Arial"/>
                <w:sz w:val="14"/>
                <w:szCs w:val="14"/>
                <w:color w:val="auto"/>
              </w:rPr>
              <w:t>4,141,775</w:t>
            </w:r>
          </w:p>
        </w:tc>
        <w:tc>
          <w:tcPr>
            <w:tcW w:w="20" w:type="dxa"/>
            <w:vAlign w:val="bottom"/>
          </w:tcPr>
          <w:p>
            <w:pPr>
              <w:spacing w:after="0"/>
              <w:rPr>
                <w:sz w:val="21"/>
                <w:szCs w:val="21"/>
                <w:color w:val="auto"/>
              </w:rPr>
            </w:pPr>
          </w:p>
        </w:tc>
      </w:tr>
      <w:tr>
        <w:trPr>
          <w:trHeight w:val="231"/>
        </w:trPr>
        <w:tc>
          <w:tcPr>
            <w:tcW w:w="6300" w:type="dxa"/>
            <w:vAlign w:val="bottom"/>
          </w:tcPr>
          <w:p>
            <w:pPr>
              <w:ind w:left="40"/>
              <w:spacing w:after="0"/>
              <w:rPr>
                <w:sz w:val="20"/>
                <w:szCs w:val="20"/>
                <w:color w:val="auto"/>
              </w:rPr>
            </w:pPr>
            <w:r>
              <w:rPr>
                <w:rFonts w:ascii="Arial" w:cs="Arial" w:eastAsia="Arial" w:hAnsi="Arial"/>
                <w:sz w:val="14"/>
                <w:szCs w:val="14"/>
                <w:color w:val="auto"/>
              </w:rPr>
              <w:t>Christopher T. Jones</w:t>
            </w:r>
          </w:p>
        </w:tc>
        <w:tc>
          <w:tcPr>
            <w:tcW w:w="1760" w:type="dxa"/>
            <w:vAlign w:val="bottom"/>
          </w:tcPr>
          <w:p>
            <w:pPr>
              <w:jc w:val="center"/>
              <w:ind w:left="768"/>
              <w:spacing w:after="0"/>
              <w:rPr>
                <w:sz w:val="20"/>
                <w:szCs w:val="20"/>
                <w:color w:val="auto"/>
              </w:rPr>
            </w:pPr>
            <w:r>
              <w:rPr>
                <w:rFonts w:ascii="Arial" w:cs="Arial" w:eastAsia="Arial" w:hAnsi="Arial"/>
                <w:sz w:val="14"/>
                <w:szCs w:val="14"/>
                <w:color w:val="auto"/>
              </w:rPr>
              <w:t>17,472</w:t>
            </w:r>
          </w:p>
        </w:tc>
        <w:tc>
          <w:tcPr>
            <w:tcW w:w="3180" w:type="dxa"/>
            <w:vAlign w:val="bottom"/>
          </w:tcPr>
          <w:p>
            <w:pPr>
              <w:jc w:val="center"/>
              <w:ind w:left="748"/>
              <w:spacing w:after="0"/>
              <w:rPr>
                <w:sz w:val="20"/>
                <w:szCs w:val="20"/>
                <w:color w:val="auto"/>
              </w:rPr>
            </w:pPr>
            <w:r>
              <w:rPr>
                <w:rFonts w:ascii="Arial" w:cs="Arial" w:eastAsia="Arial" w:hAnsi="Arial"/>
                <w:sz w:val="14"/>
                <w:szCs w:val="14"/>
                <w:color w:val="auto"/>
              </w:rPr>
              <w:t>4,969,908</w:t>
            </w:r>
          </w:p>
        </w:tc>
        <w:tc>
          <w:tcPr>
            <w:tcW w:w="20" w:type="dxa"/>
            <w:vAlign w:val="bottom"/>
          </w:tcPr>
          <w:p>
            <w:pPr>
              <w:spacing w:after="0"/>
              <w:rPr>
                <w:sz w:val="20"/>
                <w:szCs w:val="20"/>
                <w:color w:val="auto"/>
              </w:rPr>
            </w:pPr>
          </w:p>
        </w:tc>
      </w:tr>
      <w:tr>
        <w:trPr>
          <w:trHeight w:val="39"/>
        </w:trPr>
        <w:tc>
          <w:tcPr>
            <w:tcW w:w="6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0"/>
        </w:trPr>
        <w:tc>
          <w:tcPr>
            <w:tcW w:w="6300" w:type="dxa"/>
            <w:vAlign w:val="bottom"/>
            <w:tcBorders>
              <w:bottom w:val="single" w:sz="8" w:color="00249C"/>
            </w:tcBorders>
            <w:shd w:val="clear" w:color="auto" w:fill="CCD4DB"/>
          </w:tcPr>
          <w:p>
            <w:pPr>
              <w:ind w:left="40"/>
              <w:spacing w:after="0"/>
              <w:rPr>
                <w:sz w:val="20"/>
                <w:szCs w:val="20"/>
                <w:color w:val="auto"/>
              </w:rPr>
            </w:pPr>
            <w:r>
              <w:rPr>
                <w:rFonts w:ascii="Arial" w:cs="Arial" w:eastAsia="Arial" w:hAnsi="Arial"/>
                <w:sz w:val="14"/>
                <w:szCs w:val="14"/>
                <w:color w:val="auto"/>
              </w:rPr>
              <w:t xml:space="preserve">Janis G. Pamiljans </w:t>
            </w:r>
            <w:r>
              <w:rPr>
                <w:rFonts w:ascii="Arial" w:cs="Arial" w:eastAsia="Arial" w:hAnsi="Arial"/>
                <w:sz w:val="23"/>
                <w:szCs w:val="23"/>
                <w:color w:val="auto"/>
                <w:vertAlign w:val="superscript"/>
              </w:rPr>
              <w:t>(3)</w:t>
            </w:r>
          </w:p>
        </w:tc>
        <w:tc>
          <w:tcPr>
            <w:tcW w:w="1760" w:type="dxa"/>
            <w:vAlign w:val="bottom"/>
            <w:tcBorders>
              <w:bottom w:val="single" w:sz="8" w:color="00249C"/>
            </w:tcBorders>
            <w:shd w:val="clear" w:color="auto" w:fill="CCD4DB"/>
          </w:tcPr>
          <w:p>
            <w:pPr>
              <w:jc w:val="center"/>
              <w:ind w:left="768"/>
              <w:spacing w:after="0"/>
              <w:rPr>
                <w:sz w:val="20"/>
                <w:szCs w:val="20"/>
                <w:color w:val="auto"/>
              </w:rPr>
            </w:pPr>
            <w:r>
              <w:rPr>
                <w:rFonts w:ascii="Arial" w:cs="Arial" w:eastAsia="Arial" w:hAnsi="Arial"/>
                <w:sz w:val="14"/>
                <w:szCs w:val="14"/>
                <w:color w:val="auto"/>
              </w:rPr>
              <w:t>—</w:t>
            </w:r>
          </w:p>
        </w:tc>
        <w:tc>
          <w:tcPr>
            <w:tcW w:w="3180" w:type="dxa"/>
            <w:vAlign w:val="bottom"/>
            <w:tcBorders>
              <w:bottom w:val="single" w:sz="8" w:color="00249C"/>
            </w:tcBorders>
            <w:shd w:val="clear" w:color="auto" w:fill="CCD4DB"/>
          </w:tcPr>
          <w:p>
            <w:pPr>
              <w:jc w:val="center"/>
              <w:ind w:left="76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3"/>
                <w:szCs w:val="23"/>
                <w:color w:val="auto"/>
              </w:rPr>
            </w:pPr>
          </w:p>
        </w:tc>
      </w:tr>
    </w:tbl>
    <w:p>
      <w:pPr>
        <w:spacing w:after="0" w:line="80" w:lineRule="exact"/>
        <w:rPr>
          <w:sz w:val="20"/>
          <w:szCs w:val="20"/>
          <w:color w:val="auto"/>
        </w:rPr>
      </w:pPr>
    </w:p>
    <w:p>
      <w:pPr>
        <w:ind w:left="420" w:right="260" w:hanging="412"/>
        <w:spacing w:after="0" w:line="261" w:lineRule="auto"/>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Number of shares and amounts reflected in the table are reported on an aggregate basis and do not reflect shares sold or withheld to pay withholding taxes.</w:t>
      </w:r>
    </w:p>
    <w:p>
      <w:pPr>
        <w:spacing w:after="0" w:line="49" w:lineRule="exact"/>
        <w:rPr>
          <w:rFonts w:ascii="Arial" w:cs="Arial" w:eastAsia="Arial" w:hAnsi="Arial"/>
          <w:sz w:val="18"/>
          <w:szCs w:val="18"/>
          <w:color w:val="auto"/>
        </w:rPr>
      </w:pPr>
    </w:p>
    <w:p>
      <w:pPr>
        <w:ind w:left="420" w:right="680" w:hanging="412"/>
        <w:spacing w:after="0" w:line="277" w:lineRule="auto"/>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RPSRs and RSRs granted in 2016. The RPSRs vested based on the three-year performance period which ended on December 31, 2018 and were distributed in February 2019. The RSRs vested three years from the date of grant.</w:t>
      </w:r>
    </w:p>
    <w:p>
      <w:pPr>
        <w:spacing w:after="0" w:line="35" w:lineRule="exact"/>
        <w:rPr>
          <w:rFonts w:ascii="Arial" w:cs="Arial" w:eastAsia="Arial" w:hAnsi="Arial"/>
          <w:sz w:val="18"/>
          <w:szCs w:val="18"/>
          <w:color w:val="auto"/>
        </w:rPr>
      </w:pPr>
    </w:p>
    <w:p>
      <w:pPr>
        <w:ind w:left="420" w:hanging="412"/>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Pamiljans did not have a stock payout in 2019, as his 2016 RPSR and RSR grants vested in 2018.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57</w:t>
      </w:r>
    </w:p>
    <w:p>
      <w:pPr>
        <w:sectPr>
          <w:pgSz w:w="11900" w:h="16838" w:orient="portrait"/>
          <w:cols w:equalWidth="0" w:num="1">
            <w:col w:w="11260"/>
          </w:cols>
          <w:pgMar w:left="320" w:top="701" w:right="319" w:bottom="1440" w:gutter="0" w:footer="0" w:header="0"/>
        </w:sectPr>
      </w:pPr>
    </w:p>
    <w:bookmarkStart w:id="64" w:name="page65"/>
    <w:bookmarkEnd w:id="64"/>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1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TABLES | P</w:t>
      </w:r>
      <w:r>
        <w:rPr>
          <w:rFonts w:ascii="Arial" w:cs="Arial" w:eastAsia="Arial" w:hAnsi="Arial"/>
          <w:sz w:val="17"/>
          <w:szCs w:val="17"/>
          <w:b w:val="1"/>
          <w:bCs w:val="1"/>
          <w:color w:val="FFFFFF"/>
        </w:rPr>
        <w:t>ENSION</w:t>
      </w:r>
      <w:r>
        <w:rPr>
          <w:rFonts w:ascii="Arial" w:cs="Arial" w:eastAsia="Arial" w:hAnsi="Arial"/>
          <w:sz w:val="22"/>
          <w:szCs w:val="22"/>
          <w:b w:val="1"/>
          <w:bCs w:val="1"/>
          <w:color w:val="FFFFFF"/>
        </w:rPr>
        <w:t xml:space="preserve"> B</w:t>
      </w:r>
      <w:r>
        <w:rPr>
          <w:rFonts w:ascii="Arial" w:cs="Arial" w:eastAsia="Arial" w:hAnsi="Arial"/>
          <w:sz w:val="17"/>
          <w:szCs w:val="17"/>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provides information about the pension plans in which the NEOs participate (described in more detail on the following pages), including the present value of each NEO's accumulated benefits as of December 31, 2019, calculated pursuant to SEC specifications for this table. Our policy generally limits an executive's total benefit under these plans to be no more than 60% of final average pay.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shd w:val="clear" w:color="auto" w:fill="00249C"/>
          </w:tcPr>
          <w:p>
            <w:pPr>
              <w:spacing w:after="0"/>
              <w:rPr>
                <w:sz w:val="16"/>
                <w:szCs w:val="16"/>
                <w:color w:val="auto"/>
              </w:rPr>
            </w:pPr>
          </w:p>
        </w:tc>
        <w:tc>
          <w:tcPr>
            <w:tcW w:w="1880" w:type="dxa"/>
            <w:vAlign w:val="bottom"/>
            <w:shd w:val="clear" w:color="auto" w:fill="00249C"/>
          </w:tcPr>
          <w:p>
            <w:pPr>
              <w:spacing w:after="0"/>
              <w:rPr>
                <w:sz w:val="16"/>
                <w:szCs w:val="16"/>
                <w:color w:val="auto"/>
              </w:rPr>
            </w:pPr>
          </w:p>
        </w:tc>
        <w:tc>
          <w:tcPr>
            <w:tcW w:w="2660" w:type="dxa"/>
            <w:vAlign w:val="bottom"/>
            <w:shd w:val="clear" w:color="auto" w:fill="00249C"/>
          </w:tcPr>
          <w:p>
            <w:pPr>
              <w:spacing w:after="0"/>
              <w:rPr>
                <w:sz w:val="16"/>
                <w:szCs w:val="16"/>
                <w:color w:val="auto"/>
              </w:rPr>
            </w:pPr>
          </w:p>
        </w:tc>
        <w:tc>
          <w:tcPr>
            <w:tcW w:w="2040" w:type="dxa"/>
            <w:vAlign w:val="bottom"/>
            <w:shd w:val="clear" w:color="auto" w:fill="00249C"/>
          </w:tcPr>
          <w:p>
            <w:pPr>
              <w:jc w:val="center"/>
              <w:ind w:right="168"/>
              <w:spacing w:after="0"/>
              <w:rPr>
                <w:sz w:val="20"/>
                <w:szCs w:val="20"/>
                <w:color w:val="auto"/>
              </w:rPr>
            </w:pPr>
            <w:r>
              <w:rPr>
                <w:rFonts w:ascii="Arial" w:cs="Arial" w:eastAsia="Arial" w:hAnsi="Arial"/>
                <w:sz w:val="14"/>
                <w:szCs w:val="14"/>
                <w:b w:val="1"/>
                <w:bCs w:val="1"/>
                <w:color w:val="FFFFFF"/>
              </w:rPr>
              <w:t>Present Value of</w:t>
            </w:r>
          </w:p>
        </w:tc>
        <w:tc>
          <w:tcPr>
            <w:tcW w:w="20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Payments</w:t>
            </w:r>
          </w:p>
        </w:tc>
        <w:tc>
          <w:tcPr>
            <w:tcW w:w="20" w:type="dxa"/>
            <w:vAlign w:val="bottom"/>
            <w:shd w:val="clear" w:color="auto" w:fill="00249C"/>
          </w:tcPr>
          <w:p>
            <w:pPr>
              <w:spacing w:after="0"/>
              <w:rPr>
                <w:sz w:val="16"/>
                <w:szCs w:val="16"/>
                <w:color w:val="auto"/>
              </w:rPr>
            </w:pPr>
          </w:p>
        </w:tc>
      </w:tr>
      <w:tr>
        <w:trPr>
          <w:trHeight w:val="162"/>
        </w:trPr>
        <w:tc>
          <w:tcPr>
            <w:tcW w:w="2600" w:type="dxa"/>
            <w:vAlign w:val="bottom"/>
            <w:shd w:val="clear" w:color="auto" w:fill="00249C"/>
          </w:tcPr>
          <w:p>
            <w:pPr>
              <w:spacing w:after="0"/>
              <w:rPr>
                <w:sz w:val="14"/>
                <w:szCs w:val="14"/>
                <w:color w:val="auto"/>
              </w:rPr>
            </w:pPr>
          </w:p>
        </w:tc>
        <w:tc>
          <w:tcPr>
            <w:tcW w:w="1880" w:type="dxa"/>
            <w:vAlign w:val="bottom"/>
            <w:shd w:val="clear" w:color="auto" w:fill="00249C"/>
          </w:tcPr>
          <w:p>
            <w:pPr>
              <w:spacing w:after="0"/>
              <w:rPr>
                <w:sz w:val="14"/>
                <w:szCs w:val="14"/>
                <w:color w:val="auto"/>
              </w:rPr>
            </w:pPr>
          </w:p>
        </w:tc>
        <w:tc>
          <w:tcPr>
            <w:tcW w:w="2660" w:type="dxa"/>
            <w:vAlign w:val="bottom"/>
            <w:shd w:val="clear" w:color="auto" w:fill="00249C"/>
          </w:tcPr>
          <w:p>
            <w:pPr>
              <w:jc w:val="center"/>
              <w:ind w:left="128"/>
              <w:spacing w:after="0"/>
              <w:rPr>
                <w:sz w:val="20"/>
                <w:szCs w:val="20"/>
                <w:color w:val="auto"/>
              </w:rPr>
            </w:pPr>
            <w:r>
              <w:rPr>
                <w:rFonts w:ascii="Arial" w:cs="Arial" w:eastAsia="Arial" w:hAnsi="Arial"/>
                <w:sz w:val="14"/>
                <w:szCs w:val="14"/>
                <w:b w:val="1"/>
                <w:bCs w:val="1"/>
                <w:color w:val="FFFFFF"/>
              </w:rPr>
              <w:t>Number of Years Credited</w:t>
            </w:r>
          </w:p>
        </w:tc>
        <w:tc>
          <w:tcPr>
            <w:tcW w:w="2040" w:type="dxa"/>
            <w:vAlign w:val="bottom"/>
            <w:shd w:val="clear" w:color="auto" w:fill="00249C"/>
          </w:tcPr>
          <w:p>
            <w:pPr>
              <w:jc w:val="center"/>
              <w:ind w:right="168"/>
              <w:spacing w:after="0"/>
              <w:rPr>
                <w:sz w:val="20"/>
                <w:szCs w:val="20"/>
                <w:color w:val="auto"/>
              </w:rPr>
            </w:pPr>
            <w:r>
              <w:rPr>
                <w:rFonts w:ascii="Arial" w:cs="Arial" w:eastAsia="Arial" w:hAnsi="Arial"/>
                <w:sz w:val="14"/>
                <w:szCs w:val="14"/>
                <w:b w:val="1"/>
                <w:bCs w:val="1"/>
                <w:color w:val="FFFFFF"/>
              </w:rPr>
              <w:t>Accumulated</w:t>
            </w:r>
          </w:p>
        </w:tc>
        <w:tc>
          <w:tcPr>
            <w:tcW w:w="20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During Last</w:t>
            </w:r>
          </w:p>
        </w:tc>
        <w:tc>
          <w:tcPr>
            <w:tcW w:w="20" w:type="dxa"/>
            <w:vAlign w:val="bottom"/>
            <w:shd w:val="clear" w:color="auto" w:fill="00249C"/>
          </w:tcPr>
          <w:p>
            <w:pPr>
              <w:spacing w:after="0"/>
              <w:rPr>
                <w:sz w:val="14"/>
                <w:szCs w:val="14"/>
                <w:color w:val="auto"/>
              </w:rPr>
            </w:pPr>
          </w:p>
        </w:tc>
      </w:tr>
      <w:tr>
        <w:trPr>
          <w:trHeight w:val="162"/>
        </w:trPr>
        <w:tc>
          <w:tcPr>
            <w:tcW w:w="2600" w:type="dxa"/>
            <w:vAlign w:val="bottom"/>
            <w:shd w:val="clear" w:color="auto" w:fill="00249C"/>
          </w:tcPr>
          <w:p>
            <w:pPr>
              <w:spacing w:after="0"/>
              <w:rPr>
                <w:sz w:val="14"/>
                <w:szCs w:val="14"/>
                <w:color w:val="auto"/>
              </w:rPr>
            </w:pPr>
          </w:p>
        </w:tc>
        <w:tc>
          <w:tcPr>
            <w:tcW w:w="1880" w:type="dxa"/>
            <w:vAlign w:val="bottom"/>
            <w:shd w:val="clear" w:color="auto" w:fill="00249C"/>
          </w:tcPr>
          <w:p>
            <w:pPr>
              <w:spacing w:after="0"/>
              <w:rPr>
                <w:sz w:val="14"/>
                <w:szCs w:val="14"/>
                <w:color w:val="auto"/>
              </w:rPr>
            </w:pPr>
          </w:p>
        </w:tc>
        <w:tc>
          <w:tcPr>
            <w:tcW w:w="2660" w:type="dxa"/>
            <w:vAlign w:val="bottom"/>
            <w:shd w:val="clear" w:color="auto" w:fill="00249C"/>
          </w:tcPr>
          <w:p>
            <w:pPr>
              <w:jc w:val="center"/>
              <w:ind w:left="128"/>
              <w:spacing w:after="0"/>
              <w:rPr>
                <w:sz w:val="20"/>
                <w:szCs w:val="20"/>
                <w:color w:val="auto"/>
              </w:rPr>
            </w:pPr>
            <w:r>
              <w:rPr>
                <w:rFonts w:ascii="Arial" w:cs="Arial" w:eastAsia="Arial" w:hAnsi="Arial"/>
                <w:sz w:val="14"/>
                <w:szCs w:val="14"/>
                <w:b w:val="1"/>
                <w:bCs w:val="1"/>
                <w:color w:val="FFFFFF"/>
              </w:rPr>
              <w:t>Service (2)</w:t>
            </w:r>
          </w:p>
        </w:tc>
        <w:tc>
          <w:tcPr>
            <w:tcW w:w="2040" w:type="dxa"/>
            <w:vAlign w:val="bottom"/>
            <w:shd w:val="clear" w:color="auto" w:fill="00249C"/>
          </w:tcPr>
          <w:p>
            <w:pPr>
              <w:jc w:val="center"/>
              <w:ind w:right="168"/>
              <w:spacing w:after="0"/>
              <w:rPr>
                <w:sz w:val="20"/>
                <w:szCs w:val="20"/>
                <w:color w:val="auto"/>
              </w:rPr>
            </w:pPr>
            <w:r>
              <w:rPr>
                <w:rFonts w:ascii="Arial" w:cs="Arial" w:eastAsia="Arial" w:hAnsi="Arial"/>
                <w:sz w:val="14"/>
                <w:szCs w:val="14"/>
                <w:b w:val="1"/>
                <w:bCs w:val="1"/>
                <w:color w:val="FFFFFF"/>
              </w:rPr>
              <w:t>Benefit (3)</w:t>
            </w:r>
          </w:p>
        </w:tc>
        <w:tc>
          <w:tcPr>
            <w:tcW w:w="2060" w:type="dxa"/>
            <w:vAlign w:val="bottom"/>
            <w:shd w:val="clear" w:color="auto" w:fill="00249C"/>
          </w:tcPr>
          <w:p>
            <w:pPr>
              <w:jc w:val="center"/>
              <w:ind w:right="8"/>
              <w:spacing w:after="0"/>
              <w:rPr>
                <w:sz w:val="20"/>
                <w:szCs w:val="20"/>
                <w:color w:val="auto"/>
              </w:rPr>
            </w:pPr>
            <w:r>
              <w:rPr>
                <w:rFonts w:ascii="Arial" w:cs="Arial" w:eastAsia="Arial" w:hAnsi="Arial"/>
                <w:sz w:val="14"/>
                <w:szCs w:val="14"/>
                <w:b w:val="1"/>
                <w:bCs w:val="1"/>
                <w:color w:val="FFFFFF"/>
              </w:rPr>
              <w:t>Fiscal Year</w:t>
            </w:r>
          </w:p>
        </w:tc>
        <w:tc>
          <w:tcPr>
            <w:tcW w:w="20" w:type="dxa"/>
            <w:vAlign w:val="bottom"/>
            <w:shd w:val="clear" w:color="auto" w:fill="00249C"/>
          </w:tcPr>
          <w:p>
            <w:pPr>
              <w:spacing w:after="0"/>
              <w:rPr>
                <w:sz w:val="14"/>
                <w:szCs w:val="14"/>
                <w:color w:val="auto"/>
              </w:rPr>
            </w:pPr>
          </w:p>
        </w:tc>
      </w:tr>
      <w:tr>
        <w:trPr>
          <w:trHeight w:val="196"/>
        </w:trPr>
        <w:tc>
          <w:tcPr>
            <w:tcW w:w="260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 (1)</w:t>
            </w:r>
          </w:p>
        </w:tc>
        <w:tc>
          <w:tcPr>
            <w:tcW w:w="1880" w:type="dxa"/>
            <w:vAlign w:val="bottom"/>
            <w:tcBorders>
              <w:bottom w:val="single" w:sz="8" w:color="00249C"/>
            </w:tcBorders>
            <w:shd w:val="clear" w:color="auto" w:fill="00249C"/>
          </w:tcPr>
          <w:p>
            <w:pPr>
              <w:ind w:left="20"/>
              <w:spacing w:after="0"/>
              <w:rPr>
                <w:sz w:val="20"/>
                <w:szCs w:val="20"/>
                <w:color w:val="auto"/>
              </w:rPr>
            </w:pPr>
            <w:r>
              <w:rPr>
                <w:rFonts w:ascii="Arial" w:cs="Arial" w:eastAsia="Arial" w:hAnsi="Arial"/>
                <w:sz w:val="14"/>
                <w:szCs w:val="14"/>
                <w:b w:val="1"/>
                <w:bCs w:val="1"/>
                <w:color w:val="FFFFFF"/>
              </w:rPr>
              <w:t>Plan Name</w:t>
            </w:r>
          </w:p>
        </w:tc>
        <w:tc>
          <w:tcPr>
            <w:tcW w:w="2660" w:type="dxa"/>
            <w:vAlign w:val="bottom"/>
            <w:tcBorders>
              <w:bottom w:val="single" w:sz="8" w:color="00249C"/>
            </w:tcBorders>
            <w:shd w:val="clear" w:color="auto" w:fill="00249C"/>
          </w:tcPr>
          <w:p>
            <w:pPr>
              <w:jc w:val="center"/>
              <w:ind w:left="128"/>
              <w:spacing w:after="0"/>
              <w:rPr>
                <w:sz w:val="20"/>
                <w:szCs w:val="20"/>
                <w:color w:val="auto"/>
              </w:rPr>
            </w:pPr>
            <w:r>
              <w:rPr>
                <w:rFonts w:ascii="Arial" w:cs="Arial" w:eastAsia="Arial" w:hAnsi="Arial"/>
                <w:sz w:val="14"/>
                <w:szCs w:val="14"/>
                <w:b w:val="1"/>
                <w:bCs w:val="1"/>
                <w:color w:val="FFFFFF"/>
              </w:rPr>
              <w:t>(#)</w:t>
            </w:r>
          </w:p>
        </w:tc>
        <w:tc>
          <w:tcPr>
            <w:tcW w:w="2040" w:type="dxa"/>
            <w:vAlign w:val="bottom"/>
            <w:tcBorders>
              <w:bottom w:val="single" w:sz="8" w:color="00249C"/>
            </w:tcBorders>
            <w:shd w:val="clear" w:color="auto" w:fill="00249C"/>
          </w:tcPr>
          <w:p>
            <w:pPr>
              <w:jc w:val="center"/>
              <w:ind w:right="168"/>
              <w:spacing w:after="0"/>
              <w:rPr>
                <w:sz w:val="20"/>
                <w:szCs w:val="20"/>
                <w:color w:val="auto"/>
              </w:rPr>
            </w:pPr>
            <w:r>
              <w:rPr>
                <w:rFonts w:ascii="Arial" w:cs="Arial" w:eastAsia="Arial" w:hAnsi="Arial"/>
                <w:sz w:val="14"/>
                <w:szCs w:val="14"/>
                <w:b w:val="1"/>
                <w:bCs w:val="1"/>
                <w:color w:val="FFFFFF"/>
                <w:w w:val="93"/>
              </w:rPr>
              <w:t>($)</w:t>
            </w:r>
          </w:p>
        </w:tc>
        <w:tc>
          <w:tcPr>
            <w:tcW w:w="2060" w:type="dxa"/>
            <w:vAlign w:val="bottom"/>
            <w:tcBorders>
              <w:bottom w:val="single" w:sz="8" w:color="00249C"/>
            </w:tcBorders>
            <w:shd w:val="clear" w:color="auto" w:fill="00249C"/>
          </w:tcPr>
          <w:p>
            <w:pPr>
              <w:jc w:val="center"/>
              <w:ind w:right="8"/>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249C"/>
            </w:tcBorders>
            <w:shd w:val="clear" w:color="auto" w:fill="00249C"/>
          </w:tcPr>
          <w:p>
            <w:pPr>
              <w:spacing w:after="0"/>
              <w:rPr>
                <w:sz w:val="17"/>
                <w:szCs w:val="17"/>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6"/>
                <w:szCs w:val="16"/>
                <w:color w:val="auto"/>
              </w:rPr>
              <w:t>Kathy J. Warden</w:t>
            </w:r>
          </w:p>
        </w:tc>
        <w:tc>
          <w:tcPr>
            <w:tcW w:w="188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highlight w:val="lightGray"/>
              </w:rPr>
              <w:t>OSERP II</w:t>
            </w:r>
          </w:p>
        </w:tc>
        <w:tc>
          <w:tcPr>
            <w:tcW w:w="2660" w:type="dxa"/>
            <w:vAlign w:val="bottom"/>
            <w:tcBorders>
              <w:bottom w:val="single" w:sz="8" w:color="CCD4DB"/>
            </w:tcBorders>
            <w:shd w:val="clear" w:color="auto" w:fill="CCD4DB"/>
          </w:tcPr>
          <w:p>
            <w:pPr>
              <w:jc w:val="center"/>
              <w:ind w:left="108"/>
              <w:spacing w:after="0"/>
              <w:rPr>
                <w:sz w:val="20"/>
                <w:szCs w:val="20"/>
                <w:color w:val="auto"/>
              </w:rPr>
            </w:pPr>
            <w:r>
              <w:rPr>
                <w:rFonts w:ascii="Arial" w:cs="Arial" w:eastAsia="Arial" w:hAnsi="Arial"/>
                <w:sz w:val="14"/>
                <w:szCs w:val="14"/>
                <w:color w:val="auto"/>
              </w:rPr>
              <w:t>11.33</w:t>
            </w:r>
          </w:p>
        </w:tc>
        <w:tc>
          <w:tcPr>
            <w:tcW w:w="2040" w:type="dxa"/>
            <w:vAlign w:val="bottom"/>
            <w:tcBorders>
              <w:bottom w:val="single" w:sz="8" w:color="CCD4DB"/>
            </w:tcBorders>
            <w:shd w:val="clear" w:color="auto" w:fill="CCD4DB"/>
          </w:tcPr>
          <w:p>
            <w:pPr>
              <w:jc w:val="center"/>
              <w:ind w:right="168"/>
              <w:spacing w:after="0"/>
              <w:rPr>
                <w:sz w:val="20"/>
                <w:szCs w:val="20"/>
                <w:color w:val="auto"/>
              </w:rPr>
            </w:pPr>
            <w:r>
              <w:rPr>
                <w:rFonts w:ascii="Arial" w:cs="Arial" w:eastAsia="Arial" w:hAnsi="Arial"/>
                <w:sz w:val="14"/>
                <w:szCs w:val="14"/>
                <w:color w:val="auto"/>
              </w:rPr>
              <w:t>2,115,751</w:t>
            </w:r>
          </w:p>
        </w:tc>
        <w:tc>
          <w:tcPr>
            <w:tcW w:w="2060" w:type="dxa"/>
            <w:vAlign w:val="bottom"/>
            <w:tcBorders>
              <w:bottom w:val="single" w:sz="8" w:color="CCD4DB"/>
            </w:tcBorders>
            <w:shd w:val="clear" w:color="auto" w:fill="CCD4DB"/>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1"/>
                <w:szCs w:val="21"/>
                <w:color w:val="auto"/>
              </w:rPr>
            </w:pPr>
          </w:p>
        </w:tc>
      </w:tr>
      <w:tr>
        <w:trPr>
          <w:trHeight w:val="197"/>
        </w:trPr>
        <w:tc>
          <w:tcPr>
            <w:tcW w:w="2600" w:type="dxa"/>
            <w:vAlign w:val="bottom"/>
            <w:tcBorders>
              <w:top w:val="single" w:sz="8" w:color="00249C"/>
            </w:tcBorders>
          </w:tcPr>
          <w:p>
            <w:pPr>
              <w:spacing w:after="0"/>
              <w:rPr>
                <w:sz w:val="17"/>
                <w:szCs w:val="17"/>
                <w:color w:val="auto"/>
              </w:rPr>
            </w:pPr>
          </w:p>
        </w:tc>
        <w:tc>
          <w:tcPr>
            <w:tcW w:w="1880" w:type="dxa"/>
            <w:vAlign w:val="bottom"/>
            <w:tcBorders>
              <w:top w:val="single" w:sz="8" w:color="00249C"/>
            </w:tcBorders>
          </w:tcPr>
          <w:p>
            <w:pPr>
              <w:ind w:left="20"/>
              <w:spacing w:after="0"/>
              <w:rPr>
                <w:sz w:val="20"/>
                <w:szCs w:val="20"/>
                <w:color w:val="auto"/>
              </w:rPr>
            </w:pPr>
            <w:r>
              <w:rPr>
                <w:rFonts w:ascii="Arial" w:cs="Arial" w:eastAsia="Arial" w:hAnsi="Arial"/>
                <w:sz w:val="14"/>
                <w:szCs w:val="14"/>
                <w:color w:val="auto"/>
              </w:rPr>
              <w:t>S&amp;MS Pension Plan</w:t>
            </w:r>
          </w:p>
        </w:tc>
        <w:tc>
          <w:tcPr>
            <w:tcW w:w="2660" w:type="dxa"/>
            <w:vAlign w:val="bottom"/>
            <w:tcBorders>
              <w:top w:val="single" w:sz="8" w:color="00249C"/>
            </w:tcBorders>
          </w:tcPr>
          <w:p>
            <w:pPr>
              <w:jc w:val="center"/>
              <w:ind w:left="108"/>
              <w:spacing w:after="0"/>
              <w:rPr>
                <w:sz w:val="20"/>
                <w:szCs w:val="20"/>
                <w:color w:val="auto"/>
              </w:rPr>
            </w:pPr>
            <w:r>
              <w:rPr>
                <w:rFonts w:ascii="Arial" w:cs="Arial" w:eastAsia="Arial" w:hAnsi="Arial"/>
                <w:sz w:val="14"/>
                <w:szCs w:val="14"/>
                <w:color w:val="auto"/>
              </w:rPr>
              <w:t>17.50</w:t>
            </w:r>
          </w:p>
        </w:tc>
        <w:tc>
          <w:tcPr>
            <w:tcW w:w="2040" w:type="dxa"/>
            <w:vAlign w:val="bottom"/>
            <w:tcBorders>
              <w:top w:val="single" w:sz="8" w:color="00249C"/>
            </w:tcBorders>
          </w:tcPr>
          <w:p>
            <w:pPr>
              <w:jc w:val="center"/>
              <w:ind w:right="168"/>
              <w:spacing w:after="0"/>
              <w:rPr>
                <w:sz w:val="20"/>
                <w:szCs w:val="20"/>
                <w:color w:val="auto"/>
              </w:rPr>
            </w:pPr>
            <w:r>
              <w:rPr>
                <w:rFonts w:ascii="Arial" w:cs="Arial" w:eastAsia="Arial" w:hAnsi="Arial"/>
                <w:sz w:val="14"/>
                <w:szCs w:val="14"/>
                <w:color w:val="auto"/>
              </w:rPr>
              <w:t>680,817</w:t>
            </w:r>
          </w:p>
        </w:tc>
        <w:tc>
          <w:tcPr>
            <w:tcW w:w="2060" w:type="dxa"/>
            <w:vAlign w:val="bottom"/>
            <w:tcBorders>
              <w:top w:val="single" w:sz="8" w:color="00249C"/>
            </w:tcBorders>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r>
      <w:tr>
        <w:trPr>
          <w:trHeight w:val="208"/>
        </w:trPr>
        <w:tc>
          <w:tcPr>
            <w:tcW w:w="2600" w:type="dxa"/>
            <w:vAlign w:val="bottom"/>
          </w:tcPr>
          <w:p>
            <w:pPr>
              <w:ind w:left="40"/>
              <w:spacing w:after="0"/>
              <w:rPr>
                <w:sz w:val="20"/>
                <w:szCs w:val="20"/>
                <w:color w:val="auto"/>
              </w:rPr>
            </w:pPr>
            <w:r>
              <w:rPr>
                <w:rFonts w:ascii="Arial" w:cs="Arial" w:eastAsia="Arial" w:hAnsi="Arial"/>
                <w:sz w:val="16"/>
                <w:szCs w:val="16"/>
                <w:color w:val="auto"/>
              </w:rPr>
              <w:t>Mark A. Caylor</w:t>
            </w:r>
          </w:p>
        </w:tc>
        <w:tc>
          <w:tcPr>
            <w:tcW w:w="188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highlight w:val="lightGray"/>
              </w:rPr>
              <w:t>SRIP</w:t>
            </w:r>
          </w:p>
        </w:tc>
        <w:tc>
          <w:tcPr>
            <w:tcW w:w="2660" w:type="dxa"/>
            <w:vAlign w:val="bottom"/>
            <w:tcBorders>
              <w:bottom w:val="single" w:sz="8" w:color="CCD4DB"/>
            </w:tcBorders>
            <w:shd w:val="clear" w:color="auto" w:fill="CCD4DB"/>
          </w:tcPr>
          <w:p>
            <w:pPr>
              <w:jc w:val="center"/>
              <w:ind w:left="108"/>
              <w:spacing w:after="0"/>
              <w:rPr>
                <w:sz w:val="20"/>
                <w:szCs w:val="20"/>
                <w:color w:val="auto"/>
              </w:rPr>
            </w:pPr>
            <w:r>
              <w:rPr>
                <w:rFonts w:ascii="Arial" w:cs="Arial" w:eastAsia="Arial" w:hAnsi="Arial"/>
                <w:sz w:val="14"/>
                <w:szCs w:val="14"/>
                <w:color w:val="auto"/>
              </w:rPr>
              <w:t>17.50</w:t>
            </w:r>
          </w:p>
        </w:tc>
        <w:tc>
          <w:tcPr>
            <w:tcW w:w="2040" w:type="dxa"/>
            <w:vAlign w:val="bottom"/>
            <w:tcBorders>
              <w:bottom w:val="single" w:sz="8" w:color="CCD4DB"/>
            </w:tcBorders>
            <w:shd w:val="clear" w:color="auto" w:fill="CCD4DB"/>
          </w:tcPr>
          <w:p>
            <w:pPr>
              <w:jc w:val="center"/>
              <w:ind w:right="168"/>
              <w:spacing w:after="0"/>
              <w:rPr>
                <w:sz w:val="20"/>
                <w:szCs w:val="20"/>
                <w:color w:val="auto"/>
              </w:rPr>
            </w:pPr>
            <w:r>
              <w:rPr>
                <w:rFonts w:ascii="Arial" w:cs="Arial" w:eastAsia="Arial" w:hAnsi="Arial"/>
                <w:sz w:val="14"/>
                <w:szCs w:val="14"/>
                <w:color w:val="auto"/>
              </w:rPr>
              <w:t>1,582,230</w:t>
            </w:r>
          </w:p>
        </w:tc>
        <w:tc>
          <w:tcPr>
            <w:tcW w:w="2060" w:type="dxa"/>
            <w:vAlign w:val="bottom"/>
            <w:tcBorders>
              <w:bottom w:val="single" w:sz="8" w:color="CCD4DB"/>
            </w:tcBorders>
            <w:shd w:val="clear" w:color="auto" w:fill="CCD4DB"/>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r>
      <w:tr>
        <w:trPr>
          <w:trHeight w:val="210"/>
        </w:trPr>
        <w:tc>
          <w:tcPr>
            <w:tcW w:w="2600" w:type="dxa"/>
            <w:vAlign w:val="bottom"/>
            <w:tcBorders>
              <w:bottom w:val="single" w:sz="8" w:color="00249C"/>
            </w:tcBorders>
          </w:tcPr>
          <w:p>
            <w:pPr>
              <w:spacing w:after="0"/>
              <w:rPr>
                <w:sz w:val="18"/>
                <w:szCs w:val="18"/>
                <w:color w:val="auto"/>
              </w:rPr>
            </w:pPr>
          </w:p>
        </w:tc>
        <w:tc>
          <w:tcPr>
            <w:tcW w:w="188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OSERP</w:t>
            </w:r>
          </w:p>
        </w:tc>
        <w:tc>
          <w:tcPr>
            <w:tcW w:w="2660" w:type="dxa"/>
            <w:vAlign w:val="bottom"/>
            <w:tcBorders>
              <w:bottom w:val="single" w:sz="8" w:color="00249C"/>
            </w:tcBorders>
          </w:tcPr>
          <w:p>
            <w:pPr>
              <w:jc w:val="center"/>
              <w:ind w:left="108"/>
              <w:spacing w:after="0"/>
              <w:rPr>
                <w:sz w:val="20"/>
                <w:szCs w:val="20"/>
                <w:color w:val="auto"/>
              </w:rPr>
            </w:pPr>
            <w:r>
              <w:rPr>
                <w:rFonts w:ascii="Arial" w:cs="Arial" w:eastAsia="Arial" w:hAnsi="Arial"/>
                <w:sz w:val="14"/>
                <w:szCs w:val="14"/>
                <w:color w:val="auto"/>
              </w:rPr>
              <w:t>12.50</w:t>
            </w:r>
          </w:p>
        </w:tc>
        <w:tc>
          <w:tcPr>
            <w:tcW w:w="2040" w:type="dxa"/>
            <w:vAlign w:val="bottom"/>
            <w:tcBorders>
              <w:bottom w:val="single" w:sz="8" w:color="00249C"/>
            </w:tcBorders>
          </w:tcPr>
          <w:p>
            <w:pPr>
              <w:jc w:val="center"/>
              <w:ind w:right="168"/>
              <w:spacing w:after="0"/>
              <w:rPr>
                <w:sz w:val="20"/>
                <w:szCs w:val="20"/>
                <w:color w:val="auto"/>
              </w:rPr>
            </w:pPr>
            <w:r>
              <w:rPr>
                <w:rFonts w:ascii="Arial" w:cs="Arial" w:eastAsia="Arial" w:hAnsi="Arial"/>
                <w:sz w:val="14"/>
                <w:szCs w:val="14"/>
                <w:color w:val="auto"/>
              </w:rPr>
              <w:t>1,159,820</w:t>
            </w:r>
          </w:p>
        </w:tc>
        <w:tc>
          <w:tcPr>
            <w:tcW w:w="2060" w:type="dxa"/>
            <w:vAlign w:val="bottom"/>
            <w:tcBorders>
              <w:bottom w:val="single" w:sz="8" w:color="00249C"/>
            </w:tcBorders>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r>
      <w:tr>
        <w:trPr>
          <w:trHeight w:val="215"/>
        </w:trPr>
        <w:tc>
          <w:tcPr>
            <w:tcW w:w="2600" w:type="dxa"/>
            <w:vAlign w:val="bottom"/>
          </w:tcPr>
          <w:p>
            <w:pPr>
              <w:spacing w:after="0"/>
              <w:rPr>
                <w:sz w:val="18"/>
                <w:szCs w:val="18"/>
                <w:color w:val="auto"/>
              </w:rPr>
            </w:pPr>
          </w:p>
        </w:tc>
        <w:tc>
          <w:tcPr>
            <w:tcW w:w="1880" w:type="dxa"/>
            <w:vAlign w:val="bottom"/>
            <w:shd w:val="clear" w:color="auto" w:fill="CCD4DB"/>
          </w:tcPr>
          <w:p>
            <w:pPr>
              <w:ind w:left="20"/>
              <w:spacing w:after="0"/>
              <w:rPr>
                <w:sz w:val="20"/>
                <w:szCs w:val="20"/>
                <w:color w:val="auto"/>
              </w:rPr>
            </w:pPr>
            <w:r>
              <w:rPr>
                <w:rFonts w:ascii="Arial" w:cs="Arial" w:eastAsia="Arial" w:hAnsi="Arial"/>
                <w:sz w:val="14"/>
                <w:szCs w:val="14"/>
                <w:color w:val="auto"/>
              </w:rPr>
              <w:t>Pension Plan</w:t>
            </w:r>
          </w:p>
        </w:tc>
        <w:tc>
          <w:tcPr>
            <w:tcW w:w="2660" w:type="dxa"/>
            <w:vAlign w:val="bottom"/>
            <w:shd w:val="clear" w:color="auto" w:fill="CCD4DB"/>
          </w:tcPr>
          <w:p>
            <w:pPr>
              <w:jc w:val="center"/>
              <w:ind w:left="108"/>
              <w:spacing w:after="0"/>
              <w:rPr>
                <w:sz w:val="20"/>
                <w:szCs w:val="20"/>
                <w:color w:val="auto"/>
              </w:rPr>
            </w:pPr>
            <w:r>
              <w:rPr>
                <w:rFonts w:ascii="Arial" w:cs="Arial" w:eastAsia="Arial" w:hAnsi="Arial"/>
                <w:sz w:val="14"/>
                <w:szCs w:val="14"/>
                <w:color w:val="auto"/>
              </w:rPr>
              <w:t>15.08</w:t>
            </w:r>
          </w:p>
        </w:tc>
        <w:tc>
          <w:tcPr>
            <w:tcW w:w="2040" w:type="dxa"/>
            <w:vAlign w:val="bottom"/>
            <w:shd w:val="clear" w:color="auto" w:fill="CCD4DB"/>
          </w:tcPr>
          <w:p>
            <w:pPr>
              <w:jc w:val="center"/>
              <w:ind w:right="168"/>
              <w:spacing w:after="0"/>
              <w:rPr>
                <w:sz w:val="20"/>
                <w:szCs w:val="20"/>
                <w:color w:val="auto"/>
              </w:rPr>
            </w:pPr>
            <w:r>
              <w:rPr>
                <w:rFonts w:ascii="Arial" w:cs="Arial" w:eastAsia="Arial" w:hAnsi="Arial"/>
                <w:sz w:val="14"/>
                <w:szCs w:val="14"/>
                <w:color w:val="auto"/>
              </w:rPr>
              <w:t>441,674</w:t>
            </w:r>
          </w:p>
        </w:tc>
        <w:tc>
          <w:tcPr>
            <w:tcW w:w="206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r>
      <w:tr>
        <w:trPr>
          <w:trHeight w:val="213"/>
        </w:trPr>
        <w:tc>
          <w:tcPr>
            <w:tcW w:w="2600" w:type="dxa"/>
            <w:vAlign w:val="bottom"/>
          </w:tcPr>
          <w:p>
            <w:pPr>
              <w:ind w:left="40"/>
              <w:spacing w:after="0"/>
              <w:rPr>
                <w:sz w:val="20"/>
                <w:szCs w:val="20"/>
                <w:color w:val="auto"/>
              </w:rPr>
            </w:pPr>
            <w:r>
              <w:rPr>
                <w:rFonts w:ascii="Arial" w:cs="Arial" w:eastAsia="Arial" w:hAnsi="Arial"/>
                <w:sz w:val="16"/>
                <w:szCs w:val="16"/>
                <w:color w:val="auto"/>
              </w:rPr>
              <w:t>Christopher T. Jones</w:t>
            </w:r>
          </w:p>
        </w:tc>
        <w:tc>
          <w:tcPr>
            <w:tcW w:w="1880" w:type="dxa"/>
            <w:vAlign w:val="bottom"/>
          </w:tcPr>
          <w:p>
            <w:pPr>
              <w:ind w:left="20"/>
              <w:spacing w:after="0"/>
              <w:rPr>
                <w:sz w:val="20"/>
                <w:szCs w:val="20"/>
                <w:color w:val="auto"/>
              </w:rPr>
            </w:pPr>
            <w:r>
              <w:rPr>
                <w:rFonts w:ascii="Arial" w:cs="Arial" w:eastAsia="Arial" w:hAnsi="Arial"/>
                <w:sz w:val="14"/>
                <w:szCs w:val="14"/>
                <w:color w:val="auto"/>
              </w:rPr>
              <w:t>ERISA 2</w:t>
            </w:r>
          </w:p>
        </w:tc>
        <w:tc>
          <w:tcPr>
            <w:tcW w:w="2660" w:type="dxa"/>
            <w:vAlign w:val="bottom"/>
          </w:tcPr>
          <w:p>
            <w:pPr>
              <w:jc w:val="center"/>
              <w:ind w:left="108"/>
              <w:spacing w:after="0"/>
              <w:rPr>
                <w:sz w:val="20"/>
                <w:szCs w:val="20"/>
                <w:color w:val="auto"/>
              </w:rPr>
            </w:pPr>
            <w:r>
              <w:rPr>
                <w:rFonts w:ascii="Arial" w:cs="Arial" w:eastAsia="Arial" w:hAnsi="Arial"/>
                <w:sz w:val="14"/>
                <w:szCs w:val="14"/>
                <w:color w:val="auto"/>
              </w:rPr>
              <w:t>15.08</w:t>
            </w:r>
          </w:p>
        </w:tc>
        <w:tc>
          <w:tcPr>
            <w:tcW w:w="2040" w:type="dxa"/>
            <w:vAlign w:val="bottom"/>
          </w:tcPr>
          <w:p>
            <w:pPr>
              <w:jc w:val="center"/>
              <w:ind w:right="168"/>
              <w:spacing w:after="0"/>
              <w:rPr>
                <w:sz w:val="20"/>
                <w:szCs w:val="20"/>
                <w:color w:val="auto"/>
              </w:rPr>
            </w:pPr>
            <w:r>
              <w:rPr>
                <w:rFonts w:ascii="Arial" w:cs="Arial" w:eastAsia="Arial" w:hAnsi="Arial"/>
                <w:sz w:val="14"/>
                <w:szCs w:val="14"/>
                <w:color w:val="auto"/>
              </w:rPr>
              <w:t>880,449</w:t>
            </w:r>
          </w:p>
        </w:tc>
        <w:tc>
          <w:tcPr>
            <w:tcW w:w="206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r>
      <w:tr>
        <w:trPr>
          <w:trHeight w:val="213"/>
        </w:trPr>
        <w:tc>
          <w:tcPr>
            <w:tcW w:w="2600" w:type="dxa"/>
            <w:vAlign w:val="bottom"/>
            <w:tcBorders>
              <w:bottom w:val="single" w:sz="8" w:color="00249C"/>
            </w:tcBorders>
          </w:tcPr>
          <w:p>
            <w:pPr>
              <w:spacing w:after="0"/>
              <w:rPr>
                <w:sz w:val="18"/>
                <w:szCs w:val="18"/>
                <w:color w:val="auto"/>
              </w:rPr>
            </w:pPr>
          </w:p>
        </w:tc>
        <w:tc>
          <w:tcPr>
            <w:tcW w:w="188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4"/>
                <w:szCs w:val="14"/>
                <w:color w:val="auto"/>
              </w:rPr>
              <w:t>OSERP</w:t>
            </w:r>
          </w:p>
        </w:tc>
        <w:tc>
          <w:tcPr>
            <w:tcW w:w="2660" w:type="dxa"/>
            <w:vAlign w:val="bottom"/>
            <w:tcBorders>
              <w:bottom w:val="single" w:sz="8" w:color="00249C"/>
            </w:tcBorders>
            <w:shd w:val="clear" w:color="auto" w:fill="CCD4DB"/>
          </w:tcPr>
          <w:p>
            <w:pPr>
              <w:jc w:val="center"/>
              <w:ind w:left="108"/>
              <w:spacing w:after="0"/>
              <w:rPr>
                <w:sz w:val="20"/>
                <w:szCs w:val="20"/>
                <w:color w:val="auto"/>
              </w:rPr>
            </w:pPr>
            <w:r>
              <w:rPr>
                <w:rFonts w:ascii="Arial" w:cs="Arial" w:eastAsia="Arial" w:hAnsi="Arial"/>
                <w:sz w:val="14"/>
                <w:szCs w:val="14"/>
                <w:color w:val="auto"/>
              </w:rPr>
              <w:t>10.08</w:t>
            </w:r>
          </w:p>
        </w:tc>
        <w:tc>
          <w:tcPr>
            <w:tcW w:w="2040" w:type="dxa"/>
            <w:vAlign w:val="bottom"/>
            <w:tcBorders>
              <w:bottom w:val="single" w:sz="8" w:color="00249C"/>
            </w:tcBorders>
            <w:shd w:val="clear" w:color="auto" w:fill="CCD4DB"/>
          </w:tcPr>
          <w:p>
            <w:pPr>
              <w:jc w:val="center"/>
              <w:ind w:right="168"/>
              <w:spacing w:after="0"/>
              <w:rPr>
                <w:sz w:val="20"/>
                <w:szCs w:val="20"/>
                <w:color w:val="auto"/>
              </w:rPr>
            </w:pPr>
            <w:r>
              <w:rPr>
                <w:rFonts w:ascii="Arial" w:cs="Arial" w:eastAsia="Arial" w:hAnsi="Arial"/>
                <w:sz w:val="14"/>
                <w:szCs w:val="14"/>
                <w:color w:val="auto"/>
              </w:rPr>
              <w:t>1,622,250</w:t>
            </w:r>
          </w:p>
        </w:tc>
        <w:tc>
          <w:tcPr>
            <w:tcW w:w="2060" w:type="dxa"/>
            <w:vAlign w:val="bottom"/>
            <w:tcBorders>
              <w:bottom w:val="single" w:sz="8" w:color="00249C"/>
            </w:tcBorders>
            <w:shd w:val="clear" w:color="auto" w:fill="CCD4DB"/>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r>
      <w:tr>
        <w:trPr>
          <w:trHeight w:val="203"/>
        </w:trPr>
        <w:tc>
          <w:tcPr>
            <w:tcW w:w="2600" w:type="dxa"/>
            <w:vAlign w:val="bottom"/>
          </w:tcPr>
          <w:p>
            <w:pPr>
              <w:spacing w:after="0"/>
              <w:rPr>
                <w:sz w:val="17"/>
                <w:szCs w:val="17"/>
                <w:color w:val="auto"/>
              </w:rPr>
            </w:pPr>
          </w:p>
        </w:tc>
        <w:tc>
          <w:tcPr>
            <w:tcW w:w="1880" w:type="dxa"/>
            <w:vAlign w:val="bottom"/>
          </w:tcPr>
          <w:p>
            <w:pPr>
              <w:ind w:left="20"/>
              <w:spacing w:after="0"/>
              <w:rPr>
                <w:sz w:val="20"/>
                <w:szCs w:val="20"/>
                <w:color w:val="auto"/>
              </w:rPr>
            </w:pPr>
            <w:r>
              <w:rPr>
                <w:rFonts w:ascii="Arial" w:cs="Arial" w:eastAsia="Arial" w:hAnsi="Arial"/>
                <w:sz w:val="14"/>
                <w:szCs w:val="14"/>
                <w:color w:val="auto"/>
              </w:rPr>
              <w:t>Pension Plan</w:t>
            </w:r>
          </w:p>
        </w:tc>
        <w:tc>
          <w:tcPr>
            <w:tcW w:w="2660" w:type="dxa"/>
            <w:vAlign w:val="bottom"/>
          </w:tcPr>
          <w:p>
            <w:pPr>
              <w:jc w:val="center"/>
              <w:ind w:left="108"/>
              <w:spacing w:after="0"/>
              <w:rPr>
                <w:sz w:val="20"/>
                <w:szCs w:val="20"/>
                <w:color w:val="auto"/>
              </w:rPr>
            </w:pPr>
            <w:r>
              <w:rPr>
                <w:rFonts w:ascii="Arial" w:cs="Arial" w:eastAsia="Arial" w:hAnsi="Arial"/>
                <w:sz w:val="14"/>
                <w:szCs w:val="14"/>
                <w:color w:val="auto"/>
              </w:rPr>
              <w:t>33.00</w:t>
            </w:r>
          </w:p>
        </w:tc>
        <w:tc>
          <w:tcPr>
            <w:tcW w:w="2040" w:type="dxa"/>
            <w:vAlign w:val="bottom"/>
          </w:tcPr>
          <w:p>
            <w:pPr>
              <w:jc w:val="center"/>
              <w:ind w:right="168"/>
              <w:spacing w:after="0"/>
              <w:rPr>
                <w:sz w:val="20"/>
                <w:szCs w:val="20"/>
                <w:color w:val="auto"/>
              </w:rPr>
            </w:pPr>
            <w:r>
              <w:rPr>
                <w:rFonts w:ascii="Arial" w:cs="Arial" w:eastAsia="Arial" w:hAnsi="Arial"/>
                <w:sz w:val="14"/>
                <w:szCs w:val="14"/>
                <w:color w:val="auto"/>
              </w:rPr>
              <w:t>2,136,622</w:t>
            </w:r>
          </w:p>
        </w:tc>
        <w:tc>
          <w:tcPr>
            <w:tcW w:w="206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r>
      <w:tr>
        <w:trPr>
          <w:trHeight w:val="208"/>
        </w:trPr>
        <w:tc>
          <w:tcPr>
            <w:tcW w:w="2600" w:type="dxa"/>
            <w:vAlign w:val="bottom"/>
          </w:tcPr>
          <w:p>
            <w:pPr>
              <w:ind w:left="40"/>
              <w:spacing w:after="0"/>
              <w:rPr>
                <w:sz w:val="20"/>
                <w:szCs w:val="20"/>
                <w:color w:val="auto"/>
              </w:rPr>
            </w:pPr>
            <w:r>
              <w:rPr>
                <w:rFonts w:ascii="Arial" w:cs="Arial" w:eastAsia="Arial" w:hAnsi="Arial"/>
                <w:sz w:val="16"/>
                <w:szCs w:val="16"/>
                <w:color w:val="auto"/>
              </w:rPr>
              <w:t>Janis G. Pamiljans</w:t>
            </w:r>
          </w:p>
        </w:tc>
        <w:tc>
          <w:tcPr>
            <w:tcW w:w="188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highlight w:val="lightGray"/>
              </w:rPr>
              <w:t>ERISA 2</w:t>
            </w:r>
          </w:p>
        </w:tc>
        <w:tc>
          <w:tcPr>
            <w:tcW w:w="2660" w:type="dxa"/>
            <w:vAlign w:val="bottom"/>
            <w:tcBorders>
              <w:bottom w:val="single" w:sz="8" w:color="CCD4DB"/>
            </w:tcBorders>
            <w:shd w:val="clear" w:color="auto" w:fill="CCD4DB"/>
          </w:tcPr>
          <w:p>
            <w:pPr>
              <w:jc w:val="center"/>
              <w:ind w:left="108"/>
              <w:spacing w:after="0"/>
              <w:rPr>
                <w:sz w:val="20"/>
                <w:szCs w:val="20"/>
                <w:color w:val="auto"/>
              </w:rPr>
            </w:pPr>
            <w:r>
              <w:rPr>
                <w:rFonts w:ascii="Arial" w:cs="Arial" w:eastAsia="Arial" w:hAnsi="Arial"/>
                <w:sz w:val="14"/>
                <w:szCs w:val="14"/>
                <w:color w:val="auto"/>
              </w:rPr>
              <w:t>33.00</w:t>
            </w:r>
          </w:p>
        </w:tc>
        <w:tc>
          <w:tcPr>
            <w:tcW w:w="2040" w:type="dxa"/>
            <w:vAlign w:val="bottom"/>
            <w:tcBorders>
              <w:bottom w:val="single" w:sz="8" w:color="CCD4DB"/>
            </w:tcBorders>
            <w:shd w:val="clear" w:color="auto" w:fill="CCD4DB"/>
          </w:tcPr>
          <w:p>
            <w:pPr>
              <w:jc w:val="center"/>
              <w:ind w:right="168"/>
              <w:spacing w:after="0"/>
              <w:rPr>
                <w:sz w:val="20"/>
                <w:szCs w:val="20"/>
                <w:color w:val="auto"/>
              </w:rPr>
            </w:pPr>
            <w:r>
              <w:rPr>
                <w:rFonts w:ascii="Arial" w:cs="Arial" w:eastAsia="Arial" w:hAnsi="Arial"/>
                <w:sz w:val="14"/>
                <w:szCs w:val="14"/>
                <w:color w:val="auto"/>
              </w:rPr>
              <w:t>4,140,097</w:t>
            </w:r>
          </w:p>
        </w:tc>
        <w:tc>
          <w:tcPr>
            <w:tcW w:w="2060" w:type="dxa"/>
            <w:vAlign w:val="bottom"/>
            <w:tcBorders>
              <w:bottom w:val="single" w:sz="8" w:color="CCD4DB"/>
            </w:tcBorders>
            <w:shd w:val="clear" w:color="auto" w:fill="CCD4DB"/>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r>
      <w:tr>
        <w:trPr>
          <w:trHeight w:val="210"/>
        </w:trPr>
        <w:tc>
          <w:tcPr>
            <w:tcW w:w="2600" w:type="dxa"/>
            <w:vAlign w:val="bottom"/>
            <w:tcBorders>
              <w:bottom w:val="single" w:sz="8" w:color="00249C"/>
            </w:tcBorders>
          </w:tcPr>
          <w:p>
            <w:pPr>
              <w:spacing w:after="0"/>
              <w:rPr>
                <w:sz w:val="18"/>
                <w:szCs w:val="18"/>
                <w:color w:val="auto"/>
              </w:rPr>
            </w:pPr>
          </w:p>
        </w:tc>
        <w:tc>
          <w:tcPr>
            <w:tcW w:w="188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OSERP</w:t>
            </w:r>
          </w:p>
        </w:tc>
        <w:tc>
          <w:tcPr>
            <w:tcW w:w="2660" w:type="dxa"/>
            <w:vAlign w:val="bottom"/>
            <w:tcBorders>
              <w:bottom w:val="single" w:sz="8" w:color="00249C"/>
            </w:tcBorders>
          </w:tcPr>
          <w:p>
            <w:pPr>
              <w:jc w:val="center"/>
              <w:ind w:left="108"/>
              <w:spacing w:after="0"/>
              <w:rPr>
                <w:sz w:val="20"/>
                <w:szCs w:val="20"/>
                <w:color w:val="auto"/>
              </w:rPr>
            </w:pPr>
            <w:r>
              <w:rPr>
                <w:rFonts w:ascii="Arial" w:cs="Arial" w:eastAsia="Arial" w:hAnsi="Arial"/>
                <w:sz w:val="14"/>
                <w:szCs w:val="14"/>
                <w:color w:val="auto"/>
              </w:rPr>
              <w:t>28.00</w:t>
            </w:r>
          </w:p>
        </w:tc>
        <w:tc>
          <w:tcPr>
            <w:tcW w:w="2040" w:type="dxa"/>
            <w:vAlign w:val="bottom"/>
            <w:tcBorders>
              <w:bottom w:val="single" w:sz="8" w:color="00249C"/>
            </w:tcBorders>
          </w:tcPr>
          <w:p>
            <w:pPr>
              <w:jc w:val="center"/>
              <w:ind w:right="168"/>
              <w:spacing w:after="0"/>
              <w:rPr>
                <w:sz w:val="20"/>
                <w:szCs w:val="20"/>
                <w:color w:val="auto"/>
              </w:rPr>
            </w:pPr>
            <w:r>
              <w:rPr>
                <w:rFonts w:ascii="Arial" w:cs="Arial" w:eastAsia="Arial" w:hAnsi="Arial"/>
                <w:sz w:val="14"/>
                <w:szCs w:val="14"/>
                <w:color w:val="auto"/>
              </w:rPr>
              <w:t>37,611</w:t>
            </w:r>
          </w:p>
        </w:tc>
        <w:tc>
          <w:tcPr>
            <w:tcW w:w="2060" w:type="dxa"/>
            <w:vAlign w:val="bottom"/>
            <w:tcBorders>
              <w:bottom w:val="single" w:sz="8" w:color="00249C"/>
            </w:tcBorders>
          </w:tcPr>
          <w:p>
            <w:pPr>
              <w:jc w:val="center"/>
              <w:ind w:right="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r>
    </w:tbl>
    <w:p>
      <w:pPr>
        <w:spacing w:after="0" w:line="80" w:lineRule="exact"/>
        <w:rPr>
          <w:sz w:val="20"/>
          <w:szCs w:val="20"/>
          <w:color w:val="auto"/>
        </w:rPr>
      </w:pPr>
    </w:p>
    <w:p>
      <w:pPr>
        <w:ind w:left="420" w:right="240" w:hanging="412"/>
        <w:spacing w:after="0" w:line="261" w:lineRule="auto"/>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Bedingfield was hired after the Company's defined benefit pension plans were closed to new entrants, and as a result he does not participate in any defined benefit pension plans.</w:t>
      </w:r>
    </w:p>
    <w:p>
      <w:pPr>
        <w:spacing w:after="0" w:line="49" w:lineRule="exact"/>
        <w:rPr>
          <w:rFonts w:ascii="Arial" w:cs="Arial" w:eastAsia="Arial" w:hAnsi="Arial"/>
          <w:sz w:val="18"/>
          <w:szCs w:val="18"/>
          <w:color w:val="auto"/>
        </w:rPr>
      </w:pPr>
    </w:p>
    <w:p>
      <w:pPr>
        <w:ind w:left="420" w:right="60" w:hanging="412"/>
        <w:spacing w:after="0" w:line="263" w:lineRule="auto"/>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Credited service under OSERP for Mr. Caylor, Mr. Jones and Mr. Pamiljans is less than actual service because credited service under this plan stopped as of December 31, 2014. Each NEO's actual service is as follows: Ms. Warden: 11.33; Mr. Caylor: 17.50; Mr. Jones: 15.08; Mr. Pamiljans: 32.92.</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are calculated using the following assumptions:</w:t>
      </w:r>
    </w:p>
    <w:p>
      <w:pPr>
        <w:spacing w:after="0" w:line="80" w:lineRule="exact"/>
        <w:rPr>
          <w:rFonts w:ascii="Arial" w:cs="Arial" w:eastAsia="Arial" w:hAnsi="Arial"/>
          <w:sz w:val="18"/>
          <w:szCs w:val="18"/>
          <w:color w:val="auto"/>
        </w:rPr>
      </w:pPr>
    </w:p>
    <w:p>
      <w:pPr>
        <w:ind w:left="740" w:hanging="327"/>
        <w:spacing w:after="0"/>
        <w:tabs>
          <w:tab w:leader="none" w:pos="740" w:val="left"/>
        </w:tabs>
        <w:numPr>
          <w:ilvl w:val="1"/>
          <w:numId w:val="69"/>
        </w:numPr>
        <w:rPr>
          <w:rFonts w:ascii="Arial" w:cs="Arial" w:eastAsia="Arial" w:hAnsi="Arial"/>
          <w:sz w:val="22"/>
          <w:szCs w:val="22"/>
          <w:color w:val="00249C"/>
        </w:rPr>
      </w:pPr>
      <w:r>
        <w:rPr>
          <w:rFonts w:ascii="Arial" w:cs="Arial" w:eastAsia="Arial" w:hAnsi="Arial"/>
          <w:sz w:val="18"/>
          <w:szCs w:val="18"/>
          <w:color w:val="auto"/>
        </w:rPr>
        <w:t>The NEO retires on the earliest date he/she could receive an unreduced benefit under each plan;</w:t>
      </w:r>
    </w:p>
    <w:p>
      <w:pPr>
        <w:spacing w:after="0" w:line="84" w:lineRule="exact"/>
        <w:rPr>
          <w:rFonts w:ascii="Arial" w:cs="Arial" w:eastAsia="Arial" w:hAnsi="Arial"/>
          <w:sz w:val="22"/>
          <w:szCs w:val="22"/>
          <w:color w:val="00249C"/>
        </w:rPr>
      </w:pPr>
    </w:p>
    <w:p>
      <w:pPr>
        <w:ind w:left="740" w:hanging="327"/>
        <w:spacing w:after="0"/>
        <w:tabs>
          <w:tab w:leader="none" w:pos="740" w:val="left"/>
        </w:tabs>
        <w:numPr>
          <w:ilvl w:val="1"/>
          <w:numId w:val="69"/>
        </w:numPr>
        <w:rPr>
          <w:rFonts w:ascii="Arial" w:cs="Arial" w:eastAsia="Arial" w:hAnsi="Arial"/>
          <w:sz w:val="22"/>
          <w:szCs w:val="22"/>
          <w:color w:val="00249C"/>
        </w:rPr>
      </w:pPr>
      <w:r>
        <w:rPr>
          <w:rFonts w:ascii="Arial" w:cs="Arial" w:eastAsia="Arial" w:hAnsi="Arial"/>
          <w:sz w:val="18"/>
          <w:szCs w:val="18"/>
          <w:color w:val="auto"/>
        </w:rPr>
        <w:t>The form of payment is a single life annuity; and</w:t>
      </w:r>
    </w:p>
    <w:p>
      <w:pPr>
        <w:spacing w:after="0" w:line="120" w:lineRule="exact"/>
        <w:rPr>
          <w:rFonts w:ascii="Arial" w:cs="Arial" w:eastAsia="Arial" w:hAnsi="Arial"/>
          <w:sz w:val="22"/>
          <w:szCs w:val="22"/>
          <w:color w:val="00249C"/>
        </w:rPr>
      </w:pPr>
    </w:p>
    <w:p>
      <w:pPr>
        <w:ind w:left="740" w:right="100" w:hanging="327"/>
        <w:spacing w:after="0" w:line="272" w:lineRule="auto"/>
        <w:tabs>
          <w:tab w:leader="none" w:pos="740" w:val="left"/>
        </w:tabs>
        <w:numPr>
          <w:ilvl w:val="1"/>
          <w:numId w:val="69"/>
        </w:numPr>
        <w:rPr>
          <w:rFonts w:ascii="Arial" w:cs="Arial" w:eastAsia="Arial" w:hAnsi="Arial"/>
          <w:sz w:val="22"/>
          <w:szCs w:val="22"/>
          <w:color w:val="00249C"/>
        </w:rPr>
      </w:pPr>
      <w:r>
        <w:rPr>
          <w:rFonts w:ascii="Arial" w:cs="Arial" w:eastAsia="Arial" w:hAnsi="Arial"/>
          <w:sz w:val="18"/>
          <w:szCs w:val="18"/>
          <w:color w:val="auto"/>
        </w:rPr>
        <w:t>The discount rate is 3.37% for the Pension Plan, 3.44% for the S&amp;MS Pension Plan and 3.39% for all other plans. The mortality table is the Pri-2012 White Collar mortality table projected generationally with an adjusted version of Scale MP-2019. These are the same assumptions used for the valuation of benefits in the Company's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60"/>
          </w:cols>
          <w:pgMar w:left="320" w:top="701" w:right="319" w:bottom="1440" w:gutter="0" w:footer="0" w:header="0"/>
        </w:sectPr>
      </w:pPr>
    </w:p>
    <w:bookmarkStart w:id="65" w:name="page66"/>
    <w:bookmarkEnd w:id="65"/>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1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591185"/>
                    </a:xfrm>
                    <a:prstGeom prst="rect">
                      <a:avLst/>
                    </a:prstGeom>
                    <a:noFill/>
                  </pic:spPr>
                </pic:pic>
              </a:graphicData>
            </a:graphic>
          </wp:anchor>
        </w:drawing>
        <w:t>COMPENSATION TABLES | P</w:t>
      </w:r>
      <w:r>
        <w:rPr>
          <w:rFonts w:ascii="Arial" w:cs="Arial" w:eastAsia="Arial" w:hAnsi="Arial"/>
          <w:sz w:val="17"/>
          <w:szCs w:val="17"/>
          <w:b w:val="1"/>
          <w:bCs w:val="1"/>
          <w:color w:val="FFFFFF"/>
        </w:rPr>
        <w:t>ENSION</w:t>
      </w:r>
      <w:r>
        <w:rPr>
          <w:rFonts w:ascii="Arial" w:cs="Arial" w:eastAsia="Arial" w:hAnsi="Arial"/>
          <w:sz w:val="22"/>
          <w:szCs w:val="22"/>
          <w:b w:val="1"/>
          <w:bCs w:val="1"/>
          <w:color w:val="FFFFFF"/>
        </w:rPr>
        <w:t xml:space="preserve"> B</w:t>
      </w:r>
      <w:r>
        <w:rPr>
          <w:rFonts w:ascii="Arial" w:cs="Arial" w:eastAsia="Arial" w:hAnsi="Arial"/>
          <w:sz w:val="17"/>
          <w:szCs w:val="17"/>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Pension Plans and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Most of the pension plans were closed to new hires in 2008 or earlier. Prior to that time, the Company consolidated the pension plan provisions from diverse Heritage Formulas to various Cash Balance Formulas. Over time, the Company also transitioned officers, including NEOs, from SERPs to a deferred compensation plan, called the Officers Retirement Account Contribution Plan. In addition, all final average pay formulas were frozen as of December 31,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plans in which NEOs participate are listed below in alphabetical order.</w:t>
      </w:r>
    </w:p>
    <w:p>
      <w:pPr>
        <w:spacing w:after="0" w:line="95" w:lineRule="exact"/>
        <w:rPr>
          <w:sz w:val="20"/>
          <w:szCs w:val="20"/>
          <w:color w:val="auto"/>
        </w:rPr>
      </w:pPr>
    </w:p>
    <w:p>
      <w:pPr>
        <w:ind w:left="340" w:right="20" w:hanging="332"/>
        <w:spacing w:after="0" w:line="281" w:lineRule="auto"/>
        <w:tabs>
          <w:tab w:leader="none" w:pos="340" w:val="left"/>
        </w:tabs>
        <w:numPr>
          <w:ilvl w:val="0"/>
          <w:numId w:val="70"/>
        </w:numPr>
        <w:rPr>
          <w:rFonts w:ascii="Arial" w:cs="Arial" w:eastAsia="Arial" w:hAnsi="Arial"/>
          <w:sz w:val="22"/>
          <w:szCs w:val="22"/>
          <w:color w:val="00249C"/>
        </w:rPr>
      </w:pPr>
      <w:r>
        <w:rPr>
          <w:rFonts w:ascii="Arial" w:cs="Arial" w:eastAsia="Arial" w:hAnsi="Arial"/>
          <w:sz w:val="18"/>
          <w:szCs w:val="18"/>
          <w:b w:val="1"/>
          <w:bCs w:val="1"/>
          <w:color w:val="auto"/>
        </w:rPr>
        <w:t xml:space="preserve">ERISA 2 </w:t>
      </w:r>
      <w:r>
        <w:rPr>
          <w:rFonts w:ascii="Arial" w:cs="Arial" w:eastAsia="Arial" w:hAnsi="Arial"/>
          <w:sz w:val="18"/>
          <w:szCs w:val="18"/>
          <w:color w:val="auto"/>
        </w:rPr>
        <w:t>is the ERISA Supplemental Program 2. This plan makes participants whole for benefits they lose under the Pension Plan due to</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Internal Revenue Code limits.</w:t>
      </w:r>
    </w:p>
    <w:p>
      <w:pPr>
        <w:spacing w:after="0" w:line="55" w:lineRule="exact"/>
        <w:rPr>
          <w:rFonts w:ascii="Arial" w:cs="Arial" w:eastAsia="Arial" w:hAnsi="Arial"/>
          <w:sz w:val="22"/>
          <w:szCs w:val="22"/>
          <w:color w:val="00249C"/>
        </w:rPr>
      </w:pPr>
    </w:p>
    <w:p>
      <w:pPr>
        <w:ind w:left="340" w:right="540" w:hanging="332"/>
        <w:spacing w:after="0" w:line="281" w:lineRule="auto"/>
        <w:tabs>
          <w:tab w:leader="none" w:pos="340" w:val="left"/>
        </w:tabs>
        <w:numPr>
          <w:ilvl w:val="0"/>
          <w:numId w:val="70"/>
        </w:numPr>
        <w:rPr>
          <w:rFonts w:ascii="Arial" w:cs="Arial" w:eastAsia="Arial" w:hAnsi="Arial"/>
          <w:sz w:val="22"/>
          <w:szCs w:val="22"/>
          <w:color w:val="00249C"/>
        </w:rPr>
      </w:pPr>
      <w:r>
        <w:rPr>
          <w:rFonts w:ascii="Arial" w:cs="Arial" w:eastAsia="Arial" w:hAnsi="Arial"/>
          <w:sz w:val="18"/>
          <w:szCs w:val="18"/>
          <w:b w:val="1"/>
          <w:bCs w:val="1"/>
          <w:color w:val="auto"/>
        </w:rPr>
        <w:t xml:space="preserve">OSERP </w:t>
      </w:r>
      <w:r>
        <w:rPr>
          <w:rFonts w:ascii="Arial" w:cs="Arial" w:eastAsia="Arial" w:hAnsi="Arial"/>
          <w:sz w:val="18"/>
          <w:szCs w:val="18"/>
          <w:color w:val="auto"/>
        </w:rPr>
        <w:t>is the Officers Supplemental Executive Retirement Program. This plan provides a supplemental pension benefit for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officers.</w:t>
      </w:r>
    </w:p>
    <w:p>
      <w:pPr>
        <w:spacing w:after="0" w:line="55" w:lineRule="exact"/>
        <w:rPr>
          <w:rFonts w:ascii="Arial" w:cs="Arial" w:eastAsia="Arial" w:hAnsi="Arial"/>
          <w:sz w:val="22"/>
          <w:szCs w:val="22"/>
          <w:color w:val="00249C"/>
        </w:rPr>
      </w:pPr>
    </w:p>
    <w:p>
      <w:pPr>
        <w:ind w:left="340" w:right="540" w:hanging="332"/>
        <w:spacing w:after="0" w:line="281" w:lineRule="auto"/>
        <w:tabs>
          <w:tab w:leader="none" w:pos="340" w:val="left"/>
        </w:tabs>
        <w:numPr>
          <w:ilvl w:val="0"/>
          <w:numId w:val="70"/>
        </w:numPr>
        <w:rPr>
          <w:rFonts w:ascii="Arial" w:cs="Arial" w:eastAsia="Arial" w:hAnsi="Arial"/>
          <w:sz w:val="22"/>
          <w:szCs w:val="22"/>
          <w:color w:val="00249C"/>
        </w:rPr>
      </w:pPr>
      <w:r>
        <w:rPr>
          <w:rFonts w:ascii="Arial" w:cs="Arial" w:eastAsia="Arial" w:hAnsi="Arial"/>
          <w:sz w:val="18"/>
          <w:szCs w:val="18"/>
          <w:b w:val="1"/>
          <w:bCs w:val="1"/>
          <w:color w:val="auto"/>
        </w:rPr>
        <w:t xml:space="preserve">OSERP II </w:t>
      </w:r>
      <w:r>
        <w:rPr>
          <w:rFonts w:ascii="Arial" w:cs="Arial" w:eastAsia="Arial" w:hAnsi="Arial"/>
          <w:sz w:val="18"/>
          <w:szCs w:val="18"/>
          <w:color w:val="auto"/>
        </w:rPr>
        <w:t>is the Officers Supplemental Executive Retirement Program II. This plan provides a pension benefit for certain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55" w:lineRule="exact"/>
        <w:rPr>
          <w:rFonts w:ascii="Arial" w:cs="Arial" w:eastAsia="Arial" w:hAnsi="Arial"/>
          <w:sz w:val="22"/>
          <w:szCs w:val="22"/>
          <w:color w:val="00249C"/>
        </w:rPr>
      </w:pPr>
    </w:p>
    <w:p>
      <w:pPr>
        <w:ind w:left="340" w:right="880" w:hanging="332"/>
        <w:spacing w:after="0" w:line="281" w:lineRule="auto"/>
        <w:tabs>
          <w:tab w:leader="none" w:pos="340" w:val="left"/>
        </w:tabs>
        <w:numPr>
          <w:ilvl w:val="0"/>
          <w:numId w:val="70"/>
        </w:numPr>
        <w:rPr>
          <w:rFonts w:ascii="Arial" w:cs="Arial" w:eastAsia="Arial" w:hAnsi="Arial"/>
          <w:sz w:val="22"/>
          <w:szCs w:val="22"/>
          <w:color w:val="00249C"/>
        </w:rPr>
      </w:pPr>
      <w:r>
        <w:rPr>
          <w:rFonts w:ascii="Arial" w:cs="Arial" w:eastAsia="Arial" w:hAnsi="Arial"/>
          <w:sz w:val="18"/>
          <w:szCs w:val="18"/>
          <w:b w:val="1"/>
          <w:bCs w:val="1"/>
          <w:color w:val="auto"/>
        </w:rPr>
        <w:t xml:space="preserve">Pension Plan </w:t>
      </w:r>
      <w:r>
        <w:rPr>
          <w:rFonts w:ascii="Arial" w:cs="Arial" w:eastAsia="Arial" w:hAnsi="Arial"/>
          <w:sz w:val="18"/>
          <w:szCs w:val="18"/>
          <w:color w:val="auto"/>
        </w:rPr>
        <w:t>is the Northrop Grumman Pension Plan. This is a tax qualified pension plan covering a broad base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w:t>
      </w:r>
    </w:p>
    <w:p>
      <w:pPr>
        <w:spacing w:after="0" w:line="55" w:lineRule="exact"/>
        <w:rPr>
          <w:rFonts w:ascii="Arial" w:cs="Arial" w:eastAsia="Arial" w:hAnsi="Arial"/>
          <w:sz w:val="22"/>
          <w:szCs w:val="22"/>
          <w:color w:val="00249C"/>
        </w:rPr>
      </w:pPr>
    </w:p>
    <w:p>
      <w:pPr>
        <w:ind w:left="340" w:right="320" w:hanging="332"/>
        <w:spacing w:after="0" w:line="281" w:lineRule="auto"/>
        <w:tabs>
          <w:tab w:leader="none" w:pos="340" w:val="left"/>
        </w:tabs>
        <w:numPr>
          <w:ilvl w:val="0"/>
          <w:numId w:val="70"/>
        </w:numPr>
        <w:rPr>
          <w:rFonts w:ascii="Arial" w:cs="Arial" w:eastAsia="Arial" w:hAnsi="Arial"/>
          <w:sz w:val="22"/>
          <w:szCs w:val="22"/>
          <w:color w:val="00249C"/>
        </w:rPr>
      </w:pPr>
      <w:r>
        <w:rPr>
          <w:rFonts w:ascii="Arial" w:cs="Arial" w:eastAsia="Arial" w:hAnsi="Arial"/>
          <w:sz w:val="18"/>
          <w:szCs w:val="18"/>
          <w:b w:val="1"/>
          <w:bCs w:val="1"/>
          <w:color w:val="auto"/>
        </w:rPr>
        <w:t xml:space="preserve">S&amp;MS Pension Plan </w:t>
      </w:r>
      <w:r>
        <w:rPr>
          <w:rFonts w:ascii="Arial" w:cs="Arial" w:eastAsia="Arial" w:hAnsi="Arial"/>
          <w:sz w:val="18"/>
          <w:szCs w:val="18"/>
          <w:color w:val="auto"/>
        </w:rPr>
        <w:t>is the Northrop Grumman Space &amp; Mission Systems Salaried Pension Plan. This is a tax qualified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a broad base of Company employees.</w:t>
      </w:r>
    </w:p>
    <w:p>
      <w:pPr>
        <w:spacing w:after="0" w:line="55" w:lineRule="exact"/>
        <w:rPr>
          <w:rFonts w:ascii="Arial" w:cs="Arial" w:eastAsia="Arial" w:hAnsi="Arial"/>
          <w:sz w:val="22"/>
          <w:szCs w:val="22"/>
          <w:color w:val="00249C"/>
        </w:rPr>
      </w:pPr>
    </w:p>
    <w:p>
      <w:pPr>
        <w:ind w:left="340" w:right="40" w:hanging="332"/>
        <w:spacing w:after="0" w:line="281" w:lineRule="auto"/>
        <w:tabs>
          <w:tab w:leader="none" w:pos="340" w:val="left"/>
        </w:tabs>
        <w:numPr>
          <w:ilvl w:val="0"/>
          <w:numId w:val="70"/>
        </w:numPr>
        <w:rPr>
          <w:rFonts w:ascii="Arial" w:cs="Arial" w:eastAsia="Arial" w:hAnsi="Arial"/>
          <w:sz w:val="22"/>
          <w:szCs w:val="22"/>
          <w:color w:val="00249C"/>
        </w:rPr>
      </w:pPr>
      <w:r>
        <w:rPr>
          <w:rFonts w:ascii="Arial" w:cs="Arial" w:eastAsia="Arial" w:hAnsi="Arial"/>
          <w:sz w:val="18"/>
          <w:szCs w:val="18"/>
          <w:b w:val="1"/>
          <w:bCs w:val="1"/>
          <w:color w:val="auto"/>
        </w:rPr>
        <w:t xml:space="preserve">SRIP </w:t>
      </w:r>
      <w:r>
        <w:rPr>
          <w:rFonts w:ascii="Arial" w:cs="Arial" w:eastAsia="Arial" w:hAnsi="Arial"/>
          <w:sz w:val="18"/>
          <w:szCs w:val="18"/>
          <w:color w:val="auto"/>
        </w:rPr>
        <w:t>is the Northrop Grumman Supplementary Retirement Income Plan. This plan makes participants whole for benefits they lose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S&amp;MS Pension Plan due to certain Internal Revenue Code limits.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Pension Plan and S&amp;MS Pension Plan (Tax Qualified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Due to acquisitions, the Company acquired various pension plans with different types of pension formulas (Heritage Formulas). These are described in detail in the Heritage Formulas table that follows. Prior to 2005, the Company transitioned the various Heritage Formulas in these plans to a Cash Balance Formula. The Cash Balance Formula is a percentage of pay credited to a hypothetical account, which grows with interest. At retirement, the Cash Balance Account is converted to a monthly pension benefit (further information is included in the Cash Balance Formula section below). Except as provided below, the final benefit from each plan is the sum of the two formulas: the Heritage Formula benefit plus the Cash Balance Formula benefit.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explains the formulas applicable to each NEO:</w:t>
      </w:r>
    </w:p>
    <w:p>
      <w:pPr>
        <w:spacing w:after="0" w:line="81"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22"/>
          <w:szCs w:val="22"/>
          <w:color w:val="00249C"/>
        </w:rPr>
      </w:pPr>
      <w:r>
        <w:rPr>
          <w:rFonts w:ascii="Arial" w:cs="Arial" w:eastAsia="Arial" w:hAnsi="Arial"/>
          <w:sz w:val="18"/>
          <w:szCs w:val="18"/>
          <w:color w:val="auto"/>
        </w:rPr>
        <w:t>Mr. Caylor receives a benefit under a Heritage Formula and a Cash Balance Formula in the S&amp;MS Pension Plan.</w:t>
      </w:r>
    </w:p>
    <w:p>
      <w:pPr>
        <w:spacing w:after="0" w:line="107" w:lineRule="exact"/>
        <w:rPr>
          <w:rFonts w:ascii="Arial" w:cs="Arial" w:eastAsia="Arial" w:hAnsi="Arial"/>
          <w:sz w:val="22"/>
          <w:szCs w:val="22"/>
          <w:color w:val="00249C"/>
        </w:rPr>
      </w:pPr>
    </w:p>
    <w:p>
      <w:pPr>
        <w:ind w:left="340" w:right="540" w:hanging="332"/>
        <w:spacing w:after="0" w:line="271" w:lineRule="auto"/>
        <w:tabs>
          <w:tab w:leader="none" w:pos="340" w:val="left"/>
        </w:tabs>
        <w:numPr>
          <w:ilvl w:val="0"/>
          <w:numId w:val="71"/>
        </w:numPr>
        <w:rPr>
          <w:rFonts w:ascii="Arial" w:cs="Arial" w:eastAsia="Arial" w:hAnsi="Arial"/>
          <w:sz w:val="22"/>
          <w:szCs w:val="22"/>
          <w:color w:val="00249C"/>
        </w:rPr>
      </w:pPr>
      <w:r>
        <w:rPr>
          <w:rFonts w:ascii="Arial" w:cs="Arial" w:eastAsia="Arial" w:hAnsi="Arial"/>
          <w:sz w:val="18"/>
          <w:szCs w:val="18"/>
          <w:color w:val="auto"/>
        </w:rPr>
        <w:t>Due to his date of hire, Mr. Jones does not receive a benefit under a Heritage Formula; he receives a benefit under a Cash Balance Formula in the Pension Plan.</w:t>
      </w:r>
    </w:p>
    <w:p>
      <w:pPr>
        <w:spacing w:after="0" w:line="52" w:lineRule="exact"/>
        <w:rPr>
          <w:rFonts w:ascii="Arial" w:cs="Arial" w:eastAsia="Arial" w:hAnsi="Arial"/>
          <w:sz w:val="22"/>
          <w:szCs w:val="22"/>
          <w:color w:val="00249C"/>
        </w:rPr>
      </w:pPr>
    </w:p>
    <w:p>
      <w:pPr>
        <w:ind w:left="340" w:hanging="332"/>
        <w:spacing w:after="0"/>
        <w:tabs>
          <w:tab w:leader="none" w:pos="340" w:val="left"/>
        </w:tabs>
        <w:numPr>
          <w:ilvl w:val="0"/>
          <w:numId w:val="71"/>
        </w:numPr>
        <w:rPr>
          <w:rFonts w:ascii="Arial" w:cs="Arial" w:eastAsia="Arial" w:hAnsi="Arial"/>
          <w:sz w:val="22"/>
          <w:szCs w:val="22"/>
          <w:color w:val="00249C"/>
        </w:rPr>
      </w:pPr>
      <w:r>
        <w:rPr>
          <w:rFonts w:ascii="Arial" w:cs="Arial" w:eastAsia="Arial" w:hAnsi="Arial"/>
          <w:sz w:val="18"/>
          <w:szCs w:val="18"/>
          <w:color w:val="auto"/>
        </w:rPr>
        <w:t>Mr. Pamiljans receives a benefit under a Heritage Formula and a Cash Balance Formula in the Pension Plan.</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59</w:t>
      </w:r>
    </w:p>
    <w:p>
      <w:pPr>
        <w:sectPr>
          <w:pgSz w:w="11900" w:h="16838" w:orient="portrait"/>
          <w:cols w:equalWidth="0" w:num="1">
            <w:col w:w="11240"/>
          </w:cols>
          <w:pgMar w:left="320" w:top="701" w:right="339" w:bottom="1440" w:gutter="0" w:footer="0" w:header="0"/>
        </w:sectPr>
      </w:pPr>
    </w:p>
    <w:bookmarkStart w:id="66" w:name="page67"/>
    <w:bookmarkEnd w:id="66"/>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8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TABLES | P</w:t>
      </w:r>
      <w:r>
        <w:rPr>
          <w:rFonts w:ascii="Arial" w:cs="Arial" w:eastAsia="Arial" w:hAnsi="Arial"/>
          <w:sz w:val="17"/>
          <w:szCs w:val="17"/>
          <w:b w:val="1"/>
          <w:bCs w:val="1"/>
          <w:color w:val="FFFFFF"/>
        </w:rPr>
        <w:t>ENSION</w:t>
      </w:r>
      <w:r>
        <w:rPr>
          <w:rFonts w:ascii="Arial" w:cs="Arial" w:eastAsia="Arial" w:hAnsi="Arial"/>
          <w:sz w:val="22"/>
          <w:szCs w:val="22"/>
          <w:b w:val="1"/>
          <w:bCs w:val="1"/>
          <w:color w:val="FFFFFF"/>
        </w:rPr>
        <w:t xml:space="preserve"> B</w:t>
      </w:r>
      <w:r>
        <w:rPr>
          <w:rFonts w:ascii="Arial" w:cs="Arial" w:eastAsia="Arial" w:hAnsi="Arial"/>
          <w:sz w:val="17"/>
          <w:szCs w:val="17"/>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Heritage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key features of the Heritage Formulas applicable to the eligible NEOs.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62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Feature</w:t>
            </w:r>
          </w:p>
        </w:tc>
        <w:tc>
          <w:tcPr>
            <w:tcW w:w="39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Pension Plan</w:t>
            </w:r>
          </w:p>
        </w:tc>
        <w:tc>
          <w:tcPr>
            <w:tcW w:w="372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S&amp;MS Pension Plan</w:t>
            </w:r>
          </w:p>
        </w:tc>
        <w:tc>
          <w:tcPr>
            <w:tcW w:w="20" w:type="dxa"/>
            <w:vAlign w:val="bottom"/>
            <w:tcBorders>
              <w:bottom w:val="single" w:sz="8" w:color="00249C"/>
            </w:tcBorders>
            <w:shd w:val="clear" w:color="auto" w:fill="00249C"/>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D4DB"/>
          </w:tcPr>
          <w:p>
            <w:pPr>
              <w:spacing w:after="0"/>
              <w:rPr>
                <w:sz w:val="16"/>
                <w:szCs w:val="16"/>
                <w:color w:val="auto"/>
              </w:rPr>
            </w:pPr>
          </w:p>
        </w:tc>
        <w:tc>
          <w:tcPr>
            <w:tcW w:w="39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Final Average Pay x 1.6667% times Pre-July 1, 2003</w:t>
            </w:r>
          </w:p>
        </w:tc>
        <w:tc>
          <w:tcPr>
            <w:tcW w:w="37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(Final Average Pay x 1.5% minus Covered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62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auto"/>
              </w:rPr>
              <w:t>Benefit Formula</w:t>
            </w:r>
          </w:p>
        </w:tc>
        <w:tc>
          <w:tcPr>
            <w:tcW w:w="3900" w:type="dxa"/>
            <w:vAlign w:val="bottom"/>
            <w:vMerge w:val="continue"/>
            <w:shd w:val="clear" w:color="auto" w:fill="CCD4DB"/>
          </w:tcPr>
          <w:p>
            <w:pPr>
              <w:spacing w:after="0"/>
              <w:rPr>
                <w:sz w:val="7"/>
                <w:szCs w:val="7"/>
                <w:color w:val="auto"/>
              </w:rPr>
            </w:pPr>
          </w:p>
        </w:tc>
        <w:tc>
          <w:tcPr>
            <w:tcW w:w="37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Compensation x 0.4%) times Pre- January 1, 2005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20" w:type="dxa"/>
            <w:vAlign w:val="bottom"/>
            <w:vMerge w:val="continue"/>
            <w:shd w:val="clear" w:color="auto" w:fill="CCD4DB"/>
          </w:tcPr>
          <w:p>
            <w:pPr>
              <w:spacing w:after="0"/>
              <w:rPr>
                <w:sz w:val="7"/>
                <w:szCs w:val="7"/>
                <w:color w:val="auto"/>
              </w:rPr>
            </w:pPr>
          </w:p>
        </w:tc>
        <w:tc>
          <w:tcPr>
            <w:tcW w:w="39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service</w:t>
            </w:r>
          </w:p>
        </w:tc>
        <w:tc>
          <w:tcPr>
            <w:tcW w:w="3720" w:type="dxa"/>
            <w:vAlign w:val="bottom"/>
            <w:vMerge w:val="continue"/>
            <w:shd w:val="clear" w:color="auto" w:fill="CCD4DB"/>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620" w:type="dxa"/>
            <w:vAlign w:val="bottom"/>
            <w:shd w:val="clear" w:color="auto" w:fill="CCD4DB"/>
          </w:tcPr>
          <w:p>
            <w:pPr>
              <w:spacing w:after="0"/>
              <w:rPr>
                <w:sz w:val="7"/>
                <w:szCs w:val="7"/>
                <w:color w:val="auto"/>
              </w:rPr>
            </w:pPr>
          </w:p>
        </w:tc>
        <w:tc>
          <w:tcPr>
            <w:tcW w:w="3900" w:type="dxa"/>
            <w:vAlign w:val="bottom"/>
            <w:vMerge w:val="continue"/>
            <w:shd w:val="clear" w:color="auto" w:fill="CCD4DB"/>
          </w:tcPr>
          <w:p>
            <w:pPr>
              <w:spacing w:after="0"/>
              <w:rPr>
                <w:sz w:val="7"/>
                <w:szCs w:val="7"/>
                <w:color w:val="auto"/>
              </w:rPr>
            </w:pPr>
          </w:p>
        </w:tc>
        <w:tc>
          <w:tcPr>
            <w:tcW w:w="37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service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20" w:type="dxa"/>
            <w:vAlign w:val="bottom"/>
            <w:shd w:val="clear" w:color="auto" w:fill="CCD4DB"/>
          </w:tcPr>
          <w:p>
            <w:pPr>
              <w:spacing w:after="0"/>
              <w:rPr>
                <w:sz w:val="8"/>
                <w:szCs w:val="8"/>
                <w:color w:val="auto"/>
              </w:rPr>
            </w:pPr>
          </w:p>
        </w:tc>
        <w:tc>
          <w:tcPr>
            <w:tcW w:w="3900" w:type="dxa"/>
            <w:vAlign w:val="bottom"/>
            <w:shd w:val="clear" w:color="auto" w:fill="CCD4DB"/>
          </w:tcPr>
          <w:p>
            <w:pPr>
              <w:spacing w:after="0"/>
              <w:rPr>
                <w:sz w:val="8"/>
                <w:szCs w:val="8"/>
                <w:color w:val="auto"/>
              </w:rPr>
            </w:pPr>
          </w:p>
        </w:tc>
        <w:tc>
          <w:tcPr>
            <w:tcW w:w="3720" w:type="dxa"/>
            <w:vAlign w:val="bottom"/>
            <w:vMerge w:val="continue"/>
            <w:shd w:val="clear" w:color="auto" w:fill="CCD4D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36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4"/>
                <w:szCs w:val="14"/>
                <w:color w:val="auto"/>
              </w:rPr>
              <w:t>Average of the highest 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tcPr>
          <w:p>
            <w:pPr>
              <w:ind w:left="40"/>
              <w:spacing w:after="0"/>
              <w:rPr>
                <w:sz w:val="20"/>
                <w:szCs w:val="20"/>
                <w:color w:val="auto"/>
              </w:rPr>
            </w:pPr>
            <w:r>
              <w:rPr>
                <w:rFonts w:ascii="Arial" w:cs="Arial" w:eastAsia="Arial" w:hAnsi="Arial"/>
                <w:sz w:val="14"/>
                <w:szCs w:val="14"/>
                <w:color w:val="auto"/>
              </w:rPr>
              <w:t>Final Average Pay (1)</w:t>
            </w:r>
          </w:p>
        </w:tc>
        <w:tc>
          <w:tcPr>
            <w:tcW w:w="3900" w:type="dxa"/>
            <w:vAlign w:val="bottom"/>
          </w:tcPr>
          <w:p>
            <w:pPr>
              <w:jc w:val="center"/>
              <w:spacing w:after="0"/>
              <w:rPr>
                <w:sz w:val="20"/>
                <w:szCs w:val="20"/>
                <w:color w:val="auto"/>
              </w:rPr>
            </w:pPr>
            <w:r>
              <w:rPr>
                <w:rFonts w:ascii="Arial" w:cs="Arial" w:eastAsia="Arial" w:hAnsi="Arial"/>
                <w:sz w:val="14"/>
                <w:szCs w:val="14"/>
                <w:color w:val="auto"/>
              </w:rPr>
              <w:t>Average of highest 3 years of Eligible Pay</w:t>
            </w:r>
          </w:p>
        </w:tc>
        <w:tc>
          <w:tcPr>
            <w:tcW w:w="3720" w:type="dxa"/>
            <w:vAlign w:val="bottom"/>
          </w:tcPr>
          <w:p>
            <w:pPr>
              <w:jc w:val="center"/>
              <w:spacing w:after="0"/>
              <w:rPr>
                <w:sz w:val="20"/>
                <w:szCs w:val="20"/>
                <w:color w:val="auto"/>
              </w:rPr>
            </w:pPr>
            <w:r>
              <w:rPr>
                <w:rFonts w:ascii="Arial" w:cs="Arial" w:eastAsia="Arial" w:hAnsi="Arial"/>
                <w:sz w:val="14"/>
                <w:szCs w:val="14"/>
                <w:color w:val="auto"/>
              </w:rPr>
              <w:t>consecutive years of Eligible Pay; Covered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Arial" w:cs="Arial" w:eastAsia="Arial" w:hAnsi="Arial"/>
                <w:sz w:val="14"/>
                <w:szCs w:val="14"/>
                <w:color w:val="auto"/>
              </w:rPr>
              <w:t>Compensation is specified by the IRS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20" w:type="dxa"/>
            <w:vAlign w:val="bottom"/>
            <w:shd w:val="clear" w:color="auto" w:fill="CCD4DB"/>
          </w:tcPr>
          <w:p>
            <w:pPr>
              <w:ind w:left="40"/>
              <w:spacing w:after="0"/>
              <w:rPr>
                <w:sz w:val="20"/>
                <w:szCs w:val="20"/>
                <w:color w:val="auto"/>
              </w:rPr>
            </w:pPr>
            <w:r>
              <w:rPr>
                <w:rFonts w:ascii="Arial" w:cs="Arial" w:eastAsia="Arial" w:hAnsi="Arial"/>
                <w:sz w:val="14"/>
                <w:szCs w:val="14"/>
                <w:color w:val="auto"/>
              </w:rPr>
              <w:t>Eligible Pay (limited by Internal Revenue Code section</w:t>
            </w:r>
          </w:p>
        </w:tc>
        <w:tc>
          <w:tcPr>
            <w:tcW w:w="39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Salary plus bonus</w:t>
            </w:r>
          </w:p>
        </w:tc>
        <w:tc>
          <w:tcPr>
            <w:tcW w:w="37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Salary plus bonus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362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auto"/>
              </w:rPr>
              <w:t>401(a)(17))</w:t>
            </w:r>
          </w:p>
        </w:tc>
        <w:tc>
          <w:tcPr>
            <w:tcW w:w="3900" w:type="dxa"/>
            <w:vAlign w:val="bottom"/>
            <w:vMerge w:val="continue"/>
            <w:shd w:val="clear" w:color="auto" w:fill="CCD4DB"/>
          </w:tcPr>
          <w:p>
            <w:pPr>
              <w:spacing w:after="0"/>
              <w:rPr>
                <w:sz w:val="7"/>
                <w:szCs w:val="7"/>
                <w:color w:val="auto"/>
              </w:rPr>
            </w:pPr>
          </w:p>
        </w:tc>
        <w:tc>
          <w:tcPr>
            <w:tcW w:w="3720" w:type="dxa"/>
            <w:vAlign w:val="bottom"/>
            <w:vMerge w:val="continue"/>
            <w:shd w:val="clear" w:color="auto" w:fill="CCD4DB"/>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20" w:type="dxa"/>
            <w:vAlign w:val="bottom"/>
            <w:vMerge w:val="continue"/>
            <w:shd w:val="clear" w:color="auto" w:fill="CCD4DB"/>
          </w:tcPr>
          <w:p>
            <w:pPr>
              <w:spacing w:after="0"/>
              <w:rPr>
                <w:sz w:val="8"/>
                <w:szCs w:val="8"/>
                <w:color w:val="auto"/>
              </w:rPr>
            </w:pPr>
          </w:p>
        </w:tc>
        <w:tc>
          <w:tcPr>
            <w:tcW w:w="3900" w:type="dxa"/>
            <w:vAlign w:val="bottom"/>
            <w:shd w:val="clear" w:color="auto" w:fill="CCD4DB"/>
          </w:tcPr>
          <w:p>
            <w:pPr>
              <w:spacing w:after="0"/>
              <w:rPr>
                <w:sz w:val="8"/>
                <w:szCs w:val="8"/>
                <w:color w:val="auto"/>
              </w:rPr>
            </w:pPr>
          </w:p>
        </w:tc>
        <w:tc>
          <w:tcPr>
            <w:tcW w:w="3720" w:type="dxa"/>
            <w:vAlign w:val="bottom"/>
            <w:shd w:val="clear" w:color="auto" w:fill="CCD4D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3620" w:type="dxa"/>
            <w:vAlign w:val="bottom"/>
          </w:tcPr>
          <w:p>
            <w:pPr>
              <w:ind w:left="40"/>
              <w:spacing w:after="0"/>
              <w:rPr>
                <w:sz w:val="20"/>
                <w:szCs w:val="20"/>
                <w:color w:val="auto"/>
              </w:rPr>
            </w:pPr>
            <w:r>
              <w:rPr>
                <w:rFonts w:ascii="Arial" w:cs="Arial" w:eastAsia="Arial" w:hAnsi="Arial"/>
                <w:sz w:val="14"/>
                <w:szCs w:val="14"/>
                <w:color w:val="auto"/>
              </w:rPr>
              <w:t>Normal Retirement</w:t>
            </w:r>
          </w:p>
        </w:tc>
        <w:tc>
          <w:tcPr>
            <w:tcW w:w="3900" w:type="dxa"/>
            <w:vAlign w:val="bottom"/>
          </w:tcPr>
          <w:p>
            <w:pPr>
              <w:jc w:val="center"/>
              <w:spacing w:after="0"/>
              <w:rPr>
                <w:sz w:val="20"/>
                <w:szCs w:val="20"/>
                <w:color w:val="auto"/>
              </w:rPr>
            </w:pPr>
            <w:r>
              <w:rPr>
                <w:rFonts w:ascii="Arial" w:cs="Arial" w:eastAsia="Arial" w:hAnsi="Arial"/>
                <w:sz w:val="14"/>
                <w:szCs w:val="14"/>
                <w:color w:val="auto"/>
              </w:rPr>
              <w:t>Age 65</w:t>
            </w:r>
          </w:p>
        </w:tc>
        <w:tc>
          <w:tcPr>
            <w:tcW w:w="3720" w:type="dxa"/>
            <w:vAlign w:val="bottom"/>
          </w:tcPr>
          <w:p>
            <w:pPr>
              <w:jc w:val="center"/>
              <w:spacing w:after="0"/>
              <w:rPr>
                <w:sz w:val="20"/>
                <w:szCs w:val="20"/>
                <w:color w:val="auto"/>
              </w:rPr>
            </w:pPr>
            <w:r>
              <w:rPr>
                <w:rFonts w:ascii="Arial" w:cs="Arial" w:eastAsia="Arial" w:hAnsi="Arial"/>
                <w:sz w:val="14"/>
                <w:szCs w:val="14"/>
                <w:color w:val="auto"/>
              </w:rPr>
              <w:t>Age 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36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62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rPr>
              <w:t>Early Retirement</w:t>
            </w:r>
          </w:p>
        </w:tc>
        <w:tc>
          <w:tcPr>
            <w:tcW w:w="39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Age 55 with 10 years of service</w:t>
            </w:r>
          </w:p>
        </w:tc>
        <w:tc>
          <w:tcPr>
            <w:tcW w:w="37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Age 55 with 10 years of service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620" w:type="dxa"/>
            <w:vAlign w:val="bottom"/>
          </w:tcPr>
          <w:p>
            <w:pPr>
              <w:ind w:left="40"/>
              <w:spacing w:after="0"/>
              <w:rPr>
                <w:sz w:val="20"/>
                <w:szCs w:val="20"/>
                <w:color w:val="auto"/>
              </w:rPr>
            </w:pPr>
            <w:r>
              <w:rPr>
                <w:rFonts w:ascii="Arial" w:cs="Arial" w:eastAsia="Arial" w:hAnsi="Arial"/>
                <w:sz w:val="14"/>
                <w:szCs w:val="14"/>
                <w:color w:val="auto"/>
              </w:rPr>
              <w:t>Early Retirement Reduction (for retirements occurring</w:t>
            </w:r>
          </w:p>
        </w:tc>
        <w:tc>
          <w:tcPr>
            <w:tcW w:w="3900" w:type="dxa"/>
            <w:vAlign w:val="bottom"/>
          </w:tcPr>
          <w:p>
            <w:pPr>
              <w:jc w:val="center"/>
              <w:spacing w:after="0"/>
              <w:rPr>
                <w:sz w:val="20"/>
                <w:szCs w:val="20"/>
                <w:color w:val="auto"/>
              </w:rPr>
            </w:pPr>
            <w:r>
              <w:rPr>
                <w:rFonts w:ascii="Arial" w:cs="Arial" w:eastAsia="Arial" w:hAnsi="Arial"/>
                <w:sz w:val="14"/>
                <w:szCs w:val="14"/>
                <w:color w:val="auto"/>
              </w:rPr>
              <w:t>Benefits are reduced for commencement prior to the</w:t>
            </w:r>
          </w:p>
        </w:tc>
        <w:tc>
          <w:tcPr>
            <w:tcW w:w="3720" w:type="dxa"/>
            <w:vAlign w:val="bottom"/>
          </w:tcPr>
          <w:p>
            <w:pPr>
              <w:jc w:val="center"/>
              <w:spacing w:after="0"/>
              <w:rPr>
                <w:sz w:val="20"/>
                <w:szCs w:val="20"/>
                <w:color w:val="auto"/>
              </w:rPr>
            </w:pPr>
            <w:r>
              <w:rPr>
                <w:rFonts w:ascii="Arial" w:cs="Arial" w:eastAsia="Arial" w:hAnsi="Arial"/>
                <w:sz w:val="14"/>
                <w:szCs w:val="14"/>
                <w:color w:val="auto"/>
              </w:rPr>
              <w:t>Benefits are reduced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20" w:type="dxa"/>
            <w:vAlign w:val="bottom"/>
            <w:tcBorders>
              <w:bottom w:val="single" w:sz="8" w:color="00249C"/>
            </w:tcBorders>
          </w:tcPr>
          <w:p>
            <w:pPr>
              <w:ind w:left="40"/>
              <w:spacing w:after="0"/>
              <w:rPr>
                <w:sz w:val="20"/>
                <w:szCs w:val="20"/>
                <w:color w:val="auto"/>
              </w:rPr>
            </w:pPr>
            <w:r>
              <w:rPr>
                <w:rFonts w:ascii="Arial" w:cs="Arial" w:eastAsia="Arial" w:hAnsi="Arial"/>
                <w:sz w:val="14"/>
                <w:szCs w:val="14"/>
                <w:color w:val="auto"/>
              </w:rPr>
              <w:t>between Early Retirement and Normal Retirement)</w:t>
            </w:r>
          </w:p>
        </w:tc>
        <w:tc>
          <w:tcPr>
            <w:tcW w:w="390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earlier of age 65 and 85 points (age + service)</w:t>
            </w:r>
          </w:p>
        </w:tc>
        <w:tc>
          <w:tcPr>
            <w:tcW w:w="372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commencement prior to age 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Final average pay was frozen for the Pension Plan and the S&amp;MS Pension Plan as of December 31, 2014.</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Cash Balance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Cash Balance Formula in the Pension Plan and the S&amp;MS Pension Plan is a hypothetical account balance consisting of pay credits plus interest. It has the following features:</w:t>
      </w:r>
    </w:p>
    <w:p>
      <w:pPr>
        <w:spacing w:after="0" w:line="90" w:lineRule="exact"/>
        <w:rPr>
          <w:sz w:val="20"/>
          <w:szCs w:val="20"/>
          <w:color w:val="auto"/>
        </w:rPr>
      </w:pPr>
    </w:p>
    <w:p>
      <w:pPr>
        <w:ind w:left="340" w:right="80" w:hanging="332"/>
        <w:spacing w:after="0" w:line="255" w:lineRule="auto"/>
        <w:tabs>
          <w:tab w:leader="none" w:pos="340" w:val="left"/>
        </w:tabs>
        <w:numPr>
          <w:ilvl w:val="0"/>
          <w:numId w:val="72"/>
        </w:numPr>
        <w:rPr>
          <w:rFonts w:ascii="Arial" w:cs="Arial" w:eastAsia="Arial" w:hAnsi="Arial"/>
          <w:sz w:val="22"/>
          <w:szCs w:val="22"/>
          <w:color w:val="00249C"/>
        </w:rPr>
      </w:pPr>
      <w:r>
        <w:rPr>
          <w:rFonts w:ascii="Arial" w:cs="Arial" w:eastAsia="Arial" w:hAnsi="Arial"/>
          <w:sz w:val="18"/>
          <w:szCs w:val="18"/>
          <w:color w:val="auto"/>
        </w:rPr>
        <w:t>Pay credits are a percentage of pay that vary based on an employee's "points" (age plus service) and are credited monthly. The range of percentages applicable to the NEOs on December 31, 2019 was 5.5% – 9.0%.</w:t>
      </w:r>
    </w:p>
    <w:p>
      <w:pPr>
        <w:spacing w:after="0" w:line="91" w:lineRule="exact"/>
        <w:rPr>
          <w:rFonts w:ascii="Arial" w:cs="Arial" w:eastAsia="Arial" w:hAnsi="Arial"/>
          <w:sz w:val="22"/>
          <w:szCs w:val="22"/>
          <w:color w:val="00249C"/>
        </w:rPr>
      </w:pPr>
    </w:p>
    <w:p>
      <w:pPr>
        <w:ind w:left="340" w:right="240" w:hanging="332"/>
        <w:spacing w:after="0" w:line="271" w:lineRule="auto"/>
        <w:tabs>
          <w:tab w:leader="none" w:pos="340" w:val="left"/>
        </w:tabs>
        <w:numPr>
          <w:ilvl w:val="0"/>
          <w:numId w:val="72"/>
        </w:numPr>
        <w:rPr>
          <w:rFonts w:ascii="Arial" w:cs="Arial" w:eastAsia="Arial" w:hAnsi="Arial"/>
          <w:sz w:val="22"/>
          <w:szCs w:val="22"/>
          <w:color w:val="00249C"/>
        </w:rPr>
      </w:pPr>
      <w:r>
        <w:rPr>
          <w:rFonts w:ascii="Arial" w:cs="Arial" w:eastAsia="Arial" w:hAnsi="Arial"/>
          <w:sz w:val="18"/>
          <w:szCs w:val="18"/>
          <w:color w:val="auto"/>
        </w:rPr>
        <w:t>Interest is credited at the 30-year U.S. Treasury bond rate subject to a minimum annual interest rate of 2.25%. The December 31, 2019 interest credit rate was 2.25%.</w:t>
      </w:r>
    </w:p>
    <w:p>
      <w:pPr>
        <w:spacing w:after="0" w:line="52" w:lineRule="exact"/>
        <w:rPr>
          <w:rFonts w:ascii="Arial" w:cs="Arial" w:eastAsia="Arial" w:hAnsi="Arial"/>
          <w:sz w:val="22"/>
          <w:szCs w:val="22"/>
          <w:color w:val="00249C"/>
        </w:rPr>
      </w:pPr>
    </w:p>
    <w:p>
      <w:pPr>
        <w:ind w:left="340" w:hanging="332"/>
        <w:spacing w:after="0"/>
        <w:tabs>
          <w:tab w:leader="none" w:pos="340" w:val="left"/>
        </w:tabs>
        <w:numPr>
          <w:ilvl w:val="0"/>
          <w:numId w:val="72"/>
        </w:numPr>
        <w:rPr>
          <w:rFonts w:ascii="Arial" w:cs="Arial" w:eastAsia="Arial" w:hAnsi="Arial"/>
          <w:sz w:val="22"/>
          <w:szCs w:val="22"/>
          <w:color w:val="00249C"/>
        </w:rPr>
      </w:pPr>
      <w:r>
        <w:rPr>
          <w:rFonts w:ascii="Arial" w:cs="Arial" w:eastAsia="Arial" w:hAnsi="Arial"/>
          <w:sz w:val="18"/>
          <w:szCs w:val="18"/>
          <w:color w:val="auto"/>
        </w:rPr>
        <w:t>Eligible pay is salary plus bonus, as limited by Internal Revenue Code section 401(a)(17).</w:t>
      </w:r>
    </w:p>
    <w:p>
      <w:pPr>
        <w:spacing w:after="0" w:line="120" w:lineRule="exact"/>
        <w:rPr>
          <w:rFonts w:ascii="Arial" w:cs="Arial" w:eastAsia="Arial" w:hAnsi="Arial"/>
          <w:sz w:val="22"/>
          <w:szCs w:val="22"/>
          <w:color w:val="00249C"/>
        </w:rPr>
      </w:pPr>
    </w:p>
    <w:p>
      <w:pPr>
        <w:ind w:left="340" w:right="860" w:hanging="332"/>
        <w:spacing w:after="0" w:line="255" w:lineRule="auto"/>
        <w:tabs>
          <w:tab w:leader="none" w:pos="340" w:val="left"/>
        </w:tabs>
        <w:numPr>
          <w:ilvl w:val="0"/>
          <w:numId w:val="72"/>
        </w:numPr>
        <w:rPr>
          <w:rFonts w:ascii="Arial" w:cs="Arial" w:eastAsia="Arial" w:hAnsi="Arial"/>
          <w:sz w:val="22"/>
          <w:szCs w:val="22"/>
          <w:color w:val="00249C"/>
        </w:rPr>
      </w:pPr>
      <w:r>
        <w:rPr>
          <w:rFonts w:ascii="Arial" w:cs="Arial" w:eastAsia="Arial" w:hAnsi="Arial"/>
          <w:sz w:val="18"/>
          <w:szCs w:val="18"/>
          <w:color w:val="auto"/>
        </w:rPr>
        <w:t>Eligibility for early retirement occurs at age 55 with 10 years of service. Benefits may be reduced if commenced prior to Normal Retirement Age (65).</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ERISA 2 and SRIP (Nonqualified Restoration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ERISA 2 and SRIP are nonqualified plans that restore benefits provided for under the Pension Plan and S&amp;MS Pension Plan, respectively, but for the limits on eligible pay imposed by Internal Revenue Code section 401(a)(17) and the overall benefit limitation of Internal Revenue Code section 415. Benefits and features in these restoration plans otherwise are generally the same as described above for the underlying tax qualified plan.</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OSERP and OSERP II (Nonqualified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These plans provide supplemental pension benefits. They were closed to new hires on or before 2009. In addition, final average pay and associated service under these plans were frozen as of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60"/>
          </w:cols>
          <w:pgMar w:left="320" w:top="701" w:right="319" w:bottom="1440" w:gutter="0" w:footer="0" w:header="0"/>
        </w:sectPr>
      </w:pPr>
    </w:p>
    <w:bookmarkStart w:id="67" w:name="page68"/>
    <w:bookmarkEnd w:id="67"/>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8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TABLES | P</w:t>
      </w:r>
      <w:r>
        <w:rPr>
          <w:rFonts w:ascii="Arial" w:cs="Arial" w:eastAsia="Arial" w:hAnsi="Arial"/>
          <w:sz w:val="17"/>
          <w:szCs w:val="17"/>
          <w:b w:val="1"/>
          <w:bCs w:val="1"/>
          <w:color w:val="FFFFFF"/>
        </w:rPr>
        <w:t>ENSION</w:t>
      </w:r>
      <w:r>
        <w:rPr>
          <w:rFonts w:ascii="Arial" w:cs="Arial" w:eastAsia="Arial" w:hAnsi="Arial"/>
          <w:sz w:val="22"/>
          <w:szCs w:val="22"/>
          <w:b w:val="1"/>
          <w:bCs w:val="1"/>
          <w:color w:val="FFFFFF"/>
        </w:rPr>
        <w:t xml:space="preserve"> B</w:t>
      </w:r>
      <w:r>
        <w:rPr>
          <w:rFonts w:ascii="Arial" w:cs="Arial" w:eastAsia="Arial" w:hAnsi="Arial"/>
          <w:sz w:val="17"/>
          <w:szCs w:val="17"/>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highlights the key features of these plans applicable to eligible NEOs.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4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Feature</w:t>
            </w:r>
          </w:p>
        </w:tc>
        <w:tc>
          <w:tcPr>
            <w:tcW w:w="83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OSERP and OSERP II (1)</w:t>
            </w:r>
          </w:p>
        </w:tc>
        <w:tc>
          <w:tcPr>
            <w:tcW w:w="20" w:type="dxa"/>
            <w:vAlign w:val="bottom"/>
            <w:tcBorders>
              <w:bottom w:val="single" w:sz="8" w:color="00249C"/>
            </w:tcBorders>
            <w:shd w:val="clear" w:color="auto" w:fill="00249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940" w:type="dxa"/>
            <w:vAlign w:val="bottom"/>
            <w:vMerge w:val="restart"/>
            <w:shd w:val="clear" w:color="auto" w:fill="CCD4DB"/>
          </w:tcPr>
          <w:p>
            <w:pPr>
              <w:ind w:left="40"/>
              <w:spacing w:after="0"/>
              <w:rPr>
                <w:sz w:val="20"/>
                <w:szCs w:val="20"/>
                <w:color w:val="auto"/>
              </w:rPr>
            </w:pPr>
            <w:r>
              <w:rPr>
                <w:rFonts w:ascii="Arial" w:cs="Arial" w:eastAsia="Arial" w:hAnsi="Arial"/>
                <w:sz w:val="14"/>
                <w:szCs w:val="14"/>
                <w:color w:val="auto"/>
              </w:rPr>
              <w:t>Benefit Formula</w:t>
            </w:r>
          </w:p>
        </w:tc>
        <w:tc>
          <w:tcPr>
            <w:tcW w:w="83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Final Average Pay times 2% for each year of service up to 10 years, 1.5% for each subsequent year up to 20 years, and 1% for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940" w:type="dxa"/>
            <w:vAlign w:val="bottom"/>
            <w:vMerge w:val="continue"/>
            <w:shd w:val="clear" w:color="auto" w:fill="CCD4DB"/>
          </w:tcPr>
          <w:p>
            <w:pPr>
              <w:spacing w:after="0"/>
              <w:rPr>
                <w:sz w:val="7"/>
                <w:szCs w:val="7"/>
                <w:color w:val="auto"/>
              </w:rPr>
            </w:pPr>
          </w:p>
        </w:tc>
        <w:tc>
          <w:tcPr>
            <w:tcW w:w="83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each additional year over 20 and less than 45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940" w:type="dxa"/>
            <w:vAlign w:val="bottom"/>
            <w:shd w:val="clear" w:color="auto" w:fill="CCD4DB"/>
          </w:tcPr>
          <w:p>
            <w:pPr>
              <w:spacing w:after="0"/>
              <w:rPr>
                <w:sz w:val="8"/>
                <w:szCs w:val="8"/>
                <w:color w:val="auto"/>
              </w:rPr>
            </w:pPr>
          </w:p>
        </w:tc>
        <w:tc>
          <w:tcPr>
            <w:tcW w:w="8300" w:type="dxa"/>
            <w:vAlign w:val="bottom"/>
            <w:vMerge w:val="continue"/>
            <w:shd w:val="clear" w:color="auto" w:fill="CCD4D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940" w:type="dxa"/>
            <w:vAlign w:val="bottom"/>
          </w:tcPr>
          <w:p>
            <w:pPr>
              <w:ind w:left="40"/>
              <w:spacing w:after="0"/>
              <w:rPr>
                <w:sz w:val="20"/>
                <w:szCs w:val="20"/>
                <w:color w:val="auto"/>
              </w:rPr>
            </w:pPr>
            <w:r>
              <w:rPr>
                <w:rFonts w:ascii="Arial" w:cs="Arial" w:eastAsia="Arial" w:hAnsi="Arial"/>
                <w:sz w:val="14"/>
                <w:szCs w:val="14"/>
                <w:color w:val="auto"/>
              </w:rPr>
              <w:t>Final Average Pay</w:t>
            </w:r>
          </w:p>
        </w:tc>
        <w:tc>
          <w:tcPr>
            <w:tcW w:w="8300" w:type="dxa"/>
            <w:vAlign w:val="bottom"/>
          </w:tcPr>
          <w:p>
            <w:pPr>
              <w:jc w:val="center"/>
              <w:spacing w:after="0"/>
              <w:rPr>
                <w:sz w:val="20"/>
                <w:szCs w:val="20"/>
                <w:color w:val="auto"/>
              </w:rPr>
            </w:pPr>
            <w:r>
              <w:rPr>
                <w:rFonts w:ascii="Arial" w:cs="Arial" w:eastAsia="Arial" w:hAnsi="Arial"/>
                <w:sz w:val="14"/>
                <w:szCs w:val="14"/>
                <w:color w:val="auto"/>
              </w:rPr>
              <w:t>Average of highest 3 years of Eligible Pay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940" w:type="dxa"/>
            <w:vAlign w:val="bottom"/>
            <w:shd w:val="clear" w:color="auto" w:fill="CCD4DB"/>
          </w:tcPr>
          <w:p>
            <w:pPr>
              <w:ind w:left="40"/>
              <w:spacing w:after="0"/>
              <w:rPr>
                <w:sz w:val="20"/>
                <w:szCs w:val="20"/>
                <w:color w:val="auto"/>
              </w:rPr>
            </w:pPr>
            <w:r>
              <w:rPr>
                <w:rFonts w:ascii="Arial" w:cs="Arial" w:eastAsia="Arial" w:hAnsi="Arial"/>
                <w:sz w:val="14"/>
                <w:szCs w:val="14"/>
                <w:color w:val="auto"/>
              </w:rPr>
              <w:t>Eligible Pay</w:t>
            </w:r>
          </w:p>
        </w:tc>
        <w:tc>
          <w:tcPr>
            <w:tcW w:w="83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Salary and bonus (including amounts above Internal Revenue Code limits and amounts deferred)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40"/>
              <w:spacing w:after="0"/>
              <w:rPr>
                <w:sz w:val="20"/>
                <w:szCs w:val="20"/>
                <w:color w:val="auto"/>
              </w:rPr>
            </w:pPr>
            <w:r>
              <w:rPr>
                <w:rFonts w:ascii="Arial" w:cs="Arial" w:eastAsia="Arial" w:hAnsi="Arial"/>
                <w:sz w:val="14"/>
                <w:szCs w:val="14"/>
                <w:color w:val="auto"/>
              </w:rPr>
              <w:t>Normal Retirement</w:t>
            </w:r>
          </w:p>
        </w:tc>
        <w:tc>
          <w:tcPr>
            <w:tcW w:w="8300" w:type="dxa"/>
            <w:vAlign w:val="bottom"/>
          </w:tcPr>
          <w:p>
            <w:pPr>
              <w:jc w:val="center"/>
              <w:spacing w:after="0"/>
              <w:rPr>
                <w:sz w:val="20"/>
                <w:szCs w:val="20"/>
                <w:color w:val="auto"/>
              </w:rPr>
            </w:pPr>
            <w:r>
              <w:rPr>
                <w:rFonts w:ascii="Arial" w:cs="Arial" w:eastAsia="Arial" w:hAnsi="Arial"/>
                <w:sz w:val="14"/>
                <w:szCs w:val="14"/>
                <w:color w:val="auto"/>
              </w:rPr>
              <w:t>Age 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40" w:type="dxa"/>
            <w:vAlign w:val="bottom"/>
            <w:shd w:val="clear" w:color="auto" w:fill="CCD4DB"/>
          </w:tcPr>
          <w:p>
            <w:pPr>
              <w:ind w:left="40"/>
              <w:spacing w:after="0"/>
              <w:rPr>
                <w:sz w:val="20"/>
                <w:szCs w:val="20"/>
                <w:color w:val="auto"/>
              </w:rPr>
            </w:pPr>
            <w:r>
              <w:rPr>
                <w:rFonts w:ascii="Arial" w:cs="Arial" w:eastAsia="Arial" w:hAnsi="Arial"/>
                <w:sz w:val="14"/>
                <w:szCs w:val="14"/>
                <w:color w:val="auto"/>
              </w:rPr>
              <w:t>Early Retirement</w:t>
            </w:r>
          </w:p>
        </w:tc>
        <w:tc>
          <w:tcPr>
            <w:tcW w:w="83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Age 55 with 10 years of service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40"/>
              <w:spacing w:after="0"/>
              <w:rPr>
                <w:sz w:val="20"/>
                <w:szCs w:val="20"/>
                <w:color w:val="auto"/>
              </w:rPr>
            </w:pPr>
            <w:r>
              <w:rPr>
                <w:rFonts w:ascii="Arial" w:cs="Arial" w:eastAsia="Arial" w:hAnsi="Arial"/>
                <w:sz w:val="14"/>
                <w:szCs w:val="14"/>
                <w:color w:val="auto"/>
              </w:rPr>
              <w:t>Early Retirement Reduction</w:t>
            </w:r>
          </w:p>
        </w:tc>
        <w:tc>
          <w:tcPr>
            <w:tcW w:w="8300" w:type="dxa"/>
            <w:vAlign w:val="bottom"/>
          </w:tcPr>
          <w:p>
            <w:pPr>
              <w:jc w:val="center"/>
              <w:spacing w:after="0"/>
              <w:rPr>
                <w:sz w:val="20"/>
                <w:szCs w:val="20"/>
                <w:color w:val="auto"/>
              </w:rPr>
            </w:pPr>
            <w:r>
              <w:rPr>
                <w:rFonts w:ascii="Arial" w:cs="Arial" w:eastAsia="Arial" w:hAnsi="Arial"/>
                <w:sz w:val="14"/>
                <w:szCs w:val="14"/>
                <w:color w:val="auto"/>
              </w:rPr>
              <w:t>Benefits are reduced for commencement prior to the earlier of age 65 or 85 points (age + service)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00249C"/>
            </w:tcBorders>
            <w:shd w:val="clear" w:color="auto" w:fill="CCD4DB"/>
          </w:tcPr>
          <w:p>
            <w:pPr>
              <w:ind w:left="40"/>
              <w:spacing w:after="0"/>
              <w:rPr>
                <w:sz w:val="20"/>
                <w:szCs w:val="20"/>
                <w:color w:val="auto"/>
              </w:rPr>
            </w:pPr>
            <w:r>
              <w:rPr>
                <w:rFonts w:ascii="Arial" w:cs="Arial" w:eastAsia="Arial" w:hAnsi="Arial"/>
                <w:sz w:val="14"/>
                <w:szCs w:val="14"/>
                <w:color w:val="auto"/>
              </w:rPr>
              <w:t>Reductions From Other Plans</w:t>
            </w:r>
          </w:p>
        </w:tc>
        <w:tc>
          <w:tcPr>
            <w:tcW w:w="83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Reduced by any other Company pension benefits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p>
      <w:pPr>
        <w:ind w:left="420" w:right="580" w:hanging="412"/>
        <w:spacing w:after="0" w:line="277"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Ms. Warden participates in OSERP II, which mirrors the benefits provided under the Cash Balance Formula, ERISA 2 and OSERP provisions described above.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Information on Executives Eligible for Early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NEOs were eligible for early retirement as of December 31, 2019 (timing below excludes delays imposed by Internal Revenue Code section 409A):</w:t>
      </w:r>
    </w:p>
    <w:p>
      <w:pPr>
        <w:spacing w:after="0" w:line="76" w:lineRule="exact"/>
        <w:rPr>
          <w:sz w:val="20"/>
          <w:szCs w:val="20"/>
          <w:color w:val="auto"/>
        </w:rPr>
      </w:pPr>
    </w:p>
    <w:p>
      <w:pPr>
        <w:ind w:left="340" w:right="560" w:hanging="332"/>
        <w:spacing w:after="0" w:line="271" w:lineRule="auto"/>
        <w:tabs>
          <w:tab w:leader="none" w:pos="340" w:val="left"/>
        </w:tabs>
        <w:numPr>
          <w:ilvl w:val="0"/>
          <w:numId w:val="74"/>
        </w:numPr>
        <w:rPr>
          <w:rFonts w:ascii="Arial" w:cs="Arial" w:eastAsia="Arial" w:hAnsi="Arial"/>
          <w:sz w:val="22"/>
          <w:szCs w:val="22"/>
          <w:color w:val="00249C"/>
        </w:rPr>
      </w:pPr>
      <w:r>
        <w:rPr>
          <w:rFonts w:ascii="Arial" w:cs="Arial" w:eastAsia="Arial" w:hAnsi="Arial"/>
          <w:sz w:val="18"/>
          <w:szCs w:val="18"/>
          <w:color w:val="auto"/>
        </w:rPr>
        <w:t>If Mr. Caylor had retired on December 31, 2019, he would have been eligible to receive an estimated total annual pension benefit of $204,194 (commencing January 1, 2020).</w:t>
      </w:r>
    </w:p>
    <w:p>
      <w:pPr>
        <w:spacing w:after="0" w:line="74" w:lineRule="exact"/>
        <w:rPr>
          <w:rFonts w:ascii="Arial" w:cs="Arial" w:eastAsia="Arial" w:hAnsi="Arial"/>
          <w:sz w:val="22"/>
          <w:szCs w:val="22"/>
          <w:color w:val="00249C"/>
        </w:rPr>
      </w:pPr>
    </w:p>
    <w:p>
      <w:pPr>
        <w:ind w:left="340" w:right="440" w:hanging="332"/>
        <w:spacing w:after="0" w:line="271" w:lineRule="auto"/>
        <w:tabs>
          <w:tab w:leader="none" w:pos="340" w:val="left"/>
        </w:tabs>
        <w:numPr>
          <w:ilvl w:val="0"/>
          <w:numId w:val="74"/>
        </w:numPr>
        <w:rPr>
          <w:rFonts w:ascii="Arial" w:cs="Arial" w:eastAsia="Arial" w:hAnsi="Arial"/>
          <w:sz w:val="22"/>
          <w:szCs w:val="22"/>
          <w:color w:val="00249C"/>
        </w:rPr>
      </w:pPr>
      <w:r>
        <w:rPr>
          <w:rFonts w:ascii="Arial" w:cs="Arial" w:eastAsia="Arial" w:hAnsi="Arial"/>
          <w:sz w:val="18"/>
          <w:szCs w:val="18"/>
          <w:color w:val="auto"/>
        </w:rPr>
        <w:t>If Mr. Jones had retired on December 31, 2019, he would have been eligible to receive an estimated total annual pension of $179,307 (commencing January 1, 2020).</w:t>
      </w:r>
    </w:p>
    <w:p>
      <w:pPr>
        <w:spacing w:after="0" w:line="155" w:lineRule="exact"/>
        <w:rPr>
          <w:rFonts w:ascii="Arial" w:cs="Arial" w:eastAsia="Arial" w:hAnsi="Arial"/>
          <w:sz w:val="22"/>
          <w:szCs w:val="22"/>
          <w:color w:val="00249C"/>
        </w:rPr>
      </w:pPr>
    </w:p>
    <w:p>
      <w:pPr>
        <w:ind w:left="340" w:right="340" w:hanging="332"/>
        <w:spacing w:after="0" w:line="271" w:lineRule="auto"/>
        <w:tabs>
          <w:tab w:leader="none" w:pos="340" w:val="left"/>
        </w:tabs>
        <w:numPr>
          <w:ilvl w:val="0"/>
          <w:numId w:val="74"/>
        </w:numPr>
        <w:rPr>
          <w:rFonts w:ascii="Arial" w:cs="Arial" w:eastAsia="Arial" w:hAnsi="Arial"/>
          <w:sz w:val="22"/>
          <w:szCs w:val="22"/>
          <w:color w:val="00249C"/>
        </w:rPr>
      </w:pPr>
      <w:r>
        <w:rPr>
          <w:rFonts w:ascii="Arial" w:cs="Arial" w:eastAsia="Arial" w:hAnsi="Arial"/>
          <w:sz w:val="18"/>
          <w:szCs w:val="18"/>
          <w:color w:val="auto"/>
        </w:rPr>
        <w:t>If Mr. Pamiljans had retired on December 31, 2019, he would have been eligible to receive an estimated total annual pension benefit of $376,718 (commencing January 1, 2020).</w:t>
      </w:r>
    </w:p>
    <w:p>
      <w:pPr>
        <w:spacing w:after="0" w:line="277"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61</w:t>
      </w:r>
    </w:p>
    <w:p>
      <w:pPr>
        <w:sectPr>
          <w:pgSz w:w="11900" w:h="16838" w:orient="portrait"/>
          <w:cols w:equalWidth="0" w:num="1">
            <w:col w:w="11260"/>
          </w:cols>
          <w:pgMar w:left="320" w:top="701" w:right="319" w:bottom="1440" w:gutter="0" w:footer="0" w:header="0"/>
        </w:sectPr>
      </w:pPr>
    </w:p>
    <w:bookmarkStart w:id="68" w:name="page69"/>
    <w:bookmarkEnd w:id="68"/>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8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COMPENSATION TABLES | N</w:t>
      </w:r>
      <w:r>
        <w:rPr>
          <w:rFonts w:ascii="Arial" w:cs="Arial" w:eastAsia="Arial" w:hAnsi="Arial"/>
          <w:sz w:val="17"/>
          <w:szCs w:val="17"/>
          <w:b w:val="1"/>
          <w:bCs w:val="1"/>
          <w:color w:val="FFFFFF"/>
        </w:rPr>
        <w:t>ONQUALIFIED</w:t>
      </w:r>
      <w:r>
        <w:rPr>
          <w:rFonts w:ascii="Arial" w:cs="Arial" w:eastAsia="Arial" w:hAnsi="Arial"/>
          <w:sz w:val="22"/>
          <w:szCs w:val="22"/>
          <w:b w:val="1"/>
          <w:bCs w:val="1"/>
          <w:color w:val="FFFFFF"/>
        </w:rPr>
        <w:t xml:space="preserve"> D</w:t>
      </w:r>
      <w:r>
        <w:rPr>
          <w:rFonts w:ascii="Arial" w:cs="Arial" w:eastAsia="Arial" w:hAnsi="Arial"/>
          <w:sz w:val="17"/>
          <w:szCs w:val="17"/>
          <w:b w:val="1"/>
          <w:bCs w:val="1"/>
          <w:color w:val="FFFFFF"/>
        </w:rPr>
        <w:t>EFERRED</w:t>
      </w:r>
      <w:r>
        <w:rPr>
          <w:rFonts w:ascii="Arial" w:cs="Arial" w:eastAsia="Arial" w:hAnsi="Arial"/>
          <w:sz w:val="22"/>
          <w:szCs w:val="22"/>
          <w:b w:val="1"/>
          <w:bCs w:val="1"/>
          <w:color w:val="FFFFFF"/>
        </w:rPr>
        <w:t xml:space="preserve"> C</w:t>
      </w:r>
      <w:r>
        <w:rPr>
          <w:rFonts w:ascii="Arial" w:cs="Arial" w:eastAsia="Arial" w:hAnsi="Arial"/>
          <w:sz w:val="17"/>
          <w:szCs w:val="17"/>
          <w:b w:val="1"/>
          <w:bCs w:val="1"/>
          <w:color w:val="FFFFFF"/>
        </w:rPr>
        <w:t>OMPENSATION</w:t>
      </w:r>
      <w:r>
        <w:rPr>
          <w:rFonts w:ascii="Arial" w:cs="Arial" w:eastAsia="Arial" w:hAnsi="Arial"/>
          <w:sz w:val="22"/>
          <w:szCs w:val="22"/>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shd w:val="clear" w:color="auto" w:fill="00249C"/>
          </w:tcPr>
          <w:p>
            <w:pPr>
              <w:spacing w:after="0"/>
              <w:rPr>
                <w:sz w:val="16"/>
                <w:szCs w:val="16"/>
                <w:color w:val="auto"/>
              </w:rPr>
            </w:pPr>
          </w:p>
        </w:tc>
        <w:tc>
          <w:tcPr>
            <w:tcW w:w="460" w:type="dxa"/>
            <w:vAlign w:val="bottom"/>
            <w:shd w:val="clear" w:color="auto" w:fill="00249C"/>
          </w:tcPr>
          <w:p>
            <w:pPr>
              <w:spacing w:after="0"/>
              <w:rPr>
                <w:sz w:val="16"/>
                <w:szCs w:val="16"/>
                <w:color w:val="auto"/>
              </w:rPr>
            </w:pPr>
          </w:p>
        </w:tc>
        <w:tc>
          <w:tcPr>
            <w:tcW w:w="1520" w:type="dxa"/>
            <w:vAlign w:val="bottom"/>
            <w:shd w:val="clear" w:color="auto" w:fill="00249C"/>
          </w:tcPr>
          <w:p>
            <w:pPr>
              <w:spacing w:after="0"/>
              <w:rPr>
                <w:sz w:val="16"/>
                <w:szCs w:val="16"/>
                <w:color w:val="auto"/>
              </w:rPr>
            </w:pPr>
          </w:p>
        </w:tc>
        <w:tc>
          <w:tcPr>
            <w:tcW w:w="1520" w:type="dxa"/>
            <w:vAlign w:val="bottom"/>
            <w:shd w:val="clear" w:color="auto" w:fill="00249C"/>
          </w:tcPr>
          <w:p>
            <w:pPr>
              <w:jc w:val="center"/>
              <w:ind w:left="208"/>
              <w:spacing w:after="0"/>
              <w:rPr>
                <w:sz w:val="20"/>
                <w:szCs w:val="20"/>
                <w:color w:val="auto"/>
              </w:rPr>
            </w:pPr>
            <w:r>
              <w:rPr>
                <w:rFonts w:ascii="Arial" w:cs="Arial" w:eastAsia="Arial" w:hAnsi="Arial"/>
                <w:sz w:val="14"/>
                <w:szCs w:val="14"/>
                <w:b w:val="1"/>
                <w:bCs w:val="1"/>
                <w:color w:val="FFFFFF"/>
              </w:rPr>
              <w:t>Executive</w:t>
            </w:r>
          </w:p>
        </w:tc>
        <w:tc>
          <w:tcPr>
            <w:tcW w:w="12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Registrant</w:t>
            </w:r>
          </w:p>
        </w:tc>
        <w:tc>
          <w:tcPr>
            <w:tcW w:w="12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Aggregate</w:t>
            </w:r>
          </w:p>
        </w:tc>
        <w:tc>
          <w:tcPr>
            <w:tcW w:w="12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Aggregate</w:t>
            </w:r>
          </w:p>
        </w:tc>
        <w:tc>
          <w:tcPr>
            <w:tcW w:w="12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Aggregate</w:t>
            </w: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00249C"/>
          </w:tcPr>
          <w:p>
            <w:pPr>
              <w:spacing w:after="0"/>
              <w:rPr>
                <w:sz w:val="14"/>
                <w:szCs w:val="14"/>
                <w:color w:val="auto"/>
              </w:rPr>
            </w:pPr>
          </w:p>
        </w:tc>
        <w:tc>
          <w:tcPr>
            <w:tcW w:w="460" w:type="dxa"/>
            <w:vAlign w:val="bottom"/>
            <w:shd w:val="clear" w:color="auto" w:fill="00249C"/>
          </w:tcPr>
          <w:p>
            <w:pPr>
              <w:spacing w:after="0"/>
              <w:rPr>
                <w:sz w:val="14"/>
                <w:szCs w:val="14"/>
                <w:color w:val="auto"/>
              </w:rPr>
            </w:pPr>
          </w:p>
        </w:tc>
        <w:tc>
          <w:tcPr>
            <w:tcW w:w="1520" w:type="dxa"/>
            <w:vAlign w:val="bottom"/>
            <w:shd w:val="clear" w:color="auto" w:fill="00249C"/>
          </w:tcPr>
          <w:p>
            <w:pPr>
              <w:spacing w:after="0"/>
              <w:rPr>
                <w:sz w:val="14"/>
                <w:szCs w:val="14"/>
                <w:color w:val="auto"/>
              </w:rPr>
            </w:pPr>
          </w:p>
        </w:tc>
        <w:tc>
          <w:tcPr>
            <w:tcW w:w="1520" w:type="dxa"/>
            <w:vAlign w:val="bottom"/>
            <w:shd w:val="clear" w:color="auto" w:fill="00249C"/>
          </w:tcPr>
          <w:p>
            <w:pPr>
              <w:jc w:val="center"/>
              <w:ind w:left="228"/>
              <w:spacing w:after="0"/>
              <w:rPr>
                <w:sz w:val="20"/>
                <w:szCs w:val="20"/>
                <w:color w:val="auto"/>
              </w:rPr>
            </w:pPr>
            <w:r>
              <w:rPr>
                <w:rFonts w:ascii="Arial" w:cs="Arial" w:eastAsia="Arial" w:hAnsi="Arial"/>
                <w:sz w:val="14"/>
                <w:szCs w:val="14"/>
                <w:b w:val="1"/>
                <w:bCs w:val="1"/>
                <w:color w:val="FFFFFF"/>
              </w:rPr>
              <w:t>Contributions</w:t>
            </w:r>
          </w:p>
        </w:tc>
        <w:tc>
          <w:tcPr>
            <w:tcW w:w="12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Contributions</w:t>
            </w:r>
          </w:p>
        </w:tc>
        <w:tc>
          <w:tcPr>
            <w:tcW w:w="12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Earnings</w:t>
            </w:r>
          </w:p>
        </w:tc>
        <w:tc>
          <w:tcPr>
            <w:tcW w:w="12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Withdrawals/</w:t>
            </w:r>
          </w:p>
        </w:tc>
        <w:tc>
          <w:tcPr>
            <w:tcW w:w="12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Balance at</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00249C"/>
          </w:tcPr>
          <w:p>
            <w:pPr>
              <w:spacing w:after="0"/>
              <w:rPr>
                <w:sz w:val="14"/>
                <w:szCs w:val="14"/>
                <w:color w:val="auto"/>
              </w:rPr>
            </w:pPr>
          </w:p>
        </w:tc>
        <w:tc>
          <w:tcPr>
            <w:tcW w:w="460" w:type="dxa"/>
            <w:vAlign w:val="bottom"/>
            <w:shd w:val="clear" w:color="auto" w:fill="00249C"/>
          </w:tcPr>
          <w:p>
            <w:pPr>
              <w:spacing w:after="0"/>
              <w:rPr>
                <w:sz w:val="14"/>
                <w:szCs w:val="14"/>
                <w:color w:val="auto"/>
              </w:rPr>
            </w:pPr>
          </w:p>
        </w:tc>
        <w:tc>
          <w:tcPr>
            <w:tcW w:w="1520" w:type="dxa"/>
            <w:vAlign w:val="bottom"/>
            <w:shd w:val="clear" w:color="auto" w:fill="00249C"/>
          </w:tcPr>
          <w:p>
            <w:pPr>
              <w:spacing w:after="0"/>
              <w:rPr>
                <w:sz w:val="14"/>
                <w:szCs w:val="14"/>
                <w:color w:val="auto"/>
              </w:rPr>
            </w:pPr>
          </w:p>
        </w:tc>
        <w:tc>
          <w:tcPr>
            <w:tcW w:w="1520" w:type="dxa"/>
            <w:vAlign w:val="bottom"/>
            <w:shd w:val="clear" w:color="auto" w:fill="00249C"/>
          </w:tcPr>
          <w:p>
            <w:pPr>
              <w:jc w:val="center"/>
              <w:ind w:left="228"/>
              <w:spacing w:after="0"/>
              <w:rPr>
                <w:sz w:val="20"/>
                <w:szCs w:val="20"/>
                <w:color w:val="auto"/>
              </w:rPr>
            </w:pPr>
            <w:r>
              <w:rPr>
                <w:rFonts w:ascii="Arial" w:cs="Arial" w:eastAsia="Arial" w:hAnsi="Arial"/>
                <w:sz w:val="14"/>
                <w:szCs w:val="14"/>
                <w:b w:val="1"/>
                <w:bCs w:val="1"/>
                <w:color w:val="FFFFFF"/>
              </w:rPr>
              <w:t>in Last FY (1)</w:t>
            </w:r>
          </w:p>
        </w:tc>
        <w:tc>
          <w:tcPr>
            <w:tcW w:w="12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in Last FY (2)</w:t>
            </w:r>
          </w:p>
        </w:tc>
        <w:tc>
          <w:tcPr>
            <w:tcW w:w="12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in Last FY (3)</w:t>
            </w:r>
          </w:p>
        </w:tc>
        <w:tc>
          <w:tcPr>
            <w:tcW w:w="12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Distributions</w:t>
            </w:r>
          </w:p>
        </w:tc>
        <w:tc>
          <w:tcPr>
            <w:tcW w:w="12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Last FYE (4)</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460" w:type="dxa"/>
            <w:vAlign w:val="bottom"/>
            <w:tcBorders>
              <w:bottom w:val="single" w:sz="8" w:color="00249C"/>
            </w:tcBorders>
            <w:shd w:val="clear" w:color="auto" w:fill="00249C"/>
          </w:tcPr>
          <w:p>
            <w:pPr>
              <w:spacing w:after="0"/>
              <w:rPr>
                <w:sz w:val="17"/>
                <w:szCs w:val="17"/>
                <w:color w:val="auto"/>
              </w:rPr>
            </w:pPr>
          </w:p>
        </w:tc>
        <w:tc>
          <w:tcPr>
            <w:tcW w:w="1520" w:type="dxa"/>
            <w:vAlign w:val="bottom"/>
            <w:tcBorders>
              <w:bottom w:val="single" w:sz="8" w:color="00249C"/>
            </w:tcBorders>
            <w:shd w:val="clear" w:color="auto" w:fill="00249C"/>
          </w:tcPr>
          <w:p>
            <w:pPr>
              <w:ind w:left="300"/>
              <w:spacing w:after="0"/>
              <w:rPr>
                <w:sz w:val="20"/>
                <w:szCs w:val="20"/>
                <w:color w:val="auto"/>
              </w:rPr>
            </w:pPr>
            <w:r>
              <w:rPr>
                <w:rFonts w:ascii="Arial" w:cs="Arial" w:eastAsia="Arial" w:hAnsi="Arial"/>
                <w:sz w:val="14"/>
                <w:szCs w:val="14"/>
                <w:b w:val="1"/>
                <w:bCs w:val="1"/>
                <w:color w:val="FFFFFF"/>
              </w:rPr>
              <w:t>Plan Name</w:t>
            </w:r>
          </w:p>
        </w:tc>
        <w:tc>
          <w:tcPr>
            <w:tcW w:w="1520" w:type="dxa"/>
            <w:vAlign w:val="bottom"/>
            <w:tcBorders>
              <w:bottom w:val="single" w:sz="8" w:color="00249C"/>
            </w:tcBorders>
            <w:shd w:val="clear" w:color="auto" w:fill="00249C"/>
          </w:tcPr>
          <w:p>
            <w:pPr>
              <w:jc w:val="center"/>
              <w:ind w:left="228"/>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122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22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249C"/>
            </w:tcBorders>
            <w:shd w:val="clear" w:color="auto" w:fill="00249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vMerge w:val="restart"/>
          </w:tcPr>
          <w:p>
            <w:pPr>
              <w:ind w:left="40"/>
              <w:spacing w:after="0"/>
              <w:rPr>
                <w:sz w:val="20"/>
                <w:szCs w:val="20"/>
                <w:color w:val="auto"/>
              </w:rPr>
            </w:pPr>
            <w:r>
              <w:rPr>
                <w:rFonts w:ascii="Arial" w:cs="Arial" w:eastAsia="Arial" w:hAnsi="Arial"/>
                <w:sz w:val="14"/>
                <w:szCs w:val="14"/>
                <w:color w:val="auto"/>
              </w:rPr>
              <w:t>Kathy J. Warden</w:t>
            </w:r>
          </w:p>
        </w:tc>
        <w:tc>
          <w:tcPr>
            <w:tcW w:w="1980" w:type="dxa"/>
            <w:vAlign w:val="bottom"/>
            <w:tcBorders>
              <w:bottom w:val="single" w:sz="8" w:color="CCD4DB"/>
            </w:tcBorders>
            <w:gridSpan w:val="2"/>
            <w:shd w:val="clear" w:color="auto" w:fill="CCD4DB"/>
          </w:tcPr>
          <w:p>
            <w:pPr>
              <w:ind w:left="40"/>
              <w:spacing w:after="0"/>
              <w:rPr>
                <w:sz w:val="20"/>
                <w:szCs w:val="20"/>
                <w:color w:val="auto"/>
              </w:rPr>
            </w:pPr>
            <w:r>
              <w:rPr>
                <w:rFonts w:ascii="Arial" w:cs="Arial" w:eastAsia="Arial" w:hAnsi="Arial"/>
                <w:sz w:val="14"/>
                <w:szCs w:val="14"/>
                <w:color w:val="auto"/>
                <w:highlight w:val="lightGray"/>
              </w:rPr>
              <w:t>Savings Excess</w:t>
            </w:r>
          </w:p>
        </w:tc>
        <w:tc>
          <w:tcPr>
            <w:tcW w:w="1520" w:type="dxa"/>
            <w:vAlign w:val="bottom"/>
            <w:tcBorders>
              <w:bottom w:val="single" w:sz="8" w:color="CCD4DB"/>
            </w:tcBorders>
            <w:shd w:val="clear" w:color="auto" w:fill="CCD4DB"/>
          </w:tcPr>
          <w:p>
            <w:pPr>
              <w:jc w:val="center"/>
              <w:ind w:left="208"/>
              <w:spacing w:after="0"/>
              <w:rPr>
                <w:sz w:val="20"/>
                <w:szCs w:val="20"/>
                <w:color w:val="auto"/>
              </w:rPr>
            </w:pPr>
            <w:r>
              <w:rPr>
                <w:rFonts w:ascii="Arial" w:cs="Arial" w:eastAsia="Arial" w:hAnsi="Arial"/>
                <w:sz w:val="14"/>
                <w:szCs w:val="14"/>
                <w:color w:val="auto"/>
              </w:rPr>
              <w:t>250,277</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125,138</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381,540</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2,137,408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820" w:type="dxa"/>
            <w:vAlign w:val="bottom"/>
            <w:vMerge w:val="continue"/>
          </w:tcPr>
          <w:p>
            <w:pPr>
              <w:spacing w:after="0"/>
              <w:rPr>
                <w:sz w:val="8"/>
                <w:szCs w:val="8"/>
                <w:color w:val="auto"/>
              </w:rPr>
            </w:pPr>
          </w:p>
        </w:tc>
        <w:tc>
          <w:tcPr>
            <w:tcW w:w="1980" w:type="dxa"/>
            <w:vAlign w:val="bottom"/>
            <w:gridSpan w:val="2"/>
            <w:vMerge w:val="restart"/>
          </w:tcPr>
          <w:p>
            <w:pPr>
              <w:ind w:left="40"/>
              <w:spacing w:after="0"/>
              <w:rPr>
                <w:sz w:val="20"/>
                <w:szCs w:val="20"/>
                <w:color w:val="auto"/>
              </w:rPr>
            </w:pPr>
            <w:r>
              <w:rPr>
                <w:rFonts w:ascii="Arial" w:cs="Arial" w:eastAsia="Arial" w:hAnsi="Arial"/>
                <w:sz w:val="14"/>
                <w:szCs w:val="14"/>
                <w:color w:val="auto"/>
              </w:rPr>
              <w:t>ORAC</w:t>
            </w:r>
          </w:p>
        </w:tc>
        <w:tc>
          <w:tcPr>
            <w:tcW w:w="1520" w:type="dxa"/>
            <w:vAlign w:val="bottom"/>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136,338</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74,611</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525,308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820" w:type="dxa"/>
            <w:vAlign w:val="bottom"/>
            <w:tcBorders>
              <w:bottom w:val="single" w:sz="8" w:color="00249C"/>
            </w:tcBorders>
          </w:tcPr>
          <w:p>
            <w:pPr>
              <w:spacing w:after="0"/>
              <w:rPr>
                <w:sz w:val="9"/>
                <w:szCs w:val="9"/>
                <w:color w:val="auto"/>
              </w:rPr>
            </w:pPr>
          </w:p>
        </w:tc>
        <w:tc>
          <w:tcPr>
            <w:tcW w:w="1980" w:type="dxa"/>
            <w:vAlign w:val="bottom"/>
            <w:tcBorders>
              <w:bottom w:val="single" w:sz="8" w:color="00249C"/>
            </w:tcBorders>
            <w:gridSpan w:val="2"/>
            <w:vMerge w:val="continue"/>
          </w:tcPr>
          <w:p>
            <w:pPr>
              <w:spacing w:after="0"/>
              <w:rPr>
                <w:sz w:val="9"/>
                <w:szCs w:val="9"/>
                <w:color w:val="auto"/>
              </w:rPr>
            </w:pPr>
          </w:p>
        </w:tc>
        <w:tc>
          <w:tcPr>
            <w:tcW w:w="1520" w:type="dxa"/>
            <w:vAlign w:val="bottom"/>
            <w:tcBorders>
              <w:bottom w:val="single" w:sz="8" w:color="00249C"/>
            </w:tcBorders>
            <w:vMerge w:val="continue"/>
          </w:tcPr>
          <w:p>
            <w:pPr>
              <w:spacing w:after="0"/>
              <w:rPr>
                <w:sz w:val="9"/>
                <w:szCs w:val="9"/>
                <w:color w:val="auto"/>
              </w:rPr>
            </w:pPr>
          </w:p>
        </w:tc>
        <w:tc>
          <w:tcPr>
            <w:tcW w:w="1240" w:type="dxa"/>
            <w:vAlign w:val="bottom"/>
            <w:tcBorders>
              <w:bottom w:val="single" w:sz="8" w:color="00249C"/>
            </w:tcBorders>
            <w:vMerge w:val="continue"/>
          </w:tcPr>
          <w:p>
            <w:pPr>
              <w:spacing w:after="0"/>
              <w:rPr>
                <w:sz w:val="9"/>
                <w:szCs w:val="9"/>
                <w:color w:val="auto"/>
              </w:rPr>
            </w:pPr>
          </w:p>
        </w:tc>
        <w:tc>
          <w:tcPr>
            <w:tcW w:w="1220" w:type="dxa"/>
            <w:vAlign w:val="bottom"/>
            <w:tcBorders>
              <w:bottom w:val="single" w:sz="8" w:color="00249C"/>
            </w:tcBorders>
            <w:vMerge w:val="continue"/>
          </w:tcPr>
          <w:p>
            <w:pPr>
              <w:spacing w:after="0"/>
              <w:rPr>
                <w:sz w:val="9"/>
                <w:szCs w:val="9"/>
                <w:color w:val="auto"/>
              </w:rPr>
            </w:pPr>
          </w:p>
        </w:tc>
        <w:tc>
          <w:tcPr>
            <w:tcW w:w="1240" w:type="dxa"/>
            <w:vAlign w:val="bottom"/>
            <w:tcBorders>
              <w:bottom w:val="single" w:sz="8" w:color="00249C"/>
            </w:tcBorders>
            <w:vMerge w:val="continue"/>
          </w:tcPr>
          <w:p>
            <w:pPr>
              <w:spacing w:after="0"/>
              <w:rPr>
                <w:sz w:val="9"/>
                <w:szCs w:val="9"/>
                <w:color w:val="auto"/>
              </w:rPr>
            </w:pPr>
          </w:p>
        </w:tc>
        <w:tc>
          <w:tcPr>
            <w:tcW w:w="1220" w:type="dxa"/>
            <w:vAlign w:val="bottom"/>
            <w:tcBorders>
              <w:bottom w:val="single" w:sz="8" w:color="00249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820" w:type="dxa"/>
            <w:vAlign w:val="bottom"/>
            <w:vMerge w:val="restart"/>
          </w:tcPr>
          <w:p>
            <w:pPr>
              <w:ind w:left="40"/>
              <w:spacing w:after="0"/>
              <w:rPr>
                <w:sz w:val="20"/>
                <w:szCs w:val="20"/>
                <w:color w:val="auto"/>
              </w:rPr>
            </w:pPr>
            <w:r>
              <w:rPr>
                <w:rFonts w:ascii="Arial" w:cs="Arial" w:eastAsia="Arial" w:hAnsi="Arial"/>
                <w:sz w:val="14"/>
                <w:szCs w:val="14"/>
                <w:color w:val="auto"/>
              </w:rPr>
              <w:t>Kenneth L. Bedingfield</w:t>
            </w:r>
          </w:p>
        </w:tc>
        <w:tc>
          <w:tcPr>
            <w:tcW w:w="1980" w:type="dxa"/>
            <w:vAlign w:val="bottom"/>
            <w:tcBorders>
              <w:bottom w:val="single" w:sz="8" w:color="CCD4DB"/>
            </w:tcBorders>
            <w:gridSpan w:val="2"/>
            <w:shd w:val="clear" w:color="auto" w:fill="CCD4DB"/>
          </w:tcPr>
          <w:p>
            <w:pPr>
              <w:ind w:left="40"/>
              <w:spacing w:after="0"/>
              <w:rPr>
                <w:sz w:val="20"/>
                <w:szCs w:val="20"/>
                <w:color w:val="auto"/>
              </w:rPr>
            </w:pPr>
            <w:r>
              <w:rPr>
                <w:rFonts w:ascii="Arial" w:cs="Arial" w:eastAsia="Arial" w:hAnsi="Arial"/>
                <w:sz w:val="14"/>
                <w:szCs w:val="14"/>
                <w:color w:val="auto"/>
                <w:highlight w:val="lightGray"/>
              </w:rPr>
              <w:t>Savings Excess</w:t>
            </w:r>
          </w:p>
        </w:tc>
        <w:tc>
          <w:tcPr>
            <w:tcW w:w="1520" w:type="dxa"/>
            <w:vAlign w:val="bottom"/>
            <w:tcBorders>
              <w:bottom w:val="single" w:sz="8" w:color="CCD4DB"/>
            </w:tcBorders>
            <w:shd w:val="clear" w:color="auto" w:fill="CCD4DB"/>
          </w:tcPr>
          <w:p>
            <w:pPr>
              <w:jc w:val="center"/>
              <w:ind w:left="208"/>
              <w:spacing w:after="0"/>
              <w:rPr>
                <w:sz w:val="20"/>
                <w:szCs w:val="20"/>
                <w:color w:val="auto"/>
              </w:rPr>
            </w:pPr>
            <w:r>
              <w:rPr>
                <w:rFonts w:ascii="Arial" w:cs="Arial" w:eastAsia="Arial" w:hAnsi="Arial"/>
                <w:sz w:val="14"/>
                <w:szCs w:val="14"/>
                <w:color w:val="auto"/>
              </w:rPr>
              <w:t>148,671</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148,671</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286,982</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1,869,512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820" w:type="dxa"/>
            <w:vAlign w:val="bottom"/>
            <w:vMerge w:val="continue"/>
          </w:tcPr>
          <w:p>
            <w:pPr>
              <w:spacing w:after="0"/>
              <w:rPr>
                <w:sz w:val="8"/>
                <w:szCs w:val="8"/>
                <w:color w:val="auto"/>
              </w:rPr>
            </w:pPr>
          </w:p>
        </w:tc>
        <w:tc>
          <w:tcPr>
            <w:tcW w:w="1980" w:type="dxa"/>
            <w:vAlign w:val="bottom"/>
            <w:gridSpan w:val="2"/>
            <w:vMerge w:val="restart"/>
          </w:tcPr>
          <w:p>
            <w:pPr>
              <w:ind w:left="40"/>
              <w:spacing w:after="0"/>
              <w:rPr>
                <w:sz w:val="20"/>
                <w:szCs w:val="20"/>
                <w:color w:val="auto"/>
              </w:rPr>
            </w:pPr>
            <w:r>
              <w:rPr>
                <w:rFonts w:ascii="Arial" w:cs="Arial" w:eastAsia="Arial" w:hAnsi="Arial"/>
                <w:sz w:val="14"/>
                <w:szCs w:val="14"/>
                <w:color w:val="auto"/>
              </w:rPr>
              <w:t>ORAC</w:t>
            </w:r>
          </w:p>
        </w:tc>
        <w:tc>
          <w:tcPr>
            <w:tcW w:w="1520" w:type="dxa"/>
            <w:vAlign w:val="bottom"/>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85,535</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80,358</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555,307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820" w:type="dxa"/>
            <w:vAlign w:val="bottom"/>
            <w:tcBorders>
              <w:bottom w:val="single" w:sz="8" w:color="00249C"/>
            </w:tcBorders>
          </w:tcPr>
          <w:p>
            <w:pPr>
              <w:spacing w:after="0"/>
              <w:rPr>
                <w:sz w:val="9"/>
                <w:szCs w:val="9"/>
                <w:color w:val="auto"/>
              </w:rPr>
            </w:pPr>
          </w:p>
        </w:tc>
        <w:tc>
          <w:tcPr>
            <w:tcW w:w="1980" w:type="dxa"/>
            <w:vAlign w:val="bottom"/>
            <w:tcBorders>
              <w:bottom w:val="single" w:sz="8" w:color="00249C"/>
            </w:tcBorders>
            <w:gridSpan w:val="2"/>
            <w:vMerge w:val="continue"/>
          </w:tcPr>
          <w:p>
            <w:pPr>
              <w:spacing w:after="0"/>
              <w:rPr>
                <w:sz w:val="9"/>
                <w:szCs w:val="9"/>
                <w:color w:val="auto"/>
              </w:rPr>
            </w:pPr>
          </w:p>
        </w:tc>
        <w:tc>
          <w:tcPr>
            <w:tcW w:w="1520" w:type="dxa"/>
            <w:vAlign w:val="bottom"/>
            <w:tcBorders>
              <w:bottom w:val="single" w:sz="8" w:color="00249C"/>
            </w:tcBorders>
            <w:vMerge w:val="continue"/>
          </w:tcPr>
          <w:p>
            <w:pPr>
              <w:spacing w:after="0"/>
              <w:rPr>
                <w:sz w:val="9"/>
                <w:szCs w:val="9"/>
                <w:color w:val="auto"/>
              </w:rPr>
            </w:pPr>
          </w:p>
        </w:tc>
        <w:tc>
          <w:tcPr>
            <w:tcW w:w="1240" w:type="dxa"/>
            <w:vAlign w:val="bottom"/>
            <w:tcBorders>
              <w:bottom w:val="single" w:sz="8" w:color="00249C"/>
            </w:tcBorders>
            <w:vMerge w:val="continue"/>
          </w:tcPr>
          <w:p>
            <w:pPr>
              <w:spacing w:after="0"/>
              <w:rPr>
                <w:sz w:val="9"/>
                <w:szCs w:val="9"/>
                <w:color w:val="auto"/>
              </w:rPr>
            </w:pPr>
          </w:p>
        </w:tc>
        <w:tc>
          <w:tcPr>
            <w:tcW w:w="1220" w:type="dxa"/>
            <w:vAlign w:val="bottom"/>
            <w:tcBorders>
              <w:bottom w:val="single" w:sz="8" w:color="00249C"/>
            </w:tcBorders>
            <w:vMerge w:val="continue"/>
          </w:tcPr>
          <w:p>
            <w:pPr>
              <w:spacing w:after="0"/>
              <w:rPr>
                <w:sz w:val="9"/>
                <w:szCs w:val="9"/>
                <w:color w:val="auto"/>
              </w:rPr>
            </w:pPr>
          </w:p>
        </w:tc>
        <w:tc>
          <w:tcPr>
            <w:tcW w:w="1240" w:type="dxa"/>
            <w:vAlign w:val="bottom"/>
            <w:tcBorders>
              <w:bottom w:val="single" w:sz="8" w:color="00249C"/>
            </w:tcBorders>
            <w:vMerge w:val="continue"/>
          </w:tcPr>
          <w:p>
            <w:pPr>
              <w:spacing w:after="0"/>
              <w:rPr>
                <w:sz w:val="9"/>
                <w:szCs w:val="9"/>
                <w:color w:val="auto"/>
              </w:rPr>
            </w:pPr>
          </w:p>
        </w:tc>
        <w:tc>
          <w:tcPr>
            <w:tcW w:w="1220" w:type="dxa"/>
            <w:vAlign w:val="bottom"/>
            <w:tcBorders>
              <w:bottom w:val="single" w:sz="8" w:color="00249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820" w:type="dxa"/>
            <w:vAlign w:val="bottom"/>
            <w:vMerge w:val="restart"/>
          </w:tcPr>
          <w:p>
            <w:pPr>
              <w:ind w:left="40"/>
              <w:spacing w:after="0"/>
              <w:rPr>
                <w:sz w:val="20"/>
                <w:szCs w:val="20"/>
                <w:color w:val="auto"/>
              </w:rPr>
            </w:pPr>
            <w:r>
              <w:rPr>
                <w:rFonts w:ascii="Arial" w:cs="Arial" w:eastAsia="Arial" w:hAnsi="Arial"/>
                <w:sz w:val="14"/>
                <w:szCs w:val="14"/>
                <w:color w:val="auto"/>
              </w:rPr>
              <w:t>Mark A. Caylor</w:t>
            </w:r>
          </w:p>
        </w:tc>
        <w:tc>
          <w:tcPr>
            <w:tcW w:w="1980" w:type="dxa"/>
            <w:vAlign w:val="bottom"/>
            <w:tcBorders>
              <w:bottom w:val="single" w:sz="8" w:color="CCD4DB"/>
            </w:tcBorders>
            <w:gridSpan w:val="2"/>
            <w:shd w:val="clear" w:color="auto" w:fill="CCD4DB"/>
          </w:tcPr>
          <w:p>
            <w:pPr>
              <w:ind w:left="40"/>
              <w:spacing w:after="0"/>
              <w:rPr>
                <w:sz w:val="20"/>
                <w:szCs w:val="20"/>
                <w:color w:val="auto"/>
              </w:rPr>
            </w:pPr>
            <w:r>
              <w:rPr>
                <w:rFonts w:ascii="Arial" w:cs="Arial" w:eastAsia="Arial" w:hAnsi="Arial"/>
                <w:sz w:val="14"/>
                <w:szCs w:val="14"/>
                <w:color w:val="auto"/>
                <w:highlight w:val="lightGray"/>
              </w:rPr>
              <w:t>Savings Excess</w:t>
            </w:r>
          </w:p>
        </w:tc>
        <w:tc>
          <w:tcPr>
            <w:tcW w:w="1520" w:type="dxa"/>
            <w:vAlign w:val="bottom"/>
            <w:tcBorders>
              <w:bottom w:val="single" w:sz="8" w:color="CCD4DB"/>
            </w:tcBorders>
            <w:shd w:val="clear" w:color="auto" w:fill="CCD4DB"/>
          </w:tcPr>
          <w:p>
            <w:pPr>
              <w:jc w:val="center"/>
              <w:ind w:left="22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34,958</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176,755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820" w:type="dxa"/>
            <w:vAlign w:val="bottom"/>
            <w:vMerge w:val="continue"/>
          </w:tcPr>
          <w:p>
            <w:pPr>
              <w:spacing w:after="0"/>
              <w:rPr>
                <w:sz w:val="8"/>
                <w:szCs w:val="8"/>
                <w:color w:val="auto"/>
              </w:rPr>
            </w:pPr>
          </w:p>
        </w:tc>
        <w:tc>
          <w:tcPr>
            <w:tcW w:w="1980" w:type="dxa"/>
            <w:vAlign w:val="bottom"/>
            <w:gridSpan w:val="2"/>
            <w:vMerge w:val="restart"/>
          </w:tcPr>
          <w:p>
            <w:pPr>
              <w:ind w:left="40"/>
              <w:spacing w:after="0"/>
              <w:rPr>
                <w:sz w:val="20"/>
                <w:szCs w:val="20"/>
                <w:color w:val="auto"/>
              </w:rPr>
            </w:pPr>
            <w:r>
              <w:rPr>
                <w:rFonts w:ascii="Arial" w:cs="Arial" w:eastAsia="Arial" w:hAnsi="Arial"/>
                <w:sz w:val="14"/>
                <w:szCs w:val="14"/>
                <w:color w:val="auto"/>
              </w:rPr>
              <w:t>ORAC</w:t>
            </w:r>
          </w:p>
        </w:tc>
        <w:tc>
          <w:tcPr>
            <w:tcW w:w="1520" w:type="dxa"/>
            <w:vAlign w:val="bottom"/>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87,128</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48,147</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369,365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820" w:type="dxa"/>
            <w:vAlign w:val="bottom"/>
            <w:tcBorders>
              <w:bottom w:val="single" w:sz="8" w:color="00249C"/>
            </w:tcBorders>
          </w:tcPr>
          <w:p>
            <w:pPr>
              <w:spacing w:after="0"/>
              <w:rPr>
                <w:sz w:val="9"/>
                <w:szCs w:val="9"/>
                <w:color w:val="auto"/>
              </w:rPr>
            </w:pPr>
          </w:p>
        </w:tc>
        <w:tc>
          <w:tcPr>
            <w:tcW w:w="1980" w:type="dxa"/>
            <w:vAlign w:val="bottom"/>
            <w:tcBorders>
              <w:bottom w:val="single" w:sz="8" w:color="00249C"/>
            </w:tcBorders>
            <w:gridSpan w:val="2"/>
            <w:vMerge w:val="continue"/>
          </w:tcPr>
          <w:p>
            <w:pPr>
              <w:spacing w:after="0"/>
              <w:rPr>
                <w:sz w:val="9"/>
                <w:szCs w:val="9"/>
                <w:color w:val="auto"/>
              </w:rPr>
            </w:pPr>
          </w:p>
        </w:tc>
        <w:tc>
          <w:tcPr>
            <w:tcW w:w="1520" w:type="dxa"/>
            <w:vAlign w:val="bottom"/>
            <w:tcBorders>
              <w:bottom w:val="single" w:sz="8" w:color="00249C"/>
            </w:tcBorders>
            <w:vMerge w:val="continue"/>
          </w:tcPr>
          <w:p>
            <w:pPr>
              <w:spacing w:after="0"/>
              <w:rPr>
                <w:sz w:val="9"/>
                <w:szCs w:val="9"/>
                <w:color w:val="auto"/>
              </w:rPr>
            </w:pPr>
          </w:p>
        </w:tc>
        <w:tc>
          <w:tcPr>
            <w:tcW w:w="1240" w:type="dxa"/>
            <w:vAlign w:val="bottom"/>
            <w:tcBorders>
              <w:bottom w:val="single" w:sz="8" w:color="00249C"/>
            </w:tcBorders>
            <w:vMerge w:val="continue"/>
          </w:tcPr>
          <w:p>
            <w:pPr>
              <w:spacing w:after="0"/>
              <w:rPr>
                <w:sz w:val="9"/>
                <w:szCs w:val="9"/>
                <w:color w:val="auto"/>
              </w:rPr>
            </w:pPr>
          </w:p>
        </w:tc>
        <w:tc>
          <w:tcPr>
            <w:tcW w:w="1220" w:type="dxa"/>
            <w:vAlign w:val="bottom"/>
            <w:tcBorders>
              <w:bottom w:val="single" w:sz="8" w:color="00249C"/>
            </w:tcBorders>
            <w:vMerge w:val="continue"/>
          </w:tcPr>
          <w:p>
            <w:pPr>
              <w:spacing w:after="0"/>
              <w:rPr>
                <w:sz w:val="9"/>
                <w:szCs w:val="9"/>
                <w:color w:val="auto"/>
              </w:rPr>
            </w:pPr>
          </w:p>
        </w:tc>
        <w:tc>
          <w:tcPr>
            <w:tcW w:w="1240" w:type="dxa"/>
            <w:vAlign w:val="bottom"/>
            <w:tcBorders>
              <w:bottom w:val="single" w:sz="8" w:color="00249C"/>
            </w:tcBorders>
            <w:vMerge w:val="continue"/>
          </w:tcPr>
          <w:p>
            <w:pPr>
              <w:spacing w:after="0"/>
              <w:rPr>
                <w:sz w:val="9"/>
                <w:szCs w:val="9"/>
                <w:color w:val="auto"/>
              </w:rPr>
            </w:pPr>
          </w:p>
        </w:tc>
        <w:tc>
          <w:tcPr>
            <w:tcW w:w="1220" w:type="dxa"/>
            <w:vAlign w:val="bottom"/>
            <w:tcBorders>
              <w:bottom w:val="single" w:sz="8" w:color="00249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820" w:type="dxa"/>
            <w:vAlign w:val="bottom"/>
            <w:vMerge w:val="restart"/>
          </w:tcPr>
          <w:p>
            <w:pPr>
              <w:ind w:left="40"/>
              <w:spacing w:after="0"/>
              <w:rPr>
                <w:sz w:val="20"/>
                <w:szCs w:val="20"/>
                <w:color w:val="auto"/>
              </w:rPr>
            </w:pPr>
            <w:r>
              <w:rPr>
                <w:rFonts w:ascii="Arial" w:cs="Arial" w:eastAsia="Arial" w:hAnsi="Arial"/>
                <w:sz w:val="14"/>
                <w:szCs w:val="14"/>
                <w:color w:val="auto"/>
              </w:rPr>
              <w:t>Christopher T. Jones</w:t>
            </w:r>
          </w:p>
        </w:tc>
        <w:tc>
          <w:tcPr>
            <w:tcW w:w="1980" w:type="dxa"/>
            <w:vAlign w:val="bottom"/>
            <w:tcBorders>
              <w:bottom w:val="single" w:sz="8" w:color="CCD4DB"/>
            </w:tcBorders>
            <w:gridSpan w:val="2"/>
            <w:shd w:val="clear" w:color="auto" w:fill="CCD4DB"/>
          </w:tcPr>
          <w:p>
            <w:pPr>
              <w:ind w:left="40"/>
              <w:spacing w:after="0"/>
              <w:rPr>
                <w:sz w:val="20"/>
                <w:szCs w:val="20"/>
                <w:color w:val="auto"/>
              </w:rPr>
            </w:pPr>
            <w:r>
              <w:rPr>
                <w:rFonts w:ascii="Arial" w:cs="Arial" w:eastAsia="Arial" w:hAnsi="Arial"/>
                <w:sz w:val="14"/>
                <w:szCs w:val="14"/>
                <w:color w:val="auto"/>
                <w:highlight w:val="lightGray"/>
              </w:rPr>
              <w:t>Savings Excess</w:t>
            </w:r>
          </w:p>
        </w:tc>
        <w:tc>
          <w:tcPr>
            <w:tcW w:w="1520" w:type="dxa"/>
            <w:vAlign w:val="bottom"/>
            <w:tcBorders>
              <w:bottom w:val="single" w:sz="8" w:color="CCD4DB"/>
            </w:tcBorders>
            <w:shd w:val="clear" w:color="auto" w:fill="CCD4DB"/>
          </w:tcPr>
          <w:p>
            <w:pPr>
              <w:jc w:val="center"/>
              <w:ind w:left="208"/>
              <w:spacing w:after="0"/>
              <w:rPr>
                <w:sz w:val="20"/>
                <w:szCs w:val="20"/>
                <w:color w:val="auto"/>
              </w:rPr>
            </w:pPr>
            <w:r>
              <w:rPr>
                <w:rFonts w:ascii="Arial" w:cs="Arial" w:eastAsia="Arial" w:hAnsi="Arial"/>
                <w:sz w:val="14"/>
                <w:szCs w:val="14"/>
                <w:color w:val="auto"/>
              </w:rPr>
              <w:t>333,735</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66,747</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657,741</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3,109,201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820" w:type="dxa"/>
            <w:vAlign w:val="bottom"/>
            <w:vMerge w:val="continue"/>
          </w:tcPr>
          <w:p>
            <w:pPr>
              <w:spacing w:after="0"/>
              <w:rPr>
                <w:sz w:val="8"/>
                <w:szCs w:val="8"/>
                <w:color w:val="auto"/>
              </w:rPr>
            </w:pPr>
          </w:p>
        </w:tc>
        <w:tc>
          <w:tcPr>
            <w:tcW w:w="1980" w:type="dxa"/>
            <w:vAlign w:val="bottom"/>
            <w:gridSpan w:val="2"/>
            <w:vMerge w:val="restart"/>
          </w:tcPr>
          <w:p>
            <w:pPr>
              <w:ind w:left="40"/>
              <w:spacing w:after="0"/>
              <w:rPr>
                <w:sz w:val="20"/>
                <w:szCs w:val="20"/>
                <w:color w:val="auto"/>
              </w:rPr>
            </w:pPr>
            <w:r>
              <w:rPr>
                <w:rFonts w:ascii="Arial" w:cs="Arial" w:eastAsia="Arial" w:hAnsi="Arial"/>
                <w:sz w:val="14"/>
                <w:szCs w:val="14"/>
                <w:color w:val="auto"/>
              </w:rPr>
              <w:t>ORAC</w:t>
            </w:r>
          </w:p>
        </w:tc>
        <w:tc>
          <w:tcPr>
            <w:tcW w:w="1520" w:type="dxa"/>
            <w:vAlign w:val="bottom"/>
            <w:vMerge w:val="restart"/>
          </w:tcPr>
          <w:p>
            <w:pPr>
              <w:jc w:val="center"/>
              <w:ind w:left="228"/>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77,947</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67,771</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402,350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820" w:type="dxa"/>
            <w:vAlign w:val="bottom"/>
            <w:tcBorders>
              <w:bottom w:val="single" w:sz="8" w:color="00249C"/>
            </w:tcBorders>
          </w:tcPr>
          <w:p>
            <w:pPr>
              <w:spacing w:after="0"/>
              <w:rPr>
                <w:sz w:val="9"/>
                <w:szCs w:val="9"/>
                <w:color w:val="auto"/>
              </w:rPr>
            </w:pPr>
          </w:p>
        </w:tc>
        <w:tc>
          <w:tcPr>
            <w:tcW w:w="1980" w:type="dxa"/>
            <w:vAlign w:val="bottom"/>
            <w:tcBorders>
              <w:bottom w:val="single" w:sz="8" w:color="00249C"/>
            </w:tcBorders>
            <w:gridSpan w:val="2"/>
            <w:vMerge w:val="continue"/>
          </w:tcPr>
          <w:p>
            <w:pPr>
              <w:spacing w:after="0"/>
              <w:rPr>
                <w:sz w:val="9"/>
                <w:szCs w:val="9"/>
                <w:color w:val="auto"/>
              </w:rPr>
            </w:pPr>
          </w:p>
        </w:tc>
        <w:tc>
          <w:tcPr>
            <w:tcW w:w="1520" w:type="dxa"/>
            <w:vAlign w:val="bottom"/>
            <w:tcBorders>
              <w:bottom w:val="single" w:sz="8" w:color="00249C"/>
            </w:tcBorders>
            <w:vMerge w:val="continue"/>
          </w:tcPr>
          <w:p>
            <w:pPr>
              <w:spacing w:after="0"/>
              <w:rPr>
                <w:sz w:val="9"/>
                <w:szCs w:val="9"/>
                <w:color w:val="auto"/>
              </w:rPr>
            </w:pPr>
          </w:p>
        </w:tc>
        <w:tc>
          <w:tcPr>
            <w:tcW w:w="1240" w:type="dxa"/>
            <w:vAlign w:val="bottom"/>
            <w:tcBorders>
              <w:bottom w:val="single" w:sz="8" w:color="00249C"/>
            </w:tcBorders>
            <w:vMerge w:val="continue"/>
          </w:tcPr>
          <w:p>
            <w:pPr>
              <w:spacing w:after="0"/>
              <w:rPr>
                <w:sz w:val="9"/>
                <w:szCs w:val="9"/>
                <w:color w:val="auto"/>
              </w:rPr>
            </w:pPr>
          </w:p>
        </w:tc>
        <w:tc>
          <w:tcPr>
            <w:tcW w:w="1220" w:type="dxa"/>
            <w:vAlign w:val="bottom"/>
            <w:tcBorders>
              <w:bottom w:val="single" w:sz="8" w:color="00249C"/>
            </w:tcBorders>
            <w:vMerge w:val="continue"/>
          </w:tcPr>
          <w:p>
            <w:pPr>
              <w:spacing w:after="0"/>
              <w:rPr>
                <w:sz w:val="9"/>
                <w:szCs w:val="9"/>
                <w:color w:val="auto"/>
              </w:rPr>
            </w:pPr>
          </w:p>
        </w:tc>
        <w:tc>
          <w:tcPr>
            <w:tcW w:w="1240" w:type="dxa"/>
            <w:vAlign w:val="bottom"/>
            <w:tcBorders>
              <w:bottom w:val="single" w:sz="8" w:color="00249C"/>
            </w:tcBorders>
            <w:vMerge w:val="continue"/>
          </w:tcPr>
          <w:p>
            <w:pPr>
              <w:spacing w:after="0"/>
              <w:rPr>
                <w:sz w:val="9"/>
                <w:szCs w:val="9"/>
                <w:color w:val="auto"/>
              </w:rPr>
            </w:pPr>
          </w:p>
        </w:tc>
        <w:tc>
          <w:tcPr>
            <w:tcW w:w="1220" w:type="dxa"/>
            <w:vAlign w:val="bottom"/>
            <w:tcBorders>
              <w:bottom w:val="single" w:sz="8" w:color="00249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7"/>
                <w:szCs w:val="17"/>
                <w:color w:val="auto"/>
              </w:rPr>
            </w:pPr>
          </w:p>
        </w:tc>
        <w:tc>
          <w:tcPr>
            <w:tcW w:w="1980" w:type="dxa"/>
            <w:vAlign w:val="bottom"/>
            <w:tcBorders>
              <w:bottom w:val="single" w:sz="8" w:color="CCD4DB"/>
            </w:tcBorders>
            <w:gridSpan w:val="2"/>
            <w:shd w:val="clear" w:color="auto" w:fill="CCD4DB"/>
          </w:tcPr>
          <w:p>
            <w:pPr>
              <w:ind w:left="40"/>
              <w:spacing w:after="0"/>
              <w:rPr>
                <w:sz w:val="20"/>
                <w:szCs w:val="20"/>
                <w:color w:val="auto"/>
              </w:rPr>
            </w:pPr>
            <w:r>
              <w:rPr>
                <w:rFonts w:ascii="Arial" w:cs="Arial" w:eastAsia="Arial" w:hAnsi="Arial"/>
                <w:sz w:val="14"/>
                <w:szCs w:val="14"/>
                <w:color w:val="auto"/>
                <w:highlight w:val="lightGray"/>
              </w:rPr>
              <w:t>Deferred Compensation</w:t>
            </w:r>
          </w:p>
        </w:tc>
        <w:tc>
          <w:tcPr>
            <w:tcW w:w="1520" w:type="dxa"/>
            <w:vAlign w:val="bottom"/>
            <w:tcBorders>
              <w:bottom w:val="single" w:sz="8" w:color="CCD4DB"/>
            </w:tcBorders>
            <w:shd w:val="clear" w:color="auto" w:fill="CCD4DB"/>
          </w:tcPr>
          <w:p>
            <w:pPr>
              <w:jc w:val="center"/>
              <w:ind w:left="22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186,306</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1,095,261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40"/>
              <w:spacing w:after="0"/>
              <w:rPr>
                <w:sz w:val="20"/>
                <w:szCs w:val="20"/>
                <w:color w:val="auto"/>
              </w:rPr>
            </w:pPr>
            <w:r>
              <w:rPr>
                <w:rFonts w:ascii="Arial" w:cs="Arial" w:eastAsia="Arial" w:hAnsi="Arial"/>
                <w:sz w:val="14"/>
                <w:szCs w:val="14"/>
                <w:color w:val="auto"/>
              </w:rPr>
              <w:t>Janis G. Pamiljans</w:t>
            </w:r>
          </w:p>
        </w:tc>
        <w:tc>
          <w:tcPr>
            <w:tcW w:w="1980" w:type="dxa"/>
            <w:vAlign w:val="bottom"/>
            <w:gridSpan w:val="2"/>
          </w:tcPr>
          <w:p>
            <w:pPr>
              <w:ind w:left="40"/>
              <w:spacing w:after="0"/>
              <w:rPr>
                <w:sz w:val="20"/>
                <w:szCs w:val="20"/>
                <w:color w:val="auto"/>
              </w:rPr>
            </w:pPr>
            <w:r>
              <w:rPr>
                <w:rFonts w:ascii="Arial" w:cs="Arial" w:eastAsia="Arial" w:hAnsi="Arial"/>
                <w:sz w:val="14"/>
                <w:szCs w:val="14"/>
                <w:color w:val="auto"/>
              </w:rPr>
              <w:t>Savings Excess</w:t>
            </w:r>
          </w:p>
        </w:tc>
        <w:tc>
          <w:tcPr>
            <w:tcW w:w="1520" w:type="dxa"/>
            <w:vAlign w:val="bottom"/>
          </w:tcPr>
          <w:p>
            <w:pPr>
              <w:jc w:val="center"/>
              <w:ind w:left="208"/>
              <w:spacing w:after="0"/>
              <w:rPr>
                <w:sz w:val="20"/>
                <w:szCs w:val="20"/>
                <w:color w:val="auto"/>
              </w:rPr>
            </w:pPr>
            <w:r>
              <w:rPr>
                <w:rFonts w:ascii="Arial" w:cs="Arial" w:eastAsia="Arial" w:hAnsi="Arial"/>
                <w:sz w:val="14"/>
                <w:szCs w:val="14"/>
                <w:color w:val="auto"/>
              </w:rPr>
              <w:t>189,819</w:t>
            </w:r>
          </w:p>
        </w:tc>
        <w:tc>
          <w:tcPr>
            <w:tcW w:w="1240" w:type="dxa"/>
            <w:vAlign w:val="bottom"/>
          </w:tcPr>
          <w:p>
            <w:pPr>
              <w:jc w:val="center"/>
              <w:spacing w:after="0"/>
              <w:rPr>
                <w:sz w:val="20"/>
                <w:szCs w:val="20"/>
                <w:color w:val="auto"/>
              </w:rPr>
            </w:pPr>
            <w:r>
              <w:rPr>
                <w:rFonts w:ascii="Arial" w:cs="Arial" w:eastAsia="Arial" w:hAnsi="Arial"/>
                <w:sz w:val="14"/>
                <w:szCs w:val="14"/>
                <w:color w:val="auto"/>
              </w:rPr>
              <w:t>75,928</w:t>
            </w:r>
          </w:p>
        </w:tc>
        <w:tc>
          <w:tcPr>
            <w:tcW w:w="1220" w:type="dxa"/>
            <w:vAlign w:val="bottom"/>
          </w:tcPr>
          <w:p>
            <w:pPr>
              <w:jc w:val="center"/>
              <w:spacing w:after="0"/>
              <w:rPr>
                <w:sz w:val="20"/>
                <w:szCs w:val="20"/>
                <w:color w:val="auto"/>
              </w:rPr>
            </w:pPr>
            <w:r>
              <w:rPr>
                <w:rFonts w:ascii="Arial" w:cs="Arial" w:eastAsia="Arial" w:hAnsi="Arial"/>
                <w:sz w:val="14"/>
                <w:szCs w:val="14"/>
                <w:color w:val="auto"/>
              </w:rPr>
              <w:t>551,268</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2,667,595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46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highlight w:val="lightGray"/>
                <w:w w:val="98"/>
              </w:rPr>
              <w:t>ORAC</w:t>
            </w:r>
          </w:p>
        </w:tc>
        <w:tc>
          <w:tcPr>
            <w:tcW w:w="1520" w:type="dxa"/>
            <w:vAlign w:val="bottom"/>
            <w:tcBorders>
              <w:bottom w:val="single" w:sz="8" w:color="CCD4DB"/>
            </w:tcBorders>
            <w:shd w:val="clear" w:color="auto" w:fill="CCD4DB"/>
          </w:tcPr>
          <w:p>
            <w:pPr>
              <w:spacing w:after="0"/>
              <w:rPr>
                <w:sz w:val="17"/>
                <w:szCs w:val="17"/>
                <w:color w:val="auto"/>
              </w:rPr>
            </w:pPr>
          </w:p>
        </w:tc>
        <w:tc>
          <w:tcPr>
            <w:tcW w:w="1520" w:type="dxa"/>
            <w:vAlign w:val="bottom"/>
            <w:tcBorders>
              <w:bottom w:val="single" w:sz="8" w:color="CCD4DB"/>
            </w:tcBorders>
            <w:shd w:val="clear" w:color="auto" w:fill="CCD4DB"/>
          </w:tcPr>
          <w:p>
            <w:pPr>
              <w:jc w:val="center"/>
              <w:ind w:left="22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87,128</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35,235</w:t>
            </w:r>
          </w:p>
        </w:tc>
        <w:tc>
          <w:tcPr>
            <w:tcW w:w="12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299,549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00249C"/>
          </w:tcPr>
          <w:p>
            <w:pPr>
              <w:spacing w:after="0" w:line="20" w:lineRule="exact"/>
              <w:rPr>
                <w:sz w:val="1"/>
                <w:szCs w:val="1"/>
                <w:color w:val="auto"/>
              </w:rPr>
            </w:pPr>
          </w:p>
        </w:tc>
        <w:tc>
          <w:tcPr>
            <w:tcW w:w="460" w:type="dxa"/>
            <w:vAlign w:val="bottom"/>
            <w:shd w:val="clear" w:color="auto" w:fill="00249C"/>
          </w:tcPr>
          <w:p>
            <w:pPr>
              <w:spacing w:after="0" w:line="20" w:lineRule="exact"/>
              <w:rPr>
                <w:sz w:val="1"/>
                <w:szCs w:val="1"/>
                <w:color w:val="auto"/>
              </w:rPr>
            </w:pPr>
          </w:p>
        </w:tc>
        <w:tc>
          <w:tcPr>
            <w:tcW w:w="1520" w:type="dxa"/>
            <w:vAlign w:val="bottom"/>
            <w:shd w:val="clear" w:color="auto" w:fill="00249C"/>
          </w:tcPr>
          <w:p>
            <w:pPr>
              <w:spacing w:after="0" w:line="20" w:lineRule="exact"/>
              <w:rPr>
                <w:sz w:val="1"/>
                <w:szCs w:val="1"/>
                <w:color w:val="auto"/>
              </w:rPr>
            </w:pPr>
          </w:p>
        </w:tc>
        <w:tc>
          <w:tcPr>
            <w:tcW w:w="1520" w:type="dxa"/>
            <w:vAlign w:val="bottom"/>
            <w:shd w:val="clear" w:color="auto" w:fill="00249C"/>
          </w:tcPr>
          <w:p>
            <w:pPr>
              <w:spacing w:after="0" w:line="20" w:lineRule="exact"/>
              <w:rPr>
                <w:sz w:val="1"/>
                <w:szCs w:val="1"/>
                <w:color w:val="auto"/>
              </w:rPr>
            </w:pPr>
          </w:p>
        </w:tc>
        <w:tc>
          <w:tcPr>
            <w:tcW w:w="1240" w:type="dxa"/>
            <w:vAlign w:val="bottom"/>
            <w:shd w:val="clear" w:color="auto" w:fill="00249C"/>
          </w:tcPr>
          <w:p>
            <w:pPr>
              <w:spacing w:after="0" w:line="20" w:lineRule="exact"/>
              <w:rPr>
                <w:sz w:val="1"/>
                <w:szCs w:val="1"/>
                <w:color w:val="auto"/>
              </w:rPr>
            </w:pPr>
          </w:p>
        </w:tc>
        <w:tc>
          <w:tcPr>
            <w:tcW w:w="1220" w:type="dxa"/>
            <w:vAlign w:val="bottom"/>
            <w:shd w:val="clear" w:color="auto" w:fill="00249C"/>
          </w:tcPr>
          <w:p>
            <w:pPr>
              <w:spacing w:after="0" w:line="20" w:lineRule="exact"/>
              <w:rPr>
                <w:sz w:val="1"/>
                <w:szCs w:val="1"/>
                <w:color w:val="auto"/>
              </w:rPr>
            </w:pPr>
          </w:p>
        </w:tc>
        <w:tc>
          <w:tcPr>
            <w:tcW w:w="1240" w:type="dxa"/>
            <w:vAlign w:val="bottom"/>
            <w:shd w:val="clear" w:color="auto" w:fill="00249C"/>
          </w:tcPr>
          <w:p>
            <w:pPr>
              <w:spacing w:after="0" w:line="20" w:lineRule="exact"/>
              <w:rPr>
                <w:sz w:val="1"/>
                <w:szCs w:val="1"/>
                <w:color w:val="auto"/>
              </w:rPr>
            </w:pPr>
          </w:p>
        </w:tc>
        <w:tc>
          <w:tcPr>
            <w:tcW w:w="1220" w:type="dxa"/>
            <w:vAlign w:val="bottom"/>
            <w:shd w:val="clear" w:color="auto" w:fill="00249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280" w:hanging="412"/>
        <w:spacing w:after="0" w:line="277"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NEO contributions in this column are also included in the 2019 Summary Compensation Table on page 53, under the columns entitled "Salary" and "Non-Equity Incentive Plan Compensation."</w:t>
      </w:r>
    </w:p>
    <w:p>
      <w:pPr>
        <w:spacing w:after="0" w:line="35" w:lineRule="exact"/>
        <w:rPr>
          <w:rFonts w:ascii="Arial" w:cs="Arial" w:eastAsia="Arial" w:hAnsi="Arial"/>
          <w:sz w:val="18"/>
          <w:szCs w:val="18"/>
          <w:color w:val="auto"/>
        </w:rPr>
      </w:pPr>
    </w:p>
    <w:p>
      <w:pPr>
        <w:ind w:left="420" w:right="480" w:hanging="412"/>
        <w:spacing w:after="0" w:line="277"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Company contributions in this column are included in the 2019 Summary Compensation Table, under the column entitled "All Other Compensation."</w:t>
      </w:r>
    </w:p>
    <w:p>
      <w:pPr>
        <w:spacing w:after="0" w:line="8" w:lineRule="exact"/>
        <w:rPr>
          <w:rFonts w:ascii="Arial" w:cs="Arial" w:eastAsia="Arial" w:hAnsi="Arial"/>
          <w:sz w:val="18"/>
          <w:szCs w:val="18"/>
          <w:color w:val="auto"/>
        </w:rPr>
      </w:pPr>
    </w:p>
    <w:p>
      <w:pPr>
        <w:ind w:left="420" w:right="580" w:hanging="412"/>
        <w:spacing w:after="0" w:line="277"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Aggregate earnings in the last fiscal year are not included in the 2019 Summary Compensation Table because they are not above market or preferential.</w:t>
      </w:r>
    </w:p>
    <w:p>
      <w:pPr>
        <w:spacing w:after="0" w:line="8" w:lineRule="exact"/>
        <w:rPr>
          <w:rFonts w:ascii="Arial" w:cs="Arial" w:eastAsia="Arial" w:hAnsi="Arial"/>
          <w:sz w:val="18"/>
          <w:szCs w:val="18"/>
          <w:color w:val="auto"/>
        </w:rPr>
      </w:pPr>
    </w:p>
    <w:p>
      <w:pPr>
        <w:ind w:left="420" w:right="300" w:hanging="412"/>
        <w:spacing w:after="0" w:line="263"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NEO and Company contributions in this column may include balances for merged plans. Employee contributions by Mr. Jones for the year ended December 31, 2019 are presented in the table above. Because Mr. Jones was not an NEO for the years ended December 31, 2018 and 2017, employee contribution data for these years is not presented.</w:t>
      </w:r>
    </w:p>
    <w:p>
      <w:pPr>
        <w:spacing w:after="0" w:line="62" w:lineRule="exact"/>
        <w:rPr>
          <w:rFonts w:ascii="Arial" w:cs="Arial" w:eastAsia="Arial" w:hAnsi="Arial"/>
          <w:sz w:val="18"/>
          <w:szCs w:val="18"/>
          <w:color w:val="auto"/>
        </w:rPr>
      </w:pPr>
    </w:p>
    <w:p>
      <w:pPr>
        <w:ind w:left="420" w:right="380"/>
        <w:spacing w:after="0" w:line="261" w:lineRule="auto"/>
        <w:rPr>
          <w:rFonts w:ascii="Arial" w:cs="Arial" w:eastAsia="Arial" w:hAnsi="Arial"/>
          <w:sz w:val="18"/>
          <w:szCs w:val="18"/>
          <w:color w:val="auto"/>
        </w:rPr>
      </w:pPr>
      <w:r>
        <w:rPr>
          <w:rFonts w:ascii="Arial" w:cs="Arial" w:eastAsia="Arial" w:hAnsi="Arial"/>
          <w:sz w:val="18"/>
          <w:szCs w:val="18"/>
          <w:color w:val="auto"/>
        </w:rPr>
        <w:t>Employee contributions by Ms. Warden, Mr. Bedingfield and Mr. Pamiljans for the years ended December 31, 2019, 2018 and 2017, collectively, previously reported as compensation in the Summary Compensation tables, were as follows:</w:t>
      </w:r>
    </w:p>
    <w:p>
      <w:pPr>
        <w:spacing w:after="0" w:line="199"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3700" w:type="dxa"/>
            <w:vAlign w:val="bottom"/>
            <w:shd w:val="clear" w:color="auto" w:fill="00249C"/>
          </w:tcPr>
          <w:p>
            <w:pPr>
              <w:spacing w:after="0"/>
              <w:rPr>
                <w:sz w:val="16"/>
                <w:szCs w:val="16"/>
                <w:color w:val="auto"/>
              </w:rPr>
            </w:pPr>
          </w:p>
        </w:tc>
        <w:tc>
          <w:tcPr>
            <w:tcW w:w="3700" w:type="dxa"/>
            <w:vAlign w:val="bottom"/>
            <w:shd w:val="clear" w:color="auto" w:fill="00249C"/>
          </w:tcPr>
          <w:p>
            <w:pPr>
              <w:ind w:left="1000"/>
              <w:spacing w:after="0"/>
              <w:rPr>
                <w:sz w:val="20"/>
                <w:szCs w:val="20"/>
                <w:color w:val="auto"/>
              </w:rPr>
            </w:pPr>
            <w:r>
              <w:rPr>
                <w:rFonts w:ascii="Arial" w:cs="Arial" w:eastAsia="Arial" w:hAnsi="Arial"/>
                <w:sz w:val="14"/>
                <w:szCs w:val="14"/>
                <w:b w:val="1"/>
                <w:bCs w:val="1"/>
                <w:color w:val="FFFFFF"/>
              </w:rPr>
              <w:t>Employee Contributions</w:t>
            </w:r>
          </w:p>
        </w:tc>
        <w:tc>
          <w:tcPr>
            <w:tcW w:w="20" w:type="dxa"/>
            <w:vAlign w:val="bottom"/>
            <w:shd w:val="clear" w:color="auto" w:fill="00249C"/>
          </w:tcPr>
          <w:p>
            <w:pPr>
              <w:spacing w:after="0"/>
              <w:rPr>
                <w:sz w:val="16"/>
                <w:szCs w:val="16"/>
                <w:color w:val="auto"/>
              </w:rPr>
            </w:pPr>
          </w:p>
        </w:tc>
      </w:tr>
      <w:tr>
        <w:trPr>
          <w:trHeight w:val="196"/>
        </w:trPr>
        <w:tc>
          <w:tcPr>
            <w:tcW w:w="370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37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249C"/>
            </w:tcBorders>
            <w:shd w:val="clear" w:color="auto" w:fill="00249C"/>
          </w:tcPr>
          <w:p>
            <w:pPr>
              <w:spacing w:after="0"/>
              <w:rPr>
                <w:sz w:val="17"/>
                <w:szCs w:val="17"/>
                <w:color w:val="auto"/>
              </w:rPr>
            </w:pPr>
          </w:p>
        </w:tc>
      </w:tr>
      <w:tr>
        <w:trPr>
          <w:trHeight w:val="196"/>
        </w:trPr>
        <w:tc>
          <w:tcPr>
            <w:tcW w:w="370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highlight w:val="lightGray"/>
              </w:rPr>
              <w:t>Kathy J. Warden</w:t>
            </w:r>
          </w:p>
        </w:tc>
        <w:tc>
          <w:tcPr>
            <w:tcW w:w="37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534,963</w:t>
            </w:r>
          </w:p>
        </w:tc>
        <w:tc>
          <w:tcPr>
            <w:tcW w:w="20" w:type="dxa"/>
            <w:vAlign w:val="bottom"/>
          </w:tcPr>
          <w:p>
            <w:pPr>
              <w:spacing w:after="0"/>
              <w:rPr>
                <w:sz w:val="17"/>
                <w:szCs w:val="17"/>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4"/>
                <w:szCs w:val="14"/>
                <w:color w:val="auto"/>
              </w:rPr>
              <w:t>Kenneth L. Bedingfield</w:t>
            </w:r>
          </w:p>
        </w:tc>
        <w:tc>
          <w:tcPr>
            <w:tcW w:w="3700" w:type="dxa"/>
            <w:vAlign w:val="bottom"/>
          </w:tcPr>
          <w:p>
            <w:pPr>
              <w:jc w:val="center"/>
              <w:spacing w:after="0"/>
              <w:rPr>
                <w:sz w:val="20"/>
                <w:szCs w:val="20"/>
                <w:color w:val="auto"/>
              </w:rPr>
            </w:pPr>
            <w:r>
              <w:rPr>
                <w:rFonts w:ascii="Arial" w:cs="Arial" w:eastAsia="Arial" w:hAnsi="Arial"/>
                <w:sz w:val="14"/>
                <w:szCs w:val="14"/>
                <w:color w:val="auto"/>
              </w:rPr>
              <w:t>525,419</w:t>
            </w:r>
          </w:p>
        </w:tc>
        <w:tc>
          <w:tcPr>
            <w:tcW w:w="20" w:type="dxa"/>
            <w:vAlign w:val="bottom"/>
          </w:tcPr>
          <w:p>
            <w:pPr>
              <w:spacing w:after="0"/>
              <w:rPr>
                <w:sz w:val="18"/>
                <w:szCs w:val="18"/>
                <w:color w:val="auto"/>
              </w:rPr>
            </w:pPr>
          </w:p>
        </w:tc>
      </w:tr>
      <w:tr>
        <w:trPr>
          <w:trHeight w:val="202"/>
        </w:trPr>
        <w:tc>
          <w:tcPr>
            <w:tcW w:w="370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highlight w:val="lightGray"/>
              </w:rPr>
              <w:t>Janis G. Pamiljans</w:t>
            </w:r>
          </w:p>
        </w:tc>
        <w:tc>
          <w:tcPr>
            <w:tcW w:w="370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316,913</w:t>
            </w:r>
          </w:p>
        </w:tc>
        <w:tc>
          <w:tcPr>
            <w:tcW w:w="20" w:type="dxa"/>
            <w:vAlign w:val="bottom"/>
          </w:tcPr>
          <w:p>
            <w:pPr>
              <w:spacing w:after="0"/>
              <w:rPr>
                <w:sz w:val="17"/>
                <w:szCs w:val="17"/>
                <w:color w:val="auto"/>
              </w:rPr>
            </w:pPr>
          </w:p>
        </w:tc>
      </w:tr>
      <w:tr>
        <w:trPr>
          <w:trHeight w:val="20"/>
        </w:trPr>
        <w:tc>
          <w:tcPr>
            <w:tcW w:w="3700" w:type="dxa"/>
            <w:vAlign w:val="bottom"/>
            <w:shd w:val="clear" w:color="auto" w:fill="00249C"/>
          </w:tcPr>
          <w:p>
            <w:pPr>
              <w:spacing w:after="0" w:line="20" w:lineRule="exact"/>
              <w:rPr>
                <w:sz w:val="1"/>
                <w:szCs w:val="1"/>
                <w:color w:val="auto"/>
              </w:rPr>
            </w:pPr>
          </w:p>
        </w:tc>
        <w:tc>
          <w:tcPr>
            <w:tcW w:w="3700" w:type="dxa"/>
            <w:vAlign w:val="bottom"/>
            <w:shd w:val="clear" w:color="auto" w:fill="00249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employee contributions made by Mr. Caylor for the years ended December 31, 2019 and 2018.</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Deferred Compensation Plans and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deferred compensation plans in which the NEOs participate are listed below, in alphabetical order:</w:t>
      </w:r>
    </w:p>
    <w:p>
      <w:pPr>
        <w:spacing w:after="0" w:line="95" w:lineRule="exact"/>
        <w:rPr>
          <w:sz w:val="20"/>
          <w:szCs w:val="20"/>
          <w:color w:val="auto"/>
        </w:rPr>
      </w:pPr>
    </w:p>
    <w:p>
      <w:pPr>
        <w:ind w:left="340" w:right="220" w:hanging="332"/>
        <w:spacing w:after="0" w:line="284" w:lineRule="auto"/>
        <w:tabs>
          <w:tab w:leader="none" w:pos="340" w:val="left"/>
        </w:tabs>
        <w:numPr>
          <w:ilvl w:val="0"/>
          <w:numId w:val="76"/>
        </w:numPr>
        <w:rPr>
          <w:rFonts w:ascii="Arial" w:cs="Arial" w:eastAsia="Arial" w:hAnsi="Arial"/>
          <w:sz w:val="22"/>
          <w:szCs w:val="22"/>
          <w:color w:val="00249C"/>
        </w:rPr>
      </w:pPr>
      <w:r>
        <w:rPr>
          <w:rFonts w:ascii="Arial" w:cs="Arial" w:eastAsia="Arial" w:hAnsi="Arial"/>
          <w:sz w:val="18"/>
          <w:szCs w:val="18"/>
          <w:b w:val="1"/>
          <w:bCs w:val="1"/>
          <w:color w:val="auto"/>
        </w:rPr>
        <w:t xml:space="preserve">Deferred Compensation Plan </w:t>
      </w:r>
      <w:r>
        <w:rPr>
          <w:rFonts w:ascii="Arial" w:cs="Arial" w:eastAsia="Arial" w:hAnsi="Arial"/>
          <w:sz w:val="18"/>
          <w:szCs w:val="18"/>
          <w:color w:val="auto"/>
        </w:rPr>
        <w:t>is the Northrop Grumman Deferred Compensation Plan. In 2010, this plan was closed to new hires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participants ceased to be able to make contributions. Before 2011, eligible executives were allowed to defer a portion of their salary and bonus. No Company contributions were made to the plan.</w:t>
      </w:r>
    </w:p>
    <w:p>
      <w:pPr>
        <w:spacing w:after="0" w:line="61" w:lineRule="exact"/>
        <w:rPr>
          <w:rFonts w:ascii="Arial" w:cs="Arial" w:eastAsia="Arial" w:hAnsi="Arial"/>
          <w:sz w:val="22"/>
          <w:szCs w:val="22"/>
          <w:color w:val="00249C"/>
        </w:rPr>
      </w:pPr>
    </w:p>
    <w:p>
      <w:pPr>
        <w:ind w:left="340" w:right="320" w:hanging="332"/>
        <w:spacing w:after="0" w:line="281" w:lineRule="auto"/>
        <w:tabs>
          <w:tab w:leader="none" w:pos="340" w:val="left"/>
        </w:tabs>
        <w:numPr>
          <w:ilvl w:val="0"/>
          <w:numId w:val="76"/>
        </w:numPr>
        <w:rPr>
          <w:rFonts w:ascii="Arial" w:cs="Arial" w:eastAsia="Arial" w:hAnsi="Arial"/>
          <w:sz w:val="22"/>
          <w:szCs w:val="22"/>
          <w:color w:val="00249C"/>
        </w:rPr>
      </w:pPr>
      <w:r>
        <w:rPr>
          <w:rFonts w:ascii="Arial" w:cs="Arial" w:eastAsia="Arial" w:hAnsi="Arial"/>
          <w:sz w:val="18"/>
          <w:szCs w:val="18"/>
          <w:b w:val="1"/>
          <w:bCs w:val="1"/>
          <w:color w:val="auto"/>
        </w:rPr>
        <w:t xml:space="preserve">Officers Retirement Account Contribution Plan (ORAC) </w:t>
      </w:r>
      <w:r>
        <w:rPr>
          <w:rFonts w:ascii="Arial" w:cs="Arial" w:eastAsia="Arial" w:hAnsi="Arial"/>
          <w:sz w:val="18"/>
          <w:szCs w:val="18"/>
          <w:color w:val="auto"/>
        </w:rPr>
        <w:t>is the Northrop Grumman Officers Retirement Account Contribution Plan.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allows eligible executives, including NEOs, to receive a Company contribution of 4% of base salary and bonus.</w:t>
      </w:r>
    </w:p>
    <w:p>
      <w:pPr>
        <w:spacing w:after="0" w:line="55" w:lineRule="exact"/>
        <w:rPr>
          <w:rFonts w:ascii="Arial" w:cs="Arial" w:eastAsia="Arial" w:hAnsi="Arial"/>
          <w:sz w:val="22"/>
          <w:szCs w:val="22"/>
          <w:color w:val="00249C"/>
        </w:rPr>
      </w:pPr>
    </w:p>
    <w:p>
      <w:pPr>
        <w:ind w:left="340" w:right="40" w:hanging="332"/>
        <w:spacing w:after="0" w:line="305" w:lineRule="auto"/>
        <w:tabs>
          <w:tab w:leader="none" w:pos="340" w:val="left"/>
        </w:tabs>
        <w:numPr>
          <w:ilvl w:val="0"/>
          <w:numId w:val="76"/>
        </w:numPr>
        <w:rPr>
          <w:rFonts w:ascii="Arial" w:cs="Arial" w:eastAsia="Arial" w:hAnsi="Arial"/>
          <w:sz w:val="21"/>
          <w:szCs w:val="21"/>
          <w:color w:val="00249C"/>
        </w:rPr>
      </w:pPr>
      <w:r>
        <w:rPr>
          <w:rFonts w:ascii="Arial" w:cs="Arial" w:eastAsia="Arial" w:hAnsi="Arial"/>
          <w:sz w:val="17"/>
          <w:szCs w:val="17"/>
          <w:b w:val="1"/>
          <w:bCs w:val="1"/>
          <w:color w:val="auto"/>
        </w:rPr>
        <w:t xml:space="preserve">Savings Excess Plan (SEP) </w:t>
      </w:r>
      <w:r>
        <w:rPr>
          <w:rFonts w:ascii="Arial" w:cs="Arial" w:eastAsia="Arial" w:hAnsi="Arial"/>
          <w:sz w:val="17"/>
          <w:szCs w:val="17"/>
          <w:color w:val="auto"/>
        </w:rPr>
        <w:t>is the Northrop Grumman Savings Excess Plan. This plan allows eligible employees, including the NEOs, to (i)</w:t>
      </w:r>
      <w:r>
        <w:rPr>
          <w:rFonts w:ascii="Arial" w:cs="Arial" w:eastAsia="Arial" w:hAnsi="Arial"/>
          <w:sz w:val="17"/>
          <w:szCs w:val="17"/>
          <w:b w:val="1"/>
          <w:bCs w:val="1"/>
          <w:color w:val="auto"/>
        </w:rPr>
        <w:t xml:space="preserve"> </w:t>
      </w:r>
      <w:r>
        <w:rPr>
          <w:rFonts w:ascii="Arial" w:cs="Arial" w:eastAsia="Arial" w:hAnsi="Arial"/>
          <w:sz w:val="17"/>
          <w:szCs w:val="17"/>
          <w:color w:val="auto"/>
        </w:rPr>
        <w:t>defer up to 50% of their salary and bonus beyond the compensation limits of the tax qualified plans and receive a Company matching contribution of up to 4% on a maximum of 8% of pay and (ii) receive RAC beyond the compensation limits in the qualified plans.</w:t>
      </w:r>
    </w:p>
    <w:p>
      <w:pPr>
        <w:sectPr>
          <w:pgSz w:w="11900" w:h="16838" w:orient="portrait"/>
          <w:cols w:equalWidth="0" w:num="1">
            <w:col w:w="11260"/>
          </w:cols>
          <w:pgMar w:left="320" w:top="701" w:right="31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60"/>
          </w:cols>
          <w:pgMar w:left="320" w:top="701" w:right="319" w:bottom="1440" w:gutter="0" w:footer="0" w:header="0"/>
          <w:type w:val="continuous"/>
        </w:sectPr>
      </w:pPr>
    </w:p>
    <w:bookmarkStart w:id="69" w:name="page70"/>
    <w:bookmarkEnd w:id="69"/>
    <w:p>
      <w:pPr>
        <w:ind w:left="40"/>
        <w:spacing w:after="0"/>
        <w:rPr>
          <w:sz w:val="20"/>
          <w:szCs w:val="20"/>
          <w:color w:val="auto"/>
        </w:rPr>
      </w:pPr>
      <w:r>
        <w:rPr>
          <w:rFonts w:ascii="Arial" w:cs="Arial" w:eastAsia="Arial" w:hAnsi="Arial"/>
          <w:sz w:val="22"/>
          <w:szCs w:val="22"/>
          <w:b w:val="1"/>
          <w:bCs w:val="1"/>
          <w:color w:val="FFFFFF"/>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2019 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median employee and the annual total compensation of our Chief Executive Officer (CEO), Ms. Warden, as of our fiscal year-end December 31, 2019. We believe the pay ratio included in this information is a reasonable estimate calculated in a manner consistent with Item 402(u) of Regulation S-K.</w:t>
      </w:r>
    </w:p>
    <w:p>
      <w:pPr>
        <w:spacing w:after="0" w:line="67" w:lineRule="exact"/>
        <w:rPr>
          <w:sz w:val="20"/>
          <w:szCs w:val="20"/>
          <w:color w:val="auto"/>
        </w:rPr>
      </w:pPr>
    </w:p>
    <w:p>
      <w:pPr>
        <w:jc w:val="both"/>
        <w:ind w:right="240"/>
        <w:spacing w:after="0" w:line="291" w:lineRule="auto"/>
        <w:rPr>
          <w:sz w:val="20"/>
          <w:szCs w:val="20"/>
          <w:color w:val="auto"/>
        </w:rPr>
      </w:pPr>
      <w:r>
        <w:rPr>
          <w:rFonts w:ascii="Arial" w:cs="Arial" w:eastAsia="Arial" w:hAnsi="Arial"/>
          <w:sz w:val="17"/>
          <w:szCs w:val="17"/>
          <w:color w:val="auto"/>
        </w:rPr>
        <w:t>In accordance with SEC rules, we used the same median employee in 2019 who we identified in our 2018 proxy statement. There were no changes to our global employee population or our compensation plans that would result in a significant change to our pay ratio disclosure.</w:t>
      </w:r>
    </w:p>
    <w:p>
      <w:pPr>
        <w:spacing w:after="0" w:line="3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calculated the median employee’s annual total compensation in the same manner as the CEO’s annual total compensation was calculated in the Summary Compensation Table on page 53. The median employee’s annual total compensation was $114,667, which includes other forms of compensation such as financial and wellness benefits. The CEO’s annual total compensation was $20,307,994, as reported in the “Total” column of the Summary Compensation Table. Based on this information, for 2019 the ratio of the annual total compensation of the CEO to the annual total compensation of the median employee was 177 : 1.</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63</w:t>
      </w:r>
    </w:p>
    <w:p>
      <w:pPr>
        <w:sectPr>
          <w:pgSz w:w="11900" w:h="16838" w:orient="portrait"/>
          <w:cols w:equalWidth="0" w:num="1">
            <w:col w:w="11240"/>
          </w:cols>
          <w:pgMar w:left="320" w:top="755" w:right="339" w:bottom="1440" w:gutter="0" w:footer="0" w:header="0"/>
        </w:sectPr>
      </w:pPr>
    </w:p>
    <w:bookmarkStart w:id="70" w:name="page71"/>
    <w:bookmarkEnd w:id="7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3257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TERMINATION PAYMENTS AND BENEFITS</w:t>
      </w: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Terms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terms of equity awards granted to the NEOs under the 2011 Plan provide for accelerated vesting if an NEO's employment terminates for certain reasons.</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Generally for RPSRs, vesting of a prorated portion of each award occurs from termination due to early retirement, death or disability, and full vesting occurs upon normal retirement (mandatory at age 65), all subject to the Compensation Committee's approval of the earnout percentage based on the RPSR performance metrics for the three-year performance period.</w:t>
      </w:r>
    </w:p>
    <w:p>
      <w:pPr>
        <w:spacing w:after="0" w:line="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Generally for RSRs, vesting of a prorated portion of each award occurs from termination due to early retirement, and full vesting occurs upon normal retirement (mandatory at age 65), death or disability.</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Possible Accelerated Equity Vesting Due to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terms of equity awards to the NEOs under the 2011 Plan provide for possible accelerated vesting of RPSRs and RSRs when the Company is involved in certain types of change in control events, which are more fully described in the 2011 Plan (e.g., certain business combinations after which the Company is not the surviving entity and the surviving entity does not assume the awards). Possible acceleration would occur with respect to RPSRs and RSRs in certain change in control events that result in a termination of the NEO (other than for cause) within the specified period (double trigger). The acceleration of awards requires this double trigger, unless an acquiring company fails to assume the awards. The award terms provide that acceleration will not occur to the extent that it would result in an excise tax that decreases the after-tax value of the awards to an NEO.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 cases where acceleration would occur under these limited change in control provisions, distributions for RPSRs and RSRs would be in full.</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table below provides the estimated value of accelerated equity vesting if such a change in control had occurred on December 31, 2019. The estimated value is computed by multiplying unvested shares as of December 31, 2019 by the closing market price of the Company's common stock on December 31, 2019, the last trading day of the year ($343.97). For RPSRs, Company performance is assumed to be at target levels through the close of each three-year performance period.</w:t>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72"/>
        </w:trPr>
        <w:tc>
          <w:tcPr>
            <w:tcW w:w="4780" w:type="dxa"/>
            <w:vAlign w:val="bottom"/>
            <w:shd w:val="clear" w:color="auto" w:fill="00249C"/>
          </w:tcPr>
          <w:p>
            <w:pPr>
              <w:spacing w:after="0"/>
              <w:rPr>
                <w:sz w:val="23"/>
                <w:szCs w:val="23"/>
                <w:color w:val="auto"/>
              </w:rPr>
            </w:pPr>
          </w:p>
        </w:tc>
        <w:tc>
          <w:tcPr>
            <w:tcW w:w="16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RSRs</w:t>
            </w:r>
          </w:p>
        </w:tc>
        <w:tc>
          <w:tcPr>
            <w:tcW w:w="16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RPSRs</w:t>
            </w:r>
          </w:p>
        </w:tc>
        <w:tc>
          <w:tcPr>
            <w:tcW w:w="1640" w:type="dxa"/>
            <w:vAlign w:val="bottom"/>
            <w:shd w:val="clear" w:color="auto" w:fill="00249C"/>
          </w:tcPr>
          <w:p>
            <w:pPr>
              <w:spacing w:after="0"/>
              <w:rPr>
                <w:sz w:val="23"/>
                <w:szCs w:val="23"/>
                <w:color w:val="auto"/>
              </w:rPr>
            </w:pPr>
          </w:p>
        </w:tc>
        <w:tc>
          <w:tcPr>
            <w:tcW w:w="20" w:type="dxa"/>
            <w:vAlign w:val="bottom"/>
            <w:shd w:val="clear" w:color="auto" w:fill="00249C"/>
          </w:tcPr>
          <w:p>
            <w:pPr>
              <w:spacing w:after="0"/>
              <w:rPr>
                <w:sz w:val="23"/>
                <w:szCs w:val="23"/>
                <w:color w:val="auto"/>
              </w:rPr>
            </w:pPr>
          </w:p>
        </w:tc>
      </w:tr>
      <w:tr>
        <w:trPr>
          <w:trHeight w:val="201"/>
        </w:trPr>
        <w:tc>
          <w:tcPr>
            <w:tcW w:w="4780" w:type="dxa"/>
            <w:vAlign w:val="bottom"/>
            <w:shd w:val="clear" w:color="auto" w:fill="00249C"/>
          </w:tcPr>
          <w:p>
            <w:pPr>
              <w:spacing w:after="0"/>
              <w:rPr>
                <w:sz w:val="17"/>
                <w:szCs w:val="17"/>
                <w:color w:val="auto"/>
              </w:rPr>
            </w:pPr>
          </w:p>
        </w:tc>
        <w:tc>
          <w:tcPr>
            <w:tcW w:w="16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Acceleration</w:t>
            </w:r>
          </w:p>
        </w:tc>
        <w:tc>
          <w:tcPr>
            <w:tcW w:w="1660" w:type="dxa"/>
            <w:vAlign w:val="bottom"/>
            <w:shd w:val="clear" w:color="auto" w:fill="00249C"/>
          </w:tcPr>
          <w:p>
            <w:pPr>
              <w:ind w:left="360"/>
              <w:spacing w:after="0"/>
              <w:rPr>
                <w:sz w:val="20"/>
                <w:szCs w:val="20"/>
                <w:color w:val="auto"/>
              </w:rPr>
            </w:pPr>
            <w:r>
              <w:rPr>
                <w:rFonts w:ascii="Arial" w:cs="Arial" w:eastAsia="Arial" w:hAnsi="Arial"/>
                <w:sz w:val="14"/>
                <w:szCs w:val="14"/>
                <w:b w:val="1"/>
                <w:bCs w:val="1"/>
                <w:color w:val="FFFFFF"/>
              </w:rPr>
              <w:t>Acceleration</w:t>
            </w:r>
          </w:p>
        </w:tc>
        <w:tc>
          <w:tcPr>
            <w:tcW w:w="1640" w:type="dxa"/>
            <w:vAlign w:val="bottom"/>
            <w:shd w:val="clear" w:color="auto" w:fill="00249C"/>
          </w:tcPr>
          <w:p>
            <w:pPr>
              <w:spacing w:after="0"/>
              <w:rPr>
                <w:sz w:val="17"/>
                <w:szCs w:val="17"/>
                <w:color w:val="auto"/>
              </w:rPr>
            </w:pPr>
          </w:p>
        </w:tc>
        <w:tc>
          <w:tcPr>
            <w:tcW w:w="20" w:type="dxa"/>
            <w:vAlign w:val="bottom"/>
            <w:shd w:val="clear" w:color="auto" w:fill="00249C"/>
          </w:tcPr>
          <w:p>
            <w:pPr>
              <w:spacing w:after="0"/>
              <w:rPr>
                <w:sz w:val="17"/>
                <w:szCs w:val="17"/>
                <w:color w:val="auto"/>
              </w:rPr>
            </w:pPr>
          </w:p>
        </w:tc>
      </w:tr>
      <w:tr>
        <w:trPr>
          <w:trHeight w:val="162"/>
        </w:trPr>
        <w:tc>
          <w:tcPr>
            <w:tcW w:w="4780" w:type="dxa"/>
            <w:vAlign w:val="bottom"/>
            <w:shd w:val="clear" w:color="auto" w:fill="00249C"/>
          </w:tcPr>
          <w:p>
            <w:pPr>
              <w:spacing w:after="0"/>
              <w:rPr>
                <w:sz w:val="14"/>
                <w:szCs w:val="14"/>
                <w:color w:val="auto"/>
              </w:rPr>
            </w:pPr>
          </w:p>
        </w:tc>
        <w:tc>
          <w:tcPr>
            <w:tcW w:w="16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of Vesting</w:t>
            </w:r>
          </w:p>
        </w:tc>
        <w:tc>
          <w:tcPr>
            <w:tcW w:w="16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of Vesting</w:t>
            </w:r>
          </w:p>
        </w:tc>
        <w:tc>
          <w:tcPr>
            <w:tcW w:w="1640" w:type="dxa"/>
            <w:vAlign w:val="bottom"/>
            <w:shd w:val="clear" w:color="auto" w:fill="00249C"/>
          </w:tcPr>
          <w:p>
            <w:pPr>
              <w:ind w:left="640"/>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00249C"/>
          </w:tcPr>
          <w:p>
            <w:pPr>
              <w:spacing w:after="0"/>
              <w:rPr>
                <w:sz w:val="14"/>
                <w:szCs w:val="14"/>
                <w:color w:val="auto"/>
              </w:rPr>
            </w:pPr>
          </w:p>
        </w:tc>
      </w:tr>
      <w:tr>
        <w:trPr>
          <w:trHeight w:val="196"/>
        </w:trPr>
        <w:tc>
          <w:tcPr>
            <w:tcW w:w="478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166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164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249C"/>
            </w:tcBorders>
            <w:shd w:val="clear" w:color="auto" w:fill="00249C"/>
          </w:tcPr>
          <w:p>
            <w:pPr>
              <w:spacing w:after="0"/>
              <w:rPr>
                <w:sz w:val="17"/>
                <w:szCs w:val="17"/>
                <w:color w:val="auto"/>
              </w:rPr>
            </w:pPr>
          </w:p>
        </w:tc>
      </w:tr>
      <w:tr>
        <w:trPr>
          <w:trHeight w:val="196"/>
        </w:trPr>
        <w:tc>
          <w:tcPr>
            <w:tcW w:w="478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highlight w:val="lightGray"/>
              </w:rPr>
              <w:t>Kathy J. Warden</w:t>
            </w:r>
          </w:p>
        </w:tc>
        <w:tc>
          <w:tcPr>
            <w:tcW w:w="16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9,683,100</w:t>
            </w:r>
          </w:p>
        </w:tc>
        <w:tc>
          <w:tcPr>
            <w:tcW w:w="16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19,445,313</w:t>
            </w:r>
          </w:p>
        </w:tc>
        <w:tc>
          <w:tcPr>
            <w:tcW w:w="16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29,128,413</w:t>
            </w:r>
          </w:p>
        </w:tc>
        <w:tc>
          <w:tcPr>
            <w:tcW w:w="20" w:type="dxa"/>
            <w:vAlign w:val="bottom"/>
          </w:tcPr>
          <w:p>
            <w:pPr>
              <w:spacing w:after="0"/>
              <w:rPr>
                <w:sz w:val="17"/>
                <w:szCs w:val="17"/>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4"/>
                <w:szCs w:val="14"/>
                <w:color w:val="auto"/>
              </w:rPr>
              <w:t>Kenneth L. Bedingfield</w:t>
            </w:r>
          </w:p>
        </w:tc>
        <w:tc>
          <w:tcPr>
            <w:tcW w:w="1660" w:type="dxa"/>
            <w:vAlign w:val="bottom"/>
          </w:tcPr>
          <w:p>
            <w:pPr>
              <w:jc w:val="center"/>
              <w:spacing w:after="0"/>
              <w:rPr>
                <w:sz w:val="20"/>
                <w:szCs w:val="20"/>
                <w:color w:val="auto"/>
              </w:rPr>
            </w:pPr>
            <w:r>
              <w:rPr>
                <w:rFonts w:ascii="Arial" w:cs="Arial" w:eastAsia="Arial" w:hAnsi="Arial"/>
                <w:sz w:val="14"/>
                <w:szCs w:val="14"/>
                <w:color w:val="auto"/>
              </w:rPr>
              <w:t>3,830,794</w:t>
            </w:r>
          </w:p>
        </w:tc>
        <w:tc>
          <w:tcPr>
            <w:tcW w:w="1660" w:type="dxa"/>
            <w:vAlign w:val="bottom"/>
          </w:tcPr>
          <w:p>
            <w:pPr>
              <w:jc w:val="center"/>
              <w:spacing w:after="0"/>
              <w:rPr>
                <w:sz w:val="20"/>
                <w:szCs w:val="20"/>
                <w:color w:val="auto"/>
              </w:rPr>
            </w:pPr>
            <w:r>
              <w:rPr>
                <w:rFonts w:ascii="Arial" w:cs="Arial" w:eastAsia="Arial" w:hAnsi="Arial"/>
                <w:sz w:val="14"/>
                <w:szCs w:val="14"/>
                <w:color w:val="auto"/>
              </w:rPr>
              <w:t>5,503,176</w:t>
            </w:r>
          </w:p>
        </w:tc>
        <w:tc>
          <w:tcPr>
            <w:tcW w:w="1640" w:type="dxa"/>
            <w:vAlign w:val="bottom"/>
          </w:tcPr>
          <w:p>
            <w:pPr>
              <w:jc w:val="center"/>
              <w:spacing w:after="0"/>
              <w:rPr>
                <w:sz w:val="20"/>
                <w:szCs w:val="20"/>
                <w:color w:val="auto"/>
              </w:rPr>
            </w:pPr>
            <w:r>
              <w:rPr>
                <w:rFonts w:ascii="Arial" w:cs="Arial" w:eastAsia="Arial" w:hAnsi="Arial"/>
                <w:sz w:val="14"/>
                <w:szCs w:val="14"/>
                <w:color w:val="auto"/>
              </w:rPr>
              <w:t>9,333,970</w:t>
            </w:r>
          </w:p>
        </w:tc>
        <w:tc>
          <w:tcPr>
            <w:tcW w:w="20" w:type="dxa"/>
            <w:vAlign w:val="bottom"/>
          </w:tcPr>
          <w:p>
            <w:pPr>
              <w:spacing w:after="0"/>
              <w:rPr>
                <w:sz w:val="18"/>
                <w:szCs w:val="18"/>
                <w:color w:val="auto"/>
              </w:rPr>
            </w:pPr>
          </w:p>
        </w:tc>
      </w:tr>
      <w:tr>
        <w:trPr>
          <w:trHeight w:val="202"/>
        </w:trPr>
        <w:tc>
          <w:tcPr>
            <w:tcW w:w="478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highlight w:val="lightGray"/>
              </w:rPr>
              <w:t>Mark A. Caylor</w:t>
            </w:r>
          </w:p>
        </w:tc>
        <w:tc>
          <w:tcPr>
            <w:tcW w:w="16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4,070,884</w:t>
            </w:r>
          </w:p>
        </w:tc>
        <w:tc>
          <w:tcPr>
            <w:tcW w:w="16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5,503,176</w:t>
            </w:r>
          </w:p>
        </w:tc>
        <w:tc>
          <w:tcPr>
            <w:tcW w:w="16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9,574,060</w:t>
            </w:r>
          </w:p>
        </w:tc>
        <w:tc>
          <w:tcPr>
            <w:tcW w:w="20" w:type="dxa"/>
            <w:vAlign w:val="bottom"/>
          </w:tcPr>
          <w:p>
            <w:pPr>
              <w:spacing w:after="0"/>
              <w:rPr>
                <w:sz w:val="17"/>
                <w:szCs w:val="17"/>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4"/>
                <w:szCs w:val="14"/>
                <w:color w:val="auto"/>
              </w:rPr>
              <w:t>Christopher T. Jones</w:t>
            </w:r>
          </w:p>
        </w:tc>
        <w:tc>
          <w:tcPr>
            <w:tcW w:w="1660" w:type="dxa"/>
            <w:vAlign w:val="bottom"/>
          </w:tcPr>
          <w:p>
            <w:pPr>
              <w:jc w:val="center"/>
              <w:spacing w:after="0"/>
              <w:rPr>
                <w:sz w:val="20"/>
                <w:szCs w:val="20"/>
                <w:color w:val="auto"/>
              </w:rPr>
            </w:pPr>
            <w:r>
              <w:rPr>
                <w:rFonts w:ascii="Arial" w:cs="Arial" w:eastAsia="Arial" w:hAnsi="Arial"/>
                <w:sz w:val="14"/>
                <w:szCs w:val="14"/>
                <w:color w:val="auto"/>
              </w:rPr>
              <w:t>3,377,786</w:t>
            </w:r>
          </w:p>
        </w:tc>
        <w:tc>
          <w:tcPr>
            <w:tcW w:w="1660" w:type="dxa"/>
            <w:vAlign w:val="bottom"/>
          </w:tcPr>
          <w:p>
            <w:pPr>
              <w:jc w:val="center"/>
              <w:spacing w:after="0"/>
              <w:rPr>
                <w:sz w:val="20"/>
                <w:szCs w:val="20"/>
                <w:color w:val="auto"/>
              </w:rPr>
            </w:pPr>
            <w:r>
              <w:rPr>
                <w:rFonts w:ascii="Arial" w:cs="Arial" w:eastAsia="Arial" w:hAnsi="Arial"/>
                <w:sz w:val="14"/>
                <w:szCs w:val="14"/>
                <w:color w:val="auto"/>
              </w:rPr>
              <w:t>4,717,205</w:t>
            </w:r>
          </w:p>
        </w:tc>
        <w:tc>
          <w:tcPr>
            <w:tcW w:w="1640" w:type="dxa"/>
            <w:vAlign w:val="bottom"/>
          </w:tcPr>
          <w:p>
            <w:pPr>
              <w:jc w:val="center"/>
              <w:spacing w:after="0"/>
              <w:rPr>
                <w:sz w:val="20"/>
                <w:szCs w:val="20"/>
                <w:color w:val="auto"/>
              </w:rPr>
            </w:pPr>
            <w:r>
              <w:rPr>
                <w:rFonts w:ascii="Arial" w:cs="Arial" w:eastAsia="Arial" w:hAnsi="Arial"/>
                <w:sz w:val="14"/>
                <w:szCs w:val="14"/>
                <w:color w:val="auto"/>
              </w:rPr>
              <w:t>8,094,991</w:t>
            </w:r>
          </w:p>
        </w:tc>
        <w:tc>
          <w:tcPr>
            <w:tcW w:w="20" w:type="dxa"/>
            <w:vAlign w:val="bottom"/>
          </w:tcPr>
          <w:p>
            <w:pPr>
              <w:spacing w:after="0"/>
              <w:rPr>
                <w:sz w:val="18"/>
                <w:szCs w:val="18"/>
                <w:color w:val="auto"/>
              </w:rPr>
            </w:pPr>
          </w:p>
        </w:tc>
      </w:tr>
      <w:tr>
        <w:trPr>
          <w:trHeight w:val="202"/>
        </w:trPr>
        <w:tc>
          <w:tcPr>
            <w:tcW w:w="4780" w:type="dxa"/>
            <w:vAlign w:val="bottom"/>
            <w:tcBorders>
              <w:bottom w:val="single" w:sz="8" w:color="CCD4DB"/>
            </w:tcBorders>
            <w:shd w:val="clear" w:color="auto" w:fill="CCD4DB"/>
          </w:tcPr>
          <w:p>
            <w:pPr>
              <w:ind w:left="40"/>
              <w:spacing w:after="0"/>
              <w:rPr>
                <w:sz w:val="20"/>
                <w:szCs w:val="20"/>
                <w:color w:val="auto"/>
              </w:rPr>
            </w:pPr>
            <w:r>
              <w:rPr>
                <w:rFonts w:ascii="Arial" w:cs="Arial" w:eastAsia="Arial" w:hAnsi="Arial"/>
                <w:sz w:val="14"/>
                <w:szCs w:val="14"/>
                <w:color w:val="auto"/>
                <w:highlight w:val="lightGray"/>
              </w:rPr>
              <w:t>Janis G. Pamiljans</w:t>
            </w:r>
          </w:p>
        </w:tc>
        <w:tc>
          <w:tcPr>
            <w:tcW w:w="16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2,667,831</w:t>
            </w:r>
          </w:p>
        </w:tc>
        <w:tc>
          <w:tcPr>
            <w:tcW w:w="16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5,503,176</w:t>
            </w:r>
          </w:p>
        </w:tc>
        <w:tc>
          <w:tcPr>
            <w:tcW w:w="16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8,171,007</w:t>
            </w:r>
          </w:p>
        </w:tc>
        <w:tc>
          <w:tcPr>
            <w:tcW w:w="20" w:type="dxa"/>
            <w:vAlign w:val="bottom"/>
          </w:tcPr>
          <w:p>
            <w:pPr>
              <w:spacing w:after="0"/>
              <w:rPr>
                <w:sz w:val="17"/>
                <w:szCs w:val="17"/>
                <w:color w:val="auto"/>
              </w:rPr>
            </w:pPr>
          </w:p>
        </w:tc>
      </w:tr>
      <w:tr>
        <w:trPr>
          <w:trHeight w:val="20"/>
        </w:trPr>
        <w:tc>
          <w:tcPr>
            <w:tcW w:w="4780" w:type="dxa"/>
            <w:vAlign w:val="bottom"/>
            <w:shd w:val="clear" w:color="auto" w:fill="00249C"/>
          </w:tcPr>
          <w:p>
            <w:pPr>
              <w:spacing w:after="0" w:line="20" w:lineRule="exact"/>
              <w:rPr>
                <w:sz w:val="1"/>
                <w:szCs w:val="1"/>
                <w:color w:val="auto"/>
              </w:rPr>
            </w:pPr>
          </w:p>
        </w:tc>
        <w:tc>
          <w:tcPr>
            <w:tcW w:w="1660" w:type="dxa"/>
            <w:vAlign w:val="bottom"/>
            <w:shd w:val="clear" w:color="auto" w:fill="00249C"/>
          </w:tcPr>
          <w:p>
            <w:pPr>
              <w:spacing w:after="0" w:line="20" w:lineRule="exact"/>
              <w:rPr>
                <w:sz w:val="1"/>
                <w:szCs w:val="1"/>
                <w:color w:val="auto"/>
              </w:rPr>
            </w:pPr>
          </w:p>
        </w:tc>
        <w:tc>
          <w:tcPr>
            <w:tcW w:w="1660" w:type="dxa"/>
            <w:vAlign w:val="bottom"/>
            <w:shd w:val="clear" w:color="auto" w:fill="00249C"/>
          </w:tcPr>
          <w:p>
            <w:pPr>
              <w:spacing w:after="0" w:line="20" w:lineRule="exact"/>
              <w:rPr>
                <w:sz w:val="1"/>
                <w:szCs w:val="1"/>
                <w:color w:val="auto"/>
              </w:rPr>
            </w:pPr>
          </w:p>
        </w:tc>
        <w:tc>
          <w:tcPr>
            <w:tcW w:w="1640" w:type="dxa"/>
            <w:vAlign w:val="bottom"/>
            <w:shd w:val="clear" w:color="auto" w:fill="00249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-1053465</wp:posOffset>
            </wp:positionV>
            <wp:extent cx="2100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674" w:right="359" w:bottom="1440" w:gutter="0" w:footer="0" w:header="0"/>
        </w:sectPr>
      </w:pPr>
    </w:p>
    <w:bookmarkStart w:id="71" w:name="page72"/>
    <w:bookmarkEnd w:id="71"/>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3257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TERMINATION PAYMENTS AND BENEFITS</w:t>
      </w: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Termination Payments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jc w:val="both"/>
        <w:ind w:right="100"/>
        <w:spacing w:after="0" w:line="278" w:lineRule="auto"/>
        <w:rPr>
          <w:sz w:val="20"/>
          <w:szCs w:val="20"/>
          <w:color w:val="auto"/>
        </w:rPr>
      </w:pPr>
      <w:r>
        <w:rPr>
          <w:rFonts w:ascii="Arial" w:cs="Arial" w:eastAsia="Arial" w:hAnsi="Arial"/>
          <w:sz w:val="17"/>
          <w:szCs w:val="17"/>
          <w:color w:val="auto"/>
        </w:rPr>
        <w:t>The following table provides estimated payments and benefits that the Company would have provided to each NEO if his or her employment had terminated on December 31, 2019 for the reasons set forth in the table below. The Company stock price is assumed to be $343.97, the closing market price on December 31, 2019, the last trading day of the year. These payments and benefits are payable based on:</w:t>
      </w:r>
    </w:p>
    <w:p>
      <w:pPr>
        <w:spacing w:after="0" w:line="41"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22"/>
          <w:szCs w:val="22"/>
          <w:color w:val="00249C"/>
        </w:rPr>
      </w:pPr>
      <w:r>
        <w:rPr>
          <w:rFonts w:ascii="Arial" w:cs="Arial" w:eastAsia="Arial" w:hAnsi="Arial"/>
          <w:sz w:val="18"/>
          <w:szCs w:val="18"/>
          <w:color w:val="auto"/>
        </w:rPr>
        <w:t>the Severance Plan; and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77"/>
        </w:numPr>
        <w:rPr>
          <w:rFonts w:ascii="Arial" w:cs="Arial" w:eastAsia="Arial" w:hAnsi="Arial"/>
          <w:sz w:val="22"/>
          <w:szCs w:val="22"/>
          <w:color w:val="00249C"/>
        </w:rPr>
      </w:pPr>
      <w:r>
        <w:rPr>
          <w:rFonts w:ascii="Arial" w:cs="Arial" w:eastAsia="Arial" w:hAnsi="Arial"/>
          <w:sz w:val="18"/>
          <w:szCs w:val="18"/>
          <w:color w:val="auto"/>
        </w:rPr>
        <w:t>the 2011 Plan and the terms and conditions of equity awards made pursuant to the plan.</w:t>
      </w:r>
    </w:p>
    <w:p>
      <w:pPr>
        <w:spacing w:after="0" w:line="9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Due to the many factors that affect the nature and amount of any benefits provided upon termination events, actual amounts paid or distributed to NEOs may be different from the values shown in the table. Factors that may affect these amounts include timing during the year of the occurrence of the event, our stock price, the NEO's age, and the terms and circumstances of the event. The amounts described below are in addition to an NEO's benefits described in the Pension Benefits and Nonqualified Deferred Compensation Tables on pages 58 and 62, respectively, as well as benefits generally available to our employees such as distributions under our savings plan, disability or life insurance benefits and accrued vacation.</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65</w:t>
      </w:r>
    </w:p>
    <w:p>
      <w:pPr>
        <w:sectPr>
          <w:pgSz w:w="11900" w:h="16838" w:orient="portrait"/>
          <w:cols w:equalWidth="0" w:num="1">
            <w:col w:w="11240"/>
          </w:cols>
          <w:pgMar w:left="320" w:top="674" w:right="339" w:bottom="1440" w:gutter="0" w:footer="0" w:header="0"/>
        </w:sectPr>
      </w:pPr>
    </w:p>
    <w:bookmarkStart w:id="72" w:name="page73"/>
    <w:bookmarkEnd w:id="72"/>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18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591820"/>
                    </a:xfrm>
                    <a:prstGeom prst="rect">
                      <a:avLst/>
                    </a:prstGeom>
                    <a:noFill/>
                  </pic:spPr>
                </pic:pic>
              </a:graphicData>
            </a:graphic>
          </wp:anchor>
        </w:drawing>
        <w:t>TERMINATION PAYMENTS AND BENEFITS | T</w:t>
      </w:r>
      <w:r>
        <w:rPr>
          <w:rFonts w:ascii="Arial" w:cs="Arial" w:eastAsia="Arial" w:hAnsi="Arial"/>
          <w:sz w:val="17"/>
          <w:szCs w:val="17"/>
          <w:b w:val="1"/>
          <w:bCs w:val="1"/>
          <w:color w:val="FFFFFF"/>
        </w:rPr>
        <w:t>ERMINATION</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AYMENT</w:t>
      </w:r>
      <w:r>
        <w:rPr>
          <w:rFonts w:ascii="Arial" w:cs="Arial" w:eastAsia="Arial" w:hAnsi="Arial"/>
          <w:sz w:val="22"/>
          <w:szCs w:val="22"/>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Termination Payment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Potential Termination Payments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shd w:val="clear" w:color="auto" w:fill="00249C"/>
          </w:tcPr>
          <w:p>
            <w:pPr>
              <w:spacing w:after="0"/>
              <w:rPr>
                <w:sz w:val="16"/>
                <w:szCs w:val="16"/>
                <w:color w:val="auto"/>
              </w:rPr>
            </w:pPr>
          </w:p>
        </w:tc>
        <w:tc>
          <w:tcPr>
            <w:tcW w:w="3240" w:type="dxa"/>
            <w:vAlign w:val="bottom"/>
            <w:shd w:val="clear" w:color="auto" w:fill="00249C"/>
          </w:tcPr>
          <w:p>
            <w:pPr>
              <w:spacing w:after="0"/>
              <w:rPr>
                <w:sz w:val="16"/>
                <w:szCs w:val="16"/>
                <w:color w:val="auto"/>
              </w:rPr>
            </w:pPr>
          </w:p>
        </w:tc>
        <w:tc>
          <w:tcPr>
            <w:tcW w:w="1940" w:type="dxa"/>
            <w:vAlign w:val="bottom"/>
            <w:shd w:val="clear" w:color="auto" w:fill="00249C"/>
          </w:tcPr>
          <w:p>
            <w:pPr>
              <w:spacing w:after="0"/>
              <w:rPr>
                <w:sz w:val="16"/>
                <w:szCs w:val="16"/>
                <w:color w:val="auto"/>
              </w:rPr>
            </w:pPr>
          </w:p>
        </w:tc>
        <w:tc>
          <w:tcPr>
            <w:tcW w:w="1580" w:type="dxa"/>
            <w:vAlign w:val="bottom"/>
            <w:shd w:val="clear" w:color="auto" w:fill="00249C"/>
          </w:tcPr>
          <w:p>
            <w:pPr>
              <w:spacing w:after="0"/>
              <w:rPr>
                <w:sz w:val="16"/>
                <w:szCs w:val="16"/>
                <w:color w:val="auto"/>
              </w:rPr>
            </w:pPr>
          </w:p>
        </w:tc>
        <w:tc>
          <w:tcPr>
            <w:tcW w:w="1540" w:type="dxa"/>
            <w:vAlign w:val="bottom"/>
            <w:shd w:val="clear" w:color="auto" w:fill="00249C"/>
          </w:tcPr>
          <w:p>
            <w:pPr>
              <w:jc w:val="center"/>
              <w:ind w:right="48"/>
              <w:spacing w:after="0"/>
              <w:rPr>
                <w:sz w:val="20"/>
                <w:szCs w:val="20"/>
                <w:color w:val="auto"/>
              </w:rPr>
            </w:pPr>
            <w:r>
              <w:rPr>
                <w:rFonts w:ascii="Arial" w:cs="Arial" w:eastAsia="Arial" w:hAnsi="Arial"/>
                <w:sz w:val="14"/>
                <w:szCs w:val="14"/>
                <w:b w:val="1"/>
                <w:bCs w:val="1"/>
                <w:color w:val="FFFFFF"/>
              </w:rPr>
              <w:t>Post-CIC</w:t>
            </w:r>
          </w:p>
        </w:tc>
        <w:tc>
          <w:tcPr>
            <w:tcW w:w="1360" w:type="dxa"/>
            <w:vAlign w:val="bottom"/>
            <w:shd w:val="clear" w:color="auto" w:fill="00249C"/>
          </w:tcPr>
          <w:p>
            <w:pPr>
              <w:spacing w:after="0"/>
              <w:rPr>
                <w:sz w:val="16"/>
                <w:szCs w:val="16"/>
                <w:color w:val="auto"/>
              </w:rPr>
            </w:pP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00249C"/>
          </w:tcPr>
          <w:p>
            <w:pPr>
              <w:spacing w:after="0"/>
              <w:rPr>
                <w:sz w:val="14"/>
                <w:szCs w:val="14"/>
                <w:color w:val="auto"/>
              </w:rPr>
            </w:pPr>
          </w:p>
        </w:tc>
        <w:tc>
          <w:tcPr>
            <w:tcW w:w="3240" w:type="dxa"/>
            <w:vAlign w:val="bottom"/>
            <w:shd w:val="clear" w:color="auto" w:fill="00249C"/>
          </w:tcPr>
          <w:p>
            <w:pPr>
              <w:spacing w:after="0"/>
              <w:rPr>
                <w:sz w:val="14"/>
                <w:szCs w:val="14"/>
                <w:color w:val="auto"/>
              </w:rPr>
            </w:pPr>
          </w:p>
        </w:tc>
        <w:tc>
          <w:tcPr>
            <w:tcW w:w="1940" w:type="dxa"/>
            <w:vAlign w:val="bottom"/>
            <w:shd w:val="clear" w:color="auto" w:fill="00249C"/>
          </w:tcPr>
          <w:p>
            <w:pPr>
              <w:spacing w:after="0"/>
              <w:rPr>
                <w:sz w:val="14"/>
                <w:szCs w:val="14"/>
                <w:color w:val="auto"/>
              </w:rPr>
            </w:pPr>
          </w:p>
        </w:tc>
        <w:tc>
          <w:tcPr>
            <w:tcW w:w="1580" w:type="dxa"/>
            <w:vAlign w:val="bottom"/>
            <w:shd w:val="clear" w:color="auto" w:fill="00249C"/>
          </w:tcPr>
          <w:p>
            <w:pPr>
              <w:jc w:val="center"/>
              <w:ind w:left="8"/>
              <w:spacing w:after="0"/>
              <w:rPr>
                <w:sz w:val="20"/>
                <w:szCs w:val="20"/>
                <w:color w:val="auto"/>
              </w:rPr>
            </w:pPr>
            <w:r>
              <w:rPr>
                <w:rFonts w:ascii="Arial" w:cs="Arial" w:eastAsia="Arial" w:hAnsi="Arial"/>
                <w:sz w:val="14"/>
                <w:szCs w:val="14"/>
                <w:b w:val="1"/>
                <w:bCs w:val="1"/>
                <w:color w:val="FFFFFF"/>
              </w:rPr>
              <w:t>Involuntary</w:t>
            </w:r>
          </w:p>
        </w:tc>
        <w:tc>
          <w:tcPr>
            <w:tcW w:w="1540" w:type="dxa"/>
            <w:vAlign w:val="bottom"/>
            <w:shd w:val="clear" w:color="auto" w:fill="00249C"/>
          </w:tcPr>
          <w:p>
            <w:pPr>
              <w:jc w:val="center"/>
              <w:ind w:right="48"/>
              <w:spacing w:after="0"/>
              <w:rPr>
                <w:sz w:val="20"/>
                <w:szCs w:val="20"/>
                <w:color w:val="auto"/>
              </w:rPr>
            </w:pPr>
            <w:r>
              <w:rPr>
                <w:rFonts w:ascii="Arial" w:cs="Arial" w:eastAsia="Arial" w:hAnsi="Arial"/>
                <w:sz w:val="14"/>
                <w:szCs w:val="14"/>
                <w:b w:val="1"/>
                <w:bCs w:val="1"/>
                <w:color w:val="FFFFFF"/>
              </w:rPr>
              <w:t>Involuntary</w:t>
            </w:r>
          </w:p>
        </w:tc>
        <w:tc>
          <w:tcPr>
            <w:tcW w:w="136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00249C"/>
          </w:tcPr>
          <w:p>
            <w:pPr>
              <w:spacing w:after="0"/>
              <w:rPr>
                <w:sz w:val="14"/>
                <w:szCs w:val="14"/>
                <w:color w:val="auto"/>
              </w:rPr>
            </w:pPr>
          </w:p>
        </w:tc>
        <w:tc>
          <w:tcPr>
            <w:tcW w:w="3240" w:type="dxa"/>
            <w:vAlign w:val="bottom"/>
            <w:shd w:val="clear" w:color="auto" w:fill="00249C"/>
          </w:tcPr>
          <w:p>
            <w:pPr>
              <w:spacing w:after="0"/>
              <w:rPr>
                <w:sz w:val="14"/>
                <w:szCs w:val="14"/>
                <w:color w:val="auto"/>
              </w:rPr>
            </w:pPr>
          </w:p>
        </w:tc>
        <w:tc>
          <w:tcPr>
            <w:tcW w:w="1940" w:type="dxa"/>
            <w:vAlign w:val="bottom"/>
            <w:shd w:val="clear" w:color="auto" w:fill="00249C"/>
          </w:tcPr>
          <w:p>
            <w:pPr>
              <w:jc w:val="center"/>
              <w:ind w:left="628"/>
              <w:spacing w:after="0"/>
              <w:rPr>
                <w:sz w:val="20"/>
                <w:szCs w:val="20"/>
                <w:color w:val="auto"/>
              </w:rPr>
            </w:pPr>
            <w:r>
              <w:rPr>
                <w:rFonts w:ascii="Arial" w:cs="Arial" w:eastAsia="Arial" w:hAnsi="Arial"/>
                <w:sz w:val="14"/>
                <w:szCs w:val="14"/>
                <w:b w:val="1"/>
                <w:bCs w:val="1"/>
                <w:color w:val="FFFFFF"/>
                <w:w w:val="99"/>
              </w:rPr>
              <w:t>Voluntary</w:t>
            </w:r>
          </w:p>
        </w:tc>
        <w:tc>
          <w:tcPr>
            <w:tcW w:w="1580" w:type="dxa"/>
            <w:vAlign w:val="bottom"/>
            <w:shd w:val="clear" w:color="auto" w:fill="00249C"/>
          </w:tcPr>
          <w:p>
            <w:pPr>
              <w:jc w:val="center"/>
              <w:ind w:left="8"/>
              <w:spacing w:after="0"/>
              <w:rPr>
                <w:sz w:val="20"/>
                <w:szCs w:val="20"/>
                <w:color w:val="auto"/>
              </w:rPr>
            </w:pPr>
            <w:r>
              <w:rPr>
                <w:rFonts w:ascii="Arial" w:cs="Arial" w:eastAsia="Arial" w:hAnsi="Arial"/>
                <w:sz w:val="14"/>
                <w:szCs w:val="14"/>
                <w:b w:val="1"/>
                <w:bCs w:val="1"/>
                <w:color w:val="FFFFFF"/>
              </w:rPr>
              <w:t>Termination</w:t>
            </w:r>
          </w:p>
        </w:tc>
        <w:tc>
          <w:tcPr>
            <w:tcW w:w="1540" w:type="dxa"/>
            <w:vAlign w:val="bottom"/>
            <w:shd w:val="clear" w:color="auto" w:fill="00249C"/>
          </w:tcPr>
          <w:p>
            <w:pPr>
              <w:jc w:val="center"/>
              <w:ind w:right="28"/>
              <w:spacing w:after="0"/>
              <w:rPr>
                <w:sz w:val="20"/>
                <w:szCs w:val="20"/>
                <w:color w:val="auto"/>
              </w:rPr>
            </w:pPr>
            <w:r>
              <w:rPr>
                <w:rFonts w:ascii="Arial" w:cs="Arial" w:eastAsia="Arial" w:hAnsi="Arial"/>
                <w:sz w:val="14"/>
                <w:szCs w:val="14"/>
                <w:b w:val="1"/>
                <w:bCs w:val="1"/>
                <w:color w:val="FFFFFF"/>
              </w:rPr>
              <w:t>or Good Reason</w:t>
            </w:r>
          </w:p>
        </w:tc>
        <w:tc>
          <w:tcPr>
            <w:tcW w:w="1360" w:type="dxa"/>
            <w:vAlign w:val="bottom"/>
            <w:shd w:val="clear" w:color="auto" w:fill="00249C"/>
          </w:tcPr>
          <w:p>
            <w:pPr>
              <w:jc w:val="center"/>
              <w:ind w:right="28"/>
              <w:spacing w:after="0"/>
              <w:rPr>
                <w:sz w:val="20"/>
                <w:szCs w:val="20"/>
                <w:color w:val="auto"/>
              </w:rPr>
            </w:pPr>
            <w:r>
              <w:rPr>
                <w:rFonts w:ascii="Arial" w:cs="Arial" w:eastAsia="Arial" w:hAnsi="Arial"/>
                <w:sz w:val="14"/>
                <w:szCs w:val="14"/>
                <w:b w:val="1"/>
                <w:bCs w:val="1"/>
                <w:color w:val="FFFFFF"/>
              </w:rPr>
              <w:t>Death or</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00249C"/>
          </w:tcPr>
          <w:p>
            <w:pPr>
              <w:spacing w:after="0"/>
              <w:rPr>
                <w:sz w:val="14"/>
                <w:szCs w:val="14"/>
                <w:color w:val="auto"/>
              </w:rPr>
            </w:pPr>
          </w:p>
        </w:tc>
        <w:tc>
          <w:tcPr>
            <w:tcW w:w="3240" w:type="dxa"/>
            <w:vAlign w:val="bottom"/>
            <w:shd w:val="clear" w:color="auto" w:fill="00249C"/>
          </w:tcPr>
          <w:p>
            <w:pPr>
              <w:spacing w:after="0"/>
              <w:rPr>
                <w:sz w:val="14"/>
                <w:szCs w:val="14"/>
                <w:color w:val="auto"/>
              </w:rPr>
            </w:pPr>
          </w:p>
        </w:tc>
        <w:tc>
          <w:tcPr>
            <w:tcW w:w="1940" w:type="dxa"/>
            <w:vAlign w:val="bottom"/>
            <w:shd w:val="clear" w:color="auto" w:fill="00249C"/>
          </w:tcPr>
          <w:p>
            <w:pPr>
              <w:jc w:val="center"/>
              <w:ind w:left="628"/>
              <w:spacing w:after="0"/>
              <w:rPr>
                <w:sz w:val="20"/>
                <w:szCs w:val="20"/>
                <w:color w:val="auto"/>
              </w:rPr>
            </w:pPr>
            <w:r>
              <w:rPr>
                <w:rFonts w:ascii="Arial" w:cs="Arial" w:eastAsia="Arial" w:hAnsi="Arial"/>
                <w:sz w:val="14"/>
                <w:szCs w:val="14"/>
                <w:b w:val="1"/>
                <w:bCs w:val="1"/>
                <w:color w:val="FFFFFF"/>
                <w:w w:val="99"/>
              </w:rPr>
              <w:t>Termination</w:t>
            </w:r>
          </w:p>
        </w:tc>
        <w:tc>
          <w:tcPr>
            <w:tcW w:w="1580" w:type="dxa"/>
            <w:vAlign w:val="bottom"/>
            <w:shd w:val="clear" w:color="auto" w:fill="00249C"/>
          </w:tcPr>
          <w:p>
            <w:pPr>
              <w:jc w:val="center"/>
              <w:ind w:left="28"/>
              <w:spacing w:after="0"/>
              <w:rPr>
                <w:sz w:val="20"/>
                <w:szCs w:val="20"/>
                <w:color w:val="auto"/>
              </w:rPr>
            </w:pPr>
            <w:r>
              <w:rPr>
                <w:rFonts w:ascii="Arial" w:cs="Arial" w:eastAsia="Arial" w:hAnsi="Arial"/>
                <w:sz w:val="14"/>
                <w:szCs w:val="14"/>
                <w:b w:val="1"/>
                <w:bCs w:val="1"/>
                <w:color w:val="FFFFFF"/>
              </w:rPr>
              <w:t>Not For Cause (1)</w:t>
            </w:r>
          </w:p>
        </w:tc>
        <w:tc>
          <w:tcPr>
            <w:tcW w:w="1540" w:type="dxa"/>
            <w:vAlign w:val="bottom"/>
            <w:shd w:val="clear" w:color="auto" w:fill="00249C"/>
          </w:tcPr>
          <w:p>
            <w:pPr>
              <w:jc w:val="center"/>
              <w:ind w:right="88"/>
              <w:spacing w:after="0"/>
              <w:rPr>
                <w:sz w:val="20"/>
                <w:szCs w:val="20"/>
                <w:color w:val="auto"/>
              </w:rPr>
            </w:pPr>
            <w:r>
              <w:rPr>
                <w:rFonts w:ascii="Arial" w:cs="Arial" w:eastAsia="Arial" w:hAnsi="Arial"/>
                <w:sz w:val="14"/>
                <w:szCs w:val="14"/>
                <w:b w:val="1"/>
                <w:bCs w:val="1"/>
                <w:color w:val="FFFFFF"/>
              </w:rPr>
              <w:t>Termination (2)</w:t>
            </w:r>
          </w:p>
        </w:tc>
        <w:tc>
          <w:tcPr>
            <w:tcW w:w="1360" w:type="dxa"/>
            <w:vAlign w:val="bottom"/>
            <w:shd w:val="clear" w:color="auto" w:fill="00249C"/>
          </w:tcPr>
          <w:p>
            <w:pPr>
              <w:jc w:val="center"/>
              <w:ind w:right="8"/>
              <w:spacing w:after="0"/>
              <w:rPr>
                <w:sz w:val="20"/>
                <w:szCs w:val="20"/>
                <w:color w:val="auto"/>
              </w:rPr>
            </w:pPr>
            <w:r>
              <w:rPr>
                <w:rFonts w:ascii="Arial" w:cs="Arial" w:eastAsia="Arial" w:hAnsi="Arial"/>
                <w:sz w:val="14"/>
                <w:szCs w:val="14"/>
                <w:b w:val="1"/>
                <w:bCs w:val="1"/>
                <w:color w:val="FFFFFF"/>
              </w:rPr>
              <w:t>Disability</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8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3240" w:type="dxa"/>
            <w:vAlign w:val="bottom"/>
            <w:tcBorders>
              <w:bottom w:val="single" w:sz="8" w:color="00249C"/>
            </w:tcBorders>
            <w:shd w:val="clear" w:color="auto" w:fill="00249C"/>
          </w:tcPr>
          <w:p>
            <w:pPr>
              <w:ind w:left="40"/>
              <w:spacing w:after="0"/>
              <w:rPr>
                <w:sz w:val="20"/>
                <w:szCs w:val="20"/>
                <w:color w:val="auto"/>
              </w:rPr>
            </w:pPr>
            <w:r>
              <w:rPr>
                <w:rFonts w:ascii="Arial" w:cs="Arial" w:eastAsia="Arial" w:hAnsi="Arial"/>
                <w:sz w:val="14"/>
                <w:szCs w:val="14"/>
                <w:b w:val="1"/>
                <w:bCs w:val="1"/>
                <w:color w:val="FFFFFF"/>
              </w:rPr>
              <w:t>Executive Benefits</w:t>
            </w:r>
          </w:p>
        </w:tc>
        <w:tc>
          <w:tcPr>
            <w:tcW w:w="1940" w:type="dxa"/>
            <w:vAlign w:val="bottom"/>
            <w:tcBorders>
              <w:bottom w:val="single" w:sz="8" w:color="00249C"/>
            </w:tcBorders>
            <w:shd w:val="clear" w:color="auto" w:fill="00249C"/>
          </w:tcPr>
          <w:p>
            <w:pPr>
              <w:jc w:val="center"/>
              <w:ind w:left="608"/>
              <w:spacing w:after="0"/>
              <w:rPr>
                <w:sz w:val="20"/>
                <w:szCs w:val="20"/>
                <w:color w:val="auto"/>
              </w:rPr>
            </w:pPr>
            <w:r>
              <w:rPr>
                <w:rFonts w:ascii="Arial" w:cs="Arial" w:eastAsia="Arial" w:hAnsi="Arial"/>
                <w:sz w:val="14"/>
                <w:szCs w:val="14"/>
                <w:b w:val="1"/>
                <w:bCs w:val="1"/>
                <w:color w:val="FFFFFF"/>
              </w:rPr>
              <w:t>($)</w:t>
            </w:r>
          </w:p>
        </w:tc>
        <w:tc>
          <w:tcPr>
            <w:tcW w:w="1580" w:type="dxa"/>
            <w:vAlign w:val="bottom"/>
            <w:tcBorders>
              <w:bottom w:val="single" w:sz="8" w:color="00249C"/>
            </w:tcBorders>
            <w:shd w:val="clear" w:color="auto" w:fill="00249C"/>
          </w:tcPr>
          <w:p>
            <w:pPr>
              <w:jc w:val="center"/>
              <w:ind w:left="8"/>
              <w:spacing w:after="0"/>
              <w:rPr>
                <w:sz w:val="20"/>
                <w:szCs w:val="20"/>
                <w:color w:val="auto"/>
              </w:rPr>
            </w:pPr>
            <w:r>
              <w:rPr>
                <w:rFonts w:ascii="Arial" w:cs="Arial" w:eastAsia="Arial" w:hAnsi="Arial"/>
                <w:sz w:val="14"/>
                <w:szCs w:val="14"/>
                <w:b w:val="1"/>
                <w:bCs w:val="1"/>
                <w:color w:val="FFFFFF"/>
              </w:rPr>
              <w:t>($)</w:t>
            </w:r>
          </w:p>
        </w:tc>
        <w:tc>
          <w:tcPr>
            <w:tcW w:w="1540" w:type="dxa"/>
            <w:vAlign w:val="bottom"/>
            <w:tcBorders>
              <w:bottom w:val="single" w:sz="8" w:color="00249C"/>
            </w:tcBorders>
            <w:shd w:val="clear" w:color="auto" w:fill="00249C"/>
          </w:tcPr>
          <w:p>
            <w:pPr>
              <w:jc w:val="center"/>
              <w:ind w:right="48"/>
              <w:spacing w:after="0"/>
              <w:rPr>
                <w:sz w:val="20"/>
                <w:szCs w:val="20"/>
                <w:color w:val="auto"/>
              </w:rPr>
            </w:pPr>
            <w:r>
              <w:rPr>
                <w:rFonts w:ascii="Arial" w:cs="Arial" w:eastAsia="Arial" w:hAnsi="Arial"/>
                <w:sz w:val="14"/>
                <w:szCs w:val="14"/>
                <w:b w:val="1"/>
                <w:bCs w:val="1"/>
                <w:color w:val="FFFFFF"/>
              </w:rPr>
              <w:t>($)</w:t>
            </w:r>
          </w:p>
        </w:tc>
        <w:tc>
          <w:tcPr>
            <w:tcW w:w="1360" w:type="dxa"/>
            <w:vAlign w:val="bottom"/>
            <w:tcBorders>
              <w:bottom w:val="single" w:sz="8" w:color="00249C"/>
            </w:tcBorders>
            <w:shd w:val="clear" w:color="auto" w:fill="00249C"/>
          </w:tcPr>
          <w:p>
            <w:pPr>
              <w:jc w:val="center"/>
              <w:ind w:right="28"/>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249C"/>
            </w:tcBorders>
            <w:shd w:val="clear" w:color="auto" w:fill="00249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240" w:type="dxa"/>
            <w:vAlign w:val="bottom"/>
            <w:shd w:val="clear" w:color="auto" w:fill="CCD4DB"/>
          </w:tcPr>
          <w:p>
            <w:pPr>
              <w:ind w:left="40"/>
              <w:spacing w:after="0"/>
              <w:rPr>
                <w:sz w:val="20"/>
                <w:szCs w:val="20"/>
                <w:color w:val="auto"/>
              </w:rPr>
            </w:pPr>
            <w:r>
              <w:rPr>
                <w:rFonts w:ascii="Arial" w:cs="Arial" w:eastAsia="Arial" w:hAnsi="Arial"/>
                <w:sz w:val="14"/>
                <w:szCs w:val="14"/>
                <w:color w:val="auto"/>
              </w:rPr>
              <w:t>Long-term Incentives (3)</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w w:val="99"/>
              </w:rPr>
              <w:t>—</w:t>
            </w:r>
          </w:p>
        </w:tc>
        <w:tc>
          <w:tcPr>
            <w:tcW w:w="154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29,128,413</w:t>
            </w:r>
          </w:p>
        </w:tc>
        <w:tc>
          <w:tcPr>
            <w:tcW w:w="136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18,788,673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3240" w:type="dxa"/>
            <w:vAlign w:val="bottom"/>
          </w:tcPr>
          <w:p>
            <w:pPr>
              <w:ind w:left="40"/>
              <w:spacing w:after="0"/>
              <w:rPr>
                <w:sz w:val="20"/>
                <w:szCs w:val="20"/>
                <w:color w:val="auto"/>
              </w:rPr>
            </w:pPr>
            <w:r>
              <w:rPr>
                <w:rFonts w:ascii="Arial" w:cs="Arial" w:eastAsia="Arial" w:hAnsi="Arial"/>
                <w:sz w:val="14"/>
                <w:szCs w:val="14"/>
                <w:color w:val="auto"/>
              </w:rPr>
              <w:t>Severance Benefits (4)</w:t>
            </w: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Kathy J. Warden</w:t>
            </w:r>
          </w:p>
        </w:tc>
        <w:tc>
          <w:tcPr>
            <w:tcW w:w="3240" w:type="dxa"/>
            <w:vAlign w:val="bottom"/>
            <w:tcBorders>
              <w:bottom w:val="single" w:sz="8" w:color="CCD4DB"/>
            </w:tcBorders>
            <w:shd w:val="clear" w:color="auto" w:fill="CCD4DB"/>
          </w:tcPr>
          <w:p>
            <w:pPr>
              <w:ind w:left="380"/>
              <w:spacing w:after="0"/>
              <w:rPr>
                <w:sz w:val="20"/>
                <w:szCs w:val="20"/>
                <w:color w:val="auto"/>
              </w:rPr>
            </w:pPr>
            <w:r>
              <w:rPr>
                <w:rFonts w:ascii="Arial" w:cs="Arial" w:eastAsia="Arial" w:hAnsi="Arial"/>
                <w:sz w:val="14"/>
                <w:szCs w:val="14"/>
                <w:color w:val="auto"/>
              </w:rPr>
              <w:t>Cash Severance</w:t>
            </w:r>
          </w:p>
        </w:tc>
        <w:tc>
          <w:tcPr>
            <w:tcW w:w="1940" w:type="dxa"/>
            <w:vAlign w:val="bottom"/>
            <w:tcBorders>
              <w:bottom w:val="single" w:sz="8" w:color="CCD4DB"/>
            </w:tcBorders>
            <w:shd w:val="clear" w:color="auto" w:fill="CCD4DB"/>
          </w:tcPr>
          <w:p>
            <w:pPr>
              <w:spacing w:after="0"/>
              <w:rPr>
                <w:sz w:val="21"/>
                <w:szCs w:val="21"/>
                <w:color w:val="auto"/>
              </w:rPr>
            </w:pPr>
          </w:p>
        </w:tc>
        <w:tc>
          <w:tcPr>
            <w:tcW w:w="1580" w:type="dxa"/>
            <w:vAlign w:val="bottom"/>
            <w:tcBorders>
              <w:bottom w:val="single" w:sz="8" w:color="CCD4DB"/>
            </w:tcBorders>
            <w:shd w:val="clear" w:color="auto" w:fill="CCD4DB"/>
          </w:tcPr>
          <w:p>
            <w:pPr>
              <w:jc w:val="center"/>
              <w:ind w:left="28"/>
              <w:spacing w:after="0"/>
              <w:rPr>
                <w:sz w:val="20"/>
                <w:szCs w:val="20"/>
                <w:color w:val="auto"/>
              </w:rPr>
            </w:pPr>
            <w:r>
              <w:rPr>
                <w:rFonts w:ascii="Arial" w:cs="Arial" w:eastAsia="Arial" w:hAnsi="Arial"/>
                <w:sz w:val="14"/>
                <w:szCs w:val="14"/>
                <w:color w:val="auto"/>
              </w:rPr>
              <w:t>6,300,000</w:t>
            </w:r>
          </w:p>
        </w:tc>
        <w:tc>
          <w:tcPr>
            <w:tcW w:w="1540" w:type="dxa"/>
            <w:vAlign w:val="bottom"/>
            <w:tcBorders>
              <w:bottom w:val="single" w:sz="8" w:color="CCD4DB"/>
            </w:tcBorders>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CCD4DB"/>
            </w:tcBorders>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580" w:type="dxa"/>
            <w:vAlign w:val="bottom"/>
            <w:vMerge w:val="continue"/>
          </w:tcPr>
          <w:p>
            <w:pPr>
              <w:spacing w:after="0"/>
              <w:rPr>
                <w:sz w:val="10"/>
                <w:szCs w:val="10"/>
                <w:color w:val="auto"/>
              </w:rPr>
            </w:pPr>
          </w:p>
        </w:tc>
        <w:tc>
          <w:tcPr>
            <w:tcW w:w="3240" w:type="dxa"/>
            <w:vAlign w:val="bottom"/>
            <w:vMerge w:val="restart"/>
          </w:tcPr>
          <w:p>
            <w:pPr>
              <w:ind w:left="380"/>
              <w:spacing w:after="0"/>
              <w:rPr>
                <w:sz w:val="20"/>
                <w:szCs w:val="20"/>
                <w:color w:val="auto"/>
              </w:rPr>
            </w:pPr>
            <w:r>
              <w:rPr>
                <w:rFonts w:ascii="Arial" w:cs="Arial" w:eastAsia="Arial" w:hAnsi="Arial"/>
                <w:sz w:val="14"/>
                <w:szCs w:val="14"/>
                <w:color w:val="auto"/>
              </w:rPr>
              <w:t>Medical/Dental Continuation</w:t>
            </w:r>
          </w:p>
        </w:tc>
        <w:tc>
          <w:tcPr>
            <w:tcW w:w="1940" w:type="dxa"/>
            <w:vAlign w:val="bottom"/>
          </w:tcPr>
          <w:p>
            <w:pPr>
              <w:spacing w:after="0"/>
              <w:rPr>
                <w:sz w:val="10"/>
                <w:szCs w:val="10"/>
                <w:color w:val="auto"/>
              </w:rPr>
            </w:pPr>
          </w:p>
        </w:tc>
        <w:tc>
          <w:tcPr>
            <w:tcW w:w="1580" w:type="dxa"/>
            <w:vAlign w:val="bottom"/>
            <w:vMerge w:val="restart"/>
          </w:tcPr>
          <w:p>
            <w:pPr>
              <w:jc w:val="center"/>
              <w:ind w:left="28"/>
              <w:spacing w:after="0"/>
              <w:rPr>
                <w:sz w:val="20"/>
                <w:szCs w:val="20"/>
                <w:color w:val="auto"/>
              </w:rPr>
            </w:pPr>
            <w:r>
              <w:rPr>
                <w:rFonts w:ascii="Arial" w:cs="Arial" w:eastAsia="Arial" w:hAnsi="Arial"/>
                <w:sz w:val="14"/>
                <w:szCs w:val="14"/>
                <w:color w:val="auto"/>
              </w:rPr>
              <w:t>14,616</w:t>
            </w:r>
          </w:p>
        </w:tc>
        <w:tc>
          <w:tcPr>
            <w:tcW w:w="1540" w:type="dxa"/>
            <w:vAlign w:val="bottom"/>
            <w:vMerge w:val="restart"/>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5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Pr>
          <w:p>
            <w:pPr>
              <w:spacing w:after="0"/>
              <w:rPr>
                <w:sz w:val="21"/>
                <w:szCs w:val="21"/>
                <w:color w:val="auto"/>
              </w:rPr>
            </w:pPr>
          </w:p>
        </w:tc>
        <w:tc>
          <w:tcPr>
            <w:tcW w:w="3240" w:type="dxa"/>
            <w:vAlign w:val="bottom"/>
            <w:tcBorders>
              <w:bottom w:val="single" w:sz="8" w:color="CCD4DB"/>
            </w:tcBorders>
            <w:shd w:val="clear" w:color="auto" w:fill="CCD4DB"/>
          </w:tcPr>
          <w:p>
            <w:pPr>
              <w:ind w:left="380"/>
              <w:spacing w:after="0"/>
              <w:rPr>
                <w:sz w:val="20"/>
                <w:szCs w:val="20"/>
                <w:color w:val="auto"/>
              </w:rPr>
            </w:pPr>
            <w:r>
              <w:rPr>
                <w:rFonts w:ascii="Arial" w:cs="Arial" w:eastAsia="Arial" w:hAnsi="Arial"/>
                <w:sz w:val="14"/>
                <w:szCs w:val="14"/>
                <w:color w:val="auto"/>
              </w:rPr>
              <w:t>Financial Planning/Income Tax</w:t>
            </w:r>
          </w:p>
        </w:tc>
        <w:tc>
          <w:tcPr>
            <w:tcW w:w="1940" w:type="dxa"/>
            <w:vAlign w:val="bottom"/>
            <w:tcBorders>
              <w:bottom w:val="single" w:sz="8" w:color="CCD4DB"/>
            </w:tcBorders>
            <w:shd w:val="clear" w:color="auto" w:fill="CCD4DB"/>
          </w:tcPr>
          <w:p>
            <w:pPr>
              <w:spacing w:after="0"/>
              <w:rPr>
                <w:sz w:val="21"/>
                <w:szCs w:val="21"/>
                <w:color w:val="auto"/>
              </w:rPr>
            </w:pPr>
          </w:p>
        </w:tc>
        <w:tc>
          <w:tcPr>
            <w:tcW w:w="1580" w:type="dxa"/>
            <w:vAlign w:val="bottom"/>
            <w:tcBorders>
              <w:bottom w:val="single" w:sz="8" w:color="CCD4DB"/>
            </w:tcBorders>
            <w:shd w:val="clear" w:color="auto" w:fill="CCD4DB"/>
          </w:tcPr>
          <w:p>
            <w:pPr>
              <w:jc w:val="center"/>
              <w:ind w:left="28"/>
              <w:spacing w:after="0"/>
              <w:rPr>
                <w:sz w:val="20"/>
                <w:szCs w:val="20"/>
                <w:color w:val="auto"/>
              </w:rPr>
            </w:pPr>
            <w:r>
              <w:rPr>
                <w:rFonts w:ascii="Arial" w:cs="Arial" w:eastAsia="Arial" w:hAnsi="Arial"/>
                <w:sz w:val="14"/>
                <w:szCs w:val="14"/>
                <w:color w:val="auto"/>
              </w:rPr>
              <w:t>30,000</w:t>
            </w:r>
          </w:p>
        </w:tc>
        <w:tc>
          <w:tcPr>
            <w:tcW w:w="1540" w:type="dxa"/>
            <w:vAlign w:val="bottom"/>
            <w:tcBorders>
              <w:bottom w:val="single" w:sz="8" w:color="CCD4DB"/>
            </w:tcBorders>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CCD4DB"/>
            </w:tcBorders>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p>
        </w:tc>
        <w:tc>
          <w:tcPr>
            <w:tcW w:w="3240" w:type="dxa"/>
            <w:vAlign w:val="bottom"/>
          </w:tcPr>
          <w:p>
            <w:pPr>
              <w:ind w:left="380"/>
              <w:spacing w:after="0"/>
              <w:rPr>
                <w:sz w:val="20"/>
                <w:szCs w:val="20"/>
                <w:color w:val="auto"/>
              </w:rPr>
            </w:pPr>
            <w:r>
              <w:rPr>
                <w:rFonts w:ascii="Arial" w:cs="Arial" w:eastAsia="Arial" w:hAnsi="Arial"/>
                <w:sz w:val="14"/>
                <w:szCs w:val="14"/>
                <w:color w:val="auto"/>
              </w:rPr>
              <w:t>Outplacement Services</w:t>
            </w:r>
          </w:p>
        </w:tc>
        <w:tc>
          <w:tcPr>
            <w:tcW w:w="1940" w:type="dxa"/>
            <w:vAlign w:val="bottom"/>
          </w:tcPr>
          <w:p>
            <w:pPr>
              <w:spacing w:after="0"/>
              <w:rPr>
                <w:sz w:val="20"/>
                <w:szCs w:val="20"/>
                <w:color w:val="auto"/>
              </w:rPr>
            </w:pPr>
          </w:p>
        </w:tc>
        <w:tc>
          <w:tcPr>
            <w:tcW w:w="1580" w:type="dxa"/>
            <w:vAlign w:val="bottom"/>
          </w:tcPr>
          <w:p>
            <w:pPr>
              <w:jc w:val="center"/>
              <w:ind w:left="28"/>
              <w:spacing w:after="0"/>
              <w:rPr>
                <w:sz w:val="20"/>
                <w:szCs w:val="20"/>
                <w:color w:val="auto"/>
              </w:rPr>
            </w:pPr>
            <w:r>
              <w:rPr>
                <w:rFonts w:ascii="Arial" w:cs="Arial" w:eastAsia="Arial" w:hAnsi="Arial"/>
                <w:sz w:val="14"/>
                <w:szCs w:val="14"/>
                <w:color w:val="auto"/>
              </w:rPr>
              <w:t>225,000</w:t>
            </w:r>
          </w:p>
        </w:tc>
        <w:tc>
          <w:tcPr>
            <w:tcW w:w="154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580" w:type="dxa"/>
            <w:vAlign w:val="bottom"/>
            <w:tcBorders>
              <w:bottom w:val="single" w:sz="8" w:color="00249C"/>
            </w:tcBorders>
          </w:tcPr>
          <w:p>
            <w:pPr>
              <w:spacing w:after="0"/>
              <w:rPr>
                <w:sz w:val="3"/>
                <w:szCs w:val="3"/>
                <w:color w:val="auto"/>
              </w:rPr>
            </w:pPr>
          </w:p>
        </w:tc>
        <w:tc>
          <w:tcPr>
            <w:tcW w:w="3240" w:type="dxa"/>
            <w:vAlign w:val="bottom"/>
            <w:tcBorders>
              <w:bottom w:val="single" w:sz="8" w:color="00249C"/>
            </w:tcBorders>
          </w:tcPr>
          <w:p>
            <w:pPr>
              <w:spacing w:after="0"/>
              <w:rPr>
                <w:sz w:val="3"/>
                <w:szCs w:val="3"/>
                <w:color w:val="auto"/>
              </w:rPr>
            </w:pPr>
          </w:p>
        </w:tc>
        <w:tc>
          <w:tcPr>
            <w:tcW w:w="1940" w:type="dxa"/>
            <w:vAlign w:val="bottom"/>
            <w:tcBorders>
              <w:bottom w:val="single" w:sz="8" w:color="00249C"/>
            </w:tcBorders>
          </w:tcPr>
          <w:p>
            <w:pPr>
              <w:spacing w:after="0"/>
              <w:rPr>
                <w:sz w:val="3"/>
                <w:szCs w:val="3"/>
                <w:color w:val="auto"/>
              </w:rPr>
            </w:pPr>
          </w:p>
        </w:tc>
        <w:tc>
          <w:tcPr>
            <w:tcW w:w="1580" w:type="dxa"/>
            <w:vAlign w:val="bottom"/>
            <w:tcBorders>
              <w:bottom w:val="single" w:sz="8" w:color="00249C"/>
            </w:tcBorders>
          </w:tcPr>
          <w:p>
            <w:pPr>
              <w:spacing w:after="0"/>
              <w:rPr>
                <w:sz w:val="3"/>
                <w:szCs w:val="3"/>
                <w:color w:val="auto"/>
              </w:rPr>
            </w:pPr>
          </w:p>
        </w:tc>
        <w:tc>
          <w:tcPr>
            <w:tcW w:w="1540" w:type="dxa"/>
            <w:vAlign w:val="bottom"/>
            <w:tcBorders>
              <w:bottom w:val="single" w:sz="8" w:color="00249C"/>
            </w:tcBorders>
          </w:tcPr>
          <w:p>
            <w:pPr>
              <w:spacing w:after="0"/>
              <w:rPr>
                <w:sz w:val="3"/>
                <w:szCs w:val="3"/>
                <w:color w:val="auto"/>
              </w:rPr>
            </w:pPr>
          </w:p>
        </w:tc>
        <w:tc>
          <w:tcPr>
            <w:tcW w:w="1360" w:type="dxa"/>
            <w:vAlign w:val="bottom"/>
            <w:tcBorders>
              <w:bottom w:val="single" w:sz="8" w:color="00249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3240" w:type="dxa"/>
            <w:vAlign w:val="bottom"/>
            <w:shd w:val="clear" w:color="auto" w:fill="CCD4DB"/>
          </w:tcPr>
          <w:p>
            <w:pPr>
              <w:ind w:left="40"/>
              <w:spacing w:after="0"/>
              <w:rPr>
                <w:sz w:val="20"/>
                <w:szCs w:val="20"/>
                <w:color w:val="auto"/>
              </w:rPr>
            </w:pPr>
            <w:r>
              <w:rPr>
                <w:rFonts w:ascii="Arial" w:cs="Arial" w:eastAsia="Arial" w:hAnsi="Arial"/>
                <w:sz w:val="14"/>
                <w:szCs w:val="14"/>
                <w:color w:val="auto"/>
              </w:rPr>
              <w:t>Long-term Incentives (3)</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w w:val="99"/>
              </w:rPr>
              <w:t>—</w:t>
            </w:r>
          </w:p>
        </w:tc>
        <w:tc>
          <w:tcPr>
            <w:tcW w:w="154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9,333,970</w:t>
            </w:r>
          </w:p>
        </w:tc>
        <w:tc>
          <w:tcPr>
            <w:tcW w:w="136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6,460,445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3240" w:type="dxa"/>
            <w:vAlign w:val="bottom"/>
          </w:tcPr>
          <w:p>
            <w:pPr>
              <w:ind w:left="40"/>
              <w:spacing w:after="0"/>
              <w:rPr>
                <w:sz w:val="20"/>
                <w:szCs w:val="20"/>
                <w:color w:val="auto"/>
              </w:rPr>
            </w:pPr>
            <w:r>
              <w:rPr>
                <w:rFonts w:ascii="Arial" w:cs="Arial" w:eastAsia="Arial" w:hAnsi="Arial"/>
                <w:sz w:val="14"/>
                <w:szCs w:val="14"/>
                <w:color w:val="auto"/>
              </w:rPr>
              <w:t>Severance Benefits (4)</w:t>
            </w: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Kenneth L. Bedingfield</w:t>
            </w:r>
          </w:p>
        </w:tc>
        <w:tc>
          <w:tcPr>
            <w:tcW w:w="3240" w:type="dxa"/>
            <w:vAlign w:val="bottom"/>
            <w:shd w:val="clear" w:color="auto" w:fill="CCD4DB"/>
          </w:tcPr>
          <w:p>
            <w:pPr>
              <w:ind w:left="380"/>
              <w:spacing w:after="0"/>
              <w:rPr>
                <w:sz w:val="20"/>
                <w:szCs w:val="20"/>
                <w:color w:val="auto"/>
              </w:rPr>
            </w:pPr>
            <w:r>
              <w:rPr>
                <w:rFonts w:ascii="Arial" w:cs="Arial" w:eastAsia="Arial" w:hAnsi="Arial"/>
                <w:sz w:val="14"/>
                <w:szCs w:val="14"/>
                <w:color w:val="auto"/>
              </w:rPr>
              <w:t>Cash Severance</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2,517,000</w:t>
            </w:r>
          </w:p>
        </w:tc>
        <w:tc>
          <w:tcPr>
            <w:tcW w:w="154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580" w:type="dxa"/>
            <w:vAlign w:val="bottom"/>
            <w:vMerge w:val="continue"/>
          </w:tcPr>
          <w:p>
            <w:pPr>
              <w:spacing w:after="0"/>
              <w:rPr>
                <w:sz w:val="6"/>
                <w:szCs w:val="6"/>
                <w:color w:val="auto"/>
              </w:rPr>
            </w:pPr>
          </w:p>
        </w:tc>
        <w:tc>
          <w:tcPr>
            <w:tcW w:w="3240" w:type="dxa"/>
            <w:vAlign w:val="bottom"/>
            <w:vMerge w:val="restart"/>
          </w:tcPr>
          <w:p>
            <w:pPr>
              <w:ind w:left="380"/>
              <w:spacing w:after="0"/>
              <w:rPr>
                <w:sz w:val="20"/>
                <w:szCs w:val="20"/>
                <w:color w:val="auto"/>
              </w:rPr>
            </w:pPr>
            <w:r>
              <w:rPr>
                <w:rFonts w:ascii="Arial" w:cs="Arial" w:eastAsia="Arial" w:hAnsi="Arial"/>
                <w:sz w:val="14"/>
                <w:szCs w:val="14"/>
                <w:color w:val="auto"/>
              </w:rPr>
              <w:t>Medical/Dental Continuation</w:t>
            </w:r>
          </w:p>
        </w:tc>
        <w:tc>
          <w:tcPr>
            <w:tcW w:w="1940" w:type="dxa"/>
            <w:vAlign w:val="bottom"/>
            <w:vMerge w:val="restart"/>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vMerge w:val="restart"/>
          </w:tcPr>
          <w:p>
            <w:pPr>
              <w:jc w:val="center"/>
              <w:ind w:left="28"/>
              <w:spacing w:after="0"/>
              <w:rPr>
                <w:sz w:val="20"/>
                <w:szCs w:val="20"/>
                <w:color w:val="auto"/>
              </w:rPr>
            </w:pPr>
            <w:r>
              <w:rPr>
                <w:rFonts w:ascii="Arial" w:cs="Arial" w:eastAsia="Arial" w:hAnsi="Arial"/>
                <w:sz w:val="14"/>
                <w:szCs w:val="14"/>
                <w:color w:val="auto"/>
              </w:rPr>
              <w:t>10,098</w:t>
            </w:r>
          </w:p>
        </w:tc>
        <w:tc>
          <w:tcPr>
            <w:tcW w:w="1540" w:type="dxa"/>
            <w:vAlign w:val="bottom"/>
            <w:vMerge w:val="restart"/>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580" w:type="dxa"/>
            <w:vAlign w:val="bottom"/>
          </w:tcPr>
          <w:p>
            <w:pPr>
              <w:spacing w:after="0"/>
              <w:rPr>
                <w:sz w:val="12"/>
                <w:szCs w:val="12"/>
                <w:color w:val="auto"/>
              </w:rPr>
            </w:pPr>
          </w:p>
        </w:tc>
        <w:tc>
          <w:tcPr>
            <w:tcW w:w="324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40" w:type="dxa"/>
            <w:vAlign w:val="bottom"/>
            <w:shd w:val="clear" w:color="auto" w:fill="CCD4DB"/>
          </w:tcPr>
          <w:p>
            <w:pPr>
              <w:ind w:left="380"/>
              <w:spacing w:after="0"/>
              <w:rPr>
                <w:sz w:val="20"/>
                <w:szCs w:val="20"/>
                <w:color w:val="auto"/>
              </w:rPr>
            </w:pPr>
            <w:r>
              <w:rPr>
                <w:rFonts w:ascii="Arial" w:cs="Arial" w:eastAsia="Arial" w:hAnsi="Arial"/>
                <w:sz w:val="14"/>
                <w:szCs w:val="14"/>
                <w:color w:val="auto"/>
              </w:rPr>
              <w:t>Financial Planning/Income Tax</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18,500</w:t>
            </w:r>
          </w:p>
        </w:tc>
        <w:tc>
          <w:tcPr>
            <w:tcW w:w="154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80" w:type="dxa"/>
            <w:vAlign w:val="bottom"/>
            <w:tcBorders>
              <w:bottom w:val="single" w:sz="8" w:color="00249C"/>
            </w:tcBorders>
          </w:tcPr>
          <w:p>
            <w:pPr>
              <w:spacing w:after="0"/>
              <w:rPr>
                <w:sz w:val="18"/>
                <w:szCs w:val="18"/>
                <w:color w:val="auto"/>
              </w:rPr>
            </w:pPr>
          </w:p>
        </w:tc>
        <w:tc>
          <w:tcPr>
            <w:tcW w:w="3240" w:type="dxa"/>
            <w:vAlign w:val="bottom"/>
            <w:tcBorders>
              <w:bottom w:val="single" w:sz="8" w:color="00249C"/>
            </w:tcBorders>
          </w:tcPr>
          <w:p>
            <w:pPr>
              <w:ind w:left="380"/>
              <w:spacing w:after="0"/>
              <w:rPr>
                <w:sz w:val="20"/>
                <w:szCs w:val="20"/>
                <w:color w:val="auto"/>
              </w:rPr>
            </w:pPr>
            <w:r>
              <w:rPr>
                <w:rFonts w:ascii="Arial" w:cs="Arial" w:eastAsia="Arial" w:hAnsi="Arial"/>
                <w:sz w:val="14"/>
                <w:szCs w:val="14"/>
                <w:color w:val="auto"/>
              </w:rPr>
              <w:t>Outplacement Services</w:t>
            </w:r>
          </w:p>
        </w:tc>
        <w:tc>
          <w:tcPr>
            <w:tcW w:w="1940" w:type="dxa"/>
            <w:vAlign w:val="bottom"/>
            <w:tcBorders>
              <w:bottom w:val="single" w:sz="8" w:color="00249C"/>
            </w:tcBorders>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00249C"/>
            </w:tcBorders>
          </w:tcPr>
          <w:p>
            <w:pPr>
              <w:jc w:val="center"/>
              <w:ind w:left="28"/>
              <w:spacing w:after="0"/>
              <w:rPr>
                <w:sz w:val="20"/>
                <w:szCs w:val="20"/>
                <w:color w:val="auto"/>
              </w:rPr>
            </w:pPr>
            <w:r>
              <w:rPr>
                <w:rFonts w:ascii="Arial" w:cs="Arial" w:eastAsia="Arial" w:hAnsi="Arial"/>
                <w:sz w:val="14"/>
                <w:szCs w:val="14"/>
                <w:color w:val="auto"/>
              </w:rPr>
              <w:t>125,850</w:t>
            </w:r>
          </w:p>
        </w:tc>
        <w:tc>
          <w:tcPr>
            <w:tcW w:w="1540" w:type="dxa"/>
            <w:vAlign w:val="bottom"/>
            <w:tcBorders>
              <w:bottom w:val="single" w:sz="8" w:color="00249C"/>
            </w:tcBorders>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00249C"/>
            </w:tcBorders>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80" w:type="dxa"/>
            <w:vAlign w:val="bottom"/>
          </w:tcPr>
          <w:p>
            <w:pPr>
              <w:spacing w:after="0"/>
              <w:rPr>
                <w:sz w:val="18"/>
                <w:szCs w:val="18"/>
                <w:color w:val="auto"/>
              </w:rPr>
            </w:pPr>
          </w:p>
        </w:tc>
        <w:tc>
          <w:tcPr>
            <w:tcW w:w="3240" w:type="dxa"/>
            <w:vAlign w:val="bottom"/>
            <w:shd w:val="clear" w:color="auto" w:fill="CCD4DB"/>
          </w:tcPr>
          <w:p>
            <w:pPr>
              <w:ind w:left="40"/>
              <w:spacing w:after="0"/>
              <w:rPr>
                <w:sz w:val="20"/>
                <w:szCs w:val="20"/>
                <w:color w:val="auto"/>
              </w:rPr>
            </w:pPr>
            <w:r>
              <w:rPr>
                <w:rFonts w:ascii="Arial" w:cs="Arial" w:eastAsia="Arial" w:hAnsi="Arial"/>
                <w:sz w:val="14"/>
                <w:szCs w:val="14"/>
                <w:color w:val="auto"/>
              </w:rPr>
              <w:t>Long-term Incentives (3)</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4,745,754</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4,745,754</w:t>
            </w:r>
          </w:p>
        </w:tc>
        <w:tc>
          <w:tcPr>
            <w:tcW w:w="154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9,574,060</w:t>
            </w:r>
          </w:p>
        </w:tc>
        <w:tc>
          <w:tcPr>
            <w:tcW w:w="136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6,700,536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3240" w:type="dxa"/>
            <w:vAlign w:val="bottom"/>
          </w:tcPr>
          <w:p>
            <w:pPr>
              <w:ind w:left="40"/>
              <w:spacing w:after="0"/>
              <w:rPr>
                <w:sz w:val="20"/>
                <w:szCs w:val="20"/>
                <w:color w:val="auto"/>
              </w:rPr>
            </w:pPr>
            <w:r>
              <w:rPr>
                <w:rFonts w:ascii="Arial" w:cs="Arial" w:eastAsia="Arial" w:hAnsi="Arial"/>
                <w:sz w:val="14"/>
                <w:szCs w:val="14"/>
                <w:color w:val="auto"/>
              </w:rPr>
              <w:t>Severance Benefits (4)</w:t>
            </w: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Mark A. Caylor</w:t>
            </w:r>
          </w:p>
        </w:tc>
        <w:tc>
          <w:tcPr>
            <w:tcW w:w="3240" w:type="dxa"/>
            <w:vAlign w:val="bottom"/>
            <w:shd w:val="clear" w:color="auto" w:fill="CCD4DB"/>
          </w:tcPr>
          <w:p>
            <w:pPr>
              <w:ind w:left="380"/>
              <w:spacing w:after="0"/>
              <w:rPr>
                <w:sz w:val="20"/>
                <w:szCs w:val="20"/>
                <w:color w:val="auto"/>
              </w:rPr>
            </w:pPr>
            <w:r>
              <w:rPr>
                <w:rFonts w:ascii="Arial" w:cs="Arial" w:eastAsia="Arial" w:hAnsi="Arial"/>
                <w:sz w:val="14"/>
                <w:szCs w:val="14"/>
                <w:color w:val="auto"/>
              </w:rPr>
              <w:t>Cash Severance</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2,565,000</w:t>
            </w:r>
          </w:p>
        </w:tc>
        <w:tc>
          <w:tcPr>
            <w:tcW w:w="154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580" w:type="dxa"/>
            <w:vAlign w:val="bottom"/>
            <w:vMerge w:val="continue"/>
          </w:tcPr>
          <w:p>
            <w:pPr>
              <w:spacing w:after="0"/>
              <w:rPr>
                <w:sz w:val="6"/>
                <w:szCs w:val="6"/>
                <w:color w:val="auto"/>
              </w:rPr>
            </w:pPr>
          </w:p>
        </w:tc>
        <w:tc>
          <w:tcPr>
            <w:tcW w:w="3240" w:type="dxa"/>
            <w:vAlign w:val="bottom"/>
            <w:vMerge w:val="restart"/>
          </w:tcPr>
          <w:p>
            <w:pPr>
              <w:ind w:left="380"/>
              <w:spacing w:after="0"/>
              <w:rPr>
                <w:sz w:val="20"/>
                <w:szCs w:val="20"/>
                <w:color w:val="auto"/>
              </w:rPr>
            </w:pPr>
            <w:r>
              <w:rPr>
                <w:rFonts w:ascii="Arial" w:cs="Arial" w:eastAsia="Arial" w:hAnsi="Arial"/>
                <w:sz w:val="14"/>
                <w:szCs w:val="14"/>
                <w:color w:val="auto"/>
              </w:rPr>
              <w:t>Medical/Dental Continuation</w:t>
            </w:r>
          </w:p>
        </w:tc>
        <w:tc>
          <w:tcPr>
            <w:tcW w:w="1940" w:type="dxa"/>
            <w:vAlign w:val="bottom"/>
            <w:vMerge w:val="restart"/>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vMerge w:val="restart"/>
          </w:tcPr>
          <w:p>
            <w:pPr>
              <w:jc w:val="center"/>
              <w:ind w:left="28"/>
              <w:spacing w:after="0"/>
              <w:rPr>
                <w:sz w:val="20"/>
                <w:szCs w:val="20"/>
                <w:color w:val="auto"/>
              </w:rPr>
            </w:pPr>
            <w:r>
              <w:rPr>
                <w:rFonts w:ascii="Arial" w:cs="Arial" w:eastAsia="Arial" w:hAnsi="Arial"/>
                <w:sz w:val="14"/>
                <w:szCs w:val="14"/>
                <w:color w:val="auto"/>
              </w:rPr>
              <w:t>7,819</w:t>
            </w:r>
          </w:p>
        </w:tc>
        <w:tc>
          <w:tcPr>
            <w:tcW w:w="1540" w:type="dxa"/>
            <w:vAlign w:val="bottom"/>
            <w:vMerge w:val="restart"/>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580" w:type="dxa"/>
            <w:vAlign w:val="bottom"/>
          </w:tcPr>
          <w:p>
            <w:pPr>
              <w:spacing w:after="0"/>
              <w:rPr>
                <w:sz w:val="12"/>
                <w:szCs w:val="12"/>
                <w:color w:val="auto"/>
              </w:rPr>
            </w:pPr>
          </w:p>
        </w:tc>
        <w:tc>
          <w:tcPr>
            <w:tcW w:w="324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40" w:type="dxa"/>
            <w:vAlign w:val="bottom"/>
            <w:shd w:val="clear" w:color="auto" w:fill="CCD4DB"/>
          </w:tcPr>
          <w:p>
            <w:pPr>
              <w:ind w:left="380"/>
              <w:spacing w:after="0"/>
              <w:rPr>
                <w:sz w:val="20"/>
                <w:szCs w:val="20"/>
                <w:color w:val="auto"/>
              </w:rPr>
            </w:pPr>
            <w:r>
              <w:rPr>
                <w:rFonts w:ascii="Arial" w:cs="Arial" w:eastAsia="Arial" w:hAnsi="Arial"/>
                <w:sz w:val="14"/>
                <w:szCs w:val="14"/>
                <w:color w:val="auto"/>
              </w:rPr>
              <w:t>Financial Planning/Income Tax</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18,500</w:t>
            </w:r>
          </w:p>
        </w:tc>
        <w:tc>
          <w:tcPr>
            <w:tcW w:w="154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80" w:type="dxa"/>
            <w:vAlign w:val="bottom"/>
            <w:tcBorders>
              <w:bottom w:val="single" w:sz="8" w:color="00249C"/>
            </w:tcBorders>
          </w:tcPr>
          <w:p>
            <w:pPr>
              <w:spacing w:after="0"/>
              <w:rPr>
                <w:sz w:val="18"/>
                <w:szCs w:val="18"/>
                <w:color w:val="auto"/>
              </w:rPr>
            </w:pPr>
          </w:p>
        </w:tc>
        <w:tc>
          <w:tcPr>
            <w:tcW w:w="3240" w:type="dxa"/>
            <w:vAlign w:val="bottom"/>
            <w:tcBorders>
              <w:bottom w:val="single" w:sz="8" w:color="00249C"/>
            </w:tcBorders>
          </w:tcPr>
          <w:p>
            <w:pPr>
              <w:ind w:left="380"/>
              <w:spacing w:after="0"/>
              <w:rPr>
                <w:sz w:val="20"/>
                <w:szCs w:val="20"/>
                <w:color w:val="auto"/>
              </w:rPr>
            </w:pPr>
            <w:r>
              <w:rPr>
                <w:rFonts w:ascii="Arial" w:cs="Arial" w:eastAsia="Arial" w:hAnsi="Arial"/>
                <w:sz w:val="14"/>
                <w:szCs w:val="14"/>
                <w:color w:val="auto"/>
              </w:rPr>
              <w:t>Outplacement Services</w:t>
            </w:r>
          </w:p>
        </w:tc>
        <w:tc>
          <w:tcPr>
            <w:tcW w:w="1940" w:type="dxa"/>
            <w:vAlign w:val="bottom"/>
            <w:tcBorders>
              <w:bottom w:val="single" w:sz="8" w:color="00249C"/>
            </w:tcBorders>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00249C"/>
            </w:tcBorders>
          </w:tcPr>
          <w:p>
            <w:pPr>
              <w:jc w:val="center"/>
              <w:ind w:left="28"/>
              <w:spacing w:after="0"/>
              <w:rPr>
                <w:sz w:val="20"/>
                <w:szCs w:val="20"/>
                <w:color w:val="auto"/>
              </w:rPr>
            </w:pPr>
            <w:r>
              <w:rPr>
                <w:rFonts w:ascii="Arial" w:cs="Arial" w:eastAsia="Arial" w:hAnsi="Arial"/>
                <w:sz w:val="14"/>
                <w:szCs w:val="14"/>
                <w:color w:val="auto"/>
              </w:rPr>
              <w:t>128,250</w:t>
            </w:r>
          </w:p>
        </w:tc>
        <w:tc>
          <w:tcPr>
            <w:tcW w:w="1540" w:type="dxa"/>
            <w:vAlign w:val="bottom"/>
            <w:tcBorders>
              <w:bottom w:val="single" w:sz="8" w:color="00249C"/>
            </w:tcBorders>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00249C"/>
            </w:tcBorders>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80" w:type="dxa"/>
            <w:vAlign w:val="bottom"/>
          </w:tcPr>
          <w:p>
            <w:pPr>
              <w:spacing w:after="0"/>
              <w:rPr>
                <w:sz w:val="18"/>
                <w:szCs w:val="18"/>
                <w:color w:val="auto"/>
              </w:rPr>
            </w:pPr>
          </w:p>
        </w:tc>
        <w:tc>
          <w:tcPr>
            <w:tcW w:w="3240" w:type="dxa"/>
            <w:vAlign w:val="bottom"/>
            <w:shd w:val="clear" w:color="auto" w:fill="CCD4DB"/>
          </w:tcPr>
          <w:p>
            <w:pPr>
              <w:ind w:left="40"/>
              <w:spacing w:after="0"/>
              <w:rPr>
                <w:sz w:val="20"/>
                <w:szCs w:val="20"/>
                <w:color w:val="auto"/>
              </w:rPr>
            </w:pPr>
            <w:r>
              <w:rPr>
                <w:rFonts w:ascii="Arial" w:cs="Arial" w:eastAsia="Arial" w:hAnsi="Arial"/>
                <w:sz w:val="14"/>
                <w:szCs w:val="14"/>
                <w:color w:val="auto"/>
              </w:rPr>
              <w:t>Long-term Incentives (3)</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4,427,582</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4,427,582</w:t>
            </w:r>
          </w:p>
        </w:tc>
        <w:tc>
          <w:tcPr>
            <w:tcW w:w="154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8,094,991</w:t>
            </w:r>
          </w:p>
        </w:tc>
        <w:tc>
          <w:tcPr>
            <w:tcW w:w="136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5,631,821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3240" w:type="dxa"/>
            <w:vAlign w:val="bottom"/>
          </w:tcPr>
          <w:p>
            <w:pPr>
              <w:ind w:left="40"/>
              <w:spacing w:after="0"/>
              <w:rPr>
                <w:sz w:val="20"/>
                <w:szCs w:val="20"/>
                <w:color w:val="auto"/>
              </w:rPr>
            </w:pPr>
            <w:r>
              <w:rPr>
                <w:rFonts w:ascii="Arial" w:cs="Arial" w:eastAsia="Arial" w:hAnsi="Arial"/>
                <w:sz w:val="14"/>
                <w:szCs w:val="14"/>
                <w:color w:val="auto"/>
              </w:rPr>
              <w:t>Severance Benefits (4)</w:t>
            </w: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Christopher T. Jones</w:t>
            </w:r>
          </w:p>
        </w:tc>
        <w:tc>
          <w:tcPr>
            <w:tcW w:w="3240" w:type="dxa"/>
            <w:vAlign w:val="bottom"/>
            <w:shd w:val="clear" w:color="auto" w:fill="CCD4DB"/>
          </w:tcPr>
          <w:p>
            <w:pPr>
              <w:ind w:left="380"/>
              <w:spacing w:after="0"/>
              <w:rPr>
                <w:sz w:val="20"/>
                <w:szCs w:val="20"/>
                <w:color w:val="auto"/>
              </w:rPr>
            </w:pPr>
            <w:r>
              <w:rPr>
                <w:rFonts w:ascii="Arial" w:cs="Arial" w:eastAsia="Arial" w:hAnsi="Arial"/>
                <w:sz w:val="14"/>
                <w:szCs w:val="14"/>
                <w:color w:val="auto"/>
              </w:rPr>
              <w:t>Cash Severance</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2,295,000</w:t>
            </w:r>
          </w:p>
        </w:tc>
        <w:tc>
          <w:tcPr>
            <w:tcW w:w="154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580" w:type="dxa"/>
            <w:vAlign w:val="bottom"/>
            <w:vMerge w:val="continue"/>
          </w:tcPr>
          <w:p>
            <w:pPr>
              <w:spacing w:after="0"/>
              <w:rPr>
                <w:sz w:val="6"/>
                <w:szCs w:val="6"/>
                <w:color w:val="auto"/>
              </w:rPr>
            </w:pPr>
          </w:p>
        </w:tc>
        <w:tc>
          <w:tcPr>
            <w:tcW w:w="3240" w:type="dxa"/>
            <w:vAlign w:val="bottom"/>
            <w:vMerge w:val="restart"/>
          </w:tcPr>
          <w:p>
            <w:pPr>
              <w:ind w:left="380"/>
              <w:spacing w:after="0"/>
              <w:rPr>
                <w:sz w:val="20"/>
                <w:szCs w:val="20"/>
                <w:color w:val="auto"/>
              </w:rPr>
            </w:pPr>
            <w:r>
              <w:rPr>
                <w:rFonts w:ascii="Arial" w:cs="Arial" w:eastAsia="Arial" w:hAnsi="Arial"/>
                <w:sz w:val="14"/>
                <w:szCs w:val="14"/>
                <w:color w:val="auto"/>
              </w:rPr>
              <w:t>Medical/Dental Continuation</w:t>
            </w:r>
          </w:p>
        </w:tc>
        <w:tc>
          <w:tcPr>
            <w:tcW w:w="1940" w:type="dxa"/>
            <w:vAlign w:val="bottom"/>
            <w:vMerge w:val="restart"/>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vMerge w:val="restart"/>
          </w:tcPr>
          <w:p>
            <w:pPr>
              <w:jc w:val="center"/>
              <w:ind w:left="28"/>
              <w:spacing w:after="0"/>
              <w:rPr>
                <w:sz w:val="20"/>
                <w:szCs w:val="20"/>
                <w:color w:val="auto"/>
              </w:rPr>
            </w:pPr>
            <w:r>
              <w:rPr>
                <w:rFonts w:ascii="Arial" w:cs="Arial" w:eastAsia="Arial" w:hAnsi="Arial"/>
                <w:sz w:val="14"/>
                <w:szCs w:val="14"/>
                <w:color w:val="auto"/>
              </w:rPr>
              <w:t>15,014</w:t>
            </w:r>
          </w:p>
        </w:tc>
        <w:tc>
          <w:tcPr>
            <w:tcW w:w="1540" w:type="dxa"/>
            <w:vAlign w:val="bottom"/>
            <w:vMerge w:val="restart"/>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580" w:type="dxa"/>
            <w:vAlign w:val="bottom"/>
          </w:tcPr>
          <w:p>
            <w:pPr>
              <w:spacing w:after="0"/>
              <w:rPr>
                <w:sz w:val="12"/>
                <w:szCs w:val="12"/>
                <w:color w:val="auto"/>
              </w:rPr>
            </w:pPr>
          </w:p>
        </w:tc>
        <w:tc>
          <w:tcPr>
            <w:tcW w:w="324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40" w:type="dxa"/>
            <w:vAlign w:val="bottom"/>
            <w:shd w:val="clear" w:color="auto" w:fill="CCD4DB"/>
          </w:tcPr>
          <w:p>
            <w:pPr>
              <w:ind w:left="380"/>
              <w:spacing w:after="0"/>
              <w:rPr>
                <w:sz w:val="20"/>
                <w:szCs w:val="20"/>
                <w:color w:val="auto"/>
              </w:rPr>
            </w:pPr>
            <w:r>
              <w:rPr>
                <w:rFonts w:ascii="Arial" w:cs="Arial" w:eastAsia="Arial" w:hAnsi="Arial"/>
                <w:sz w:val="14"/>
                <w:szCs w:val="14"/>
                <w:color w:val="auto"/>
              </w:rPr>
              <w:t>Financial Planning/Income Tax</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18,500</w:t>
            </w:r>
          </w:p>
        </w:tc>
        <w:tc>
          <w:tcPr>
            <w:tcW w:w="154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80" w:type="dxa"/>
            <w:vAlign w:val="bottom"/>
            <w:tcBorders>
              <w:bottom w:val="single" w:sz="8" w:color="00249C"/>
            </w:tcBorders>
          </w:tcPr>
          <w:p>
            <w:pPr>
              <w:spacing w:after="0"/>
              <w:rPr>
                <w:sz w:val="18"/>
                <w:szCs w:val="18"/>
                <w:color w:val="auto"/>
              </w:rPr>
            </w:pPr>
          </w:p>
        </w:tc>
        <w:tc>
          <w:tcPr>
            <w:tcW w:w="3240" w:type="dxa"/>
            <w:vAlign w:val="bottom"/>
            <w:tcBorders>
              <w:bottom w:val="single" w:sz="8" w:color="00249C"/>
            </w:tcBorders>
          </w:tcPr>
          <w:p>
            <w:pPr>
              <w:ind w:left="380"/>
              <w:spacing w:after="0"/>
              <w:rPr>
                <w:sz w:val="20"/>
                <w:szCs w:val="20"/>
                <w:color w:val="auto"/>
              </w:rPr>
            </w:pPr>
            <w:r>
              <w:rPr>
                <w:rFonts w:ascii="Arial" w:cs="Arial" w:eastAsia="Arial" w:hAnsi="Arial"/>
                <w:sz w:val="14"/>
                <w:szCs w:val="14"/>
                <w:color w:val="auto"/>
              </w:rPr>
              <w:t>Outplacement Services</w:t>
            </w:r>
          </w:p>
        </w:tc>
        <w:tc>
          <w:tcPr>
            <w:tcW w:w="1940" w:type="dxa"/>
            <w:vAlign w:val="bottom"/>
            <w:tcBorders>
              <w:bottom w:val="single" w:sz="8" w:color="00249C"/>
            </w:tcBorders>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00249C"/>
            </w:tcBorders>
          </w:tcPr>
          <w:p>
            <w:pPr>
              <w:jc w:val="center"/>
              <w:ind w:left="28"/>
              <w:spacing w:after="0"/>
              <w:rPr>
                <w:sz w:val="20"/>
                <w:szCs w:val="20"/>
                <w:color w:val="auto"/>
              </w:rPr>
            </w:pPr>
            <w:r>
              <w:rPr>
                <w:rFonts w:ascii="Arial" w:cs="Arial" w:eastAsia="Arial" w:hAnsi="Arial"/>
                <w:sz w:val="14"/>
                <w:szCs w:val="14"/>
                <w:color w:val="auto"/>
              </w:rPr>
              <w:t>114,750</w:t>
            </w:r>
          </w:p>
        </w:tc>
        <w:tc>
          <w:tcPr>
            <w:tcW w:w="1540" w:type="dxa"/>
            <w:vAlign w:val="bottom"/>
            <w:tcBorders>
              <w:bottom w:val="single" w:sz="8" w:color="00249C"/>
            </w:tcBorders>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00249C"/>
            </w:tcBorders>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80" w:type="dxa"/>
            <w:vAlign w:val="bottom"/>
          </w:tcPr>
          <w:p>
            <w:pPr>
              <w:spacing w:after="0"/>
              <w:rPr>
                <w:sz w:val="18"/>
                <w:szCs w:val="18"/>
                <w:color w:val="auto"/>
              </w:rPr>
            </w:pPr>
          </w:p>
        </w:tc>
        <w:tc>
          <w:tcPr>
            <w:tcW w:w="3240" w:type="dxa"/>
            <w:vAlign w:val="bottom"/>
            <w:shd w:val="clear" w:color="auto" w:fill="CCD4DB"/>
          </w:tcPr>
          <w:p>
            <w:pPr>
              <w:ind w:left="40"/>
              <w:spacing w:after="0"/>
              <w:rPr>
                <w:sz w:val="20"/>
                <w:szCs w:val="20"/>
                <w:color w:val="auto"/>
              </w:rPr>
            </w:pPr>
            <w:r>
              <w:rPr>
                <w:rFonts w:ascii="Arial" w:cs="Arial" w:eastAsia="Arial" w:hAnsi="Arial"/>
                <w:sz w:val="14"/>
                <w:szCs w:val="14"/>
                <w:color w:val="auto"/>
              </w:rPr>
              <w:t>Long-term Incentives (3)</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3,948,432</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3,948,432</w:t>
            </w:r>
          </w:p>
        </w:tc>
        <w:tc>
          <w:tcPr>
            <w:tcW w:w="154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8,171,007</w:t>
            </w:r>
          </w:p>
        </w:tc>
        <w:tc>
          <w:tcPr>
            <w:tcW w:w="136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5,297,482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3240" w:type="dxa"/>
            <w:vAlign w:val="bottom"/>
          </w:tcPr>
          <w:p>
            <w:pPr>
              <w:ind w:left="40"/>
              <w:spacing w:after="0"/>
              <w:rPr>
                <w:sz w:val="20"/>
                <w:szCs w:val="20"/>
                <w:color w:val="auto"/>
              </w:rPr>
            </w:pPr>
            <w:r>
              <w:rPr>
                <w:rFonts w:ascii="Arial" w:cs="Arial" w:eastAsia="Arial" w:hAnsi="Arial"/>
                <w:sz w:val="14"/>
                <w:szCs w:val="14"/>
                <w:color w:val="auto"/>
              </w:rPr>
              <w:t>Severance Benefits (4)</w:t>
            </w:r>
          </w:p>
        </w:tc>
        <w:tc>
          <w:tcPr>
            <w:tcW w:w="1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Janis G. Pamiljans</w:t>
            </w:r>
          </w:p>
        </w:tc>
        <w:tc>
          <w:tcPr>
            <w:tcW w:w="3240" w:type="dxa"/>
            <w:vAlign w:val="bottom"/>
            <w:shd w:val="clear" w:color="auto" w:fill="CCD4DB"/>
          </w:tcPr>
          <w:p>
            <w:pPr>
              <w:ind w:left="380"/>
              <w:spacing w:after="0"/>
              <w:rPr>
                <w:sz w:val="20"/>
                <w:szCs w:val="20"/>
                <w:color w:val="auto"/>
              </w:rPr>
            </w:pPr>
            <w:r>
              <w:rPr>
                <w:rFonts w:ascii="Arial" w:cs="Arial" w:eastAsia="Arial" w:hAnsi="Arial"/>
                <w:sz w:val="14"/>
                <w:szCs w:val="14"/>
                <w:color w:val="auto"/>
              </w:rPr>
              <w:t>Cash Severance</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2,565,000</w:t>
            </w:r>
          </w:p>
        </w:tc>
        <w:tc>
          <w:tcPr>
            <w:tcW w:w="154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1580" w:type="dxa"/>
            <w:vAlign w:val="bottom"/>
            <w:vMerge w:val="continue"/>
          </w:tcPr>
          <w:p>
            <w:pPr>
              <w:spacing w:after="0"/>
              <w:rPr>
                <w:sz w:val="6"/>
                <w:szCs w:val="6"/>
                <w:color w:val="auto"/>
              </w:rPr>
            </w:pPr>
          </w:p>
        </w:tc>
        <w:tc>
          <w:tcPr>
            <w:tcW w:w="3240" w:type="dxa"/>
            <w:vAlign w:val="bottom"/>
            <w:vMerge w:val="restart"/>
          </w:tcPr>
          <w:p>
            <w:pPr>
              <w:ind w:left="380"/>
              <w:spacing w:after="0"/>
              <w:rPr>
                <w:sz w:val="20"/>
                <w:szCs w:val="20"/>
                <w:color w:val="auto"/>
              </w:rPr>
            </w:pPr>
            <w:r>
              <w:rPr>
                <w:rFonts w:ascii="Arial" w:cs="Arial" w:eastAsia="Arial" w:hAnsi="Arial"/>
                <w:sz w:val="14"/>
                <w:szCs w:val="14"/>
                <w:color w:val="auto"/>
              </w:rPr>
              <w:t>Medical/Dental Continuation</w:t>
            </w:r>
          </w:p>
        </w:tc>
        <w:tc>
          <w:tcPr>
            <w:tcW w:w="1940" w:type="dxa"/>
            <w:vAlign w:val="bottom"/>
            <w:vMerge w:val="restart"/>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vMerge w:val="restart"/>
          </w:tcPr>
          <w:p>
            <w:pPr>
              <w:jc w:val="center"/>
              <w:ind w:left="28"/>
              <w:spacing w:after="0"/>
              <w:rPr>
                <w:sz w:val="20"/>
                <w:szCs w:val="20"/>
                <w:color w:val="auto"/>
              </w:rPr>
            </w:pPr>
            <w:r>
              <w:rPr>
                <w:rFonts w:ascii="Arial" w:cs="Arial" w:eastAsia="Arial" w:hAnsi="Arial"/>
                <w:sz w:val="14"/>
                <w:szCs w:val="14"/>
                <w:color w:val="auto"/>
              </w:rPr>
              <w:t>14,314</w:t>
            </w:r>
          </w:p>
        </w:tc>
        <w:tc>
          <w:tcPr>
            <w:tcW w:w="1540" w:type="dxa"/>
            <w:vAlign w:val="bottom"/>
            <w:vMerge w:val="restart"/>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580" w:type="dxa"/>
            <w:vAlign w:val="bottom"/>
          </w:tcPr>
          <w:p>
            <w:pPr>
              <w:spacing w:after="0"/>
              <w:rPr>
                <w:sz w:val="12"/>
                <w:szCs w:val="12"/>
                <w:color w:val="auto"/>
              </w:rPr>
            </w:pPr>
          </w:p>
        </w:tc>
        <w:tc>
          <w:tcPr>
            <w:tcW w:w="324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240" w:type="dxa"/>
            <w:vAlign w:val="bottom"/>
            <w:shd w:val="clear" w:color="auto" w:fill="CCD4DB"/>
          </w:tcPr>
          <w:p>
            <w:pPr>
              <w:ind w:left="380"/>
              <w:spacing w:after="0"/>
              <w:rPr>
                <w:sz w:val="20"/>
                <w:szCs w:val="20"/>
                <w:color w:val="auto"/>
              </w:rPr>
            </w:pPr>
            <w:r>
              <w:rPr>
                <w:rFonts w:ascii="Arial" w:cs="Arial" w:eastAsia="Arial" w:hAnsi="Arial"/>
                <w:sz w:val="14"/>
                <w:szCs w:val="14"/>
                <w:color w:val="auto"/>
              </w:rPr>
              <w:t>Financial Planning/Income Tax</w:t>
            </w:r>
          </w:p>
        </w:tc>
        <w:tc>
          <w:tcPr>
            <w:tcW w:w="1940" w:type="dxa"/>
            <w:vAlign w:val="bottom"/>
            <w:shd w:val="clear" w:color="auto" w:fill="CCD4DB"/>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18,500</w:t>
            </w:r>
          </w:p>
        </w:tc>
        <w:tc>
          <w:tcPr>
            <w:tcW w:w="154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80" w:type="dxa"/>
            <w:vAlign w:val="bottom"/>
            <w:tcBorders>
              <w:bottom w:val="single" w:sz="8" w:color="00249C"/>
            </w:tcBorders>
          </w:tcPr>
          <w:p>
            <w:pPr>
              <w:spacing w:after="0"/>
              <w:rPr>
                <w:sz w:val="18"/>
                <w:szCs w:val="18"/>
                <w:color w:val="auto"/>
              </w:rPr>
            </w:pPr>
          </w:p>
        </w:tc>
        <w:tc>
          <w:tcPr>
            <w:tcW w:w="3240" w:type="dxa"/>
            <w:vAlign w:val="bottom"/>
            <w:tcBorders>
              <w:bottom w:val="single" w:sz="8" w:color="00249C"/>
            </w:tcBorders>
          </w:tcPr>
          <w:p>
            <w:pPr>
              <w:ind w:left="380"/>
              <w:spacing w:after="0"/>
              <w:rPr>
                <w:sz w:val="20"/>
                <w:szCs w:val="20"/>
                <w:color w:val="auto"/>
              </w:rPr>
            </w:pPr>
            <w:r>
              <w:rPr>
                <w:rFonts w:ascii="Arial" w:cs="Arial" w:eastAsia="Arial" w:hAnsi="Arial"/>
                <w:sz w:val="14"/>
                <w:szCs w:val="14"/>
                <w:color w:val="auto"/>
              </w:rPr>
              <w:t>Outplacement Services</w:t>
            </w:r>
          </w:p>
        </w:tc>
        <w:tc>
          <w:tcPr>
            <w:tcW w:w="1940" w:type="dxa"/>
            <w:vAlign w:val="bottom"/>
            <w:tcBorders>
              <w:bottom w:val="single" w:sz="8" w:color="00249C"/>
            </w:tcBorders>
          </w:tcPr>
          <w:p>
            <w:pPr>
              <w:jc w:val="center"/>
              <w:ind w:left="608"/>
              <w:spacing w:after="0"/>
              <w:rPr>
                <w:sz w:val="20"/>
                <w:szCs w:val="20"/>
                <w:color w:val="auto"/>
              </w:rPr>
            </w:pPr>
            <w:r>
              <w:rPr>
                <w:rFonts w:ascii="Arial" w:cs="Arial" w:eastAsia="Arial" w:hAnsi="Arial"/>
                <w:sz w:val="14"/>
                <w:szCs w:val="14"/>
                <w:color w:val="auto"/>
                <w:w w:val="99"/>
              </w:rPr>
              <w:t>—</w:t>
            </w:r>
          </w:p>
        </w:tc>
        <w:tc>
          <w:tcPr>
            <w:tcW w:w="1580" w:type="dxa"/>
            <w:vAlign w:val="bottom"/>
            <w:tcBorders>
              <w:bottom w:val="single" w:sz="8" w:color="00249C"/>
            </w:tcBorders>
          </w:tcPr>
          <w:p>
            <w:pPr>
              <w:jc w:val="center"/>
              <w:ind w:left="28"/>
              <w:spacing w:after="0"/>
              <w:rPr>
                <w:sz w:val="20"/>
                <w:szCs w:val="20"/>
                <w:color w:val="auto"/>
              </w:rPr>
            </w:pPr>
            <w:r>
              <w:rPr>
                <w:rFonts w:ascii="Arial" w:cs="Arial" w:eastAsia="Arial" w:hAnsi="Arial"/>
                <w:sz w:val="14"/>
                <w:szCs w:val="14"/>
                <w:color w:val="auto"/>
              </w:rPr>
              <w:t>128,250</w:t>
            </w:r>
          </w:p>
        </w:tc>
        <w:tc>
          <w:tcPr>
            <w:tcW w:w="1540" w:type="dxa"/>
            <w:vAlign w:val="bottom"/>
            <w:tcBorders>
              <w:bottom w:val="single" w:sz="8" w:color="00249C"/>
            </w:tcBorders>
          </w:tcPr>
          <w:p>
            <w:pPr>
              <w:jc w:val="center"/>
              <w:ind w:right="48"/>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00249C"/>
            </w:tcBorders>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right="480" w:hanging="412"/>
        <w:spacing w:after="0" w:line="291" w:lineRule="auto"/>
        <w:tabs>
          <w:tab w:leader="none" w:pos="4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Similar treatment provided for certain "good reason" terminations, as described in "Key Components of Our Programs - Severance Benefits" found on page 49; however, there would be no termination payment in the event of an involuntary termination for cause.</w:t>
      </w:r>
    </w:p>
    <w:p>
      <w:pPr>
        <w:spacing w:after="0" w:line="38" w:lineRule="exact"/>
        <w:rPr>
          <w:rFonts w:ascii="Arial" w:cs="Arial" w:eastAsia="Arial" w:hAnsi="Arial"/>
          <w:sz w:val="17"/>
          <w:szCs w:val="17"/>
          <w:color w:val="auto"/>
        </w:rPr>
      </w:pPr>
    </w:p>
    <w:p>
      <w:pPr>
        <w:ind w:left="420" w:right="160" w:hanging="412"/>
        <w:spacing w:after="0" w:line="261"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assume full acceleration, which, as discussed above, may not occur to the extent that it would result in an excise tax that decreases the after-tax value of the awards to an NEO.</w:t>
      </w:r>
    </w:p>
    <w:p>
      <w:pPr>
        <w:spacing w:after="0" w:line="62" w:lineRule="exact"/>
        <w:rPr>
          <w:rFonts w:ascii="Arial" w:cs="Arial" w:eastAsia="Arial" w:hAnsi="Arial"/>
          <w:sz w:val="18"/>
          <w:szCs w:val="18"/>
          <w:color w:val="auto"/>
        </w:rPr>
      </w:pPr>
    </w:p>
    <w:p>
      <w:pPr>
        <w:ind w:left="420" w:right="120" w:hanging="412"/>
        <w:spacing w:after="0" w:line="261"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Long-term Incentives include grants of RPSRs and RSRs. Results in a benefit under Voluntary Termination only if eligible for retirement treatment under the terms and conditions of the grants.</w:t>
      </w:r>
    </w:p>
    <w:p>
      <w:pPr>
        <w:spacing w:after="0" w:line="49" w:lineRule="exact"/>
        <w:rPr>
          <w:rFonts w:ascii="Arial" w:cs="Arial" w:eastAsia="Arial" w:hAnsi="Arial"/>
          <w:sz w:val="18"/>
          <w:szCs w:val="18"/>
          <w:color w:val="auto"/>
        </w:rPr>
      </w:pPr>
    </w:p>
    <w:p>
      <w:pPr>
        <w:ind w:left="420" w:right="20" w:hanging="412"/>
        <w:spacing w:after="0" w:line="259"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the following benefits under the Severance Plan, assuming a termination date of December 31, 2019: (i) cash severance equivalent to one and a half times the sum of the annual base salary and target annual bonus, (ii) continued medical/dental coverage for the severance period, (iii) financial planning/income tax preparation fees for the year following termination and (iv) outplacement services up to 15% of salary.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60"/>
          </w:cols>
          <w:pgMar w:left="320" w:top="701" w:right="319" w:bottom="1440" w:gutter="0" w:footer="0" w:header="0"/>
        </w:sectPr>
      </w:pPr>
    </w:p>
    <w:bookmarkStart w:id="73" w:name="page74"/>
    <w:bookmarkEnd w:id="73"/>
    <w:p>
      <w:pPr>
        <w:ind w:left="40"/>
        <w:spacing w:after="0"/>
        <w:rPr>
          <w:sz w:val="20"/>
          <w:szCs w:val="20"/>
          <w:color w:val="auto"/>
        </w:rPr>
      </w:pPr>
      <w:r>
        <w:rPr>
          <w:rFonts w:ascii="Arial" w:cs="Arial" w:eastAsia="Arial" w:hAnsi="Arial"/>
          <w:sz w:val="22"/>
          <w:szCs w:val="22"/>
          <w:b w:val="1"/>
          <w:bCs w:val="1"/>
          <w:color w:val="FFFFFF"/>
        </w:rPr>
        <w:t>PROPOSAL THREE: RATIFICATION OF APPOINTMENT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4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Audit Committee believes that the appointment of Deloitte &amp; Touche LLP (Deloitte) is in the best interests of the Company and its shareholders, and proposes and recommends that the shareholders ratify the Audit Committee's appointment of Deloitte as our independent auditor for 2020. Deloitte served as our independent auditor for 2019, and Deloitte or its predecessors have served as the independent auditor for the Company (including certain of its predecessor companies) since 1975. The Audit Committee is responsible for the appointment, compensation, retention, oversight, evaluation and termination, if necessary, of our independent auditor. The Audit Committee is responsible for reviewing and pre-approving audit and non-audit services and related fees for the independent auditor. In addition, the Audit Committee, at least annually, reviews and evaluates with management and our internal auditors Deloitte’s performance. The Audit Committee also reviews the performance of Deloitte’s lead audit partner, and the Audit Committee and its Chairman oversee the rotation of Deloitte’s lead audit partner and are involved in the selection of the lead audit partner.</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ratification is not required by our Bylaws or otherwise, the Audit Committee is submitting the selection of Deloitte to shareholders as a matter of good corporate governance. If the shareholders fail to ratify the appointment of Deloitte, the Audit Committee will consider this in its selection of auditor for the following year. A representative from Deloitte will attend the Annual Meeting and will have the opportunity to make a statement and respond to appropriate questions.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Audit Fees and 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following table summarizes aggregate fees incurred for professional audit services for the audit of the Company's consolidated financial statement audits for the years ended December 31, 2019 and 2018, and fees billed for other services in fiscal years 2019 and 2018, in each case by Deloitte, the member firms of Deloitte Touche Tohmatsu Limited and their respective affiliates: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00" w:type="dxa"/>
            <w:vAlign w:val="bottom"/>
            <w:shd w:val="clear" w:color="auto" w:fill="00249C"/>
          </w:tcPr>
          <w:p>
            <w:pPr>
              <w:spacing w:after="0"/>
              <w:rPr>
                <w:sz w:val="23"/>
                <w:szCs w:val="23"/>
                <w:color w:val="auto"/>
              </w:rPr>
            </w:pPr>
          </w:p>
        </w:tc>
        <w:tc>
          <w:tcPr>
            <w:tcW w:w="3100" w:type="dxa"/>
            <w:vAlign w:val="bottom"/>
            <w:shd w:val="clear" w:color="auto" w:fill="00249C"/>
          </w:tcPr>
          <w:p>
            <w:pPr>
              <w:spacing w:after="0"/>
              <w:rPr>
                <w:sz w:val="23"/>
                <w:szCs w:val="23"/>
                <w:color w:val="auto"/>
              </w:rPr>
            </w:pPr>
          </w:p>
        </w:tc>
        <w:tc>
          <w:tcPr>
            <w:tcW w:w="1480" w:type="dxa"/>
            <w:vAlign w:val="bottom"/>
            <w:shd w:val="clear" w:color="auto" w:fill="00249C"/>
          </w:tcPr>
          <w:p>
            <w:pPr>
              <w:jc w:val="center"/>
              <w:ind w:right="239"/>
              <w:spacing w:after="0"/>
              <w:rPr>
                <w:sz w:val="20"/>
                <w:szCs w:val="20"/>
                <w:color w:val="auto"/>
              </w:rPr>
            </w:pPr>
            <w:r>
              <w:rPr>
                <w:rFonts w:ascii="Arial" w:cs="Arial" w:eastAsia="Arial" w:hAnsi="Arial"/>
                <w:sz w:val="16"/>
                <w:szCs w:val="16"/>
                <w:b w:val="1"/>
                <w:bCs w:val="1"/>
                <w:color w:val="FFFFFF"/>
              </w:rPr>
              <w:t>2019</w:t>
            </w:r>
          </w:p>
        </w:tc>
        <w:tc>
          <w:tcPr>
            <w:tcW w:w="740" w:type="dxa"/>
            <w:vAlign w:val="bottom"/>
            <w:shd w:val="clear" w:color="auto" w:fill="00249C"/>
          </w:tcPr>
          <w:p>
            <w:pPr>
              <w:spacing w:after="0"/>
              <w:rPr>
                <w:sz w:val="23"/>
                <w:szCs w:val="23"/>
                <w:color w:val="auto"/>
              </w:rPr>
            </w:pPr>
          </w:p>
        </w:tc>
        <w:tc>
          <w:tcPr>
            <w:tcW w:w="1280" w:type="dxa"/>
            <w:vAlign w:val="bottom"/>
            <w:shd w:val="clear" w:color="auto" w:fill="00249C"/>
          </w:tcPr>
          <w:p>
            <w:pPr>
              <w:jc w:val="center"/>
              <w:ind w:right="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4500" w:type="dxa"/>
            <w:vAlign w:val="bottom"/>
            <w:shd w:val="clear" w:color="auto" w:fill="CCD4DB"/>
          </w:tcPr>
          <w:p>
            <w:pPr>
              <w:ind w:left="40"/>
              <w:spacing w:after="0"/>
              <w:rPr>
                <w:sz w:val="20"/>
                <w:szCs w:val="20"/>
                <w:color w:val="auto"/>
              </w:rPr>
            </w:pPr>
            <w:r>
              <w:rPr>
                <w:rFonts w:ascii="Arial" w:cs="Arial" w:eastAsia="Arial" w:hAnsi="Arial"/>
                <w:sz w:val="16"/>
                <w:szCs w:val="16"/>
                <w:color w:val="auto"/>
              </w:rPr>
              <w:t>Audit Fees (1)</w:t>
            </w:r>
          </w:p>
        </w:tc>
        <w:tc>
          <w:tcPr>
            <w:tcW w:w="3100" w:type="dxa"/>
            <w:vAlign w:val="bottom"/>
            <w:shd w:val="clear" w:color="auto" w:fill="CCD4DB"/>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D4DB"/>
          </w:tcPr>
          <w:p>
            <w:pPr>
              <w:jc w:val="center"/>
              <w:ind w:right="239"/>
              <w:spacing w:after="0"/>
              <w:rPr>
                <w:sz w:val="20"/>
                <w:szCs w:val="20"/>
                <w:color w:val="auto"/>
              </w:rPr>
            </w:pPr>
            <w:r>
              <w:rPr>
                <w:rFonts w:ascii="Arial" w:cs="Arial" w:eastAsia="Arial" w:hAnsi="Arial"/>
                <w:sz w:val="16"/>
                <w:szCs w:val="16"/>
                <w:color w:val="auto"/>
                <w:w w:val="99"/>
              </w:rPr>
              <w:t>17,889,100</w:t>
            </w:r>
          </w:p>
        </w:tc>
        <w:tc>
          <w:tcPr>
            <w:tcW w:w="740" w:type="dxa"/>
            <w:vAlign w:val="bottom"/>
            <w:shd w:val="clear" w:color="auto" w:fill="CCD4DB"/>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D4DB"/>
          </w:tcPr>
          <w:p>
            <w:pPr>
              <w:jc w:val="center"/>
              <w:ind w:right="59"/>
              <w:spacing w:after="0"/>
              <w:rPr>
                <w:sz w:val="20"/>
                <w:szCs w:val="20"/>
                <w:color w:val="auto"/>
              </w:rPr>
            </w:pPr>
            <w:r>
              <w:rPr>
                <w:rFonts w:ascii="Arial" w:cs="Arial" w:eastAsia="Arial" w:hAnsi="Arial"/>
                <w:sz w:val="16"/>
                <w:szCs w:val="16"/>
                <w:color w:val="auto"/>
              </w:rPr>
              <w:t>18,706,500</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Audit-Related Fees (2)</w:t>
            </w:r>
          </w:p>
        </w:tc>
        <w:tc>
          <w:tcPr>
            <w:tcW w:w="3100" w:type="dxa"/>
            <w:vAlign w:val="bottom"/>
          </w:tcPr>
          <w:p>
            <w:pPr>
              <w:spacing w:after="0"/>
              <w:rPr>
                <w:sz w:val="22"/>
                <w:szCs w:val="22"/>
                <w:color w:val="auto"/>
              </w:rPr>
            </w:pPr>
          </w:p>
        </w:tc>
        <w:tc>
          <w:tcPr>
            <w:tcW w:w="1480" w:type="dxa"/>
            <w:vAlign w:val="bottom"/>
          </w:tcPr>
          <w:p>
            <w:pPr>
              <w:jc w:val="center"/>
              <w:ind w:right="239"/>
              <w:spacing w:after="0"/>
              <w:rPr>
                <w:sz w:val="20"/>
                <w:szCs w:val="20"/>
                <w:color w:val="auto"/>
              </w:rPr>
            </w:pPr>
            <w:r>
              <w:rPr>
                <w:rFonts w:ascii="Arial" w:cs="Arial" w:eastAsia="Arial" w:hAnsi="Arial"/>
                <w:sz w:val="16"/>
                <w:szCs w:val="16"/>
                <w:color w:val="auto"/>
                <w:w w:val="99"/>
              </w:rPr>
              <w:t>—</w:t>
            </w:r>
          </w:p>
        </w:tc>
        <w:tc>
          <w:tcPr>
            <w:tcW w:w="740" w:type="dxa"/>
            <w:vAlign w:val="bottom"/>
          </w:tcPr>
          <w:p>
            <w:pPr>
              <w:spacing w:after="0"/>
              <w:rPr>
                <w:sz w:val="22"/>
                <w:szCs w:val="22"/>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rPr>
              <w:t>500,000</w:t>
            </w:r>
          </w:p>
        </w:tc>
      </w:tr>
      <w:tr>
        <w:trPr>
          <w:trHeight w:val="280"/>
        </w:trPr>
        <w:tc>
          <w:tcPr>
            <w:tcW w:w="4500" w:type="dxa"/>
            <w:vAlign w:val="bottom"/>
            <w:shd w:val="clear" w:color="auto" w:fill="CCD4DB"/>
          </w:tcPr>
          <w:p>
            <w:pPr>
              <w:ind w:left="40"/>
              <w:spacing w:after="0"/>
              <w:rPr>
                <w:sz w:val="20"/>
                <w:szCs w:val="20"/>
                <w:color w:val="auto"/>
              </w:rPr>
            </w:pPr>
            <w:r>
              <w:rPr>
                <w:rFonts w:ascii="Arial" w:cs="Arial" w:eastAsia="Arial" w:hAnsi="Arial"/>
                <w:sz w:val="16"/>
                <w:szCs w:val="16"/>
                <w:color w:val="auto"/>
              </w:rPr>
              <w:t>Tax-Related Fees (3)</w:t>
            </w:r>
          </w:p>
        </w:tc>
        <w:tc>
          <w:tcPr>
            <w:tcW w:w="3100" w:type="dxa"/>
            <w:vAlign w:val="bottom"/>
            <w:shd w:val="clear" w:color="auto" w:fill="CCD4DB"/>
          </w:tcPr>
          <w:p>
            <w:pPr>
              <w:spacing w:after="0"/>
              <w:rPr>
                <w:sz w:val="24"/>
                <w:szCs w:val="24"/>
                <w:color w:val="auto"/>
              </w:rPr>
            </w:pPr>
          </w:p>
        </w:tc>
        <w:tc>
          <w:tcPr>
            <w:tcW w:w="1480" w:type="dxa"/>
            <w:vAlign w:val="bottom"/>
            <w:shd w:val="clear" w:color="auto" w:fill="CCD4DB"/>
          </w:tcPr>
          <w:p>
            <w:pPr>
              <w:jc w:val="center"/>
              <w:ind w:right="239"/>
              <w:spacing w:after="0"/>
              <w:rPr>
                <w:sz w:val="20"/>
                <w:szCs w:val="20"/>
                <w:color w:val="auto"/>
              </w:rPr>
            </w:pPr>
            <w:r>
              <w:rPr>
                <w:rFonts w:ascii="Arial" w:cs="Arial" w:eastAsia="Arial" w:hAnsi="Arial"/>
                <w:sz w:val="16"/>
                <w:szCs w:val="16"/>
                <w:color w:val="auto"/>
              </w:rPr>
              <w:t>468,000</w:t>
            </w:r>
          </w:p>
        </w:tc>
        <w:tc>
          <w:tcPr>
            <w:tcW w:w="740" w:type="dxa"/>
            <w:vAlign w:val="bottom"/>
            <w:shd w:val="clear" w:color="auto" w:fill="CCD4DB"/>
          </w:tcPr>
          <w:p>
            <w:pPr>
              <w:spacing w:after="0"/>
              <w:rPr>
                <w:sz w:val="24"/>
                <w:szCs w:val="24"/>
                <w:color w:val="auto"/>
              </w:rPr>
            </w:pPr>
          </w:p>
        </w:tc>
        <w:tc>
          <w:tcPr>
            <w:tcW w:w="1280" w:type="dxa"/>
            <w:vAlign w:val="bottom"/>
            <w:shd w:val="clear" w:color="auto" w:fill="CCD4DB"/>
          </w:tcPr>
          <w:p>
            <w:pPr>
              <w:jc w:val="center"/>
              <w:ind w:right="59"/>
              <w:spacing w:after="0"/>
              <w:rPr>
                <w:sz w:val="20"/>
                <w:szCs w:val="20"/>
                <w:color w:val="auto"/>
              </w:rPr>
            </w:pPr>
            <w:r>
              <w:rPr>
                <w:rFonts w:ascii="Arial" w:cs="Arial" w:eastAsia="Arial" w:hAnsi="Arial"/>
                <w:sz w:val="16"/>
                <w:szCs w:val="16"/>
                <w:color w:val="auto"/>
              </w:rPr>
              <w:t>507,000</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All Other Fees</w:t>
            </w:r>
          </w:p>
        </w:tc>
        <w:tc>
          <w:tcPr>
            <w:tcW w:w="3100" w:type="dxa"/>
            <w:vAlign w:val="bottom"/>
          </w:tcPr>
          <w:p>
            <w:pPr>
              <w:spacing w:after="0"/>
              <w:rPr>
                <w:sz w:val="22"/>
                <w:szCs w:val="22"/>
                <w:color w:val="auto"/>
              </w:rPr>
            </w:pPr>
          </w:p>
        </w:tc>
        <w:tc>
          <w:tcPr>
            <w:tcW w:w="1480" w:type="dxa"/>
            <w:vAlign w:val="bottom"/>
          </w:tcPr>
          <w:p>
            <w:pPr>
              <w:jc w:val="center"/>
              <w:ind w:right="239"/>
              <w:spacing w:after="0"/>
              <w:rPr>
                <w:sz w:val="20"/>
                <w:szCs w:val="20"/>
                <w:color w:val="auto"/>
              </w:rPr>
            </w:pPr>
            <w:r>
              <w:rPr>
                <w:rFonts w:ascii="Arial" w:cs="Arial" w:eastAsia="Arial" w:hAnsi="Arial"/>
                <w:sz w:val="16"/>
                <w:szCs w:val="16"/>
                <w:color w:val="auto"/>
                <w:w w:val="99"/>
              </w:rPr>
              <w:t>—</w:t>
            </w:r>
          </w:p>
        </w:tc>
        <w:tc>
          <w:tcPr>
            <w:tcW w:w="740" w:type="dxa"/>
            <w:vAlign w:val="bottom"/>
          </w:tcPr>
          <w:p>
            <w:pPr>
              <w:spacing w:after="0"/>
              <w:rPr>
                <w:sz w:val="22"/>
                <w:szCs w:val="22"/>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rPr>
              <w:t>—</w:t>
            </w:r>
          </w:p>
        </w:tc>
      </w:tr>
      <w:tr>
        <w:trPr>
          <w:trHeight w:val="246"/>
        </w:trPr>
        <w:tc>
          <w:tcPr>
            <w:tcW w:w="4500" w:type="dxa"/>
            <w:vAlign w:val="bottom"/>
            <w:tcBorders>
              <w:bottom w:val="single" w:sz="8" w:color="00249C"/>
            </w:tcBorders>
            <w:shd w:val="clear" w:color="auto" w:fill="CCD4DB"/>
          </w:tcPr>
          <w:p>
            <w:pPr>
              <w:ind w:left="40"/>
              <w:spacing w:after="0"/>
              <w:rPr>
                <w:sz w:val="20"/>
                <w:szCs w:val="20"/>
                <w:color w:val="auto"/>
              </w:rPr>
            </w:pPr>
            <w:r>
              <w:rPr>
                <w:rFonts w:ascii="Arial" w:cs="Arial" w:eastAsia="Arial" w:hAnsi="Arial"/>
                <w:sz w:val="16"/>
                <w:szCs w:val="16"/>
                <w:color w:val="auto"/>
              </w:rPr>
              <w:t>Total Fees</w:t>
            </w:r>
          </w:p>
        </w:tc>
        <w:tc>
          <w:tcPr>
            <w:tcW w:w="3100" w:type="dxa"/>
            <w:vAlign w:val="bottom"/>
            <w:tcBorders>
              <w:bottom w:val="single" w:sz="8" w:color="00249C"/>
            </w:tcBorders>
            <w:shd w:val="clear" w:color="auto" w:fill="CCD4DB"/>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0249C"/>
            </w:tcBorders>
            <w:shd w:val="clear" w:color="auto" w:fill="CCD4DB"/>
          </w:tcPr>
          <w:p>
            <w:pPr>
              <w:jc w:val="center"/>
              <w:ind w:right="239"/>
              <w:spacing w:after="0"/>
              <w:rPr>
                <w:sz w:val="20"/>
                <w:szCs w:val="20"/>
                <w:color w:val="auto"/>
              </w:rPr>
            </w:pPr>
            <w:r>
              <w:rPr>
                <w:rFonts w:ascii="Arial" w:cs="Arial" w:eastAsia="Arial" w:hAnsi="Arial"/>
                <w:sz w:val="16"/>
                <w:szCs w:val="16"/>
                <w:color w:val="auto"/>
                <w:w w:val="99"/>
              </w:rPr>
              <w:t>18,357,100</w:t>
            </w:r>
          </w:p>
        </w:tc>
        <w:tc>
          <w:tcPr>
            <w:tcW w:w="740" w:type="dxa"/>
            <w:vAlign w:val="bottom"/>
            <w:tcBorders>
              <w:bottom w:val="single" w:sz="8" w:color="00249C"/>
            </w:tcBorders>
            <w:shd w:val="clear" w:color="auto" w:fill="CCD4DB"/>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00249C"/>
            </w:tcBorders>
            <w:shd w:val="clear" w:color="auto" w:fill="CCD4DB"/>
          </w:tcPr>
          <w:p>
            <w:pPr>
              <w:jc w:val="center"/>
              <w:ind w:right="59"/>
              <w:spacing w:after="0"/>
              <w:rPr>
                <w:sz w:val="20"/>
                <w:szCs w:val="20"/>
                <w:color w:val="auto"/>
              </w:rPr>
            </w:pPr>
            <w:r>
              <w:rPr>
                <w:rFonts w:ascii="Arial" w:cs="Arial" w:eastAsia="Arial" w:hAnsi="Arial"/>
                <w:sz w:val="16"/>
                <w:szCs w:val="16"/>
                <w:color w:val="auto"/>
              </w:rPr>
              <w:t>19,713,500</w:t>
            </w:r>
          </w:p>
        </w:tc>
      </w:tr>
    </w:tbl>
    <w:p>
      <w:pPr>
        <w:spacing w:after="0" w:line="202" w:lineRule="exact"/>
        <w:rPr>
          <w:sz w:val="20"/>
          <w:szCs w:val="20"/>
          <w:color w:val="auto"/>
        </w:rPr>
      </w:pPr>
    </w:p>
    <w:p>
      <w:pPr>
        <w:ind w:left="420" w:right="40" w:hanging="412"/>
        <w:spacing w:after="0" w:line="255"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Audit fees for 2019 and 2018 reflect fees of $15,950,000 and $15,400,000, respectively, for the consolidated financial statement audits and include the audit of internal controls pursuant to Section 404 of the Sarbanes-Oxley Act of 2002. Audit fees for 2019 and 2018 also include $1,855,000 and $1,834,000, respectively, for foreign statutory audits. Fees for foreign statutory audits are reported in the year in which the audits are performed. For example, foreign statutory audit fees reported in 2019 relate to audits of the Company's foreign entities for the fiscal year ended 2018. The remaining 2019 audit fees primarily relate to audit services associated with the Company's adoption of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w:t>
      </w:r>
    </w:p>
    <w:p>
      <w:pPr>
        <w:spacing w:after="0" w:line="70" w:lineRule="exact"/>
        <w:rPr>
          <w:rFonts w:ascii="Arial" w:cs="Arial" w:eastAsia="Arial" w:hAnsi="Arial"/>
          <w:sz w:val="18"/>
          <w:szCs w:val="18"/>
          <w:color w:val="auto"/>
        </w:rPr>
      </w:pPr>
    </w:p>
    <w:p>
      <w:pPr>
        <w:ind w:left="420" w:right="160" w:hanging="412"/>
        <w:spacing w:after="0" w:line="254"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Audit-related fees reflect fees for services that are reasonably related to the performance of the audit or review of the Company's financial statements. In 2018 these fees related to independent assessment of controls concerning outsourcing activities. Audit-related fees exclude fees that totaled $1,320,000 and $1,377,000 for 2019 and 2018, respectively, related to benefit plan audits which are paid for by the plans.</w:t>
      </w:r>
    </w:p>
    <w:p>
      <w:pPr>
        <w:spacing w:after="0" w:line="55" w:lineRule="exact"/>
        <w:rPr>
          <w:rFonts w:ascii="Arial" w:cs="Arial" w:eastAsia="Arial" w:hAnsi="Arial"/>
          <w:sz w:val="18"/>
          <w:szCs w:val="18"/>
          <w:color w:val="auto"/>
        </w:rPr>
      </w:pPr>
    </w:p>
    <w:p>
      <w:pPr>
        <w:ind w:left="420" w:right="240" w:hanging="412"/>
        <w:spacing w:after="0" w:line="277"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Tax-related fees during 2019 and 2018 reflect fees of $468,000 and $507,000, respectively, for services concerning foreign income tax compliance, foreign Value Added Tax compliance and other tax matters.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Policy on 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It is the Audit Committee's policy to pre-approve all audit and permitted non-audit services provided by our independent auditor in order to provide reasonable assurance that the provision of these services does not impair the auditor's independence. Pre-approval may be given at any time. The Audit Committee has delegated pre-approval authority for any individual project up to $100,000 to the Chairman of the Audit Committee.</w:t>
      </w:r>
    </w:p>
    <w:p>
      <w:pPr>
        <w:spacing w:after="0" w:line="6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decisions of the Chairman to pre-approve a permitted service are reported to the Audit Committee at its next meeting. The independent auditor is required to periodically report to the full Audit Committee regarding the extent of services provided by the independent auditor in accordance with this pre-approval policy, as well as the fees for the services performed to date.</w:t>
      </w:r>
    </w:p>
    <w:p>
      <w:pPr>
        <w:spacing w:after="0" w:line="6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Audit Committee approved all audit and non-audit services provided by Deloitte, the member firms of Deloitte Touche Tohmatsu Limited and their respective affiliates during 2019 and 2018, in each case before being engaged to provide those services.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67</w:t>
      </w:r>
    </w:p>
    <w:p>
      <w:pPr>
        <w:sectPr>
          <w:pgSz w:w="11900" w:h="16838" w:orient="portrait"/>
          <w:cols w:equalWidth="0" w:num="1">
            <w:col w:w="11240"/>
          </w:cols>
          <w:pgMar w:left="320" w:top="566" w:right="339" w:bottom="1440" w:gutter="0" w:footer="0" w:header="0"/>
        </w:sectPr>
      </w:pPr>
    </w:p>
    <w:bookmarkStart w:id="74" w:name="page75"/>
    <w:bookmarkEnd w:id="74"/>
    <w:p>
      <w:pPr>
        <w:ind w:left="40"/>
        <w:spacing w:after="0"/>
        <w:rPr>
          <w:sz w:val="20"/>
          <w:szCs w:val="20"/>
          <w:color w:val="auto"/>
        </w:rPr>
      </w:pPr>
      <w:r>
        <w:rPr>
          <w:rFonts w:ascii="Arial" w:cs="Arial" w:eastAsia="Arial" w:hAnsi="Arial"/>
          <w:sz w:val="22"/>
          <w:szCs w:val="22"/>
          <w:b w:val="1"/>
          <w:bCs w:val="1"/>
          <w:color w:val="FFFFFF"/>
        </w:rPr>
        <w:t>PROPOSAL THREE: RATIFICATION OF APPOINTMENT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0575" cy="2057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0575" cy="205740"/>
                    </a:xfrm>
                    <a:prstGeom prst="rect">
                      <a:avLst/>
                    </a:prstGeom>
                    <a:noFill/>
                  </pic:spPr>
                </pic:pic>
              </a:graphicData>
            </a:graphic>
          </wp:anchor>
        </w:drawing>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21"/>
          <w:szCs w:val="21"/>
          <w:color w:val="00249C"/>
        </w:rPr>
        <w:t>THE BOARD OF DIRECTORS UNANIMOUSLY RECOMMENDS THAT YOU VOTE "FOR" PROPOSAL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160"/>
          </w:cols>
          <w:pgMar w:left="320" w:top="566" w:right="419" w:bottom="1440" w:gutter="0" w:footer="0" w:header="0"/>
        </w:sectPr>
      </w:pPr>
    </w:p>
    <w:bookmarkStart w:id="75" w:name="page76"/>
    <w:bookmarkEnd w:id="75"/>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AUDIT COMMITTEE REPORT</w:t>
      </w:r>
    </w:p>
    <w:p>
      <w:pPr>
        <w:spacing w:after="0" w:line="37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Audit Committee of the Board of Directors is responsible for assisting the Board of Directors in fulfilling its oversight responsibilities over the Company's accounting, auditing and financial reporting processes and financial risk assessment and management process, and for monitoring compliance with certain regulatory and compliance matters. The Audit Committee's written charter describes the Audit Committee's responsibilities and has been approved by the Board of Directors.</w:t>
      </w:r>
    </w:p>
    <w:p>
      <w:pPr>
        <w:spacing w:after="0" w:line="6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Management is responsible for preparing the Company's financial statements and for the financial reporting process, including evaluating the effectiveness of the Company's disclosure controls and procedures and internal control over financial reporting.</w:t>
      </w:r>
    </w:p>
    <w:p>
      <w:pPr>
        <w:spacing w:after="0" w:line="63"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Deloitte &amp; Touche LLP (Deloitte), the Company's independent auditor, is responsible for performing an independent audit of the Company's consolidated financial statements and expressing an opinion on the conformity of the financial statements with accounting principles generally accepted in the United States of America, and on the effectiveness of the Company's internal control over financial reporting.</w:t>
      </w:r>
    </w:p>
    <w:p>
      <w:pPr>
        <w:spacing w:after="0" w:line="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connection with the preparation of the Company's financial statements as of and for the year ended December 31, 2019, the Audit Committee reviewed and discussed the audited financial statements with the Company's Chief Executive Officer, Chief Financial Officer and Deloitte. The Audit Committee also discussed with Deloitte the communications required under applicable professional auditing standards and regulations, including the matters required to be discussed by Auditing Standard No. 1301, Communications with Audit Committees, as adopted by the Public Company Accounting Oversight Board (PCAOB), and, with and without management present, discussed and reviewed the results of Deloitte's examination of the financial statements. Additionally, the Audit Committee discussed with the Company's internal auditors the results of their audits completed during 2019.</w:t>
      </w:r>
    </w:p>
    <w:p>
      <w:pPr>
        <w:spacing w:after="0" w:line="7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Audit Committee received the written disclosures and the letter from Deloitte required by the applicable requirements of the PCAOB regarding the independent auditor's communications with the Audit Committee concerning independence. In addition, the Audit Committee discussed with Deloitte that firm's independence from the Company.</w:t>
      </w:r>
    </w:p>
    <w:p>
      <w:pPr>
        <w:spacing w:after="0" w:line="67"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Based on the Audit Committee's review and discussions described in this report, the Audit Committee recommended to the Board of Directors that the audited financial statements for the year ended December 31, 2019 be included in the Company's Annual Report on Form 10-K for the year ended December 31, 2019 for filing with the SEC. The Audit Committee also reappointed Deloitte to serve as the Company's independent auditor for 2020, and requested that this appointment be submitted to shareholders for ratification at the Annual Meeting.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 COMMITTEE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WILLIAM H. HERNANDEZ, CHAIRPERSON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 M. FUDGE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MADELEINE A. KLEINER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S. TURLEY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A. WELSH III</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69</w:t>
      </w:r>
    </w:p>
    <w:p>
      <w:pPr>
        <w:sectPr>
          <w:pgSz w:w="11900" w:h="16838" w:orient="portrait"/>
          <w:cols w:equalWidth="0" w:num="1">
            <w:col w:w="11240"/>
          </w:cols>
          <w:pgMar w:left="320" w:top="701" w:right="339" w:bottom="1440" w:gutter="0" w:footer="0" w:header="0"/>
        </w:sectPr>
      </w:pPr>
    </w:p>
    <w:bookmarkStart w:id="76" w:name="page77"/>
    <w:bookmarkEnd w:id="76"/>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PROPOSAL FOUR: SHAREHOLDER PROPOSAL</w:t>
      </w:r>
    </w:p>
    <w:p>
      <w:pPr>
        <w:spacing w:after="0" w:line="3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Sisters of St. Dominic of Caldwell New Jersey, 75 South Fullerton Avenue, Montclair, NJ 07042, a beneficial owner of 303 shares of common stock of the Company, the Sisters of St. Francis of Philadelphia, 609 S. Convent Road, Aston, PA 19014, a beneficial owner of 11 shares of common stock of the Company, and the School Sisters of Notre Dame Cooperative Investment Fund, 345 Belden Hill Road, Wilton, CT 06897, a beneficial owner of 88 shares of common stock of the Company, the co-proponents of a shareholder proposal, have each stated that it intends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Proposal Four: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 Rights Impact Assessment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 Northrop Grumman Corporation</w:t>
      </w:r>
    </w:p>
    <w:p>
      <w:pPr>
        <w:spacing w:after="0" w:line="6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the UN Guiding Principles on Business and Human Rights (UNGPs), companies have a responsibility to respect human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within their operations and value chains. This responsibility entails that companies should assess, identify, prevent, mitigate, and remediate adverse human rights impacts and disclose how they address salient human rights issues.</w:t>
      </w:r>
    </w:p>
    <w:p>
      <w:pPr>
        <w:spacing w:after="0" w:line="5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Northrop Grumman is the world’s third largest defense contractor, with the U.S. Government (USG) representing 82 percent of 2018 sales.</w:t>
      </w:r>
      <w:r>
        <w:rPr>
          <w:rFonts w:ascii="Arial" w:cs="Arial" w:eastAsia="Arial" w:hAnsi="Arial"/>
          <w:sz w:val="14"/>
          <w:szCs w:val="14"/>
          <w:color w:val="auto"/>
        </w:rPr>
        <w:t>1</w:t>
      </w:r>
      <w:r>
        <w:rPr>
          <w:rFonts w:ascii="Arial" w:cs="Arial" w:eastAsia="Arial" w:hAnsi="Arial"/>
          <w:sz w:val="18"/>
          <w:szCs w:val="18"/>
          <w:color w:val="auto"/>
        </w:rPr>
        <w:t xml:space="preserve"> Business relationships with the USG and governments whose activities may be linked to human rights violations may expose Northrop Grumman to legal, financial, and reputational risks. It is essential to conduct human rights impact assessments to evaluate and mitigate associated human rights risks.</w:t>
      </w:r>
    </w:p>
    <w:p>
      <w:pPr>
        <w:spacing w:after="0" w:line="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2018, Northrop Grumman was awarded a $ 95 million USG contract to develop the Homeland Advanced Recognition Technology (HART) database, which is expected to hold biometric data for 260 million people.</w:t>
      </w:r>
      <w:r>
        <w:rPr>
          <w:rFonts w:ascii="Arial" w:cs="Arial" w:eastAsia="Arial" w:hAnsi="Arial"/>
          <w:sz w:val="14"/>
          <w:szCs w:val="14"/>
          <w:color w:val="auto"/>
        </w:rPr>
        <w:t>2</w:t>
      </w:r>
      <w:r>
        <w:rPr>
          <w:rFonts w:ascii="Arial" w:cs="Arial" w:eastAsia="Arial" w:hAnsi="Arial"/>
          <w:sz w:val="18"/>
          <w:szCs w:val="18"/>
          <w:color w:val="auto"/>
        </w:rPr>
        <w:t xml:space="preserve"> This presents concerns regarding algorithmic racial bias, risks to privacy and First Amendment rights, and potential harm to immigrant communities. The UN Office of the High Commissioner for Human Rights expressed alarm regarding the potential use of lethal autonomous robotics for targeted killings by states, including Northrop Grumman’s X-47B drone.</w:t>
      </w:r>
      <w:r>
        <w:rPr>
          <w:rFonts w:ascii="Arial" w:cs="Arial" w:eastAsia="Arial" w:hAnsi="Arial"/>
          <w:sz w:val="14"/>
          <w:szCs w:val="14"/>
          <w:color w:val="auto"/>
        </w:rPr>
        <w:t>3</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Conflict-affected areas are characterized by widespread human rights abuses, and the UNGPs encourage business enterprises operating in those contexts to conduct enhanced due diligence to ensure that the business is not involved with such abuses.</w:t>
      </w:r>
      <w:r>
        <w:rPr>
          <w:rFonts w:ascii="Arial" w:cs="Arial" w:eastAsia="Arial" w:hAnsi="Arial"/>
          <w:sz w:val="14"/>
          <w:szCs w:val="14"/>
          <w:color w:val="auto"/>
        </w:rPr>
        <w:t>4</w:t>
      </w:r>
      <w:r>
        <w:rPr>
          <w:rFonts w:ascii="Arial" w:cs="Arial" w:eastAsia="Arial" w:hAnsi="Arial"/>
          <w:sz w:val="18"/>
          <w:szCs w:val="18"/>
          <w:color w:val="auto"/>
        </w:rPr>
        <w:t xml:space="preserve"> Northrop Grumman has contracts with or supplies weapons to multiple states engaged in international and internal armed conflicts, including Saudi Arabia and United Arab Emirates (Yemen), India (Kashmir), Israel (Palestine), Morocco (Western Sahara), and Colombia.</w:t>
      </w:r>
      <w:r>
        <w:rPr>
          <w:rFonts w:ascii="Arial" w:cs="Arial" w:eastAsia="Arial" w:hAnsi="Arial"/>
          <w:sz w:val="14"/>
          <w:szCs w:val="14"/>
          <w:color w:val="auto"/>
        </w:rPr>
        <w:t>5</w:t>
      </w:r>
    </w:p>
    <w:p>
      <w:pPr>
        <w:spacing w:after="0" w:line="6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Northrop Grumman is one of Saudi Arabia’s largest defense partners and has, “been heavily involved in the training and development of Saudi military personnel.”</w:t>
      </w:r>
      <w:r>
        <w:rPr>
          <w:rFonts w:ascii="Arial" w:cs="Arial" w:eastAsia="Arial" w:hAnsi="Arial"/>
          <w:sz w:val="14"/>
          <w:szCs w:val="14"/>
          <w:color w:val="auto"/>
        </w:rPr>
        <w:t>6</w:t>
      </w:r>
      <w:r>
        <w:rPr>
          <w:rFonts w:ascii="Arial" w:cs="Arial" w:eastAsia="Arial" w:hAnsi="Arial"/>
          <w:sz w:val="18"/>
          <w:szCs w:val="18"/>
          <w:color w:val="auto"/>
        </w:rPr>
        <w:t xml:space="preserve"> In 2018, the International Commission of Jurists reported that the Saudi-led coalition violated international humanitarian law during operations in Yemen in 2017.</w:t>
      </w:r>
      <w:r>
        <w:rPr>
          <w:rFonts w:ascii="Arial" w:cs="Arial" w:eastAsia="Arial" w:hAnsi="Arial"/>
          <w:sz w:val="14"/>
          <w:szCs w:val="14"/>
          <w:color w:val="auto"/>
        </w:rPr>
        <w:t>7</w:t>
      </w:r>
      <w:r>
        <w:rPr>
          <w:rFonts w:ascii="Arial" w:cs="Arial" w:eastAsia="Arial" w:hAnsi="Arial"/>
          <w:sz w:val="18"/>
          <w:szCs w:val="18"/>
          <w:color w:val="auto"/>
        </w:rPr>
        <w:t xml:space="preserve"> The UN declared that the conflict created the world’s worst humanitarian crisis, with 24 million people dependent on aid and protection.</w:t>
      </w:r>
    </w:p>
    <w:p>
      <w:pPr>
        <w:spacing w:after="0" w:line="69"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Northrop Grumman adopted a Human Rights Policy in 2013, but does not disclose its salient human rights issues or how the policy is implemented to prevent, mitigate, or remediate adverse human rights impacts associated with its government contracts. In 2019, 31% of shareholders voted in favor of increased reporting on the implementation of the company’s Human Rights Policy.</w:t>
      </w:r>
      <w:r>
        <w:rPr>
          <w:rFonts w:ascii="Arial" w:cs="Arial" w:eastAsia="Arial" w:hAnsi="Arial"/>
          <w:sz w:val="14"/>
          <w:szCs w:val="14"/>
          <w:color w:val="auto"/>
        </w:rPr>
        <w:t>8</w:t>
      </w:r>
      <w:r>
        <w:rPr>
          <w:rFonts w:ascii="Arial" w:cs="Arial" w:eastAsia="Arial" w:hAnsi="Arial"/>
          <w:sz w:val="18"/>
          <w:szCs w:val="18"/>
          <w:color w:val="auto"/>
        </w:rPr>
        <w:t xml:space="preserve"> Yet, investors are still unable to assess how it evaluates and mitigates risks accompanying specific activities such as weapons contracts, military training, biometrics, and emerging technologies, or with governments engaged in conflict.</w:t>
      </w:r>
    </w:p>
    <w:p>
      <w:pPr>
        <w:spacing w:after="0" w:line="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that Northrop Grumman publish a report, at reasonable cost and omitting proprietary information,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human rights impact assessments examining the actual and potential human rights impacts associated with high-risk products and services, including those in conflict-affected areas.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w:t>
      </w:r>
    </w:p>
    <w:p>
      <w:pPr>
        <w:spacing w:after="0" w:line="56" w:lineRule="exact"/>
        <w:rPr>
          <w:sz w:val="20"/>
          <w:szCs w:val="20"/>
          <w:color w:val="auto"/>
        </w:rPr>
      </w:pPr>
    </w:p>
    <w:p>
      <w:pPr>
        <w:ind w:left="140" w:hanging="132"/>
        <w:spacing w:after="0"/>
        <w:tabs>
          <w:tab w:leader="none" w:pos="140" w:val="left"/>
        </w:tabs>
        <w:numPr>
          <w:ilvl w:val="0"/>
          <w:numId w:val="80"/>
        </w:numPr>
        <w:rPr>
          <w:rFonts w:ascii="Arial" w:cs="Arial" w:eastAsia="Arial" w:hAnsi="Arial"/>
          <w:sz w:val="15"/>
          <w:szCs w:val="15"/>
          <w:color w:val="auto"/>
        </w:rPr>
      </w:pPr>
      <w:r>
        <w:rPr>
          <w:rFonts w:ascii="Arial" w:cs="Arial" w:eastAsia="Arial" w:hAnsi="Arial"/>
          <w:sz w:val="18"/>
          <w:szCs w:val="18"/>
          <w:color w:val="auto"/>
        </w:rPr>
        <w:t>www.northropgrumman.com/AboutUs/AnnualReports/Documents/pdfs/2018_noc_ar.pdf</w:t>
      </w:r>
    </w:p>
    <w:p>
      <w:pPr>
        <w:spacing w:after="0" w:line="9" w:lineRule="exact"/>
        <w:rPr>
          <w:sz w:val="20"/>
          <w:szCs w:val="20"/>
          <w:color w:val="auto"/>
        </w:rPr>
      </w:pPr>
    </w:p>
    <w:p>
      <w:pPr>
        <w:ind w:left="140" w:hanging="132"/>
        <w:spacing w:after="0"/>
        <w:tabs>
          <w:tab w:leader="none" w:pos="140" w:val="left"/>
        </w:tabs>
        <w:numPr>
          <w:ilvl w:val="0"/>
          <w:numId w:val="81"/>
        </w:numPr>
        <w:rPr>
          <w:rFonts w:ascii="Arial" w:cs="Arial" w:eastAsia="Arial" w:hAnsi="Arial"/>
          <w:sz w:val="15"/>
          <w:szCs w:val="15"/>
          <w:color w:val="auto"/>
        </w:rPr>
      </w:pPr>
      <w:r>
        <w:rPr>
          <w:rFonts w:ascii="Arial" w:cs="Arial" w:eastAsia="Arial" w:hAnsi="Arial"/>
          <w:sz w:val="18"/>
          <w:szCs w:val="18"/>
          <w:color w:val="auto"/>
        </w:rPr>
        <w:t>www.documentcloud.org/documents/6542043-MSLS-Industry-Day-Presentation-FINAL.html</w:t>
      </w:r>
    </w:p>
    <w:p>
      <w:pPr>
        <w:spacing w:after="0" w:line="9" w:lineRule="exact"/>
        <w:rPr>
          <w:sz w:val="20"/>
          <w:szCs w:val="20"/>
          <w:color w:val="auto"/>
        </w:rPr>
      </w:pPr>
    </w:p>
    <w:p>
      <w:pPr>
        <w:ind w:left="140" w:hanging="132"/>
        <w:spacing w:after="0"/>
        <w:tabs>
          <w:tab w:leader="none" w:pos="140" w:val="left"/>
        </w:tabs>
        <w:numPr>
          <w:ilvl w:val="0"/>
          <w:numId w:val="82"/>
        </w:numPr>
        <w:rPr>
          <w:rFonts w:ascii="Arial" w:cs="Arial" w:eastAsia="Arial" w:hAnsi="Arial"/>
          <w:sz w:val="15"/>
          <w:szCs w:val="15"/>
          <w:color w:val="auto"/>
        </w:rPr>
      </w:pPr>
      <w:r>
        <w:rPr>
          <w:rFonts w:ascii="Arial" w:cs="Arial" w:eastAsia="Arial" w:hAnsi="Arial"/>
          <w:sz w:val="18"/>
          <w:szCs w:val="18"/>
          <w:color w:val="auto"/>
        </w:rPr>
        <w:t>www.theatlantic.com/technology/archive/2014/05/the-military-wants-to-teach-robots-right-from-wrong/370855/</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4 </w:t>
      </w:r>
      <w:r>
        <w:rPr>
          <w:rFonts w:ascii="Arial" w:cs="Arial" w:eastAsia="Arial" w:hAnsi="Arial"/>
          <w:sz w:val="17"/>
          <w:szCs w:val="17"/>
          <w:color w:val="auto"/>
        </w:rPr>
        <w:t>UNGP Principle 7; www.amnesty.org/en/documents/act30/0893/2019/en/</w:t>
      </w:r>
    </w:p>
    <w:p>
      <w:pPr>
        <w:spacing w:after="0" w:line="20" w:lineRule="exact"/>
        <w:rPr>
          <w:rFonts w:ascii="Arial" w:cs="Arial" w:eastAsia="Arial" w:hAnsi="Arial"/>
          <w:sz w:val="15"/>
          <w:szCs w:val="15"/>
          <w:color w:val="auto"/>
        </w:rPr>
      </w:pPr>
    </w:p>
    <w:p>
      <w:pPr>
        <w:ind w:right="380"/>
        <w:spacing w:after="0" w:line="265" w:lineRule="auto"/>
        <w:rPr>
          <w:rFonts w:ascii="Arial" w:cs="Arial" w:eastAsia="Arial" w:hAnsi="Arial"/>
          <w:sz w:val="15"/>
          <w:szCs w:val="15"/>
          <w:color w:val="auto"/>
        </w:rPr>
      </w:pPr>
      <w:r>
        <w:rPr>
          <w:rFonts w:ascii="Arial" w:cs="Arial" w:eastAsia="Arial" w:hAnsi="Arial"/>
          <w:sz w:val="15"/>
          <w:szCs w:val="15"/>
          <w:color w:val="auto"/>
        </w:rPr>
        <w:t xml:space="preserve">5 </w:t>
      </w:r>
      <w:r>
        <w:rPr>
          <w:rFonts w:ascii="Arial" w:cs="Arial" w:eastAsia="Arial" w:hAnsi="Arial"/>
          <w:sz w:val="17"/>
          <w:szCs w:val="17"/>
          <w:color w:val="auto"/>
        </w:rPr>
        <w:t xml:space="preserve">www.northropgrumman.com/AboutUs/OurGlobalPresence/Pages/default.aspx; www.upi.com/Defense-News/2015/10/16/Colombia-receives-Northrop-Grumman-ANTPS-78-radar/4871445000556/; www.moroccoworldnews.com/2018/05/246179/morocco-cargo-m1a2s-laser-tanks-us/; www.news.northropgrumman.com/news/releases/northrop-grumman-delivers-center-fuselage-for-first-israeli-f-35-aircraft </w:t>
      </w:r>
      <w:r>
        <w:rPr>
          <w:rFonts w:ascii="Arial" w:cs="Arial" w:eastAsia="Arial" w:hAnsi="Arial"/>
          <w:sz w:val="14"/>
          <w:szCs w:val="14"/>
          <w:color w:val="auto"/>
        </w:rPr>
        <w:t xml:space="preserve">6 </w:t>
      </w:r>
      <w:r>
        <w:rPr>
          <w:rFonts w:ascii="Arial" w:cs="Arial" w:eastAsia="Arial" w:hAnsi="Arial"/>
          <w:sz w:val="17"/>
          <w:szCs w:val="17"/>
          <w:color w:val="auto"/>
        </w:rPr>
        <w:t>www.northropgrumman.com/AboutUs/OurGlobalPresence/MiddleEastAndAfrica/Pages/Who-We-Are-in-the-Middle-East.aspx</w:t>
      </w:r>
    </w:p>
    <w:p>
      <w:pPr>
        <w:ind w:right="1400"/>
        <w:spacing w:after="0" w:line="291" w:lineRule="auto"/>
        <w:rPr>
          <w:rFonts w:ascii="Arial" w:cs="Arial" w:eastAsia="Arial" w:hAnsi="Arial"/>
          <w:sz w:val="15"/>
          <w:szCs w:val="15"/>
          <w:color w:val="auto"/>
        </w:rPr>
      </w:pPr>
      <w:r>
        <w:rPr>
          <w:rFonts w:ascii="Arial" w:cs="Arial" w:eastAsia="Arial" w:hAnsi="Arial"/>
          <w:sz w:val="15"/>
          <w:szCs w:val="15"/>
          <w:color w:val="auto"/>
        </w:rPr>
        <w:t xml:space="preserve">7 </w:t>
      </w:r>
      <w:r>
        <w:rPr>
          <w:rFonts w:ascii="Arial" w:cs="Arial" w:eastAsia="Arial" w:hAnsi="Arial"/>
          <w:sz w:val="17"/>
          <w:szCs w:val="17"/>
          <w:color w:val="auto"/>
        </w:rPr>
        <w:t>http://www.icj.org/wp-content/uploads/2018/09/Yemen-War-impact-on-populations-Advocacy-Analysis-Brief-2018-ENG.pdf</w:t>
      </w:r>
      <w:r>
        <w:rPr>
          <w:rFonts w:ascii="Arial" w:cs="Arial" w:eastAsia="Arial" w:hAnsi="Arial"/>
          <w:sz w:val="15"/>
          <w:szCs w:val="15"/>
          <w:color w:val="auto"/>
        </w:rPr>
        <w:t xml:space="preserve"> 8 </w:t>
      </w:r>
      <w:r>
        <w:rPr>
          <w:rFonts w:ascii="Arial" w:cs="Arial" w:eastAsia="Arial" w:hAnsi="Arial"/>
          <w:sz w:val="17"/>
          <w:szCs w:val="17"/>
          <w:color w:val="auto"/>
        </w:rPr>
        <w:t>http://investor.northropgrumman.com/node/36321/html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701" w:right="339" w:bottom="1440" w:gutter="0" w:footer="0" w:header="0"/>
        </w:sectPr>
      </w:pPr>
    </w:p>
    <w:bookmarkStart w:id="77" w:name="page78"/>
    <w:bookmarkEnd w:id="77"/>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PROPOSAL FOUR: SHAREHOLDER PROPOSAL</w:t>
      </w: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Board of Directors' Statement in Opposition to 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Board of Directors has carefully considered Proposal Four and, for the reasons summarized below, unanimously recommends a vote against Proposal Four. The Company is, and has long been, deeply committed to human rights and to transparency, including in how the Company implements its human rights policies and practices. The Company is also committed to updating and refining its program, as we engage with our shareholders and as best practices evolve. However, the Board does not believe that the Company could implement the Proposal in a meaningful and constructive way, nor that it would progress the Proponents' stated objectives. Proposal Four is not entirely clear, but it appears that Proponents would require the Company 1) to assess and mitigate actual and potential human rights impacts that could result from the governments’ potential uses of our products and services, including in conflict-affected areas, and 2) to publish a report with the results of such assessments. The Board of Directors is concerned that Proponents’ request, which is both vague and overly broad, would impose unworkable requirements on the day-to-day operations of the Company; adversely impact our ability to serve our largest customer, the US Government and to shape the environment in which governments use our products and services; and ultimately harm our business and our ability to grow in service to our shareholders. The Board does not believe Proposal Four will enhance the Company’s ability to manage risk, progress a strong culture - including one that demands respect for human rights - influence our customers’ behavior or create long-term value for our stakeholders.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Deeply Committed to Respecting Human Rights</w:t>
      </w:r>
    </w:p>
    <w:p>
      <w:pPr>
        <w:spacing w:after="0" w:line="11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supports and maintains the highest standards of ethical conduct and is deeply committed to respecting human rights. This commitment is embedded in the Company’s culture, policies and practices and reflected in the Company’s Human Rights Policy and in our Standards of Business Conduct.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Human Rights Policy provides, among other things, that the Company</w:t>
      </w:r>
    </w:p>
    <w:p>
      <w:pPr>
        <w:spacing w:after="0" w:line="117" w:lineRule="exact"/>
        <w:rPr>
          <w:sz w:val="20"/>
          <w:szCs w:val="20"/>
          <w:color w:val="auto"/>
        </w:rPr>
      </w:pPr>
    </w:p>
    <w:p>
      <w:pPr>
        <w:ind w:left="340" w:right="20" w:hanging="332"/>
        <w:spacing w:after="0" w:line="255" w:lineRule="auto"/>
        <w:tabs>
          <w:tab w:leader="none" w:pos="340" w:val="left"/>
        </w:tabs>
        <w:numPr>
          <w:ilvl w:val="0"/>
          <w:numId w:val="83"/>
        </w:numPr>
        <w:rPr>
          <w:rFonts w:ascii="Arial" w:cs="Arial" w:eastAsia="Arial" w:hAnsi="Arial"/>
          <w:sz w:val="22"/>
          <w:szCs w:val="22"/>
          <w:color w:val="00249C"/>
        </w:rPr>
      </w:pPr>
      <w:r>
        <w:rPr>
          <w:rFonts w:ascii="Arial" w:cs="Arial" w:eastAsia="Arial" w:hAnsi="Arial"/>
          <w:sz w:val="18"/>
          <w:szCs w:val="18"/>
          <w:color w:val="auto"/>
        </w:rPr>
        <w:t>Treats employees, suppliers, customers and competitors with dignity and respect and does not tolerate any discrimination in employment based on an individual’s protected status;</w:t>
      </w:r>
    </w:p>
    <w:p>
      <w:pPr>
        <w:spacing w:after="0" w:line="69" w:lineRule="exact"/>
        <w:rPr>
          <w:rFonts w:ascii="Arial" w:cs="Arial" w:eastAsia="Arial" w:hAnsi="Arial"/>
          <w:sz w:val="22"/>
          <w:szCs w:val="22"/>
          <w:color w:val="00249C"/>
        </w:rPr>
      </w:pPr>
    </w:p>
    <w:p>
      <w:pPr>
        <w:ind w:left="340" w:hanging="332"/>
        <w:spacing w:after="0"/>
        <w:tabs>
          <w:tab w:leader="none" w:pos="340" w:val="left"/>
        </w:tabs>
        <w:numPr>
          <w:ilvl w:val="0"/>
          <w:numId w:val="83"/>
        </w:numPr>
        <w:rPr>
          <w:rFonts w:ascii="Arial" w:cs="Arial" w:eastAsia="Arial" w:hAnsi="Arial"/>
          <w:sz w:val="22"/>
          <w:szCs w:val="22"/>
          <w:color w:val="00249C"/>
        </w:rPr>
      </w:pPr>
      <w:r>
        <w:rPr>
          <w:rFonts w:ascii="Arial" w:cs="Arial" w:eastAsia="Arial" w:hAnsi="Arial"/>
          <w:sz w:val="18"/>
          <w:szCs w:val="18"/>
          <w:color w:val="auto"/>
        </w:rPr>
        <w:t>Does not tolerate the use of child labor, forced labor, bonded labor, or human trafficking;</w:t>
      </w:r>
    </w:p>
    <w:p>
      <w:pPr>
        <w:spacing w:after="0" w:line="120" w:lineRule="exact"/>
        <w:rPr>
          <w:rFonts w:ascii="Arial" w:cs="Arial" w:eastAsia="Arial" w:hAnsi="Arial"/>
          <w:sz w:val="22"/>
          <w:szCs w:val="22"/>
          <w:color w:val="00249C"/>
        </w:rPr>
      </w:pPr>
    </w:p>
    <w:p>
      <w:pPr>
        <w:ind w:left="340" w:hanging="332"/>
        <w:spacing w:after="0" w:line="255" w:lineRule="auto"/>
        <w:tabs>
          <w:tab w:leader="none" w:pos="340" w:val="left"/>
        </w:tabs>
        <w:numPr>
          <w:ilvl w:val="0"/>
          <w:numId w:val="83"/>
        </w:numPr>
        <w:rPr>
          <w:rFonts w:ascii="Arial" w:cs="Arial" w:eastAsia="Arial" w:hAnsi="Arial"/>
          <w:sz w:val="22"/>
          <w:szCs w:val="22"/>
          <w:color w:val="00249C"/>
        </w:rPr>
      </w:pPr>
      <w:r>
        <w:rPr>
          <w:rFonts w:ascii="Arial" w:cs="Arial" w:eastAsia="Arial" w:hAnsi="Arial"/>
          <w:sz w:val="18"/>
          <w:szCs w:val="18"/>
          <w:color w:val="auto"/>
        </w:rPr>
        <w:t>Is committed to the highest standards of ethical and business conduct as it relates to the procurement of goods and services and expects all of our suppliers to conduct themselves in a manner consistent with the values set forth in our Supplier of Code of Conduct;</w:t>
      </w:r>
    </w:p>
    <w:p>
      <w:pPr>
        <w:spacing w:after="0" w:line="105" w:lineRule="exact"/>
        <w:rPr>
          <w:rFonts w:ascii="Arial" w:cs="Arial" w:eastAsia="Arial" w:hAnsi="Arial"/>
          <w:sz w:val="22"/>
          <w:szCs w:val="22"/>
          <w:color w:val="00249C"/>
        </w:rPr>
      </w:pPr>
    </w:p>
    <w:p>
      <w:pPr>
        <w:ind w:left="340" w:right="580" w:hanging="332"/>
        <w:spacing w:after="0" w:line="284" w:lineRule="auto"/>
        <w:tabs>
          <w:tab w:leader="none" w:pos="340" w:val="left"/>
        </w:tabs>
        <w:numPr>
          <w:ilvl w:val="0"/>
          <w:numId w:val="83"/>
        </w:numPr>
        <w:rPr>
          <w:rFonts w:ascii="Arial" w:cs="Arial" w:eastAsia="Arial" w:hAnsi="Arial"/>
          <w:sz w:val="21"/>
          <w:szCs w:val="21"/>
          <w:color w:val="00249C"/>
        </w:rPr>
      </w:pPr>
      <w:r>
        <w:rPr>
          <w:rFonts w:ascii="Arial" w:cs="Arial" w:eastAsia="Arial" w:hAnsi="Arial"/>
          <w:sz w:val="17"/>
          <w:szCs w:val="17"/>
          <w:color w:val="auto"/>
        </w:rPr>
        <w:t>Maintains established channels for employees who believe there may have been a violation of this policy to report such violations, including to their supervisor, a Business Conduct Officer, the Law Department or Human Resources, or through the OpenLine;</w:t>
      </w:r>
    </w:p>
    <w:p>
      <w:pPr>
        <w:spacing w:after="0" w:line="40" w:lineRule="exact"/>
        <w:rPr>
          <w:rFonts w:ascii="Arial" w:cs="Arial" w:eastAsia="Arial" w:hAnsi="Arial"/>
          <w:sz w:val="21"/>
          <w:szCs w:val="21"/>
          <w:color w:val="00249C"/>
        </w:rPr>
      </w:pPr>
    </w:p>
    <w:p>
      <w:pPr>
        <w:ind w:left="340" w:hanging="332"/>
        <w:spacing w:after="0"/>
        <w:tabs>
          <w:tab w:leader="none" w:pos="340" w:val="left"/>
        </w:tabs>
        <w:numPr>
          <w:ilvl w:val="0"/>
          <w:numId w:val="83"/>
        </w:numPr>
        <w:rPr>
          <w:rFonts w:ascii="Arial" w:cs="Arial" w:eastAsia="Arial" w:hAnsi="Arial"/>
          <w:sz w:val="22"/>
          <w:szCs w:val="22"/>
          <w:color w:val="00249C"/>
        </w:rPr>
      </w:pPr>
      <w:r>
        <w:rPr>
          <w:rFonts w:ascii="Arial" w:cs="Arial" w:eastAsia="Arial" w:hAnsi="Arial"/>
          <w:sz w:val="18"/>
          <w:szCs w:val="18"/>
          <w:color w:val="auto"/>
        </w:rPr>
        <w:t>Provides for prompt investigation of any such concerns and robust corrective action, if needed; and</w:t>
      </w:r>
    </w:p>
    <w:p>
      <w:pPr>
        <w:spacing w:after="0" w:line="84" w:lineRule="exact"/>
        <w:rPr>
          <w:rFonts w:ascii="Arial" w:cs="Arial" w:eastAsia="Arial" w:hAnsi="Arial"/>
          <w:sz w:val="22"/>
          <w:szCs w:val="22"/>
          <w:color w:val="00249C"/>
        </w:rPr>
      </w:pPr>
    </w:p>
    <w:p>
      <w:pPr>
        <w:ind w:left="340" w:hanging="332"/>
        <w:spacing w:after="0"/>
        <w:tabs>
          <w:tab w:leader="none" w:pos="340" w:val="left"/>
        </w:tabs>
        <w:numPr>
          <w:ilvl w:val="0"/>
          <w:numId w:val="83"/>
        </w:numPr>
        <w:rPr>
          <w:rFonts w:ascii="Arial" w:cs="Arial" w:eastAsia="Arial" w:hAnsi="Arial"/>
          <w:sz w:val="22"/>
          <w:szCs w:val="22"/>
          <w:color w:val="00249C"/>
        </w:rPr>
      </w:pPr>
      <w:r>
        <w:rPr>
          <w:rFonts w:ascii="Arial" w:cs="Arial" w:eastAsia="Arial" w:hAnsi="Arial"/>
          <w:sz w:val="18"/>
          <w:szCs w:val="18"/>
          <w:color w:val="auto"/>
        </w:rPr>
        <w:t>Periodically reviews the Human Rights Policy to determine whether revisions are appropriate.</w:t>
      </w:r>
    </w:p>
    <w:p>
      <w:pPr>
        <w:spacing w:after="0" w:line="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Board of Directors, through its Policy Committee provides regular oversight of the Company’s Human Rights Policy and compliance with it.</w:t>
      </w:r>
    </w:p>
    <w:p>
      <w:pPr>
        <w:spacing w:after="0" w:line="6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addition, the Company regularly engages with shareholders on social and governance matters, including discussions with the Proponents about our Human Rights Policy and how the Company assesses human rights risks. The Company and the Board welcome the perspectives of our various shareholders and are interested to learn from them to improve further our processes. For example, following discussions with shareholders and other stakeholders, the Company has further enhanced its Human Rights Policy to provide additional details regarding our commitment to human rights, including how we integrate human rights throughout the Company and our supply chain. The revised Human Rights Policy also describes in greater detail our governance structure with respect to human rights, due diligence efforts, communications and training. It provides for a Human Rights Working Group, with senior representatives from different functions and operations, providing additional oversight of how the Company is implementing its Human Rights Policy. At its February meeting, the Board of Directors amended the Policy Committee charter to emphasize further the committee’s role in overseeing the Company’s commitment to human rights, and expanded disclosures regarding human rights, including in our annual Proxy Statement. Our Sustainability Report, which will be released later this year, will also provide a more in-depth discussion of our Human Rights Policy. The Board of Directors believes that these enhancements further demonstrate our responsiveness to shareholders and our commitment to human rights.</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71</w:t>
      </w:r>
    </w:p>
    <w:p>
      <w:pPr>
        <w:sectPr>
          <w:pgSz w:w="11900" w:h="16838" w:orient="portrait"/>
          <w:cols w:equalWidth="0" w:num="1">
            <w:col w:w="11240"/>
          </w:cols>
          <w:pgMar w:left="320" w:top="701" w:right="339" w:bottom="1440" w:gutter="0" w:footer="0" w:header="0"/>
        </w:sectPr>
      </w:pPr>
    </w:p>
    <w:bookmarkStart w:id="78" w:name="page79"/>
    <w:bookmarkEnd w:id="78"/>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PROPOSAL FOUR: SHAREHOLDER PROPOSAL</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Four Is Neither Practicable nor Constructive</w:t>
      </w:r>
    </w:p>
    <w:p>
      <w:pPr>
        <w:spacing w:after="0" w:line="11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Shareholder Proposal Four does not appear really to question the Company’s commitment to human rights or the substance of our Human Rights Policy. Instead, the Proposal appears to challenge indirectly how the Company’s government customers might potentially use our products, and to require the Company somehow to anticipate, assess and mitigate the risk that such potential government conduct might harm human rights. The Company takes very seriously the issue of what products it sells to whom, for what purpose. But the Board does not believe this Proposal is an appropriate vehicle to progress Proponents’ objectives. Rather than advance human rights, the Board believes this Proposal will instead interfere with the Company’s internal day-to day operations and its ability to generate long-term value for our stakeholders.</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can and does take seriously the potential consequences of its products and the identity of the customers to whom we can and do sell them. As an initial matter, security and export controls limit significantly the customers to whom we can sell most of our products and services. Not surprisingly, our business is tied primarily to the US Government and our allies. Before entering into specific contracts, the Company considers, among other things, the financial, legal, strategic, operational and reputational implications of doing so. The Company has additional procedures to review potential business activities when they involve certain countries of concern. Those procedures require the Company to focus on compliance and reputational risks, among others, before determining whether or not to proceed with the proposed business activity. And the Company has, at times, decided not to do business in a certain country, even where it was legally permissible, after evaluating the potential risks to the Company.</w:t>
      </w:r>
    </w:p>
    <w:p>
      <w:pPr>
        <w:spacing w:after="0" w:line="7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Proposal Four goes beyond this, however, calling on the Company to anticipate, examine and report on how the US and other governments will or might use the products or services we provide, and suggesting we mitigate the “actual and potential human rights impacts associated with” the government’s use of Company products and services, ”including those in conflict-affected areas.” Such an effort would be impracticable and inappropriate. It would complicate, to say the least, how the Company operates on a day-to-day basis, implicating, among other things, how the Company conducts engineering, strategy, business development and government relations; how the Company considers and manages its relationships with government customers; the nature and capabilities of the products and services we develop and deliver; bid proposals; the terms of the contracts on which we perform; and the countries and markets in which we do business. It would require the Company to speculate about our customers, their mission requirements and their behavior, including how our customers might use our products over time, depending on changes in policies and politics; the evolving threat environment; and what conflicts might arise, when and where. Such efforts, even if practicable, could significantly hinder the Company’s ability to operate and grow the business on a day-to-day basis, harm the Company’s reputation as a trusted partner, and create a competitive disadvantage. Such efforts are not likely to advance human rights or to accomplish Proponents’ stated objective of protecting the Company against risk.</w:t>
      </w:r>
    </w:p>
    <w:p>
      <w:pPr>
        <w:spacing w:after="0" w:line="75" w:lineRule="exact"/>
        <w:rPr>
          <w:sz w:val="20"/>
          <w:szCs w:val="20"/>
          <w:color w:val="auto"/>
        </w:rPr>
      </w:pPr>
    </w:p>
    <w:p>
      <w:pPr>
        <w:ind w:left="5620"/>
        <w:spacing w:after="0"/>
        <w:tabs>
          <w:tab w:leader="none" w:pos="6080" w:val="left"/>
          <w:tab w:leader="none" w:pos="6540" w:val="left"/>
          <w:tab w:leader="none" w:pos="7020" w:val="left"/>
          <w:tab w:leader="none" w:pos="7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Board of Directors and Company management share Proponents’ concern for human rights. The Company has a strong Human Rights Policy and regularly evaluates and enhances our programs to implement that policy. The Board of Directors has considered this Proposal and appreciates the extensive dialogue with Proponents. However, the Board does not believe that the efforts proposed by Proponents will provide any enhancements to our current human rights program or be constructive. To the contrary, the Board believes strongly that the proposal is not in the best interests of the Company and our shareholders. The Board therefore opposes this proposal and unanimously recommends that it should not be adopted.</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0575" cy="2057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0575" cy="205740"/>
                    </a:xfrm>
                    <a:prstGeom prst="rect">
                      <a:avLst/>
                    </a:prstGeom>
                    <a:noFill/>
                  </pic:spPr>
                </pic:pic>
              </a:graphicData>
            </a:graphic>
          </wp:anchor>
        </w:drawing>
      </w:r>
    </w:p>
    <w:p>
      <w:pPr>
        <w:spacing w:after="0" w:line="213" w:lineRule="exact"/>
        <w:rPr>
          <w:sz w:val="20"/>
          <w:szCs w:val="20"/>
          <w:color w:val="auto"/>
        </w:rPr>
      </w:pPr>
    </w:p>
    <w:p>
      <w:pPr>
        <w:ind w:left="60"/>
        <w:spacing w:after="0"/>
        <w:rPr>
          <w:sz w:val="20"/>
          <w:szCs w:val="20"/>
          <w:color w:val="auto"/>
        </w:rPr>
      </w:pPr>
      <w:r>
        <w:rPr>
          <w:rFonts w:ascii="Arial" w:cs="Arial" w:eastAsia="Arial" w:hAnsi="Arial"/>
          <w:sz w:val="21"/>
          <w:szCs w:val="21"/>
          <w:color w:val="00249C"/>
        </w:rPr>
        <w:t>THE BOARD OF DIRECTORS UNANIMOUSLY RECOMMENDS THAT YOU VOTE "AGAINST" PROPOSAL FOUR.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701" w:right="339" w:bottom="1440" w:gutter="0" w:footer="0" w:header="0"/>
        </w:sectPr>
      </w:pPr>
    </w:p>
    <w:bookmarkStart w:id="79" w:name="page80"/>
    <w:bookmarkEnd w:id="79"/>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PROPOSAL FIVE: SHAREHOLDER PROPOSAL</w:t>
      </w:r>
    </w:p>
    <w:p>
      <w:pPr>
        <w:spacing w:after="0" w:line="200" w:lineRule="exact"/>
        <w:rPr>
          <w:sz w:val="20"/>
          <w:szCs w:val="20"/>
          <w:color w:val="auto"/>
        </w:rPr>
      </w:pPr>
    </w:p>
    <w:p>
      <w:pPr>
        <w:spacing w:after="0" w:line="3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John Chevedden, 2215 Nelson Avenue, No. 205, Redondo Beach, California 90278, a beneficial owner of 25 shares of common stock of the Company, the proponent of a shareholder proposal, has stated that he intends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201" w:lineRule="exact"/>
        <w:rPr>
          <w:sz w:val="20"/>
          <w:szCs w:val="20"/>
          <w:color w:val="auto"/>
        </w:rPr>
      </w:pPr>
    </w:p>
    <w:p>
      <w:pPr>
        <w:ind w:left="40" w:right="280"/>
        <w:spacing w:after="0" w:line="288" w:lineRule="auto"/>
        <w:rPr>
          <w:sz w:val="20"/>
          <w:szCs w:val="20"/>
          <w:color w:val="auto"/>
        </w:rPr>
      </w:pPr>
      <w:r>
        <w:rPr>
          <w:rFonts w:ascii="Arial" w:cs="Arial" w:eastAsia="Arial" w:hAnsi="Arial"/>
          <w:sz w:val="25"/>
          <w:szCs w:val="25"/>
          <w:b w:val="1"/>
          <w:bCs w:val="1"/>
          <w:color w:val="auto"/>
        </w:rPr>
        <w:t>Proposal Five: Shareholder Proposal to Move to 3% Ownership Threshold for Shareholders to Request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Proposal 5 - Make Shareholder Written Consent a Meaningful Right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Shareholders request our board of directors take the steps necessary to change 25% to 3% in this passage of our bylaws:</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"Section 2.13. Stockholder Action by Written Consent. (a) The holders of Common Stock of the Corporation may take action by written consent in lieu of a meeting of stockholders if, in accordance with and subject to the conditions and restrictions set forth in the Certificate and these Bylaws (as amended from time to time), (i) record holders of at least 25% of the outstanding Common Stock of the Corporation have submitted written requests to the Secretary of the Corporation asking that the Board of Directors fix a record date . . . ."</w:t>
      </w:r>
    </w:p>
    <w:p>
      <w:pPr>
        <w:spacing w:after="0" w:line="6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This proposal includes taking the steps necessary to make each change in our governing documents that is needed to be consistent with the 3% amendment.</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When Northrop Grumman directors adopted a shareholder right to action by written consent the directors put in a hurdle to make written consent not a meaningful right. Northrop Grumman directors made it necessary for an unwieldy 25% of Northrop Grumman shares to simply request a record date.</w:t>
      </w:r>
    </w:p>
    <w:p>
      <w:pPr>
        <w:spacing w:after="0" w:line="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other words Northrop Grumman shareholders need the backing of $15 Billion of NOC shares to simply ask for a record date. And once the owners of $15 Billion of NOC stock provide management with their mandated contact information then it is easy for NOC management to defeat written consent by pressuring the sponsoring shareholders to revoke their written consents.</w:t>
      </w:r>
    </w:p>
    <w:p>
      <w:pPr>
        <w:spacing w:after="0" w:line="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It makes no sense to require 25% of shares ($15 Billion of NOC shares) to just get started to act by written consent when 3% of NOC shares can put a proxy access candidate on our annual meeting ballot.</w:t>
      </w:r>
    </w:p>
    <w:p>
      <w:pPr>
        <w:spacing w:after="0" w:line="6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right for shareholders to act by written consent is gaining acceptance as a more important right that than the right to call a special meeting. This seems to be the conclusion of the Intel Corporation (INTC) shareholder vote at the 2019 Intel annual meeting.</w:t>
      </w:r>
    </w:p>
    <w:p>
      <w:pPr>
        <w:spacing w:after="0" w:line="6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directors at Intel apparently thought they could divert shareholder attention away from written consent by making it less difficult for shareholders to call a special meeting. However Intel shareholders responded with greater support for written consent in 2019 compared to 2018.</w:t>
      </w:r>
    </w:p>
    <w:p>
      <w:pPr>
        <w:spacing w:after="0" w:line="67" w:lineRule="exact"/>
        <w:rPr>
          <w:sz w:val="20"/>
          <w:szCs w:val="20"/>
          <w:color w:val="auto"/>
        </w:rPr>
      </w:pPr>
    </w:p>
    <w:p>
      <w:pPr>
        <w:jc w:val="both"/>
        <w:ind w:right="340"/>
        <w:spacing w:after="0" w:line="261" w:lineRule="auto"/>
        <w:rPr>
          <w:sz w:val="20"/>
          <w:szCs w:val="20"/>
          <w:color w:val="auto"/>
        </w:rPr>
      </w:pPr>
      <w:r>
        <w:rPr>
          <w:rFonts w:ascii="Arial" w:cs="Arial" w:eastAsia="Arial" w:hAnsi="Arial"/>
          <w:sz w:val="18"/>
          <w:szCs w:val="18"/>
          <w:color w:val="auto"/>
        </w:rPr>
        <w:t>Written consent support at Flowserve Corporation increased from 43% to 51% in one-year. And a proxy advisor has set certain minimum requirements for a company adopting written consent in case management is tempted to adopt a meaningless version of written consent.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vote yes:</w:t>
      </w:r>
    </w:p>
    <w:p>
      <w:pPr>
        <w:spacing w:after="0" w:line="6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Make Shareholder Written Consent a Meaningful Right - Proposal 5</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Board of Directors' Statement in Opposition to 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unanimously recommends that shareholders vote against this Proposal Five.</w:t>
      </w:r>
    </w:p>
    <w:p>
      <w:pPr>
        <w:spacing w:after="0" w:line="10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2012, after thoughtful deliberation with the benefit of significant input from our shareholders, the Board of Directors recommended, and shareholders overwhelmingly approved, amendments to the Company’s Certificate of Incorporation and Bylaws to adopt robust and well-balanced provisions for the right of shareholders to act by written consent. Among other things, these provisions provide for shareholders holding 25% or more of the Company’s outstanding shares of common stock to act by written consent. In addition to this right to act by written consent, our shareholders have the right to call a special meeting, to submit proposals to be considered at our annual meeting, to nominate directors through proxy access, and to meet with our directors and members of management. As this inclusive governance structure would suggest, our Board of Directors is, and has long been, committed to ensuring our shareholders have meaningful rights to provide input and to influence the direction of our Company, and to do so in a way that respects the interests of all shareholders and enhances the Company’s ability to create long-term value. This Proposal Five - which recommends reducing the threshold to seek action by written consent significantly from 25% to only 3% of the Company’s outstanding shares - is both unnecessary and ill-advised.</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73</w:t>
      </w:r>
    </w:p>
    <w:p>
      <w:pPr>
        <w:sectPr>
          <w:pgSz w:w="11900" w:h="16838" w:orient="portrait"/>
          <w:cols w:equalWidth="0" w:num="1">
            <w:col w:w="11240"/>
          </w:cols>
          <w:pgMar w:left="320" w:top="701" w:right="339" w:bottom="1440" w:gutter="0" w:footer="0" w:header="0"/>
        </w:sectPr>
      </w:pPr>
    </w:p>
    <w:bookmarkStart w:id="80" w:name="page81"/>
    <w:bookmarkEnd w:id="8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257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PROPOSAL FIVE: SHAREHOLDER PROPOSAL</w:t>
      </w:r>
    </w:p>
    <w:p>
      <w:pPr>
        <w:spacing w:after="0" w:line="200" w:lineRule="exact"/>
        <w:rPr>
          <w:sz w:val="20"/>
          <w:szCs w:val="20"/>
          <w:color w:val="auto"/>
        </w:rPr>
      </w:pPr>
    </w:p>
    <w:p>
      <w:pPr>
        <w:spacing w:after="0" w:line="3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framing the provisions for written consent in 2012, the Board sought and was guided by input from our shareholders. Our shareholders expressed support for such provisions generally, but also cautioned that the right of shareholders to act by written consent should be balanced and structured so as to ensure an orderly and transparent process, guard against misuse, protect the interests of all shareholders, and promote good governance, all so as to enhance long-term value for our shareholders. Almost 80% of our shareholders supported the Company’s proposal to implement written consent at the 25% threshold.</w:t>
      </w:r>
    </w:p>
    <w:p>
      <w:pPr>
        <w:spacing w:after="0" w:line="6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Board continues to believe that our provisions for written consent - including the 25% ownership threshold - remain well aligned with our shareholders’ perspectives, best practices and the Company’s best interests. The Board believes they balance and promote the interests of all our shareholders, particularly in the context of our broader governance construct. Proponent’s Proposal Five, if adopted, could result in a very small minority of shareholders, potentially with narrow, short-term interests, requesting action by written consent to pursue matters that as many as 97% of shareholders may view as inappropriate for action, without regard to how the costs and other burdens might impact the interests of the Company and the vast majority of shareholders. We benefit from extensive and regular feedback from our shareholders. We are not aware of any occasion (other than this proposal) where our shareholders have suggested that the threshold should be reduced to 3%, or that such a threshold is necessary or appropriate to enable shareholders to bring matters of concern to the Company’s attention. As noted above, the Board is committed to facilitating shareholder input, and already provides numerous such opportunities, including through proxy access, the right to call a special meeting, and opportunities to discuss matters directly with the Board and management.</w:t>
      </w:r>
    </w:p>
    <w:p>
      <w:pPr>
        <w:spacing w:after="0" w:line="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Recognizing the substantial administrative and financial burdens that maintaining and expanding the stockholder written consent process could impose on the Company and its shareholders, the Board believes that the Company’s existing 25% threshold strikes the appropriate balance between providing shareholders a meaningful mechanism to influence the direction of the Company and protecting against the risk that a small group of shareholders seek to act by shareholder written consent on matters that serve only a narrow agenda not favored by the majority of shareholders. The proponent’s shareholder Proposal Five to lower the threshold to request shareholder action by written consent to 3% would undermine the balance our Board sought to preserve, which was supported by nearly 80% of our shareholders, create conditions for costly and needless processes that do not serve the interests of many, increase risks to the Company and shareholders, and detract from effective corporate governance.</w:t>
      </w:r>
    </w:p>
    <w:p>
      <w:pPr>
        <w:spacing w:after="0" w:line="7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Finally, we note that the Company’s current 25% threshold is consistent with best practices not only in our industry, but across industries. A number of larger public companies do not provide for the right to act by written consent at all. Among those that do, the Company’s current 25% threshold is one of the more common thresholds. The Company’s overall approach remains consistent with the shareholder written consent provisions adopted by other S&amp;P 250 companies.</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continue to engage with our shareholders, we remain confident that our provisions for shareholders to act by written consent, including the 25% ownership threshold, are consistent with industry practices, provide our shareholders with meaningful and appropriate rights, and balance the need to protect the interests of all of our shareholders. The Board believes that adoption of shareholder Proposal Five - and a threshold of 3% - is unnecessary and contrary to the best interests of the Company and our shareholders.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0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0575" cy="2057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0575" cy="205740"/>
                    </a:xfrm>
                    <a:prstGeom prst="rect">
                      <a:avLst/>
                    </a:prstGeom>
                    <a:noFill/>
                  </pic:spPr>
                </pic:pic>
              </a:graphicData>
            </a:graphic>
          </wp:anchor>
        </w:drawing>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1"/>
          <w:szCs w:val="21"/>
          <w:color w:val="00249C"/>
        </w:rPr>
        <w:t>THE BOARD OF DIRECTORS UNANIMOUSLY RECOMMENDS THAT YOU VOTE "AGAINST" PROPOSAL FIVE.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701" w:right="359" w:bottom="1440" w:gutter="0" w:footer="0" w:header="0"/>
        </w:sectPr>
      </w:pPr>
    </w:p>
    <w:bookmarkStart w:id="81" w:name="page82"/>
    <w:bookmarkEnd w:id="81"/>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did I receive a "Notice of Internet Availability of Proxy Materials" but not a full set of proxy materials?</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distribute our proxy materials to shareholders via the internet under the "Notice and Access" approach permitted by the rules of the SEC. This approach reduces the environmental impact of the Annual Meeting and our distribution costs, while providing a timely and convenient method of accessing the proxy materials and voting. On April 3, 2020, we mailed a "Notice of Internet Availability of Proxy Materials" to participating shareholders, containing instructions on how to access the proxy materials on the internet.</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You may vote your shares of our common stock if you owned your shares as of the close of business on March 24, 2020 (Record Date). As of the Record Date, there were 167,293,201 shares of our common stock outstanding. You may cast one vote for each share of common stock you hold as of the Record Date on all matters presented.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must be present to hold the Annual Meeting?</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presence in person or by proxy of the holders of a majority of the shares entitled to vote at the Annual Meeting will constitute a quorum at the Annual Meeting. Persons returning executed proxy cards will be counted as present for purposes of establishing a quorum even if they abstain from voting on any or all proposals. Shares held by brokers who vote such shares on any proposal and broker non-votes will be counted as present for purposes of establishing a quorum.</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receive a paper copy of the proxy materials?</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Instead of mailing a printed copy of this Proxy Statement and accompanying materials to each shareholder of record, we have elected to provide a Notice of Internet Availability of Proxy Materials (Notice) as permitted by the rules of the SEC. The Notice instructs you as to how you may access and review all of the proxy materials and how you may provide your proxy. If you would like to receive a printed or electronic copy of this Proxy Statement and accompanying materials, you must follow the instructions for requesting such materials included in the Notice.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am I being asked to vote on and what are the Board of Directors' recommendations?</w:t>
      </w:r>
    </w:p>
    <w:p>
      <w:pPr>
        <w:spacing w:after="0" w:line="1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lists the proposals scheduled to be voted on, the vote required for approval of each proposal and the effect of abstentions and broker non-votes: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9"/>
              </w:rPr>
              <w:t>Board</w:t>
            </w: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Broker Non-</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Unmarked Proxy</w:t>
            </w:r>
          </w:p>
        </w:tc>
      </w:tr>
      <w:tr>
        <w:trPr>
          <w:trHeight w:val="215"/>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Proposal</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Recommendation</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Vote Required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Abstentions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Votes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Cards</w:t>
            </w:r>
          </w:p>
        </w:tc>
      </w:tr>
      <w:tr>
        <w:trPr>
          <w:trHeight w:val="101"/>
        </w:trPr>
        <w:tc>
          <w:tcPr>
            <w:tcW w:w="3400" w:type="dxa"/>
            <w:vAlign w:val="bottom"/>
            <w:tcBorders>
              <w:bottom w:val="single" w:sz="8" w:color="00249C"/>
            </w:tcBorders>
          </w:tcPr>
          <w:p>
            <w:pPr>
              <w:spacing w:after="0"/>
              <w:rPr>
                <w:sz w:val="8"/>
                <w:szCs w:val="8"/>
                <w:color w:val="auto"/>
              </w:rPr>
            </w:pPr>
          </w:p>
        </w:tc>
        <w:tc>
          <w:tcPr>
            <w:tcW w:w="1760" w:type="dxa"/>
            <w:vAlign w:val="bottom"/>
            <w:tcBorders>
              <w:bottom w:val="single" w:sz="8" w:color="00249C"/>
            </w:tcBorders>
          </w:tcPr>
          <w:p>
            <w:pPr>
              <w:spacing w:after="0"/>
              <w:rPr>
                <w:sz w:val="8"/>
                <w:szCs w:val="8"/>
                <w:color w:val="auto"/>
              </w:rPr>
            </w:pPr>
          </w:p>
        </w:tc>
        <w:tc>
          <w:tcPr>
            <w:tcW w:w="1880" w:type="dxa"/>
            <w:vAlign w:val="bottom"/>
            <w:tcBorders>
              <w:bottom w:val="single" w:sz="8" w:color="00249C"/>
            </w:tcBorders>
          </w:tcPr>
          <w:p>
            <w:pPr>
              <w:spacing w:after="0"/>
              <w:rPr>
                <w:sz w:val="8"/>
                <w:szCs w:val="8"/>
                <w:color w:val="auto"/>
              </w:rPr>
            </w:pPr>
          </w:p>
        </w:tc>
        <w:tc>
          <w:tcPr>
            <w:tcW w:w="1240" w:type="dxa"/>
            <w:vAlign w:val="bottom"/>
            <w:tcBorders>
              <w:bottom w:val="single" w:sz="8" w:color="00249C"/>
            </w:tcBorders>
          </w:tcPr>
          <w:p>
            <w:pPr>
              <w:spacing w:after="0"/>
              <w:rPr>
                <w:sz w:val="8"/>
                <w:szCs w:val="8"/>
                <w:color w:val="auto"/>
              </w:rPr>
            </w:pPr>
          </w:p>
        </w:tc>
        <w:tc>
          <w:tcPr>
            <w:tcW w:w="1280" w:type="dxa"/>
            <w:vAlign w:val="bottom"/>
            <w:tcBorders>
              <w:bottom w:val="single" w:sz="8" w:color="00249C"/>
            </w:tcBorders>
          </w:tcPr>
          <w:p>
            <w:pPr>
              <w:spacing w:after="0"/>
              <w:rPr>
                <w:sz w:val="8"/>
                <w:szCs w:val="8"/>
                <w:color w:val="auto"/>
              </w:rPr>
            </w:pPr>
          </w:p>
        </w:tc>
        <w:tc>
          <w:tcPr>
            <w:tcW w:w="1680" w:type="dxa"/>
            <w:vAlign w:val="bottom"/>
            <w:tcBorders>
              <w:bottom w:val="single" w:sz="8" w:color="00249C"/>
            </w:tcBorders>
          </w:tcPr>
          <w:p>
            <w:pPr>
              <w:spacing w:after="0"/>
              <w:rPr>
                <w:sz w:val="8"/>
                <w:szCs w:val="8"/>
                <w:color w:val="auto"/>
              </w:rPr>
            </w:pPr>
          </w:p>
        </w:tc>
      </w:tr>
      <w:tr>
        <w:trPr>
          <w:trHeight w:val="217"/>
        </w:trPr>
        <w:tc>
          <w:tcPr>
            <w:tcW w:w="3400" w:type="dxa"/>
            <w:vAlign w:val="bottom"/>
          </w:tcPr>
          <w:p>
            <w:pPr>
              <w:ind w:left="40"/>
              <w:spacing w:after="0"/>
              <w:rPr>
                <w:sz w:val="20"/>
                <w:szCs w:val="20"/>
                <w:color w:val="auto"/>
              </w:rPr>
            </w:pPr>
            <w:r>
              <w:rPr>
                <w:rFonts w:ascii="Arial" w:cs="Arial" w:eastAsia="Arial" w:hAnsi="Arial"/>
                <w:sz w:val="16"/>
                <w:szCs w:val="16"/>
                <w:color w:val="auto"/>
              </w:rPr>
              <w:t>Election of Directors</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00249C"/>
              </w:rPr>
              <w:t>FOR</w:t>
            </w:r>
          </w:p>
        </w:tc>
        <w:tc>
          <w:tcPr>
            <w:tcW w:w="1880" w:type="dxa"/>
            <w:vAlign w:val="bottom"/>
          </w:tcPr>
          <w:p>
            <w:pPr>
              <w:jc w:val="center"/>
              <w:spacing w:after="0"/>
              <w:rPr>
                <w:sz w:val="20"/>
                <w:szCs w:val="20"/>
                <w:color w:val="auto"/>
              </w:rPr>
            </w:pPr>
            <w:r>
              <w:rPr>
                <w:rFonts w:ascii="Arial" w:cs="Arial" w:eastAsia="Arial" w:hAnsi="Arial"/>
                <w:sz w:val="16"/>
                <w:szCs w:val="16"/>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6"/>
                <w:szCs w:val="16"/>
                <w:color w:val="auto"/>
              </w:rPr>
              <w:t>No effect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No effect</w:t>
            </w:r>
          </w:p>
        </w:tc>
        <w:tc>
          <w:tcPr>
            <w:tcW w:w="1680" w:type="dxa"/>
            <w:vAlign w:val="bottom"/>
          </w:tcPr>
          <w:p>
            <w:pPr>
              <w:jc w:val="center"/>
              <w:spacing w:after="0"/>
              <w:rPr>
                <w:sz w:val="20"/>
                <w:szCs w:val="20"/>
                <w:color w:val="auto"/>
              </w:rPr>
            </w:pPr>
            <w:r>
              <w:rPr>
                <w:rFonts w:ascii="Arial" w:cs="Arial" w:eastAsia="Arial" w:hAnsi="Arial"/>
                <w:sz w:val="16"/>
                <w:szCs w:val="16"/>
                <w:color w:val="auto"/>
              </w:rPr>
              <w:t>Voted "FOR"</w:t>
            </w: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b w:val="1"/>
                <w:bCs w:val="1"/>
                <w:i w:val="1"/>
                <w:iCs w:val="1"/>
                <w:color w:val="00249C"/>
              </w:rPr>
              <w:t>(Proposal One)</w:t>
            </w:r>
          </w:p>
        </w:tc>
        <w:tc>
          <w:tcPr>
            <w:tcW w:w="17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01"/>
        </w:trPr>
        <w:tc>
          <w:tcPr>
            <w:tcW w:w="34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r>
      <w:tr>
        <w:trPr>
          <w:trHeight w:val="211"/>
        </w:trPr>
        <w:tc>
          <w:tcPr>
            <w:tcW w:w="3400" w:type="dxa"/>
            <w:vAlign w:val="bottom"/>
          </w:tcPr>
          <w:p>
            <w:pPr>
              <w:ind w:left="40"/>
              <w:spacing w:after="0"/>
              <w:rPr>
                <w:sz w:val="20"/>
                <w:szCs w:val="20"/>
                <w:color w:val="auto"/>
              </w:rPr>
            </w:pPr>
            <w:r>
              <w:rPr>
                <w:rFonts w:ascii="Arial" w:cs="Arial" w:eastAsia="Arial" w:hAnsi="Arial"/>
                <w:sz w:val="16"/>
                <w:szCs w:val="16"/>
                <w:color w:val="auto"/>
              </w:rPr>
              <w:t>Advisory Vote on Compensation of Named</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00249C"/>
              </w:rPr>
              <w:t>FOR</w:t>
            </w:r>
          </w:p>
        </w:tc>
        <w:tc>
          <w:tcPr>
            <w:tcW w:w="1880" w:type="dxa"/>
            <w:vAlign w:val="bottom"/>
          </w:tcPr>
          <w:p>
            <w:pPr>
              <w:jc w:val="center"/>
              <w:spacing w:after="0"/>
              <w:rPr>
                <w:sz w:val="20"/>
                <w:szCs w:val="20"/>
                <w:color w:val="auto"/>
              </w:rPr>
            </w:pPr>
            <w:r>
              <w:rPr>
                <w:rFonts w:ascii="Arial" w:cs="Arial" w:eastAsia="Arial" w:hAnsi="Arial"/>
                <w:sz w:val="16"/>
                <w:szCs w:val="16"/>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6"/>
                <w:szCs w:val="16"/>
                <w:color w:val="auto"/>
              </w:rPr>
              <w:t>No effect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No effect</w:t>
            </w:r>
          </w:p>
        </w:tc>
        <w:tc>
          <w:tcPr>
            <w:tcW w:w="1680" w:type="dxa"/>
            <w:vAlign w:val="bottom"/>
          </w:tcPr>
          <w:p>
            <w:pPr>
              <w:jc w:val="center"/>
              <w:spacing w:after="0"/>
              <w:rPr>
                <w:sz w:val="20"/>
                <w:szCs w:val="20"/>
                <w:color w:val="auto"/>
              </w:rPr>
            </w:pPr>
            <w:r>
              <w:rPr>
                <w:rFonts w:ascii="Arial" w:cs="Arial" w:eastAsia="Arial" w:hAnsi="Arial"/>
                <w:sz w:val="16"/>
                <w:szCs w:val="16"/>
                <w:color w:val="auto"/>
              </w:rPr>
              <w:t>Voted "FOR"</w:t>
            </w:r>
          </w:p>
        </w:tc>
      </w:tr>
      <w:tr>
        <w:trPr>
          <w:trHeight w:val="195"/>
        </w:trPr>
        <w:tc>
          <w:tcPr>
            <w:tcW w:w="3400" w:type="dxa"/>
            <w:vAlign w:val="bottom"/>
          </w:tcPr>
          <w:p>
            <w:pPr>
              <w:ind w:left="40"/>
              <w:spacing w:after="0"/>
              <w:rPr>
                <w:sz w:val="20"/>
                <w:szCs w:val="20"/>
                <w:color w:val="auto"/>
              </w:rPr>
            </w:pPr>
            <w:r>
              <w:rPr>
                <w:rFonts w:ascii="Arial" w:cs="Arial" w:eastAsia="Arial" w:hAnsi="Arial"/>
                <w:sz w:val="16"/>
                <w:szCs w:val="16"/>
                <w:color w:val="auto"/>
              </w:rPr>
              <w:t>Executive Officers</w:t>
            </w:r>
          </w:p>
        </w:tc>
        <w:tc>
          <w:tcPr>
            <w:tcW w:w="17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b w:val="1"/>
                <w:bCs w:val="1"/>
                <w:i w:val="1"/>
                <w:iCs w:val="1"/>
                <w:color w:val="00249C"/>
              </w:rPr>
              <w:t>(Proposal Two)</w:t>
            </w:r>
          </w:p>
        </w:tc>
        <w:tc>
          <w:tcPr>
            <w:tcW w:w="17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00"/>
        </w:trPr>
        <w:tc>
          <w:tcPr>
            <w:tcW w:w="34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r>
      <w:tr>
        <w:trPr>
          <w:trHeight w:val="211"/>
        </w:trPr>
        <w:tc>
          <w:tcPr>
            <w:tcW w:w="3400" w:type="dxa"/>
            <w:vAlign w:val="bottom"/>
          </w:tcPr>
          <w:p>
            <w:pPr>
              <w:ind w:left="40"/>
              <w:spacing w:after="0"/>
              <w:rPr>
                <w:sz w:val="20"/>
                <w:szCs w:val="20"/>
                <w:color w:val="auto"/>
              </w:rPr>
            </w:pPr>
            <w:r>
              <w:rPr>
                <w:rFonts w:ascii="Arial" w:cs="Arial" w:eastAsia="Arial" w:hAnsi="Arial"/>
                <w:sz w:val="16"/>
                <w:szCs w:val="16"/>
                <w:color w:val="auto"/>
              </w:rPr>
              <w:t>Ratification of Appointment of Independent</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00249C"/>
              </w:rPr>
              <w:t>FOR</w:t>
            </w:r>
          </w:p>
        </w:tc>
        <w:tc>
          <w:tcPr>
            <w:tcW w:w="1880" w:type="dxa"/>
            <w:vAlign w:val="bottom"/>
          </w:tcPr>
          <w:p>
            <w:pPr>
              <w:jc w:val="center"/>
              <w:spacing w:after="0"/>
              <w:rPr>
                <w:sz w:val="20"/>
                <w:szCs w:val="20"/>
                <w:color w:val="auto"/>
              </w:rPr>
            </w:pPr>
            <w:r>
              <w:rPr>
                <w:rFonts w:ascii="Arial" w:cs="Arial" w:eastAsia="Arial" w:hAnsi="Arial"/>
                <w:sz w:val="16"/>
                <w:szCs w:val="16"/>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6"/>
                <w:szCs w:val="16"/>
                <w:color w:val="auto"/>
              </w:rPr>
              <w:t>No effect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No effect</w:t>
            </w:r>
          </w:p>
        </w:tc>
        <w:tc>
          <w:tcPr>
            <w:tcW w:w="1680" w:type="dxa"/>
            <w:vAlign w:val="bottom"/>
          </w:tcPr>
          <w:p>
            <w:pPr>
              <w:jc w:val="center"/>
              <w:spacing w:after="0"/>
              <w:rPr>
                <w:sz w:val="20"/>
                <w:szCs w:val="20"/>
                <w:color w:val="auto"/>
              </w:rPr>
            </w:pPr>
            <w:r>
              <w:rPr>
                <w:rFonts w:ascii="Arial" w:cs="Arial" w:eastAsia="Arial" w:hAnsi="Arial"/>
                <w:sz w:val="16"/>
                <w:szCs w:val="16"/>
                <w:color w:val="auto"/>
              </w:rPr>
              <w:t>Voted "FOR"</w:t>
            </w:r>
          </w:p>
        </w:tc>
      </w:tr>
      <w:tr>
        <w:trPr>
          <w:trHeight w:val="195"/>
        </w:trPr>
        <w:tc>
          <w:tcPr>
            <w:tcW w:w="3400" w:type="dxa"/>
            <w:vAlign w:val="bottom"/>
          </w:tcPr>
          <w:p>
            <w:pPr>
              <w:ind w:left="40"/>
              <w:spacing w:after="0"/>
              <w:rPr>
                <w:sz w:val="20"/>
                <w:szCs w:val="20"/>
                <w:color w:val="auto"/>
              </w:rPr>
            </w:pPr>
            <w:r>
              <w:rPr>
                <w:rFonts w:ascii="Arial" w:cs="Arial" w:eastAsia="Arial" w:hAnsi="Arial"/>
                <w:sz w:val="16"/>
                <w:szCs w:val="16"/>
                <w:color w:val="auto"/>
              </w:rPr>
              <w:t>Auditor</w:t>
            </w:r>
          </w:p>
        </w:tc>
        <w:tc>
          <w:tcPr>
            <w:tcW w:w="17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b w:val="1"/>
                <w:bCs w:val="1"/>
                <w:i w:val="1"/>
                <w:iCs w:val="1"/>
                <w:color w:val="00249C"/>
              </w:rPr>
              <w:t>(Proposal Three)</w:t>
            </w:r>
          </w:p>
        </w:tc>
        <w:tc>
          <w:tcPr>
            <w:tcW w:w="17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01"/>
        </w:trPr>
        <w:tc>
          <w:tcPr>
            <w:tcW w:w="34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r>
      <w:tr>
        <w:trPr>
          <w:trHeight w:val="211"/>
        </w:trPr>
        <w:tc>
          <w:tcPr>
            <w:tcW w:w="3400" w:type="dxa"/>
            <w:vAlign w:val="bottom"/>
          </w:tcPr>
          <w:p>
            <w:pPr>
              <w:ind w:left="40"/>
              <w:spacing w:after="0"/>
              <w:rPr>
                <w:sz w:val="20"/>
                <w:szCs w:val="20"/>
                <w:color w:val="auto"/>
              </w:rPr>
            </w:pPr>
            <w:r>
              <w:rPr>
                <w:rFonts w:ascii="Arial" w:cs="Arial" w:eastAsia="Arial" w:hAnsi="Arial"/>
                <w:sz w:val="16"/>
                <w:szCs w:val="16"/>
                <w:color w:val="auto"/>
              </w:rPr>
              <w:t>Shareholder Proposal That the Company</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00249C"/>
              </w:rPr>
              <w:t>AGAINST</w:t>
            </w:r>
          </w:p>
        </w:tc>
        <w:tc>
          <w:tcPr>
            <w:tcW w:w="1880" w:type="dxa"/>
            <w:vAlign w:val="bottom"/>
          </w:tcPr>
          <w:p>
            <w:pPr>
              <w:jc w:val="center"/>
              <w:spacing w:after="0"/>
              <w:rPr>
                <w:sz w:val="20"/>
                <w:szCs w:val="20"/>
                <w:color w:val="auto"/>
              </w:rPr>
            </w:pPr>
            <w:r>
              <w:rPr>
                <w:rFonts w:ascii="Arial" w:cs="Arial" w:eastAsia="Arial" w:hAnsi="Arial"/>
                <w:sz w:val="16"/>
                <w:szCs w:val="16"/>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6"/>
                <w:szCs w:val="16"/>
                <w:color w:val="auto"/>
              </w:rPr>
              <w:t>No effect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No effect</w:t>
            </w:r>
          </w:p>
        </w:tc>
        <w:tc>
          <w:tcPr>
            <w:tcW w:w="1680" w:type="dxa"/>
            <w:vAlign w:val="bottom"/>
          </w:tcPr>
          <w:p>
            <w:pPr>
              <w:jc w:val="center"/>
              <w:spacing w:after="0"/>
              <w:rPr>
                <w:sz w:val="20"/>
                <w:szCs w:val="20"/>
                <w:color w:val="auto"/>
              </w:rPr>
            </w:pPr>
            <w:r>
              <w:rPr>
                <w:rFonts w:ascii="Arial" w:cs="Arial" w:eastAsia="Arial" w:hAnsi="Arial"/>
                <w:sz w:val="16"/>
                <w:szCs w:val="16"/>
                <w:color w:val="auto"/>
              </w:rPr>
              <w:t>Voted "AGAINST"</w:t>
            </w:r>
          </w:p>
        </w:tc>
      </w:tr>
      <w:tr>
        <w:trPr>
          <w:trHeight w:val="189"/>
        </w:trPr>
        <w:tc>
          <w:tcPr>
            <w:tcW w:w="3400" w:type="dxa"/>
            <w:vAlign w:val="bottom"/>
          </w:tcPr>
          <w:p>
            <w:pPr>
              <w:ind w:left="40"/>
              <w:spacing w:after="0"/>
              <w:rPr>
                <w:sz w:val="20"/>
                <w:szCs w:val="20"/>
                <w:color w:val="auto"/>
              </w:rPr>
            </w:pPr>
            <w:r>
              <w:rPr>
                <w:rFonts w:ascii="Arial" w:cs="Arial" w:eastAsia="Arial" w:hAnsi="Arial"/>
                <w:sz w:val="16"/>
                <w:szCs w:val="16"/>
                <w:color w:val="auto"/>
              </w:rPr>
              <w:t>Publish a Report With the Results of Human</w:t>
            </w:r>
          </w:p>
        </w:tc>
        <w:tc>
          <w:tcPr>
            <w:tcW w:w="17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9"/>
        </w:trPr>
        <w:tc>
          <w:tcPr>
            <w:tcW w:w="3400" w:type="dxa"/>
            <w:vAlign w:val="bottom"/>
          </w:tcPr>
          <w:p>
            <w:pPr>
              <w:ind w:left="40"/>
              <w:spacing w:after="0"/>
              <w:rPr>
                <w:sz w:val="20"/>
                <w:szCs w:val="20"/>
                <w:color w:val="auto"/>
              </w:rPr>
            </w:pPr>
            <w:r>
              <w:rPr>
                <w:rFonts w:ascii="Arial" w:cs="Arial" w:eastAsia="Arial" w:hAnsi="Arial"/>
                <w:sz w:val="16"/>
                <w:szCs w:val="16"/>
                <w:color w:val="auto"/>
              </w:rPr>
              <w:t>Rights Impact Assessments of High-Risk</w:t>
            </w:r>
          </w:p>
        </w:tc>
        <w:tc>
          <w:tcPr>
            <w:tcW w:w="17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5"/>
        </w:trPr>
        <w:tc>
          <w:tcPr>
            <w:tcW w:w="3400" w:type="dxa"/>
            <w:vAlign w:val="bottom"/>
          </w:tcPr>
          <w:p>
            <w:pPr>
              <w:ind w:left="40"/>
              <w:spacing w:after="0"/>
              <w:rPr>
                <w:sz w:val="20"/>
                <w:szCs w:val="20"/>
                <w:color w:val="auto"/>
              </w:rPr>
            </w:pPr>
            <w:r>
              <w:rPr>
                <w:rFonts w:ascii="Arial" w:cs="Arial" w:eastAsia="Arial" w:hAnsi="Arial"/>
                <w:sz w:val="16"/>
                <w:szCs w:val="16"/>
                <w:color w:val="auto"/>
              </w:rPr>
              <w:t>Products and Services</w:t>
            </w:r>
          </w:p>
        </w:tc>
        <w:tc>
          <w:tcPr>
            <w:tcW w:w="17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70"/>
        </w:trPr>
        <w:tc>
          <w:tcPr>
            <w:tcW w:w="3400" w:type="dxa"/>
            <w:vAlign w:val="bottom"/>
          </w:tcPr>
          <w:p>
            <w:pPr>
              <w:ind w:left="40"/>
              <w:spacing w:after="0"/>
              <w:rPr>
                <w:sz w:val="20"/>
                <w:szCs w:val="20"/>
                <w:color w:val="auto"/>
              </w:rPr>
            </w:pPr>
            <w:r>
              <w:rPr>
                <w:rFonts w:ascii="Arial" w:cs="Arial" w:eastAsia="Arial" w:hAnsi="Arial"/>
                <w:sz w:val="16"/>
                <w:szCs w:val="16"/>
                <w:b w:val="1"/>
                <w:bCs w:val="1"/>
                <w:i w:val="1"/>
                <w:iCs w:val="1"/>
                <w:color w:val="00249C"/>
              </w:rPr>
              <w:t>(Proposal Four)</w:t>
            </w:r>
          </w:p>
        </w:tc>
        <w:tc>
          <w:tcPr>
            <w:tcW w:w="17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00"/>
        </w:trPr>
        <w:tc>
          <w:tcPr>
            <w:tcW w:w="34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r>
      <w:tr>
        <w:trPr>
          <w:trHeight w:val="211"/>
        </w:trPr>
        <w:tc>
          <w:tcPr>
            <w:tcW w:w="3400" w:type="dxa"/>
            <w:vAlign w:val="bottom"/>
          </w:tcPr>
          <w:p>
            <w:pPr>
              <w:ind w:left="40"/>
              <w:spacing w:after="0"/>
              <w:rPr>
                <w:sz w:val="20"/>
                <w:szCs w:val="20"/>
                <w:color w:val="auto"/>
              </w:rPr>
            </w:pPr>
            <w:r>
              <w:rPr>
                <w:rFonts w:ascii="Arial" w:cs="Arial" w:eastAsia="Arial" w:hAnsi="Arial"/>
                <w:sz w:val="16"/>
                <w:szCs w:val="16"/>
                <w:color w:val="auto"/>
              </w:rPr>
              <w:t>Shareholder Proposal to Move to a 3%</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00249C"/>
              </w:rPr>
              <w:t>AGAINST</w:t>
            </w:r>
          </w:p>
        </w:tc>
        <w:tc>
          <w:tcPr>
            <w:tcW w:w="1880" w:type="dxa"/>
            <w:vAlign w:val="bottom"/>
          </w:tcPr>
          <w:p>
            <w:pPr>
              <w:jc w:val="center"/>
              <w:spacing w:after="0"/>
              <w:rPr>
                <w:sz w:val="20"/>
                <w:szCs w:val="20"/>
                <w:color w:val="auto"/>
              </w:rPr>
            </w:pPr>
            <w:r>
              <w:rPr>
                <w:rFonts w:ascii="Arial" w:cs="Arial" w:eastAsia="Arial" w:hAnsi="Arial"/>
                <w:sz w:val="16"/>
                <w:szCs w:val="16"/>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6"/>
                <w:szCs w:val="16"/>
                <w:color w:val="auto"/>
              </w:rPr>
              <w:t>No effect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No effect</w:t>
            </w:r>
          </w:p>
        </w:tc>
        <w:tc>
          <w:tcPr>
            <w:tcW w:w="1680" w:type="dxa"/>
            <w:vAlign w:val="bottom"/>
          </w:tcPr>
          <w:p>
            <w:pPr>
              <w:jc w:val="center"/>
              <w:spacing w:after="0"/>
              <w:rPr>
                <w:sz w:val="20"/>
                <w:szCs w:val="20"/>
                <w:color w:val="auto"/>
              </w:rPr>
            </w:pPr>
            <w:r>
              <w:rPr>
                <w:rFonts w:ascii="Arial" w:cs="Arial" w:eastAsia="Arial" w:hAnsi="Arial"/>
                <w:sz w:val="16"/>
                <w:szCs w:val="16"/>
                <w:color w:val="auto"/>
              </w:rPr>
              <w:t>Voted "AGAINST"</w:t>
            </w:r>
          </w:p>
        </w:tc>
      </w:tr>
    </w:tbl>
    <w:p>
      <w:pPr>
        <w:ind w:left="40"/>
        <w:spacing w:after="0"/>
        <w:rPr>
          <w:sz w:val="20"/>
          <w:szCs w:val="20"/>
          <w:color w:val="auto"/>
        </w:rPr>
      </w:pPr>
      <w:r>
        <w:rPr>
          <w:rFonts w:ascii="Arial" w:cs="Arial" w:eastAsia="Arial" w:hAnsi="Arial"/>
          <w:sz w:val="16"/>
          <w:szCs w:val="16"/>
          <w:color w:val="auto"/>
        </w:rPr>
        <w:t>Ownership Threshold for Shareholders to</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Request Action by Written Consent</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00249C"/>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75</w:t>
      </w:r>
    </w:p>
    <w:p>
      <w:pPr>
        <w:sectPr>
          <w:pgSz w:w="11900" w:h="16838" w:orient="portrait"/>
          <w:cols w:equalWidth="0" w:num="1">
            <w:col w:w="11240"/>
          </w:cols>
          <w:pgMar w:left="320" w:top="701" w:right="339" w:bottom="1440" w:gutter="0" w:footer="0" w:header="0"/>
        </w:sectPr>
      </w:pPr>
    </w:p>
    <w:bookmarkStart w:id="82" w:name="page83"/>
    <w:bookmarkEnd w:id="82"/>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broker non-vote?</w:t>
      </w:r>
    </w:p>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Brokers who hold shares of common stock for the accounts of their clients may vote these shares either as directed by their clients or in their own discretion if permitted by the stock exchanges or other organizations of which they are members. Members of the New York Stock Exchange (NYSE) are permitted to vote their clients' proxies in their own discretion on certain matters if the clients have not furnished voting instructions within ten days of the meeting. However, NYSE Rule 452 defines various matters as "non-routine," and brokers who have not received instructions from their clients do not have discretion to vote their client's shares on such "non-routine" matters, resulting in a "broker non-vote."</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are a beneficial owner whose shares are held of record by a broker, your broker has discretionary voting authority under NYSE rules to vote your shares, without instructions from you, on the ratification of the appointment of Deloitte &amp; Touche LLP as independent auditor. However, your broker does not have discretionary authority to vote your shares, without instructions from you, on the election of directors, the advisory vote to approve the compensation of our NEOs or the shareholder proposals, in which case a broker non-vote will occur and your shares will not be voted on these matters.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my shares?</w:t>
      </w:r>
    </w:p>
    <w:p>
      <w:pPr>
        <w:spacing w:after="0" w:line="1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If you hold shares as a record holder, you may vote by proxy prior to the Annual Meeting, as discussed below, or you may vote in person at the Annual Meeting. Shares represented by a properly executed proxy will be voted at the Annual Meeting in accordance with the shareholder's instructions. If no instructions are given, the shares will be voted according to the recommendations of the Board. Registered shareholders and plan participants may go to </w:t>
      </w:r>
      <w:r>
        <w:rPr>
          <w:rFonts w:ascii="Arial" w:cs="Arial" w:eastAsia="Arial" w:hAnsi="Arial"/>
          <w:sz w:val="18"/>
          <w:szCs w:val="18"/>
          <w:i w:val="1"/>
          <w:iCs w:val="1"/>
          <w:color w:val="auto"/>
        </w:rPr>
        <w:t>www.envisionreports.com/noc</w:t>
      </w:r>
      <w:r>
        <w:rPr>
          <w:rFonts w:ascii="Arial" w:cs="Arial" w:eastAsia="Arial" w:hAnsi="Arial"/>
          <w:sz w:val="18"/>
          <w:szCs w:val="18"/>
          <w:color w:val="auto"/>
        </w:rPr>
        <w:t xml:space="preserve"> to view this Proxy Statement and the Annual Report.</w:t>
      </w:r>
    </w:p>
    <w:p>
      <w:pPr>
        <w:spacing w:after="0" w:line="209" w:lineRule="exact"/>
        <w:rPr>
          <w:sz w:val="20"/>
          <w:szCs w:val="20"/>
          <w:color w:val="auto"/>
        </w:rPr>
      </w:pPr>
    </w:p>
    <w:p>
      <w:pPr>
        <w:ind w:left="3420" w:right="220" w:hanging="1457"/>
        <w:spacing w:after="0" w:line="274" w:lineRule="auto"/>
        <w:tabs>
          <w:tab w:leader="none" w:pos="3400" w:val="left"/>
        </w:tabs>
        <w:rPr>
          <w:sz w:val="20"/>
          <w:szCs w:val="20"/>
          <w:color w:val="auto"/>
        </w:rPr>
      </w:pPr>
      <w:r>
        <w:rPr>
          <w:rFonts w:ascii="Arial" w:cs="Arial" w:eastAsia="Arial" w:hAnsi="Arial"/>
          <w:sz w:val="18"/>
          <w:szCs w:val="18"/>
          <w:b w:val="1"/>
          <w:bCs w:val="1"/>
          <w:i w:val="1"/>
          <w:iCs w:val="1"/>
          <w:color w:val="auto"/>
        </w:rPr>
        <w:t>By Internet</w:t>
      </w:r>
      <w:r>
        <w:rPr>
          <w:sz w:val="20"/>
          <w:szCs w:val="20"/>
          <w:color w:val="auto"/>
        </w:rPr>
        <w:tab/>
      </w:r>
      <w:r>
        <w:rPr>
          <w:rFonts w:ascii="Arial" w:cs="Arial" w:eastAsia="Arial" w:hAnsi="Arial"/>
          <w:sz w:val="17"/>
          <w:szCs w:val="17"/>
          <w:color w:val="auto"/>
        </w:rPr>
        <w:t xml:space="preserve">Registered shareholders and plan participants may vote on the internet, as well as view the documents, by logging on to </w:t>
      </w:r>
      <w:r>
        <w:rPr>
          <w:rFonts w:ascii="Arial" w:cs="Arial" w:eastAsia="Arial" w:hAnsi="Arial"/>
          <w:sz w:val="17"/>
          <w:szCs w:val="17"/>
          <w:i w:val="1"/>
          <w:iCs w:val="1"/>
          <w:color w:val="auto"/>
        </w:rPr>
        <w:t>www.envisionreports.com/noc</w:t>
      </w:r>
      <w:r>
        <w:rPr>
          <w:rFonts w:ascii="Arial" w:cs="Arial" w:eastAsia="Arial" w:hAnsi="Arial"/>
          <w:sz w:val="17"/>
          <w:szCs w:val="17"/>
          <w:color w:val="auto"/>
        </w:rPr>
        <w:t xml:space="preserve"> and following the instructions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-268605</wp:posOffset>
            </wp:positionV>
            <wp:extent cx="411480" cy="4286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11480" cy="428625"/>
                    </a:xfrm>
                    <a:prstGeom prst="rect">
                      <a:avLst/>
                    </a:prstGeom>
                    <a:noFill/>
                  </pic:spPr>
                </pic:pic>
              </a:graphicData>
            </a:graphic>
          </wp:anchor>
        </w:drawing>
      </w:r>
    </w:p>
    <w:p>
      <w:pPr>
        <w:sectPr>
          <w:pgSz w:w="11900" w:h="16838" w:orient="portrait"/>
          <w:cols w:equalWidth="0" w:num="1">
            <w:col w:w="11220"/>
          </w:cols>
          <w:pgMar w:left="320" w:top="701" w:right="3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1960"/>
        <w:spacing w:after="0"/>
        <w:rPr>
          <w:sz w:val="20"/>
          <w:szCs w:val="20"/>
          <w:color w:val="auto"/>
        </w:rPr>
      </w:pPr>
      <w:r>
        <w:rPr>
          <w:rFonts w:ascii="Arial" w:cs="Arial" w:eastAsia="Arial" w:hAnsi="Arial"/>
          <w:sz w:val="17"/>
          <w:szCs w:val="17"/>
          <w:b w:val="1"/>
          <w:bCs w:val="1"/>
          <w:i w:val="1"/>
          <w:i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-109220</wp:posOffset>
            </wp:positionV>
            <wp:extent cx="360045" cy="4286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60045"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Registered shareholders and plan participants may grant a proxy by calling 800-652-VOTE (800-652-8683) (toll-free) with a touch-tone telephone and following the recorded instructions.</w:t>
      </w:r>
    </w:p>
    <w:p>
      <w:pPr>
        <w:spacing w:after="0" w:line="200" w:lineRule="exact"/>
        <w:rPr>
          <w:sz w:val="20"/>
          <w:szCs w:val="20"/>
          <w:color w:val="auto"/>
        </w:rPr>
      </w:pPr>
    </w:p>
    <w:p>
      <w:pPr>
        <w:sectPr>
          <w:pgSz w:w="11900" w:h="16838" w:orient="portrait"/>
          <w:cols w:equalWidth="0" w:num="2">
            <w:col w:w="3140" w:space="280"/>
            <w:col w:w="7800"/>
          </w:cols>
          <w:pgMar w:left="320" w:top="701" w:right="359" w:bottom="1440" w:gutter="0" w:footer="0" w:header="0"/>
          <w:type w:val="continuous"/>
        </w:sectPr>
      </w:pPr>
    </w:p>
    <w:p>
      <w:pPr>
        <w:spacing w:after="0" w:line="366" w:lineRule="exact"/>
        <w:rPr>
          <w:sz w:val="20"/>
          <w:szCs w:val="20"/>
          <w:color w:val="auto"/>
        </w:rPr>
      </w:pPr>
    </w:p>
    <w:p>
      <w:pPr>
        <w:ind w:left="1960"/>
        <w:spacing w:after="0"/>
        <w:rPr>
          <w:sz w:val="20"/>
          <w:szCs w:val="20"/>
          <w:color w:val="auto"/>
        </w:rPr>
      </w:pPr>
      <w:r>
        <w:rPr>
          <w:rFonts w:ascii="Arial" w:cs="Arial" w:eastAsia="Arial" w:hAnsi="Arial"/>
          <w:sz w:val="18"/>
          <w:szCs w:val="18"/>
          <w:b w:val="1"/>
          <w:bCs w:val="1"/>
          <w:i w:val="1"/>
          <w:iCs w:val="1"/>
          <w:color w:val="auto"/>
        </w:rPr>
        <w:t>By 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-116205</wp:posOffset>
            </wp:positionV>
            <wp:extent cx="402590" cy="3943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Registered shareholders and plan participants may vote by scanning the QR code on their proxy card or notice with their mobile device.</w:t>
      </w:r>
    </w:p>
    <w:p>
      <w:pPr>
        <w:spacing w:after="0" w:line="200" w:lineRule="exact"/>
        <w:rPr>
          <w:sz w:val="20"/>
          <w:szCs w:val="20"/>
          <w:color w:val="auto"/>
        </w:rPr>
      </w:pPr>
    </w:p>
    <w:p>
      <w:pPr>
        <w:sectPr>
          <w:pgSz w:w="11900" w:h="16838" w:orient="portrait"/>
          <w:cols w:equalWidth="0" w:num="2">
            <w:col w:w="3020" w:space="400"/>
            <w:col w:w="7800"/>
          </w:cols>
          <w:pgMar w:left="320" w:top="701" w:right="359" w:bottom="1440" w:gutter="0" w:footer="0" w:header="0"/>
          <w:type w:val="continuous"/>
        </w:sectPr>
      </w:pPr>
    </w:p>
    <w:p>
      <w:pPr>
        <w:spacing w:after="0" w:line="312" w:lineRule="exact"/>
        <w:rPr>
          <w:sz w:val="20"/>
          <w:szCs w:val="20"/>
          <w:color w:val="auto"/>
        </w:rPr>
      </w:pPr>
    </w:p>
    <w:p>
      <w:pPr>
        <w:ind w:left="1960"/>
        <w:spacing w:after="0"/>
        <w:rPr>
          <w:sz w:val="20"/>
          <w:szCs w:val="20"/>
          <w:color w:val="auto"/>
        </w:rPr>
      </w:pPr>
      <w:r>
        <w:rPr>
          <w:rFonts w:ascii="Arial" w:cs="Arial" w:eastAsia="Arial" w:hAnsi="Arial"/>
          <w:sz w:val="18"/>
          <w:szCs w:val="18"/>
          <w:b w:val="1"/>
          <w:bCs w:val="1"/>
          <w:i w:val="1"/>
          <w:i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-116205</wp:posOffset>
            </wp:positionV>
            <wp:extent cx="377190" cy="4286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7719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 xml:space="preserve">Registered shareholders and plan participants must request a paper copy of the proxy materials to receive a proxy card and may vote by marking the voting instructions on the proxy card and following the instructions given for mailing. A paper copy of the proxy materials may be obtained by logging on to </w:t>
      </w:r>
      <w:r>
        <w:rPr>
          <w:rFonts w:ascii="Arial" w:cs="Arial" w:eastAsia="Arial" w:hAnsi="Arial"/>
          <w:sz w:val="18"/>
          <w:szCs w:val="18"/>
          <w:i w:val="1"/>
          <w:iCs w:val="1"/>
          <w:color w:val="auto"/>
        </w:rPr>
        <w:t>www.envisionreports.com/noc</w:t>
      </w:r>
      <w:r>
        <w:rPr>
          <w:rFonts w:ascii="Arial" w:cs="Arial" w:eastAsia="Arial" w:hAnsi="Arial"/>
          <w:sz w:val="18"/>
          <w:szCs w:val="18"/>
          <w:color w:val="auto"/>
        </w:rPr>
        <w:t xml:space="preserve"> and following the instructions given.</w:t>
      </w:r>
    </w:p>
    <w:p>
      <w:pPr>
        <w:spacing w:after="0" w:line="151" w:lineRule="exact"/>
        <w:rPr>
          <w:sz w:val="20"/>
          <w:szCs w:val="20"/>
          <w:color w:val="auto"/>
        </w:rPr>
      </w:pPr>
    </w:p>
    <w:p>
      <w:pPr>
        <w:sectPr>
          <w:pgSz w:w="11900" w:h="16838" w:orient="portrait"/>
          <w:cols w:equalWidth="0" w:num="2">
            <w:col w:w="2700" w:space="720"/>
            <w:col w:w="7800"/>
          </w:cols>
          <w:pgMar w:left="320" w:top="701" w:right="359" w:bottom="1440" w:gutter="0" w:footer="0" w:header="0"/>
          <w:type w:val="continuous"/>
        </w:sectPr>
      </w:pPr>
    </w:p>
    <w:p>
      <w:pPr>
        <w:ind w:right="120"/>
        <w:spacing w:after="0" w:line="253" w:lineRule="auto"/>
        <w:rPr>
          <w:sz w:val="20"/>
          <w:szCs w:val="20"/>
          <w:color w:val="auto"/>
        </w:rPr>
      </w:pPr>
      <w:r>
        <w:rPr>
          <w:rFonts w:ascii="Arial" w:cs="Arial" w:eastAsia="Arial" w:hAnsi="Arial"/>
          <w:sz w:val="18"/>
          <w:szCs w:val="18"/>
          <w:color w:val="auto"/>
        </w:rPr>
        <w:t>If any other matters are properly brought before the Annual Meeting, the proxy card gives discretionary authority to the proxyholders named on the card to vote the shares in their best judgment. A shareholder who executes a proxy may revoke it at any time before its exercise by delivering a written notice of revocation to the Corporate Secretary or by delivering a valid, later-dated proxy, or a later-dated vote by telephone or on the internet, in a timely manner. In addition, a shareholder attending the Annual Meeting in person may revoke the proxy by giving notice of revocation to the inspector of election at the meeting or by voting by ballot at the meeting.</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my shares if they are held by a bank, broker or other agent?</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Persons who own stock beneficially through a bank, broker or other agent may not vote directly and will need to instruct the record owner to vote their shares using the procedure identified by the bank, broker or other agent. Beneficial owners who hold our common stock in "street name" through a broker receive voting instruction forms from their broker. Most beneficial owners will be able to provide voting instructions by telephone or on the internet by following the instructions on the form they receive from their broker. Beneficial owners may view this Proxy Statement and the Annual Report on the internet by logging on to </w:t>
      </w:r>
      <w:r>
        <w:rPr>
          <w:rFonts w:ascii="Arial" w:cs="Arial" w:eastAsia="Arial" w:hAnsi="Arial"/>
          <w:sz w:val="18"/>
          <w:szCs w:val="18"/>
          <w:i w:val="1"/>
          <w:iCs w:val="1"/>
          <w:color w:val="auto"/>
        </w:rPr>
        <w:t>www.edocumentview.com/noc</w:t>
      </w:r>
      <w:r>
        <w:rPr>
          <w:rFonts w:ascii="Arial" w:cs="Arial" w:eastAsia="Arial" w:hAnsi="Arial"/>
          <w:sz w:val="18"/>
          <w:szCs w:val="18"/>
          <w:color w:val="auto"/>
        </w:rPr>
        <w:t>. A person who beneficially owns shares of our common stock through a bank, broker or other agent can vote his or her shares in person at the Annual Meeting only if he or she obtains from the bank, broker or other nominee a proxy, often referred to as a "legal proxy," to vote those shares, and presents the proxy to the inspector of election at the meeting together with his or her ballot.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20"/>
          </w:cols>
          <w:pgMar w:left="320" w:top="701" w:right="359" w:bottom="1440" w:gutter="0" w:footer="0" w:header="0"/>
          <w:type w:val="continuous"/>
        </w:sectPr>
      </w:pPr>
    </w:p>
    <w:bookmarkStart w:id="83" w:name="page84"/>
    <w:bookmarkEnd w:id="83"/>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172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Beneficial owners who hold shares in "street name" may revoke a proxy or change a vote by submitting a new, later-dated voting instruction form, contacting the bank, broker or other agent or by voting in person at the Annual Meeting by obtaining a legal proxy as described above.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my shares held under a Northrop Grumman savings plan?</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shares are held on an individual's behalf under any of our savings plans, the proxy will serve to provide confidential instructions to the plan Trustee or Voting Manager who then votes the participant's shares in accordance with the individual's instructions. For those participants who do not vote their plan shares, the applicable Trustee or Voting Manager will vote their plan shares in the same proportion as shares held under the plan for which voting directions have been received, unless the Employee Retirement Income Security Act requires a different procedure.</w:t>
      </w:r>
    </w:p>
    <w:p>
      <w:pPr>
        <w:spacing w:after="0" w:line="7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Voting instructions from savings plan participants must be received by the applicable plan Trustee or Voting Manager by 11:59 p.m. Eastern Daylight Time on May 17, 2020 in order to be used by the plan Trustee or Voting Manager to determine the votes cast with respect to plan shares.</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77</w:t>
      </w:r>
    </w:p>
    <w:p>
      <w:pPr>
        <w:sectPr>
          <w:pgSz w:w="11900" w:h="16838" w:orient="portrait"/>
          <w:cols w:equalWidth="0" w:num="1">
            <w:col w:w="11240"/>
          </w:cols>
          <w:pgMar w:left="320" w:top="701" w:right="339" w:bottom="1440" w:gutter="0" w:footer="0" w:header="0"/>
        </w:sectPr>
      </w:pPr>
    </w:p>
    <w:bookmarkStart w:id="84" w:name="page85"/>
    <w:bookmarkEnd w:id="84"/>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343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634365"/>
                    </a:xfrm>
                    <a:prstGeom prst="rect">
                      <a:avLst/>
                    </a:prstGeom>
                    <a:noFill/>
                  </pic:spPr>
                </pic:pic>
              </a:graphicData>
            </a:graphic>
          </wp:anchor>
        </w:drawing>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Voting on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are not aware of any other business to be transacted at the Annual Meeting. Our Bylaws outline procedures, including minimum notice provisions, for shareholder nominations of directors and submission of other shareholder business to be transacted at the Annual Meeting. A copy of the pertinent Bylaw provisions is available on request to the Corporate Secretary, </w:t>
      </w:r>
      <w:r>
        <w:rPr>
          <w:rFonts w:ascii="Arial" w:cs="Arial" w:eastAsia="Arial" w:hAnsi="Arial"/>
          <w:sz w:val="18"/>
          <w:szCs w:val="18"/>
          <w:b w:val="1"/>
          <w:bCs w:val="1"/>
          <w:i w:val="1"/>
          <w:iCs w:val="1"/>
          <w:color w:val="auto"/>
        </w:rPr>
        <w:t>Northrop Grumman Corporation, 2980 Fairview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Park Drive, Falls Church, Virginia 22042</w:t>
      </w:r>
      <w:r>
        <w:rPr>
          <w:rFonts w:ascii="Arial" w:cs="Arial" w:eastAsia="Arial" w:hAnsi="Arial"/>
          <w:sz w:val="18"/>
          <w:szCs w:val="18"/>
          <w:color w:val="auto"/>
        </w:rPr>
        <w:t>. Our Bylaws are also available in the Investor Relations section of our website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www.northropgrumman.com</w:t>
      </w:r>
      <w:r>
        <w:rPr>
          <w:rFonts w:ascii="Arial" w:cs="Arial" w:eastAsia="Arial" w:hAnsi="Arial"/>
          <w:sz w:val="18"/>
          <w:szCs w:val="18"/>
          <w:color w:val="auto"/>
        </w:rPr>
        <w:t>. If any other business properly comes before the Annual Meeting, the shares represented by proxies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voted in accordance with the judgment of the persons authorized to vote them.</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Shareholder Proposals for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who intends to present a proposal at the 2021 Annual Meeting must deliver the proposal to the Corporate Secretary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Northrop Grumman Corporation, 2980 Fairview Park Drive, Falls Church, Virginia 22042</w:t>
      </w:r>
      <w:r>
        <w:rPr>
          <w:rFonts w:ascii="Arial" w:cs="Arial" w:eastAsia="Arial" w:hAnsi="Arial"/>
          <w:sz w:val="18"/>
          <w:szCs w:val="18"/>
          <w:color w:val="auto"/>
        </w:rPr>
        <w:t>:</w:t>
      </w:r>
    </w:p>
    <w:p>
      <w:pPr>
        <w:spacing w:after="0" w:line="117" w:lineRule="exact"/>
        <w:rPr>
          <w:sz w:val="20"/>
          <w:szCs w:val="20"/>
          <w:color w:val="auto"/>
        </w:rPr>
      </w:pPr>
    </w:p>
    <w:p>
      <w:pPr>
        <w:ind w:left="260" w:right="200" w:hanging="252"/>
        <w:spacing w:after="0" w:line="255" w:lineRule="auto"/>
        <w:tabs>
          <w:tab w:leader="none" w:pos="260" w:val="left"/>
        </w:tabs>
        <w:numPr>
          <w:ilvl w:val="0"/>
          <w:numId w:val="84"/>
        </w:numPr>
        <w:rPr>
          <w:rFonts w:ascii="Arial" w:cs="Arial" w:eastAsia="Arial" w:hAnsi="Arial"/>
          <w:sz w:val="22"/>
          <w:szCs w:val="22"/>
          <w:color w:val="00249C"/>
        </w:rPr>
      </w:pPr>
      <w:r>
        <w:rPr>
          <w:rFonts w:ascii="Arial" w:cs="Arial" w:eastAsia="Arial" w:hAnsi="Arial"/>
          <w:sz w:val="18"/>
          <w:szCs w:val="18"/>
          <w:color w:val="auto"/>
        </w:rPr>
        <w:t>not later than December 4, 2020, if the proposal is submitted for inclusion in the Company's proxy materials for that meeting pursuant to Rule 14a-8 under the Exchange Act; and</w:t>
      </w:r>
    </w:p>
    <w:p>
      <w:pPr>
        <w:spacing w:after="0" w:line="105" w:lineRule="exact"/>
        <w:rPr>
          <w:rFonts w:ascii="Arial" w:cs="Arial" w:eastAsia="Arial" w:hAnsi="Arial"/>
          <w:sz w:val="22"/>
          <w:szCs w:val="22"/>
          <w:color w:val="00249C"/>
        </w:rPr>
      </w:pPr>
    </w:p>
    <w:p>
      <w:pPr>
        <w:ind w:left="260" w:right="160" w:hanging="252"/>
        <w:spacing w:after="0" w:line="280" w:lineRule="auto"/>
        <w:tabs>
          <w:tab w:leader="none" w:pos="260" w:val="left"/>
        </w:tabs>
        <w:numPr>
          <w:ilvl w:val="0"/>
          <w:numId w:val="84"/>
        </w:numPr>
        <w:rPr>
          <w:rFonts w:ascii="Arial" w:cs="Arial" w:eastAsia="Arial" w:hAnsi="Arial"/>
          <w:sz w:val="22"/>
          <w:szCs w:val="22"/>
          <w:color w:val="00249C"/>
        </w:rPr>
      </w:pPr>
      <w:r>
        <w:rPr>
          <w:rFonts w:ascii="Arial" w:cs="Arial" w:eastAsia="Arial" w:hAnsi="Arial"/>
          <w:sz w:val="18"/>
          <w:szCs w:val="18"/>
          <w:color w:val="auto"/>
        </w:rPr>
        <w:t>not earlier than December 4, 2020 and not later than January 3, 2021, if the proposal is submitted pursuant to the Bylaws, but not pursuant to Rule 14a-8, in which case we are not required to include the proposal in our proxy materials. If the 2021 Annual Meeting is convened more than 30 days prior to or delayed by more than 30 days after the one-year anniversary of the Annual Meeting, our Bylaws provide different notice requirements.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who wishes to introduce a proposal should review our Bylaws and applicable proxy rules of the SEC.</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Shareholder Nominations for Director Election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Any shareholder who intends to nominate a person for election as a director at the 2021 Annual Meeting must deliver a notice of such nomination (along with certain other information required by our Bylaws) to the Corporate Secretary at </w:t>
      </w:r>
      <w:r>
        <w:rPr>
          <w:rFonts w:ascii="Arial" w:cs="Arial" w:eastAsia="Arial" w:hAnsi="Arial"/>
          <w:sz w:val="18"/>
          <w:szCs w:val="18"/>
          <w:b w:val="1"/>
          <w:bCs w:val="1"/>
          <w:i w:val="1"/>
          <w:iCs w:val="1"/>
          <w:color w:val="auto"/>
        </w:rPr>
        <w:t>Northrop Grumman Corporation,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2980 Fairview Park Drive, Falls Church, Virginia 22042</w:t>
      </w:r>
      <w:r>
        <w:rPr>
          <w:rFonts w:ascii="Arial" w:cs="Arial" w:eastAsia="Arial" w:hAnsi="Arial"/>
          <w:sz w:val="18"/>
          <w:szCs w:val="18"/>
          <w:b w:val="1"/>
          <w:bCs w:val="1"/>
          <w:color w:val="auto"/>
        </w:rPr>
        <w:t>:</w:t>
      </w:r>
    </w:p>
    <w:p>
      <w:pPr>
        <w:spacing w:after="0" w:line="94" w:lineRule="exact"/>
        <w:rPr>
          <w:sz w:val="20"/>
          <w:szCs w:val="20"/>
          <w:color w:val="auto"/>
        </w:rPr>
      </w:pPr>
    </w:p>
    <w:p>
      <w:pPr>
        <w:jc w:val="both"/>
        <w:ind w:left="260" w:right="400" w:hanging="252"/>
        <w:spacing w:after="0" w:line="272" w:lineRule="auto"/>
        <w:tabs>
          <w:tab w:leader="none" w:pos="260" w:val="left"/>
        </w:tabs>
        <w:numPr>
          <w:ilvl w:val="0"/>
          <w:numId w:val="85"/>
        </w:numPr>
        <w:rPr>
          <w:rFonts w:ascii="Arial" w:cs="Arial" w:eastAsia="Arial" w:hAnsi="Arial"/>
          <w:sz w:val="22"/>
          <w:szCs w:val="22"/>
          <w:color w:val="00249C"/>
        </w:rPr>
      </w:pPr>
      <w:r>
        <w:rPr>
          <w:rFonts w:ascii="Arial" w:cs="Arial" w:eastAsia="Arial" w:hAnsi="Arial"/>
          <w:sz w:val="18"/>
          <w:szCs w:val="18"/>
          <w:color w:val="auto"/>
        </w:rPr>
        <w:t>not earlier than November 4, 2020 and not later than December 4, 2020, if the nomination is submitted for inclusion in the Company's proxy materials for that meeting pursuant to the Company's proxy access provision, as set forth in our Bylaws, which nomination and supporting materials must comply with the requirements in our Bylaws; and</w:t>
      </w:r>
    </w:p>
    <w:p>
      <w:pPr>
        <w:spacing w:after="0" w:line="94" w:lineRule="exact"/>
        <w:rPr>
          <w:rFonts w:ascii="Arial" w:cs="Arial" w:eastAsia="Arial" w:hAnsi="Arial"/>
          <w:sz w:val="22"/>
          <w:szCs w:val="22"/>
          <w:color w:val="00249C"/>
        </w:rPr>
      </w:pPr>
    </w:p>
    <w:p>
      <w:pPr>
        <w:ind w:left="260" w:right="340" w:hanging="252"/>
        <w:spacing w:after="0" w:line="280" w:lineRule="auto"/>
        <w:tabs>
          <w:tab w:leader="none" w:pos="260" w:val="left"/>
        </w:tabs>
        <w:numPr>
          <w:ilvl w:val="0"/>
          <w:numId w:val="85"/>
        </w:numPr>
        <w:rPr>
          <w:rFonts w:ascii="Arial" w:cs="Arial" w:eastAsia="Arial" w:hAnsi="Arial"/>
          <w:sz w:val="22"/>
          <w:szCs w:val="22"/>
          <w:color w:val="00249C"/>
        </w:rPr>
      </w:pPr>
      <w:r>
        <w:rPr>
          <w:rFonts w:ascii="Arial" w:cs="Arial" w:eastAsia="Arial" w:hAnsi="Arial"/>
          <w:sz w:val="18"/>
          <w:szCs w:val="18"/>
          <w:color w:val="auto"/>
        </w:rPr>
        <w:t>not earlier than December 4, 2020 and not later than January 3, 2021, if the nomination is submitted pursuant to the Bylaws, but not pursuant to our proxy access provision, in which case we are not required to include the nomination in our proxy materials. If the 2021 Annual Meeting is convened more than 30 days prior to or delayed by more than 30 days after the one-year anniversary of the Annual Meeting, our Bylaws provide different notice requirements.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who wishes to nominate a person for election as a director should review our Bylaws.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Householding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Some banks, brokers and other nominee record holders may be participating in the practice of "householding." This means that only one copy of the Notice of Internet Availability of Proxy Materials may have been sent to multiple shareholders in a household. We will promptly deliver a separate copy to a shareholder upon written or oral request to the Corporate Secretary at the following address and phone number: </w:t>
      </w:r>
      <w:r>
        <w:rPr>
          <w:rFonts w:ascii="Arial" w:cs="Arial" w:eastAsia="Arial" w:hAnsi="Arial"/>
          <w:sz w:val="18"/>
          <w:szCs w:val="18"/>
          <w:b w:val="1"/>
          <w:bCs w:val="1"/>
          <w:i w:val="1"/>
          <w:iCs w:val="1"/>
          <w:color w:val="auto"/>
        </w:rPr>
        <w:t>Northrop Grumman Corporation, 2980 Fairview Park Drive, Falls Church, Virginia 22042, (703) 280-2900</w:t>
      </w:r>
      <w:r>
        <w:rPr>
          <w:rFonts w:ascii="Arial" w:cs="Arial" w:eastAsia="Arial" w:hAnsi="Arial"/>
          <w:sz w:val="18"/>
          <w:szCs w:val="18"/>
          <w:color w:val="auto"/>
        </w:rPr>
        <w:t>. To receive separate copies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notice in the future, or if a shareholder is receiving multiple copies and would like to receive only one copy for the household, the shareholder should contact his or her bank, broker or other nominee record holder, or may contact the Corporate Secretary at the above address or phone number.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701" w:right="339" w:bottom="1440" w:gutter="0" w:footer="0" w:header="0"/>
        </w:sectPr>
      </w:pPr>
    </w:p>
    <w:bookmarkStart w:id="85" w:name="page86"/>
    <w:bookmarkEnd w:id="85"/>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343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634365"/>
                    </a:xfrm>
                    <a:prstGeom prst="rect">
                      <a:avLst/>
                    </a:prstGeom>
                    <a:noFill/>
                  </pic:spPr>
                </pic:pic>
              </a:graphicData>
            </a:graphic>
          </wp:anchor>
        </w:drawing>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Cost of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will pay all costs of soliciting proxies. We have made arrangements with brokerage houses and other custodians, nominees and fiduciaries to make proxy materials available to beneficial owners. We will, upon request, reimburse them for reasonable expenses incurred. We have retained D.F. King &amp; Co., Inc. of New York at an estimated fee of $20,000, plus reasonable disbursements to solicit proxies on our behalf. Our officers, directors and regular employees may solicit proxies personally, by means of materials prepared for shareholders and employee-shareholders or by telephone or other methods to the extent deemed appropriate by the Board.</w:t>
      </w:r>
    </w:p>
    <w:p>
      <w:pPr>
        <w:spacing w:after="0" w:line="7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No additional compensation will be paid to such individuals for this activity. The extent to which this solicitation will be necessary will depend upon how promptly proxies are received. We therefore urge shareholders to give voting instructions without delay.</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1760"/>
        <w:spacing w:after="0" w:line="261" w:lineRule="auto"/>
        <w:rPr>
          <w:sz w:val="20"/>
          <w:szCs w:val="20"/>
          <w:color w:val="auto"/>
        </w:rPr>
      </w:pPr>
      <w:r>
        <w:rPr>
          <w:rFonts w:ascii="Arial" w:cs="Arial" w:eastAsia="Arial" w:hAnsi="Arial"/>
          <w:sz w:val="18"/>
          <w:szCs w:val="18"/>
          <w:color w:val="auto"/>
        </w:rPr>
        <w:t>You may obtain a copy of the following corporate governance materials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 under Corporate Governance:</w:t>
      </w:r>
    </w:p>
    <w:p>
      <w:pPr>
        <w:spacing w:after="0" w:line="54"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22"/>
          <w:szCs w:val="22"/>
          <w:color w:val="00249C"/>
        </w:rPr>
      </w:pPr>
      <w:r>
        <w:rPr>
          <w:rFonts w:ascii="Arial" w:cs="Arial" w:eastAsia="Arial" w:hAnsi="Arial"/>
          <w:sz w:val="18"/>
          <w:szCs w:val="18"/>
          <w:color w:val="auto"/>
        </w:rPr>
        <w:t>Bylaws;</w:t>
      </w:r>
    </w:p>
    <w:p>
      <w:pPr>
        <w:spacing w:after="0" w:line="84" w:lineRule="exact"/>
        <w:rPr>
          <w:rFonts w:ascii="Arial" w:cs="Arial" w:eastAsia="Arial" w:hAnsi="Arial"/>
          <w:sz w:val="22"/>
          <w:szCs w:val="22"/>
          <w:color w:val="00249C"/>
        </w:rPr>
      </w:pPr>
    </w:p>
    <w:p>
      <w:pPr>
        <w:ind w:left="260" w:hanging="252"/>
        <w:spacing w:after="0"/>
        <w:tabs>
          <w:tab w:leader="none" w:pos="260" w:val="left"/>
        </w:tabs>
        <w:numPr>
          <w:ilvl w:val="0"/>
          <w:numId w:val="86"/>
        </w:numPr>
        <w:rPr>
          <w:rFonts w:ascii="Arial" w:cs="Arial" w:eastAsia="Arial" w:hAnsi="Arial"/>
          <w:sz w:val="22"/>
          <w:szCs w:val="22"/>
          <w:color w:val="00249C"/>
        </w:rPr>
      </w:pPr>
      <w:r>
        <w:rPr>
          <w:rFonts w:ascii="Arial" w:cs="Arial" w:eastAsia="Arial" w:hAnsi="Arial"/>
          <w:sz w:val="18"/>
          <w:szCs w:val="18"/>
          <w:color w:val="auto"/>
        </w:rPr>
        <w:t>Principles of Corporate Governance;</w:t>
      </w:r>
    </w:p>
    <w:p>
      <w:pPr>
        <w:spacing w:after="0" w:line="84" w:lineRule="exact"/>
        <w:rPr>
          <w:rFonts w:ascii="Arial" w:cs="Arial" w:eastAsia="Arial" w:hAnsi="Arial"/>
          <w:sz w:val="22"/>
          <w:szCs w:val="22"/>
          <w:color w:val="00249C"/>
        </w:rPr>
      </w:pPr>
    </w:p>
    <w:p>
      <w:pPr>
        <w:ind w:left="260" w:hanging="252"/>
        <w:spacing w:after="0"/>
        <w:tabs>
          <w:tab w:leader="none" w:pos="260" w:val="left"/>
        </w:tabs>
        <w:numPr>
          <w:ilvl w:val="0"/>
          <w:numId w:val="86"/>
        </w:numPr>
        <w:rPr>
          <w:rFonts w:ascii="Arial" w:cs="Arial" w:eastAsia="Arial" w:hAnsi="Arial"/>
          <w:sz w:val="22"/>
          <w:szCs w:val="22"/>
          <w:color w:val="00249C"/>
        </w:rPr>
      </w:pPr>
      <w:r>
        <w:rPr>
          <w:rFonts w:ascii="Arial" w:cs="Arial" w:eastAsia="Arial" w:hAnsi="Arial"/>
          <w:sz w:val="18"/>
          <w:szCs w:val="18"/>
          <w:color w:val="auto"/>
        </w:rPr>
        <w:t>Standards of Business Conduct;</w:t>
      </w:r>
    </w:p>
    <w:p>
      <w:pPr>
        <w:spacing w:after="0" w:line="84" w:lineRule="exact"/>
        <w:rPr>
          <w:rFonts w:ascii="Arial" w:cs="Arial" w:eastAsia="Arial" w:hAnsi="Arial"/>
          <w:sz w:val="22"/>
          <w:szCs w:val="22"/>
          <w:color w:val="00249C"/>
        </w:rPr>
      </w:pPr>
    </w:p>
    <w:p>
      <w:pPr>
        <w:ind w:left="260" w:hanging="252"/>
        <w:spacing w:after="0"/>
        <w:tabs>
          <w:tab w:leader="none" w:pos="260" w:val="left"/>
        </w:tabs>
        <w:numPr>
          <w:ilvl w:val="0"/>
          <w:numId w:val="86"/>
        </w:numPr>
        <w:rPr>
          <w:rFonts w:ascii="Arial" w:cs="Arial" w:eastAsia="Arial" w:hAnsi="Arial"/>
          <w:sz w:val="22"/>
          <w:szCs w:val="22"/>
          <w:color w:val="00249C"/>
        </w:rPr>
      </w:pPr>
      <w:r>
        <w:rPr>
          <w:rFonts w:ascii="Arial" w:cs="Arial" w:eastAsia="Arial" w:hAnsi="Arial"/>
          <w:sz w:val="18"/>
          <w:szCs w:val="18"/>
          <w:color w:val="auto"/>
        </w:rPr>
        <w:t>Policy and Procedure Regarding Company Transactions with Related Persons; and</w:t>
      </w:r>
    </w:p>
    <w:p>
      <w:pPr>
        <w:spacing w:after="0" w:line="84" w:lineRule="exact"/>
        <w:rPr>
          <w:rFonts w:ascii="Arial" w:cs="Arial" w:eastAsia="Arial" w:hAnsi="Arial"/>
          <w:sz w:val="22"/>
          <w:szCs w:val="22"/>
          <w:color w:val="00249C"/>
        </w:rPr>
      </w:pPr>
    </w:p>
    <w:p>
      <w:pPr>
        <w:ind w:left="260" w:hanging="252"/>
        <w:spacing w:after="0"/>
        <w:tabs>
          <w:tab w:leader="none" w:pos="260" w:val="left"/>
        </w:tabs>
        <w:numPr>
          <w:ilvl w:val="0"/>
          <w:numId w:val="86"/>
        </w:numPr>
        <w:rPr>
          <w:rFonts w:ascii="Arial" w:cs="Arial" w:eastAsia="Arial" w:hAnsi="Arial"/>
          <w:sz w:val="22"/>
          <w:szCs w:val="22"/>
          <w:color w:val="00249C"/>
        </w:rPr>
      </w:pPr>
      <w:r>
        <w:rPr>
          <w:rFonts w:ascii="Arial" w:cs="Arial" w:eastAsia="Arial" w:hAnsi="Arial"/>
          <w:sz w:val="18"/>
          <w:szCs w:val="18"/>
          <w:color w:val="auto"/>
        </w:rPr>
        <w:t>Board Committee Charters.</w:t>
      </w:r>
    </w:p>
    <w:p>
      <w:pPr>
        <w:spacing w:after="0" w:line="7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Copies of these documents are also available without charge to any shareholder upon written request to the Corporate Secretary, </w:t>
      </w:r>
      <w:r>
        <w:rPr>
          <w:rFonts w:ascii="Arial" w:cs="Arial" w:eastAsia="Arial" w:hAnsi="Arial"/>
          <w:sz w:val="18"/>
          <w:szCs w:val="18"/>
          <w:b w:val="1"/>
          <w:bCs w:val="1"/>
          <w:i w:val="1"/>
          <w:iCs w:val="1"/>
          <w:color w:val="auto"/>
        </w:rPr>
        <w:t>Northrop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Grumman Corporation, 2980 Fairview Park Drive, Falls Church, Virginia 22042</w:t>
      </w:r>
      <w:r>
        <w:rPr>
          <w:rFonts w:ascii="Arial" w:cs="Arial" w:eastAsia="Arial" w:hAnsi="Arial"/>
          <w:sz w:val="18"/>
          <w:szCs w:val="18"/>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We disclose amendments to provisions of our Standards of Business Conduct by posting amendments on our website.</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section entitled "Compensation Committee Report" and those portions of the information included under the section entitled "Audit Committee Report" required by the SEC's rules to be included therein, shall not be deemed to be "soliciting material" nor shall the information included under the section entitled "Compensation of Directors - Stock Ownership Requirements and Anti-Hedging and Pledging Policy," the information included under the section entitled "Compensation Committee Report," or those portions of the information included under the section entitled "Audit Committee Report" required by the SEC's rules to be included therein, be "filed" with the SEC or be deemed incorporated by reference into any of those prior filings or into any future filings made by the Company under those statutes, except to the extent we specifically incorporate these items by reference.</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April 3, 2020</w:t>
      </w:r>
    </w:p>
    <w:p>
      <w:pPr>
        <w:spacing w:after="0" w:line="9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NOTICE: THE COMPANY FILED AN ANNUAL REPORT ON FORM 10-K FOR THE YEAR ENDED DECEMBER 31, 2019 ON JANUARY 30, 2020. SHAREHOLDERS OF RECORD ON MARCH 24, 2020 MAY OBTAIN A COPY OF THIS REPORT WITHOUT CHARGE UPON WRITTEN REQUEST TO THE CORPORATE SECRETARY, NORTHROP GRUMMAN CORPORATION, 2980 FAIRVIEW PARK DRIVE, FALLS CHURCH, VIRGINIA 22042.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147320</wp:posOffset>
            </wp:positionV>
            <wp:extent cx="1534160" cy="4972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341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Jennifer C. McGarey</w:t>
      </w:r>
    </w:p>
    <w:p>
      <w:pPr>
        <w:spacing w:after="0" w:line="32" w:lineRule="exact"/>
        <w:rPr>
          <w:sz w:val="20"/>
          <w:szCs w:val="20"/>
          <w:color w:val="auto"/>
        </w:rPr>
      </w:pPr>
    </w:p>
    <w:p>
      <w:pPr>
        <w:ind w:left="8800"/>
        <w:spacing w:after="0"/>
        <w:rPr>
          <w:sz w:val="20"/>
          <w:szCs w:val="20"/>
          <w:color w:val="auto"/>
        </w:rPr>
      </w:pPr>
      <w:r>
        <w:rPr>
          <w:rFonts w:ascii="Arial" w:cs="Arial" w:eastAsia="Arial" w:hAnsi="Arial"/>
          <w:sz w:val="18"/>
          <w:szCs w:val="18"/>
          <w:i w:val="1"/>
          <w:iCs w:val="1"/>
          <w:color w:val="auto"/>
        </w:rPr>
        <w:t>Corporate Vice President and</w:t>
      </w:r>
    </w:p>
    <w:p>
      <w:pPr>
        <w:spacing w:after="0" w:line="14" w:lineRule="exact"/>
        <w:rPr>
          <w:sz w:val="20"/>
          <w:szCs w:val="20"/>
          <w:color w:val="auto"/>
        </w:rPr>
      </w:pPr>
    </w:p>
    <w:p>
      <w:pPr>
        <w:ind w:left="8800"/>
        <w:spacing w:after="0"/>
        <w:rPr>
          <w:sz w:val="20"/>
          <w:szCs w:val="20"/>
          <w:color w:val="auto"/>
        </w:rPr>
      </w:pPr>
      <w:r>
        <w:rPr>
          <w:rFonts w:ascii="Arial" w:cs="Arial" w:eastAsia="Arial" w:hAnsi="Arial"/>
          <w:sz w:val="18"/>
          <w:szCs w:val="18"/>
          <w:i w:val="1"/>
          <w:iCs w:val="1"/>
          <w:color w:val="auto"/>
        </w:rPr>
        <w:t>Secretary</w:t>
      </w:r>
    </w:p>
    <w:p>
      <w:pPr>
        <w:sectPr>
          <w:pgSz w:w="11900" w:h="16838" w:orient="portrait"/>
          <w:cols w:equalWidth="0" w:num="1">
            <w:col w:w="11240"/>
          </w:cols>
          <w:pgMar w:left="320" w:top="70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79</w:t>
      </w:r>
    </w:p>
    <w:p>
      <w:pPr>
        <w:sectPr>
          <w:pgSz w:w="11900" w:h="16838" w:orient="portrait"/>
          <w:cols w:equalWidth="0" w:num="1">
            <w:col w:w="11240"/>
          </w:cols>
          <w:pgMar w:left="320" w:top="701" w:right="339" w:bottom="1440" w:gutter="0" w:footer="0" w:header="0"/>
          <w:type w:val="continuous"/>
        </w:sectPr>
      </w:pPr>
    </w:p>
    <w:bookmarkStart w:id="86" w:name="page87"/>
    <w:bookmarkEnd w:id="86"/>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3257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APPENDIX A - USE OF NON-GAAP FINANCIAL MEASURES</w:t>
      </w:r>
    </w:p>
    <w:p>
      <w:pPr>
        <w:spacing w:after="0" w:line="3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contains non-GAAP (accounting principles generally accepted in the United States of America) financial measures, as defined by SEC Regulation G and indicated by an asterisk in this Proxy Statement.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and reconciliations for the non-GAAP financial measures contained in this Proxy Statement are provided below. Other companies may define these measures differently or may utilize different non-GAAP financial measures.</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of the non-GAAP financial measures below are used as internal measures for performance-based compensation decisions, as further discussed in the “Key Components of our Programs” section of Compensation Discussion and Analysis. The Compensation Committee has discretion to make adjustments to these measures in instances where the Company’s performance has been impacted by unforeseen or unusual events. For 2019 and 2018, the Compensation Committee adjusted the calculation of certain of these measures in order to exclude the impact of certain events or transactions that were not contemplated when the performance metrics were established.</w:t>
      </w:r>
    </w:p>
    <w:p>
      <w:pPr>
        <w:spacing w:after="0" w:line="4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u w:val="single" w:color="auto"/>
          <w:color w:val="auto"/>
        </w:rPr>
        <w:t>Cash flow metrics</w:t>
      </w:r>
      <w:r>
        <w:rPr>
          <w:rFonts w:ascii="Arial" w:cs="Arial" w:eastAsia="Arial" w:hAnsi="Arial"/>
          <w:sz w:val="17"/>
          <w:szCs w:val="17"/>
          <w:color w:val="auto"/>
        </w:rPr>
        <w:t>: We use cash flow metrics as internal measures of financial performance and for performance-based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decisions. We also use these measures as a key factor in our planning for, and consideration of, acquisitions, payments of dividends and share repurchases. The following cash flow metrics may be useful to investors and other users of our financial statements as a supplemental measure of our cash performance, but should not be considered in isolation, as a measure of residual cash flow available for discretionary purposes, or as an alternative to operating results presented in accordance with GAAP. All cash flow metrics are reconciled below.</w:t>
      </w:r>
    </w:p>
    <w:p>
      <w:pPr>
        <w:spacing w:after="0" w:line="29" w:lineRule="exact"/>
        <w:rPr>
          <w:sz w:val="20"/>
          <w:szCs w:val="20"/>
          <w:color w:val="auto"/>
        </w:rPr>
      </w:pPr>
    </w:p>
    <w:p>
      <w:pPr>
        <w:ind w:left="660" w:right="540"/>
        <w:spacing w:after="0" w:line="287" w:lineRule="auto"/>
        <w:rPr>
          <w:sz w:val="20"/>
          <w:szCs w:val="20"/>
          <w:color w:val="auto"/>
        </w:rPr>
      </w:pPr>
      <w:r>
        <w:rPr>
          <w:rFonts w:ascii="Arial" w:cs="Arial" w:eastAsia="Arial" w:hAnsi="Arial"/>
          <w:sz w:val="18"/>
          <w:szCs w:val="18"/>
          <w:b w:val="1"/>
          <w:bCs w:val="1"/>
          <w:u w:val="single" w:color="auto"/>
          <w:color w:val="auto"/>
        </w:rPr>
        <w:t>Cash provided by operating activities before after-tax discretionary pension contributions</w:t>
      </w:r>
      <w:r>
        <w:rPr>
          <w:rFonts w:ascii="Arial" w:cs="Arial" w:eastAsia="Arial" w:hAnsi="Arial"/>
          <w:sz w:val="18"/>
          <w:szCs w:val="18"/>
          <w:color w:val="auto"/>
        </w:rPr>
        <w:t>: Defined as cash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activities before the after-tax impact of discretionary pension contributions.</w:t>
      </w:r>
    </w:p>
    <w:p>
      <w:pPr>
        <w:spacing w:after="0" w:line="18" w:lineRule="exact"/>
        <w:rPr>
          <w:sz w:val="20"/>
          <w:szCs w:val="20"/>
          <w:color w:val="auto"/>
        </w:rPr>
      </w:pPr>
    </w:p>
    <w:p>
      <w:pPr>
        <w:ind w:left="660" w:right="140"/>
        <w:spacing w:after="0" w:line="262" w:lineRule="auto"/>
        <w:rPr>
          <w:sz w:val="20"/>
          <w:szCs w:val="20"/>
          <w:color w:val="auto"/>
        </w:rPr>
      </w:pPr>
      <w:r>
        <w:rPr>
          <w:rFonts w:ascii="Arial" w:cs="Arial" w:eastAsia="Arial" w:hAnsi="Arial"/>
          <w:sz w:val="18"/>
          <w:szCs w:val="18"/>
          <w:b w:val="1"/>
          <w:bCs w:val="1"/>
          <w:u w:val="single" w:color="auto"/>
          <w:color w:val="auto"/>
        </w:rPr>
        <w:t>Pension-adjusted Cash Flow from Operations</w:t>
      </w:r>
      <w:r>
        <w:rPr>
          <w:rFonts w:ascii="Arial" w:cs="Arial" w:eastAsia="Arial" w:hAnsi="Arial"/>
          <w:sz w:val="18"/>
          <w:szCs w:val="18"/>
          <w:color w:val="auto"/>
        </w:rPr>
        <w:t>: Defined as cash provided by operating activities before the after-tax impact of</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discretionary pension contributions. As approved by the Compensation Committee, this metric has been adjusted to exclude Orbital ATK transaction -related expenses. Orbital ATK transaction-related expenses are primarily comprised of advisory, legal and other costs related to the completion of the transaction.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Free cash flow</w:t>
      </w:r>
      <w:r>
        <w:rPr>
          <w:rFonts w:ascii="Arial" w:cs="Arial" w:eastAsia="Arial" w:hAnsi="Arial"/>
          <w:sz w:val="18"/>
          <w:szCs w:val="18"/>
          <w:color w:val="auto"/>
        </w:rPr>
        <w:t>: Defined as net cash provided by operating activities less capital expenditures.</w:t>
      </w:r>
    </w:p>
    <w:p>
      <w:pPr>
        <w:spacing w:after="0" w:line="90" w:lineRule="exact"/>
        <w:rPr>
          <w:sz w:val="20"/>
          <w:szCs w:val="20"/>
          <w:color w:val="auto"/>
        </w:rPr>
      </w:pPr>
    </w:p>
    <w:p>
      <w:pPr>
        <w:ind w:left="660" w:right="260"/>
        <w:spacing w:after="0" w:line="262" w:lineRule="auto"/>
        <w:rPr>
          <w:sz w:val="20"/>
          <w:szCs w:val="20"/>
          <w:color w:val="auto"/>
        </w:rPr>
      </w:pPr>
      <w:r>
        <w:rPr>
          <w:rFonts w:ascii="Arial" w:cs="Arial" w:eastAsia="Arial" w:hAnsi="Arial"/>
          <w:sz w:val="18"/>
          <w:szCs w:val="18"/>
          <w:b w:val="1"/>
          <w:bCs w:val="1"/>
          <w:u w:val="single" w:color="auto"/>
          <w:color w:val="auto"/>
        </w:rPr>
        <w:t>Free cash flow before after-tax total pension funding</w:t>
      </w:r>
      <w:r>
        <w:rPr>
          <w:rFonts w:ascii="Arial" w:cs="Arial" w:eastAsia="Arial" w:hAnsi="Arial"/>
          <w:sz w:val="18"/>
          <w:szCs w:val="18"/>
          <w:color w:val="auto"/>
        </w:rPr>
        <w:t>: Defined as free cash flow before the after-tax impact of total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funding. As approved by the Compensation Committee, this metric has been adjusted to exclude the impacts related to Innovation Systems and Orbital ATK transaction-related expenses. Orbital ATK transaction-related expenses are primarily comprised of advisory, legal and other costs related to the completion of the transaction.</w:t>
      </w:r>
    </w:p>
    <w:p>
      <w:pPr>
        <w:spacing w:after="0" w:line="41" w:lineRule="exact"/>
        <w:rPr>
          <w:sz w:val="20"/>
          <w:szCs w:val="20"/>
          <w:color w:val="auto"/>
        </w:rPr>
      </w:pPr>
    </w:p>
    <w:p>
      <w:pPr>
        <w:ind w:left="660" w:right="600"/>
        <w:spacing w:after="0" w:line="287" w:lineRule="auto"/>
        <w:rPr>
          <w:sz w:val="20"/>
          <w:szCs w:val="20"/>
          <w:color w:val="auto"/>
        </w:rPr>
      </w:pPr>
      <w:r>
        <w:rPr>
          <w:rFonts w:ascii="Arial" w:cs="Arial" w:eastAsia="Arial" w:hAnsi="Arial"/>
          <w:sz w:val="18"/>
          <w:szCs w:val="18"/>
          <w:b w:val="1"/>
          <w:bCs w:val="1"/>
          <w:u w:val="single" w:color="auto"/>
          <w:color w:val="auto"/>
        </w:rPr>
        <w:t>Cumulative Free Cash Flow</w:t>
      </w:r>
      <w:r>
        <w:rPr>
          <w:rFonts w:ascii="Arial" w:cs="Arial" w:eastAsia="Arial" w:hAnsi="Arial"/>
          <w:sz w:val="18"/>
          <w:szCs w:val="18"/>
          <w:color w:val="auto"/>
        </w:rPr>
        <w:t>: Defined as the aggregate free cash flow before the after-tax impact of total pension funding,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above, over a three-year period.</w:t>
      </w:r>
    </w:p>
    <w:p>
      <w:pPr>
        <w:spacing w:after="0" w:line="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u w:val="single" w:color="auto"/>
          <w:color w:val="auto"/>
        </w:rPr>
        <w:t>Pension-adjusted metrics</w:t>
      </w:r>
      <w:r>
        <w:rPr>
          <w:rFonts w:ascii="Arial" w:cs="Arial" w:eastAsia="Arial" w:hAnsi="Arial"/>
          <w:sz w:val="18"/>
          <w:szCs w:val="18"/>
          <w:color w:val="auto"/>
        </w:rPr>
        <w:t>: For financial statement purposes, we account for our employee pension plans in accordance with GAAP (FAS).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the 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 The net FAS (service)/CAS pension adjustment referred to below reflects the difference between CAS pension expense included as cost in segment operating income and the service cost component of FAS expense included in total operating income. The total net FAS/CAS pension adjustment referred to below reflects the combined net FAS (service)/CAS pension adjustment and net FAS (non-service) pension benefit. The following pension-adjusted measures may be useful to investors and other users of our financial statements in evaluating our performance based upon the pension costs charged to our contracts. All pension-adjusted metrics are reconciled below.</w:t>
      </w:r>
    </w:p>
    <w:p>
      <w:pPr>
        <w:spacing w:after="0" w:line="46"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b w:val="1"/>
          <w:bCs w:val="1"/>
          <w:u w:val="single" w:color="auto"/>
          <w:color w:val="auto"/>
        </w:rPr>
        <w:t>Pension-adjusted operating income</w:t>
      </w:r>
      <w:r>
        <w:rPr>
          <w:rFonts w:ascii="Arial" w:cs="Arial" w:eastAsia="Arial" w:hAnsi="Arial"/>
          <w:sz w:val="18"/>
          <w:szCs w:val="18"/>
          <w:color w:val="auto"/>
        </w:rPr>
        <w:t>: Operating income before the net FAS (service)/CAS pension adjustment as defined above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MTM-related deferred state tax (benefit) expense, as defined below. As approved by the Compensation Committee, this metric has been adjusted to exclude Innovation Systems intangible asset amortization and Property, Plant and Equipment (PP&amp;E) step-up depreciation and Orbital ATK transaction-related expenses. Orbital ATK transaction-related expenses are primarily comprised of advisory, legal and other costs related to the completion of the transaction.</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Pension-adjusted Operating Margin Rate</w:t>
      </w:r>
      <w:r>
        <w:rPr>
          <w:rFonts w:ascii="Arial" w:cs="Arial" w:eastAsia="Arial" w:hAnsi="Arial"/>
          <w:sz w:val="18"/>
          <w:szCs w:val="18"/>
          <w:color w:val="auto"/>
        </w:rPr>
        <w:t>: Pension-adjusted operating income as defined above, divided by sales.</w:t>
      </w:r>
    </w:p>
    <w:p>
      <w:pPr>
        <w:spacing w:after="0" w:line="90" w:lineRule="exact"/>
        <w:rPr>
          <w:sz w:val="20"/>
          <w:szCs w:val="20"/>
          <w:color w:val="auto"/>
        </w:rPr>
      </w:pPr>
    </w:p>
    <w:p>
      <w:pPr>
        <w:ind w:left="660" w:right="1160"/>
        <w:spacing w:after="0" w:line="287" w:lineRule="auto"/>
        <w:rPr>
          <w:sz w:val="20"/>
          <w:szCs w:val="20"/>
          <w:color w:val="auto"/>
        </w:rPr>
      </w:pPr>
      <w:r>
        <w:rPr>
          <w:rFonts w:ascii="Arial" w:cs="Arial" w:eastAsia="Arial" w:hAnsi="Arial"/>
          <w:sz w:val="18"/>
          <w:szCs w:val="18"/>
          <w:b w:val="1"/>
          <w:bCs w:val="1"/>
          <w:u w:val="single" w:color="auto"/>
          <w:color w:val="auto"/>
        </w:rPr>
        <w:t>After-tax net pension adjustment</w:t>
      </w:r>
      <w:r>
        <w:rPr>
          <w:rFonts w:ascii="Arial" w:cs="Arial" w:eastAsia="Arial" w:hAnsi="Arial"/>
          <w:sz w:val="18"/>
          <w:szCs w:val="18"/>
          <w:color w:val="auto"/>
        </w:rPr>
        <w:t>: The net income impact, after-tax at the statutory rate of 21 percent, of the net FAS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(service)/CAS pension adjustment and net FAS (non-service) pension benefit, as defined above.</w:t>
      </w:r>
    </w:p>
    <w:p>
      <w:pPr>
        <w:spacing w:after="0" w:line="18" w:lineRule="exact"/>
        <w:rPr>
          <w:sz w:val="20"/>
          <w:szCs w:val="20"/>
          <w:color w:val="auto"/>
        </w:rPr>
      </w:pPr>
    </w:p>
    <w:p>
      <w:pPr>
        <w:ind w:left="660" w:right="200"/>
        <w:spacing w:after="0" w:line="268" w:lineRule="auto"/>
        <w:rPr>
          <w:sz w:val="20"/>
          <w:szCs w:val="20"/>
          <w:color w:val="auto"/>
        </w:rPr>
      </w:pPr>
      <w:r>
        <w:rPr>
          <w:rFonts w:ascii="Arial" w:cs="Arial" w:eastAsia="Arial" w:hAnsi="Arial"/>
          <w:sz w:val="18"/>
          <w:szCs w:val="18"/>
          <w:b w:val="1"/>
          <w:bCs w:val="1"/>
          <w:u w:val="single" w:color="auto"/>
          <w:color w:val="auto"/>
        </w:rPr>
        <w:t>Pension-adjusted net income</w:t>
      </w:r>
      <w:r>
        <w:rPr>
          <w:rFonts w:ascii="Arial" w:cs="Arial" w:eastAsia="Arial" w:hAnsi="Arial"/>
          <w:sz w:val="18"/>
          <w:szCs w:val="18"/>
          <w:color w:val="auto"/>
        </w:rPr>
        <w:t>: Net earnings before the after-tax net pension adjustment as defined above and excluding MTM</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benefit and related tax impacts. As approved by the Compensation Committee, this metric has been adjusted to exclude Innovation Systems intangible asset amortization and PP&amp;E step-up depreciation and Orbital ATK</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A-1</w:t>
      </w:r>
    </w:p>
    <w:p>
      <w:pPr>
        <w:sectPr>
          <w:pgSz w:w="11900" w:h="16838" w:orient="portrait"/>
          <w:cols w:equalWidth="0" w:num="1">
            <w:col w:w="11240"/>
          </w:cols>
          <w:pgMar w:left="320" w:top="674" w:right="339" w:bottom="1440" w:gutter="0" w:footer="0" w:header="0"/>
        </w:sectPr>
      </w:pPr>
    </w:p>
    <w:bookmarkStart w:id="87" w:name="page88"/>
    <w:bookmarkEnd w:id="87"/>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3257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APPENDIX A - USE OF NON-GAAP FINANCIAL MEASURES</w:t>
      </w:r>
    </w:p>
    <w:p>
      <w:pPr>
        <w:spacing w:after="0" w:line="373" w:lineRule="exact"/>
        <w:rPr>
          <w:sz w:val="20"/>
          <w:szCs w:val="20"/>
          <w:color w:val="auto"/>
        </w:rPr>
      </w:pPr>
    </w:p>
    <w:p>
      <w:pPr>
        <w:ind w:left="660" w:right="300"/>
        <w:spacing w:after="0" w:line="261" w:lineRule="auto"/>
        <w:rPr>
          <w:sz w:val="20"/>
          <w:szCs w:val="20"/>
          <w:color w:val="auto"/>
        </w:rPr>
      </w:pPr>
      <w:r>
        <w:rPr>
          <w:rFonts w:ascii="Arial" w:cs="Arial" w:eastAsia="Arial" w:hAnsi="Arial"/>
          <w:sz w:val="18"/>
          <w:szCs w:val="18"/>
          <w:color w:val="auto"/>
        </w:rPr>
        <w:t>transaction-related expenses. Orbital ATK transaction-related expenses are primarily comprised of advisory, legal and other costs related to the completion of the transaction.</w:t>
      </w:r>
    </w:p>
    <w:p>
      <w:pPr>
        <w:spacing w:after="0" w:line="41"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u w:val="single" w:color="auto"/>
          <w:color w:val="auto"/>
        </w:rPr>
        <w:t>Segment operating income and segment operating margin rate</w:t>
      </w:r>
      <w:r>
        <w:rPr>
          <w:rFonts w:ascii="Arial" w:cs="Arial" w:eastAsia="Arial" w:hAnsi="Arial"/>
          <w:sz w:val="17"/>
          <w:szCs w:val="17"/>
          <w:color w:val="auto"/>
        </w:rPr>
        <w:t>: Segment operating income, as reconciled below, and segment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margin rate (segment operating income divided by sales) reflect total earnings from our four segments, including allocated pension expense recognized under CAS, and excluding unallocated corporate items and FAS pension expense. These measures may be useful to investors and other users of our financial statements as a supplemental measures in evaluating the financial performance and operational trends of our sectors. These measures should not be considered in isolation or as alternatives to operating results presented in accordance with GAAP.</w:t>
      </w:r>
    </w:p>
    <w:p>
      <w:pPr>
        <w:spacing w:after="0" w:line="29"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b w:val="1"/>
          <w:bCs w:val="1"/>
          <w:u w:val="single" w:color="auto"/>
          <w:color w:val="auto"/>
        </w:rPr>
        <w:t>MTM-adjusted net earnings</w:t>
      </w:r>
      <w:r>
        <w:rPr>
          <w:rFonts w:ascii="Arial" w:cs="Arial" w:eastAsia="Arial" w:hAnsi="Arial"/>
          <w:sz w:val="18"/>
          <w:szCs w:val="18"/>
          <w:color w:val="auto"/>
        </w:rPr>
        <w:t>: Net earnings excluding MTM (expense) benefit and related tax impacts. This measure may be useful to</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and other users of 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 MTM-adjusted net earnings is reconciled below.</w:t>
      </w:r>
    </w:p>
    <w:p>
      <w:pPr>
        <w:spacing w:after="0" w:line="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u w:val="single" w:color="auto"/>
          <w:color w:val="auto"/>
        </w:rPr>
        <w:t>MTM-adjusted diluted EPS</w:t>
      </w:r>
      <w:r>
        <w:rPr>
          <w:rFonts w:ascii="Arial" w:cs="Arial" w:eastAsia="Arial" w:hAnsi="Arial"/>
          <w:sz w:val="18"/>
          <w:szCs w:val="18"/>
          <w:color w:val="auto"/>
        </w:rPr>
        <w:t>: Diluted earnings per share excluding the per share impact of MTM (expense) benefit and related tax impacts.</w:t>
      </w:r>
      <w:r>
        <w:rPr>
          <w:rFonts w:ascii="Arial" w:cs="Arial" w:eastAsia="Arial" w:hAnsi="Arial"/>
          <w:sz w:val="18"/>
          <w:szCs w:val="18"/>
          <w:b w:val="1"/>
          <w:bCs w:val="1"/>
          <w:color w:val="auto"/>
        </w:rPr>
        <w:t xml:space="preserve"> </w:t>
      </w:r>
      <w:r>
        <w:rPr>
          <w:rFonts w:ascii="Arial" w:cs="Arial" w:eastAsia="Arial" w:hAnsi="Arial"/>
          <w:sz w:val="18"/>
          <w:szCs w:val="18"/>
          <w:color w:val="auto"/>
        </w:rPr>
        <w:t>This measure may be useful to investors and other users of our financial statements as a supplemental measure in evaluating the Company’s underlying financial performance per share by presenting the Company’s diluted earnings per share results before the non-operational impact of pension and OPB actuarial gains and losses. MTM-adjusted diluted EPS is reconciled below.</w:t>
      </w:r>
    </w:p>
    <w:p>
      <w:pPr>
        <w:spacing w:after="0" w:line="4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u w:val="single" w:color="auto"/>
          <w:color w:val="auto"/>
        </w:rPr>
        <w:t>Operating RONA</w:t>
      </w:r>
      <w:r>
        <w:rPr>
          <w:rFonts w:ascii="Arial" w:cs="Arial" w:eastAsia="Arial" w:hAnsi="Arial"/>
          <w:sz w:val="18"/>
          <w:szCs w:val="18"/>
          <w:color w:val="auto"/>
        </w:rPr>
        <w:t>: Calculated as adjusted Net Operating Profit after-tax (adjusted NOPAT) as defined below, divided by the two-year</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of net operating assets. Net operating assets are defined as net total current assets, excluding cash and cash equivalents, less total current liabilities, excluding short-term debt, plus net PP&amp;E.</w:t>
      </w:r>
    </w:p>
    <w:p>
      <w:pPr>
        <w:spacing w:after="0" w:line="36"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b w:val="1"/>
          <w:bCs w:val="1"/>
          <w:u w:val="single" w:color="auto"/>
          <w:color w:val="auto"/>
        </w:rPr>
        <w:t>Adjusted NOPAT</w:t>
      </w:r>
      <w:r>
        <w:rPr>
          <w:rFonts w:ascii="Arial" w:cs="Arial" w:eastAsia="Arial" w:hAnsi="Arial"/>
          <w:sz w:val="17"/>
          <w:szCs w:val="17"/>
          <w:color w:val="auto"/>
        </w:rPr>
        <w:t>: Calculated as operating income adjusted to exclude net FAS (service)/CAS pension adjustment, Innovation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 amortization and PP&amp;E step-up depreciation and Orbital ATK transaction-related expenses, as defined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674" w:right="339" w:bottom="1440" w:gutter="0" w:footer="0" w:header="0"/>
        </w:sectPr>
      </w:pPr>
    </w:p>
    <w:bookmarkStart w:id="88" w:name="page89"/>
    <w:bookmarkEnd w:id="88"/>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3257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APPENDIX A - USE OF NON-GAAP FINANCIAL MEASURES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540" w:type="dxa"/>
            <w:vAlign w:val="bottom"/>
            <w:shd w:val="clear" w:color="auto" w:fill="00249C"/>
          </w:tcPr>
          <w:p>
            <w:pPr>
              <w:spacing w:after="0"/>
              <w:rPr>
                <w:sz w:val="22"/>
                <w:szCs w:val="22"/>
                <w:color w:val="auto"/>
              </w:rPr>
            </w:pPr>
          </w:p>
        </w:tc>
        <w:tc>
          <w:tcPr>
            <w:tcW w:w="740" w:type="dxa"/>
            <w:vAlign w:val="bottom"/>
            <w:shd w:val="clear" w:color="auto" w:fill="00249C"/>
          </w:tcPr>
          <w:p>
            <w:pPr>
              <w:spacing w:after="0"/>
              <w:rPr>
                <w:sz w:val="22"/>
                <w:szCs w:val="22"/>
                <w:color w:val="auto"/>
              </w:rPr>
            </w:pPr>
          </w:p>
        </w:tc>
        <w:tc>
          <w:tcPr>
            <w:tcW w:w="1240" w:type="dxa"/>
            <w:vAlign w:val="bottom"/>
            <w:shd w:val="clear" w:color="auto" w:fill="00249C"/>
          </w:tcPr>
          <w:p>
            <w:pPr>
              <w:spacing w:after="0"/>
              <w:rPr>
                <w:sz w:val="22"/>
                <w:szCs w:val="22"/>
                <w:color w:val="auto"/>
              </w:rPr>
            </w:pPr>
          </w:p>
        </w:tc>
        <w:tc>
          <w:tcPr>
            <w:tcW w:w="540" w:type="dxa"/>
            <w:vAlign w:val="bottom"/>
            <w:shd w:val="clear" w:color="auto" w:fill="00249C"/>
          </w:tcPr>
          <w:p>
            <w:pPr>
              <w:spacing w:after="0"/>
              <w:rPr>
                <w:sz w:val="22"/>
                <w:szCs w:val="22"/>
                <w:color w:val="auto"/>
              </w:rPr>
            </w:pPr>
          </w:p>
        </w:tc>
        <w:tc>
          <w:tcPr>
            <w:tcW w:w="1320" w:type="dxa"/>
            <w:vAlign w:val="bottom"/>
            <w:shd w:val="clear" w:color="auto" w:fill="00249C"/>
          </w:tcPr>
          <w:p>
            <w:pPr>
              <w:jc w:val="right"/>
              <w:ind w:right="491"/>
              <w:spacing w:after="0"/>
              <w:rPr>
                <w:sz w:val="20"/>
                <w:szCs w:val="20"/>
                <w:color w:val="auto"/>
              </w:rPr>
            </w:pPr>
            <w:r>
              <w:rPr>
                <w:rFonts w:ascii="Arial" w:cs="Arial" w:eastAsia="Arial" w:hAnsi="Arial"/>
                <w:sz w:val="14"/>
                <w:szCs w:val="14"/>
                <w:b w:val="1"/>
                <w:bCs w:val="1"/>
                <w:color w:val="FFFFFF"/>
              </w:rPr>
              <w:t>Total Year</w:t>
            </w:r>
          </w:p>
        </w:tc>
        <w:tc>
          <w:tcPr>
            <w:tcW w:w="620" w:type="dxa"/>
            <w:vAlign w:val="bottom"/>
            <w:shd w:val="clear" w:color="auto" w:fill="00249C"/>
          </w:tcPr>
          <w:p>
            <w:pPr>
              <w:spacing w:after="0"/>
              <w:rPr>
                <w:sz w:val="22"/>
                <w:szCs w:val="22"/>
                <w:color w:val="auto"/>
              </w:rPr>
            </w:pPr>
          </w:p>
        </w:tc>
        <w:tc>
          <w:tcPr>
            <w:tcW w:w="1240" w:type="dxa"/>
            <w:vAlign w:val="bottom"/>
            <w:shd w:val="clear" w:color="auto" w:fill="00249C"/>
          </w:tcPr>
          <w:p>
            <w:pPr>
              <w:spacing w:after="0"/>
              <w:rPr>
                <w:sz w:val="22"/>
                <w:szCs w:val="22"/>
                <w:color w:val="auto"/>
              </w:rPr>
            </w:pPr>
          </w:p>
        </w:tc>
      </w:tr>
      <w:tr>
        <w:trPr>
          <w:trHeight w:val="282"/>
        </w:trPr>
        <w:tc>
          <w:tcPr>
            <w:tcW w:w="5540" w:type="dxa"/>
            <w:vAlign w:val="bottom"/>
            <w:shd w:val="clear" w:color="auto" w:fill="00249C"/>
          </w:tcPr>
          <w:p>
            <w:pPr>
              <w:ind w:left="40"/>
              <w:spacing w:after="0"/>
              <w:rPr>
                <w:sz w:val="20"/>
                <w:szCs w:val="20"/>
                <w:color w:val="auto"/>
              </w:rPr>
            </w:pPr>
            <w:r>
              <w:rPr>
                <w:rFonts w:ascii="Arial" w:cs="Arial" w:eastAsia="Arial" w:hAnsi="Arial"/>
                <w:sz w:val="14"/>
                <w:szCs w:val="14"/>
                <w:b w:val="1"/>
                <w:bCs w:val="1"/>
                <w:color w:val="FFFFFF"/>
              </w:rPr>
              <w:t>($M, except per share amount)</w:t>
            </w:r>
          </w:p>
        </w:tc>
        <w:tc>
          <w:tcPr>
            <w:tcW w:w="740" w:type="dxa"/>
            <w:vAlign w:val="bottom"/>
            <w:shd w:val="clear" w:color="auto" w:fill="00249C"/>
          </w:tcPr>
          <w:p>
            <w:pPr>
              <w:spacing w:after="0"/>
              <w:rPr>
                <w:sz w:val="24"/>
                <w:szCs w:val="24"/>
                <w:color w:val="auto"/>
              </w:rPr>
            </w:pPr>
          </w:p>
        </w:tc>
        <w:tc>
          <w:tcPr>
            <w:tcW w:w="1240" w:type="dxa"/>
            <w:vAlign w:val="bottom"/>
            <w:shd w:val="clear" w:color="auto" w:fill="00249C"/>
          </w:tcPr>
          <w:p>
            <w:pPr>
              <w:jc w:val="right"/>
              <w:ind w:right="691"/>
              <w:spacing w:after="0"/>
              <w:rPr>
                <w:sz w:val="20"/>
                <w:szCs w:val="20"/>
                <w:color w:val="auto"/>
              </w:rPr>
            </w:pPr>
            <w:r>
              <w:rPr>
                <w:rFonts w:ascii="Arial" w:cs="Arial" w:eastAsia="Arial" w:hAnsi="Arial"/>
                <w:sz w:val="14"/>
                <w:szCs w:val="14"/>
                <w:b w:val="1"/>
                <w:bCs w:val="1"/>
                <w:color w:val="FFFFFF"/>
              </w:rPr>
              <w:t>2019</w:t>
            </w:r>
          </w:p>
        </w:tc>
        <w:tc>
          <w:tcPr>
            <w:tcW w:w="540" w:type="dxa"/>
            <w:vAlign w:val="bottom"/>
            <w:shd w:val="clear" w:color="auto" w:fill="00249C"/>
          </w:tcPr>
          <w:p>
            <w:pPr>
              <w:spacing w:after="0"/>
              <w:rPr>
                <w:sz w:val="24"/>
                <w:szCs w:val="24"/>
                <w:color w:val="auto"/>
              </w:rPr>
            </w:pPr>
          </w:p>
        </w:tc>
        <w:tc>
          <w:tcPr>
            <w:tcW w:w="1320" w:type="dxa"/>
            <w:vAlign w:val="bottom"/>
            <w:shd w:val="clear" w:color="auto" w:fill="00249C"/>
          </w:tcPr>
          <w:p>
            <w:pPr>
              <w:jc w:val="right"/>
              <w:ind w:right="691"/>
              <w:spacing w:after="0"/>
              <w:rPr>
                <w:sz w:val="20"/>
                <w:szCs w:val="20"/>
                <w:color w:val="auto"/>
              </w:rPr>
            </w:pPr>
            <w:r>
              <w:rPr>
                <w:rFonts w:ascii="Arial" w:cs="Arial" w:eastAsia="Arial" w:hAnsi="Arial"/>
                <w:sz w:val="14"/>
                <w:szCs w:val="14"/>
                <w:b w:val="1"/>
                <w:bCs w:val="1"/>
                <w:color w:val="FFFFFF"/>
              </w:rPr>
              <w:t>2018</w:t>
            </w:r>
          </w:p>
        </w:tc>
        <w:tc>
          <w:tcPr>
            <w:tcW w:w="620" w:type="dxa"/>
            <w:vAlign w:val="bottom"/>
            <w:shd w:val="clear" w:color="auto" w:fill="00249C"/>
          </w:tcPr>
          <w:p>
            <w:pPr>
              <w:spacing w:after="0"/>
              <w:rPr>
                <w:sz w:val="24"/>
                <w:szCs w:val="24"/>
                <w:color w:val="auto"/>
              </w:rPr>
            </w:pPr>
          </w:p>
        </w:tc>
        <w:tc>
          <w:tcPr>
            <w:tcW w:w="1240" w:type="dxa"/>
            <w:vAlign w:val="bottom"/>
            <w:shd w:val="clear" w:color="auto" w:fill="00249C"/>
          </w:tcPr>
          <w:p>
            <w:pPr>
              <w:jc w:val="right"/>
              <w:ind w:right="691"/>
              <w:spacing w:after="0"/>
              <w:rPr>
                <w:sz w:val="20"/>
                <w:szCs w:val="20"/>
                <w:color w:val="auto"/>
              </w:rPr>
            </w:pPr>
            <w:r>
              <w:rPr>
                <w:rFonts w:ascii="Arial" w:cs="Arial" w:eastAsia="Arial" w:hAnsi="Arial"/>
                <w:sz w:val="14"/>
                <w:szCs w:val="14"/>
                <w:b w:val="1"/>
                <w:bCs w:val="1"/>
                <w:color w:val="FFFFFF"/>
              </w:rPr>
              <w:t>2017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4,297</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3,827</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2,613</w:t>
            </w:r>
          </w:p>
        </w:tc>
      </w:tr>
      <w:tr>
        <w:trPr>
          <w:trHeight w:val="290"/>
        </w:trPr>
        <w:tc>
          <w:tcPr>
            <w:tcW w:w="5540" w:type="dxa"/>
            <w:vAlign w:val="bottom"/>
            <w:tcBorders>
              <w:bottom w:val="single" w:sz="8" w:color="00249C"/>
            </w:tcBorders>
          </w:tcPr>
          <w:p>
            <w:pPr>
              <w:ind w:left="40"/>
              <w:spacing w:after="0"/>
              <w:rPr>
                <w:sz w:val="20"/>
                <w:szCs w:val="20"/>
                <w:color w:val="auto"/>
              </w:rPr>
            </w:pPr>
            <w:r>
              <w:rPr>
                <w:rFonts w:ascii="Arial" w:cs="Arial" w:eastAsia="Arial" w:hAnsi="Arial"/>
                <w:sz w:val="18"/>
                <w:szCs w:val="18"/>
                <w:color w:val="auto"/>
              </w:rPr>
              <w:t>After-tax discretionary pension contributions impact</w:t>
            </w:r>
          </w:p>
        </w:tc>
        <w:tc>
          <w:tcPr>
            <w:tcW w:w="740" w:type="dxa"/>
            <w:vAlign w:val="bottom"/>
            <w:tcBorders>
              <w:bottom w:val="single" w:sz="8" w:color="00249C"/>
            </w:tcBorders>
          </w:tcPr>
          <w:p>
            <w:pPr>
              <w:spacing w:after="0"/>
              <w:rPr>
                <w:sz w:val="24"/>
                <w:szCs w:val="24"/>
                <w:color w:val="auto"/>
              </w:rPr>
            </w:pPr>
          </w:p>
        </w:tc>
        <w:tc>
          <w:tcPr>
            <w:tcW w:w="124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95</w:t>
            </w:r>
          </w:p>
        </w:tc>
        <w:tc>
          <w:tcPr>
            <w:tcW w:w="540" w:type="dxa"/>
            <w:vAlign w:val="bottom"/>
            <w:tcBorders>
              <w:bottom w:val="single" w:sz="8" w:color="00249C"/>
            </w:tcBorders>
          </w:tcPr>
          <w:p>
            <w:pPr>
              <w:spacing w:after="0"/>
              <w:rPr>
                <w:sz w:val="24"/>
                <w:szCs w:val="24"/>
                <w:color w:val="auto"/>
              </w:rPr>
            </w:pPr>
          </w:p>
        </w:tc>
        <w:tc>
          <w:tcPr>
            <w:tcW w:w="132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186</w:t>
            </w:r>
          </w:p>
        </w:tc>
        <w:tc>
          <w:tcPr>
            <w:tcW w:w="620" w:type="dxa"/>
            <w:vAlign w:val="bottom"/>
            <w:tcBorders>
              <w:bottom w:val="single" w:sz="8" w:color="00249C"/>
            </w:tcBorders>
          </w:tcPr>
          <w:p>
            <w:pPr>
              <w:spacing w:after="0"/>
              <w:rPr>
                <w:sz w:val="24"/>
                <w:szCs w:val="24"/>
                <w:color w:val="auto"/>
              </w:rPr>
            </w:pPr>
          </w:p>
        </w:tc>
        <w:tc>
          <w:tcPr>
            <w:tcW w:w="1240" w:type="dxa"/>
            <w:vAlign w:val="bottom"/>
            <w:tcBorders>
              <w:bottom w:val="single" w:sz="8" w:color="00249C"/>
            </w:tcBorders>
          </w:tcPr>
          <w:p>
            <w:pPr>
              <w:jc w:val="right"/>
              <w:ind w:right="91"/>
              <w:spacing w:after="0"/>
              <w:rPr>
                <w:sz w:val="20"/>
                <w:szCs w:val="20"/>
                <w:color w:val="auto"/>
              </w:rPr>
            </w:pPr>
            <w:r>
              <w:rPr>
                <w:rFonts w:ascii="Arial" w:cs="Arial" w:eastAsia="Arial" w:hAnsi="Arial"/>
                <w:sz w:val="18"/>
                <w:szCs w:val="18"/>
                <w:color w:val="auto"/>
              </w:rPr>
              <w:t>325</w:t>
            </w:r>
          </w:p>
        </w:tc>
      </w:tr>
      <w:tr>
        <w:trPr>
          <w:trHeight w:val="20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Cash provided by operating activities before after-tax</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4,392</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4,013</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2,938</w:t>
            </w:r>
          </w:p>
        </w:tc>
      </w:tr>
      <w:tr>
        <w:trPr>
          <w:trHeight w:val="246"/>
        </w:trPr>
        <w:tc>
          <w:tcPr>
            <w:tcW w:w="5540" w:type="dxa"/>
            <w:vAlign w:val="bottom"/>
            <w:tcBorders>
              <w:bottom w:val="single" w:sz="8" w:color="00249C"/>
            </w:tcBorders>
          </w:tcPr>
          <w:p>
            <w:pPr>
              <w:ind w:left="40"/>
              <w:spacing w:after="0"/>
              <w:rPr>
                <w:sz w:val="20"/>
                <w:szCs w:val="20"/>
                <w:color w:val="auto"/>
              </w:rPr>
            </w:pPr>
            <w:r>
              <w:rPr>
                <w:rFonts w:ascii="Arial" w:cs="Arial" w:eastAsia="Arial" w:hAnsi="Arial"/>
                <w:sz w:val="18"/>
                <w:szCs w:val="18"/>
                <w:b w:val="1"/>
                <w:bCs w:val="1"/>
                <w:color w:val="auto"/>
              </w:rPr>
              <w:t>discretionary pension contributions</w:t>
            </w:r>
          </w:p>
        </w:tc>
        <w:tc>
          <w:tcPr>
            <w:tcW w:w="740" w:type="dxa"/>
            <w:vAlign w:val="bottom"/>
            <w:tcBorders>
              <w:bottom w:val="single" w:sz="8" w:color="00249C"/>
            </w:tcBorders>
          </w:tcPr>
          <w:p>
            <w:pPr>
              <w:spacing w:after="0"/>
              <w:rPr>
                <w:sz w:val="21"/>
                <w:szCs w:val="21"/>
                <w:color w:val="auto"/>
              </w:rPr>
            </w:pPr>
          </w:p>
        </w:tc>
        <w:tc>
          <w:tcPr>
            <w:tcW w:w="1240" w:type="dxa"/>
            <w:vAlign w:val="bottom"/>
            <w:tcBorders>
              <w:bottom w:val="single" w:sz="8" w:color="00249C"/>
            </w:tcBorders>
          </w:tcPr>
          <w:p>
            <w:pPr>
              <w:spacing w:after="0"/>
              <w:rPr>
                <w:sz w:val="21"/>
                <w:szCs w:val="21"/>
                <w:color w:val="auto"/>
              </w:rPr>
            </w:pPr>
          </w:p>
        </w:tc>
        <w:tc>
          <w:tcPr>
            <w:tcW w:w="540" w:type="dxa"/>
            <w:vAlign w:val="bottom"/>
            <w:tcBorders>
              <w:bottom w:val="single" w:sz="8" w:color="00249C"/>
            </w:tcBorders>
          </w:tcPr>
          <w:p>
            <w:pPr>
              <w:spacing w:after="0"/>
              <w:rPr>
                <w:sz w:val="21"/>
                <w:szCs w:val="21"/>
                <w:color w:val="auto"/>
              </w:rPr>
            </w:pPr>
          </w:p>
        </w:tc>
        <w:tc>
          <w:tcPr>
            <w:tcW w:w="1320" w:type="dxa"/>
            <w:vAlign w:val="bottom"/>
            <w:tcBorders>
              <w:bottom w:val="single" w:sz="8" w:color="00249C"/>
            </w:tcBorders>
          </w:tcPr>
          <w:p>
            <w:pPr>
              <w:spacing w:after="0"/>
              <w:rPr>
                <w:sz w:val="21"/>
                <w:szCs w:val="21"/>
                <w:color w:val="auto"/>
              </w:rPr>
            </w:pPr>
          </w:p>
        </w:tc>
        <w:tc>
          <w:tcPr>
            <w:tcW w:w="620" w:type="dxa"/>
            <w:vAlign w:val="bottom"/>
            <w:tcBorders>
              <w:bottom w:val="single" w:sz="8" w:color="00249C"/>
            </w:tcBorders>
          </w:tcPr>
          <w:p>
            <w:pPr>
              <w:spacing w:after="0"/>
              <w:rPr>
                <w:sz w:val="21"/>
                <w:szCs w:val="21"/>
                <w:color w:val="auto"/>
              </w:rPr>
            </w:pPr>
          </w:p>
        </w:tc>
        <w:tc>
          <w:tcPr>
            <w:tcW w:w="1240" w:type="dxa"/>
            <w:vAlign w:val="bottom"/>
            <w:tcBorders>
              <w:bottom w:val="single" w:sz="8" w:color="00249C"/>
            </w:tcBorders>
          </w:tcPr>
          <w:p>
            <w:pPr>
              <w:spacing w:after="0"/>
              <w:rPr>
                <w:sz w:val="21"/>
                <w:szCs w:val="21"/>
                <w:color w:val="auto"/>
              </w:rPr>
            </w:pPr>
          </w:p>
        </w:tc>
      </w:tr>
      <w:tr>
        <w:trPr>
          <w:trHeight w:val="56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4,297</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3,827</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2,613</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74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(1,264)</w:t>
            </w:r>
          </w:p>
        </w:tc>
        <w:tc>
          <w:tcPr>
            <w:tcW w:w="540" w:type="dxa"/>
            <w:vAlign w:val="bottom"/>
          </w:tcPr>
          <w:p>
            <w:pPr>
              <w:spacing w:after="0"/>
              <w:rPr>
                <w:sz w:val="23"/>
                <w:szCs w:val="23"/>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(1,249)</w:t>
            </w:r>
          </w:p>
        </w:tc>
        <w:tc>
          <w:tcPr>
            <w:tcW w:w="6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(928)</w:t>
            </w:r>
          </w:p>
        </w:tc>
      </w:tr>
      <w:tr>
        <w:trPr>
          <w:trHeight w:val="27"/>
        </w:trPr>
        <w:tc>
          <w:tcPr>
            <w:tcW w:w="5540" w:type="dxa"/>
            <w:vAlign w:val="bottom"/>
            <w:tcBorders>
              <w:bottom w:val="single" w:sz="8" w:color="00249C"/>
            </w:tcBorders>
          </w:tcPr>
          <w:p>
            <w:pPr>
              <w:spacing w:after="0"/>
              <w:rPr>
                <w:sz w:val="2"/>
                <w:szCs w:val="2"/>
                <w:color w:val="auto"/>
              </w:rPr>
            </w:pPr>
          </w:p>
        </w:tc>
        <w:tc>
          <w:tcPr>
            <w:tcW w:w="740" w:type="dxa"/>
            <w:vAlign w:val="bottom"/>
            <w:tcBorders>
              <w:bottom w:val="single" w:sz="8" w:color="00249C"/>
            </w:tcBorders>
          </w:tcPr>
          <w:p>
            <w:pPr>
              <w:spacing w:after="0"/>
              <w:rPr>
                <w:sz w:val="2"/>
                <w:szCs w:val="2"/>
                <w:color w:val="auto"/>
              </w:rPr>
            </w:pPr>
          </w:p>
        </w:tc>
        <w:tc>
          <w:tcPr>
            <w:tcW w:w="1240" w:type="dxa"/>
            <w:vAlign w:val="bottom"/>
            <w:tcBorders>
              <w:bottom w:val="single" w:sz="8" w:color="00249C"/>
            </w:tcBorders>
          </w:tcPr>
          <w:p>
            <w:pPr>
              <w:spacing w:after="0"/>
              <w:rPr>
                <w:sz w:val="2"/>
                <w:szCs w:val="2"/>
                <w:color w:val="auto"/>
              </w:rPr>
            </w:pPr>
          </w:p>
        </w:tc>
        <w:tc>
          <w:tcPr>
            <w:tcW w:w="540" w:type="dxa"/>
            <w:vAlign w:val="bottom"/>
            <w:tcBorders>
              <w:bottom w:val="single" w:sz="8" w:color="00249C"/>
            </w:tcBorders>
          </w:tcPr>
          <w:p>
            <w:pPr>
              <w:spacing w:after="0"/>
              <w:rPr>
                <w:sz w:val="2"/>
                <w:szCs w:val="2"/>
                <w:color w:val="auto"/>
              </w:rPr>
            </w:pPr>
          </w:p>
        </w:tc>
        <w:tc>
          <w:tcPr>
            <w:tcW w:w="1320" w:type="dxa"/>
            <w:vAlign w:val="bottom"/>
            <w:tcBorders>
              <w:bottom w:val="single" w:sz="8" w:color="00249C"/>
            </w:tcBorders>
          </w:tcPr>
          <w:p>
            <w:pPr>
              <w:spacing w:after="0"/>
              <w:rPr>
                <w:sz w:val="2"/>
                <w:szCs w:val="2"/>
                <w:color w:val="auto"/>
              </w:rPr>
            </w:pPr>
          </w:p>
        </w:tc>
        <w:tc>
          <w:tcPr>
            <w:tcW w:w="620" w:type="dxa"/>
            <w:vAlign w:val="bottom"/>
            <w:tcBorders>
              <w:bottom w:val="single" w:sz="8" w:color="00249C"/>
            </w:tcBorders>
          </w:tcPr>
          <w:p>
            <w:pPr>
              <w:spacing w:after="0"/>
              <w:rPr>
                <w:sz w:val="2"/>
                <w:szCs w:val="2"/>
                <w:color w:val="auto"/>
              </w:rPr>
            </w:pPr>
          </w:p>
        </w:tc>
        <w:tc>
          <w:tcPr>
            <w:tcW w:w="1240" w:type="dxa"/>
            <w:vAlign w:val="bottom"/>
            <w:tcBorders>
              <w:bottom w:val="single" w:sz="8" w:color="00249C"/>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Free cash flow</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3,033</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2,578</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1,685</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After-tax total pension contributions impact</w:t>
            </w:r>
          </w:p>
        </w:tc>
        <w:tc>
          <w:tcPr>
            <w:tcW w:w="740" w:type="dxa"/>
            <w:vAlign w:val="bottom"/>
          </w:tcPr>
          <w:p>
            <w:pPr>
              <w:spacing w:after="0"/>
              <w:rPr>
                <w:sz w:val="23"/>
                <w:szCs w:val="23"/>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246</w:t>
            </w:r>
          </w:p>
        </w:tc>
        <w:tc>
          <w:tcPr>
            <w:tcW w:w="620" w:type="dxa"/>
            <w:vAlign w:val="bottom"/>
          </w:tcPr>
          <w:p>
            <w:pPr>
              <w:spacing w:after="0"/>
              <w:rPr>
                <w:sz w:val="23"/>
                <w:szCs w:val="23"/>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376</w:t>
            </w:r>
          </w:p>
        </w:tc>
      </w:tr>
      <w:tr>
        <w:trPr>
          <w:trHeight w:val="283"/>
        </w:trPr>
        <w:tc>
          <w:tcPr>
            <w:tcW w:w="5540" w:type="dxa"/>
            <w:vAlign w:val="bottom"/>
          </w:tcPr>
          <w:p>
            <w:pPr>
              <w:ind w:left="40"/>
              <w:spacing w:after="0"/>
              <w:rPr>
                <w:sz w:val="20"/>
                <w:szCs w:val="20"/>
                <w:color w:val="auto"/>
              </w:rPr>
            </w:pPr>
            <w:r>
              <w:rPr>
                <w:rFonts w:ascii="Arial" w:cs="Arial" w:eastAsia="Arial" w:hAnsi="Arial"/>
                <w:sz w:val="18"/>
                <w:szCs w:val="18"/>
                <w:color w:val="auto"/>
              </w:rPr>
              <w:t>After-tax Orbital ATK transaction-related expenses</w:t>
            </w:r>
          </w:p>
        </w:tc>
        <w:tc>
          <w:tcPr>
            <w:tcW w:w="740" w:type="dxa"/>
            <w:vAlign w:val="bottom"/>
          </w:tcPr>
          <w:p>
            <w:pPr>
              <w:spacing w:after="0"/>
              <w:rPr>
                <w:sz w:val="24"/>
                <w:szCs w:val="24"/>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89</w:t>
            </w:r>
          </w:p>
        </w:tc>
        <w:tc>
          <w:tcPr>
            <w:tcW w:w="540" w:type="dxa"/>
            <w:vAlign w:val="bottom"/>
          </w:tcPr>
          <w:p>
            <w:pPr>
              <w:spacing w:after="0"/>
              <w:rPr>
                <w:sz w:val="24"/>
                <w:szCs w:val="24"/>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Impacts related to Innovation Systems</w:t>
            </w:r>
          </w:p>
        </w:tc>
        <w:tc>
          <w:tcPr>
            <w:tcW w:w="740" w:type="dxa"/>
            <w:vAlign w:val="bottom"/>
          </w:tcPr>
          <w:p>
            <w:pPr>
              <w:spacing w:after="0"/>
              <w:rPr>
                <w:sz w:val="22"/>
                <w:szCs w:val="22"/>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(478)</w:t>
            </w:r>
          </w:p>
        </w:tc>
        <w:tc>
          <w:tcPr>
            <w:tcW w:w="540" w:type="dxa"/>
            <w:vAlign w:val="bottom"/>
          </w:tcPr>
          <w:p>
            <w:pPr>
              <w:spacing w:after="0"/>
              <w:rPr>
                <w:sz w:val="22"/>
                <w:szCs w:val="22"/>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(721)</w:t>
            </w:r>
          </w:p>
        </w:tc>
        <w:tc>
          <w:tcPr>
            <w:tcW w:w="620" w:type="dxa"/>
            <w:vAlign w:val="bottom"/>
          </w:tcPr>
          <w:p>
            <w:pPr>
              <w:spacing w:after="0"/>
              <w:rPr>
                <w:sz w:val="22"/>
                <w:szCs w:val="22"/>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Borders>
              <w:bottom w:val="single" w:sz="8" w:color="00249C"/>
            </w:tcBorders>
          </w:tcPr>
          <w:p>
            <w:pPr>
              <w:spacing w:after="0"/>
              <w:rPr>
                <w:sz w:val="2"/>
                <w:szCs w:val="2"/>
                <w:color w:val="auto"/>
              </w:rPr>
            </w:pPr>
          </w:p>
        </w:tc>
        <w:tc>
          <w:tcPr>
            <w:tcW w:w="740" w:type="dxa"/>
            <w:vAlign w:val="bottom"/>
            <w:tcBorders>
              <w:bottom w:val="single" w:sz="8" w:color="00249C"/>
            </w:tcBorders>
          </w:tcPr>
          <w:p>
            <w:pPr>
              <w:spacing w:after="0"/>
              <w:rPr>
                <w:sz w:val="2"/>
                <w:szCs w:val="2"/>
                <w:color w:val="auto"/>
              </w:rPr>
            </w:pPr>
          </w:p>
        </w:tc>
        <w:tc>
          <w:tcPr>
            <w:tcW w:w="1240" w:type="dxa"/>
            <w:vAlign w:val="bottom"/>
            <w:tcBorders>
              <w:bottom w:val="single" w:sz="8" w:color="00249C"/>
            </w:tcBorders>
          </w:tcPr>
          <w:p>
            <w:pPr>
              <w:spacing w:after="0"/>
              <w:rPr>
                <w:sz w:val="2"/>
                <w:szCs w:val="2"/>
                <w:color w:val="auto"/>
              </w:rPr>
            </w:pPr>
          </w:p>
        </w:tc>
        <w:tc>
          <w:tcPr>
            <w:tcW w:w="540" w:type="dxa"/>
            <w:vAlign w:val="bottom"/>
            <w:tcBorders>
              <w:bottom w:val="single" w:sz="8" w:color="00249C"/>
            </w:tcBorders>
          </w:tcPr>
          <w:p>
            <w:pPr>
              <w:spacing w:after="0"/>
              <w:rPr>
                <w:sz w:val="2"/>
                <w:szCs w:val="2"/>
                <w:color w:val="auto"/>
              </w:rPr>
            </w:pPr>
          </w:p>
        </w:tc>
        <w:tc>
          <w:tcPr>
            <w:tcW w:w="1320" w:type="dxa"/>
            <w:vAlign w:val="bottom"/>
            <w:tcBorders>
              <w:bottom w:val="single" w:sz="8" w:color="00249C"/>
            </w:tcBorders>
          </w:tcPr>
          <w:p>
            <w:pPr>
              <w:spacing w:after="0"/>
              <w:rPr>
                <w:sz w:val="2"/>
                <w:szCs w:val="2"/>
                <w:color w:val="auto"/>
              </w:rPr>
            </w:pPr>
          </w:p>
        </w:tc>
        <w:tc>
          <w:tcPr>
            <w:tcW w:w="620" w:type="dxa"/>
            <w:vAlign w:val="bottom"/>
            <w:tcBorders>
              <w:bottom w:val="single" w:sz="8" w:color="00249C"/>
            </w:tcBorders>
          </w:tcPr>
          <w:p>
            <w:pPr>
              <w:spacing w:after="0"/>
              <w:rPr>
                <w:sz w:val="2"/>
                <w:szCs w:val="2"/>
                <w:color w:val="auto"/>
              </w:rPr>
            </w:pPr>
          </w:p>
        </w:tc>
        <w:tc>
          <w:tcPr>
            <w:tcW w:w="1240" w:type="dxa"/>
            <w:vAlign w:val="bottom"/>
            <w:tcBorders>
              <w:bottom w:val="single" w:sz="8" w:color="00249C"/>
            </w:tcBorders>
          </w:tcPr>
          <w:p>
            <w:pPr>
              <w:spacing w:after="0"/>
              <w:rPr>
                <w:sz w:val="2"/>
                <w:szCs w:val="2"/>
                <w:color w:val="auto"/>
              </w:rPr>
            </w:pPr>
          </w:p>
        </w:tc>
      </w:tr>
      <w:tr>
        <w:trPr>
          <w:trHeight w:val="257"/>
        </w:trPr>
        <w:tc>
          <w:tcPr>
            <w:tcW w:w="5540" w:type="dxa"/>
            <w:vAlign w:val="bottom"/>
            <w:tcBorders>
              <w:bottom w:val="single" w:sz="8" w:color="00249C"/>
            </w:tcBorders>
          </w:tcPr>
          <w:p>
            <w:pPr>
              <w:ind w:left="40"/>
              <w:spacing w:after="0"/>
              <w:rPr>
                <w:sz w:val="20"/>
                <w:szCs w:val="20"/>
                <w:color w:val="auto"/>
              </w:rPr>
            </w:pPr>
            <w:r>
              <w:rPr>
                <w:rFonts w:ascii="Arial" w:cs="Arial" w:eastAsia="Arial" w:hAnsi="Arial"/>
                <w:sz w:val="18"/>
                <w:szCs w:val="18"/>
                <w:color w:val="auto"/>
              </w:rPr>
              <w:t>Free cash flow before after-tax total pension funding</w:t>
            </w:r>
          </w:p>
        </w:tc>
        <w:tc>
          <w:tcPr>
            <w:tcW w:w="740" w:type="dxa"/>
            <w:vAlign w:val="bottom"/>
            <w:tcBorders>
              <w:bottom w:val="single" w:sz="8" w:color="00249C"/>
            </w:tcBorders>
          </w:tcPr>
          <w:p>
            <w:pPr>
              <w:spacing w:after="0"/>
              <w:rPr>
                <w:sz w:val="22"/>
                <w:szCs w:val="22"/>
                <w:color w:val="auto"/>
              </w:rPr>
            </w:pPr>
          </w:p>
        </w:tc>
        <w:tc>
          <w:tcPr>
            <w:tcW w:w="124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2,809</w:t>
            </w:r>
          </w:p>
        </w:tc>
        <w:tc>
          <w:tcPr>
            <w:tcW w:w="540" w:type="dxa"/>
            <w:vAlign w:val="bottom"/>
            <w:tcBorders>
              <w:bottom w:val="single" w:sz="8" w:color="00249C"/>
            </w:tcBorders>
          </w:tcPr>
          <w:p>
            <w:pPr>
              <w:spacing w:after="0"/>
              <w:rPr>
                <w:sz w:val="22"/>
                <w:szCs w:val="22"/>
                <w:color w:val="auto"/>
              </w:rPr>
            </w:pPr>
          </w:p>
        </w:tc>
        <w:tc>
          <w:tcPr>
            <w:tcW w:w="132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2,139</w:t>
            </w:r>
          </w:p>
        </w:tc>
        <w:tc>
          <w:tcPr>
            <w:tcW w:w="620" w:type="dxa"/>
            <w:vAlign w:val="bottom"/>
            <w:tcBorders>
              <w:bottom w:val="single" w:sz="8" w:color="00249C"/>
            </w:tcBorders>
          </w:tcPr>
          <w:p>
            <w:pPr>
              <w:spacing w:after="0"/>
              <w:rPr>
                <w:sz w:val="22"/>
                <w:szCs w:val="22"/>
                <w:color w:val="auto"/>
              </w:rPr>
            </w:pPr>
          </w:p>
        </w:tc>
        <w:tc>
          <w:tcPr>
            <w:tcW w:w="1240" w:type="dxa"/>
            <w:vAlign w:val="bottom"/>
            <w:tcBorders>
              <w:bottom w:val="single" w:sz="8" w:color="00249C"/>
            </w:tcBorders>
          </w:tcPr>
          <w:p>
            <w:pPr>
              <w:jc w:val="right"/>
              <w:ind w:right="91"/>
              <w:spacing w:after="0"/>
              <w:rPr>
                <w:sz w:val="20"/>
                <w:szCs w:val="20"/>
                <w:color w:val="auto"/>
              </w:rPr>
            </w:pPr>
            <w:r>
              <w:rPr>
                <w:rFonts w:ascii="Arial" w:cs="Arial" w:eastAsia="Arial" w:hAnsi="Arial"/>
                <w:sz w:val="18"/>
                <w:szCs w:val="18"/>
                <w:color w:val="auto"/>
              </w:rPr>
              <w:t>2,061</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Cumulative Free Cash Flow</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7,009</w:t>
            </w:r>
          </w:p>
        </w:tc>
        <w:tc>
          <w:tcPr>
            <w:tcW w:w="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40" w:type="dxa"/>
            <w:vAlign w:val="bottom"/>
            <w:tcBorders>
              <w:bottom w:val="single" w:sz="8" w:color="00249C"/>
            </w:tcBorders>
          </w:tcPr>
          <w:p>
            <w:pPr>
              <w:spacing w:after="0"/>
              <w:rPr>
                <w:sz w:val="2"/>
                <w:szCs w:val="2"/>
                <w:color w:val="auto"/>
              </w:rPr>
            </w:pPr>
          </w:p>
        </w:tc>
        <w:tc>
          <w:tcPr>
            <w:tcW w:w="740" w:type="dxa"/>
            <w:vAlign w:val="bottom"/>
            <w:tcBorders>
              <w:bottom w:val="single" w:sz="8" w:color="00249C"/>
            </w:tcBorders>
          </w:tcPr>
          <w:p>
            <w:pPr>
              <w:spacing w:after="0"/>
              <w:rPr>
                <w:sz w:val="2"/>
                <w:szCs w:val="2"/>
                <w:color w:val="auto"/>
              </w:rPr>
            </w:pPr>
          </w:p>
        </w:tc>
        <w:tc>
          <w:tcPr>
            <w:tcW w:w="1240" w:type="dxa"/>
            <w:vAlign w:val="bottom"/>
            <w:tcBorders>
              <w:bottom w:val="single" w:sz="8" w:color="00249C"/>
            </w:tcBorders>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574"/>
        </w:trPr>
        <w:tc>
          <w:tcPr>
            <w:tcW w:w="5540" w:type="dxa"/>
            <w:vAlign w:val="bottom"/>
          </w:tcPr>
          <w:p>
            <w:pPr>
              <w:ind w:left="40"/>
              <w:spacing w:after="0"/>
              <w:rPr>
                <w:sz w:val="20"/>
                <w:szCs w:val="20"/>
                <w:color w:val="auto"/>
              </w:rPr>
            </w:pPr>
            <w:r>
              <w:rPr>
                <w:rFonts w:ascii="Arial" w:cs="Arial" w:eastAsia="Arial" w:hAnsi="Arial"/>
                <w:sz w:val="18"/>
                <w:szCs w:val="18"/>
                <w:color w:val="auto"/>
              </w:rPr>
              <w:t>Sales</w:t>
            </w:r>
          </w:p>
        </w:tc>
        <w:tc>
          <w:tcPr>
            <w:tcW w:w="740" w:type="dxa"/>
            <w:vAlign w:val="bottom"/>
          </w:tcPr>
          <w:p>
            <w:pPr>
              <w:spacing w:after="0"/>
              <w:rPr>
                <w:sz w:val="24"/>
                <w:szCs w:val="24"/>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33,841</w:t>
            </w:r>
          </w:p>
        </w:tc>
        <w:tc>
          <w:tcPr>
            <w:tcW w:w="540" w:type="dxa"/>
            <w:vAlign w:val="bottom"/>
          </w:tcPr>
          <w:p>
            <w:pPr>
              <w:spacing w:after="0"/>
              <w:rPr>
                <w:sz w:val="24"/>
                <w:szCs w:val="24"/>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30,095</w:t>
            </w:r>
          </w:p>
        </w:tc>
        <w:tc>
          <w:tcPr>
            <w:tcW w:w="6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26,004</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3,969</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3,780</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3,218</w:t>
            </w:r>
          </w:p>
        </w:tc>
      </w:tr>
      <w:tr>
        <w:trPr>
          <w:trHeight w:val="283"/>
        </w:trPr>
        <w:tc>
          <w:tcPr>
            <w:tcW w:w="5540" w:type="dxa"/>
            <w:vAlign w:val="bottom"/>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7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11.7%</w:t>
            </w:r>
          </w:p>
        </w:tc>
        <w:tc>
          <w:tcPr>
            <w:tcW w:w="5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12.6%</w:t>
            </w:r>
          </w:p>
        </w:tc>
        <w:tc>
          <w:tcPr>
            <w:tcW w:w="6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12.4%</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Reconciliation to segment operating income</w:t>
            </w:r>
          </w:p>
        </w:tc>
        <w:tc>
          <w:tcPr>
            <w:tcW w:w="7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3"/>
        </w:trPr>
        <w:tc>
          <w:tcPr>
            <w:tcW w:w="5540" w:type="dxa"/>
            <w:vAlign w:val="bottom"/>
          </w:tcPr>
          <w:p>
            <w:pPr>
              <w:ind w:left="380"/>
              <w:spacing w:after="0"/>
              <w:rPr>
                <w:sz w:val="20"/>
                <w:szCs w:val="20"/>
                <w:color w:val="auto"/>
              </w:rPr>
            </w:pPr>
            <w:r>
              <w:rPr>
                <w:rFonts w:ascii="Arial" w:cs="Arial" w:eastAsia="Arial" w:hAnsi="Arial"/>
                <w:sz w:val="18"/>
                <w:szCs w:val="18"/>
                <w:color w:val="auto"/>
              </w:rPr>
              <w:t>Net FAS (service)/CAS pension adjustment</w:t>
            </w:r>
          </w:p>
        </w:tc>
        <w:tc>
          <w:tcPr>
            <w:tcW w:w="740" w:type="dxa"/>
            <w:vAlign w:val="bottom"/>
          </w:tcPr>
          <w:p>
            <w:pPr>
              <w:spacing w:after="0"/>
              <w:rPr>
                <w:sz w:val="24"/>
                <w:szCs w:val="24"/>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(465)</w:t>
            </w:r>
          </w:p>
        </w:tc>
        <w:tc>
          <w:tcPr>
            <w:tcW w:w="540" w:type="dxa"/>
            <w:vAlign w:val="bottom"/>
          </w:tcPr>
          <w:p>
            <w:pPr>
              <w:spacing w:after="0"/>
              <w:rPr>
                <w:sz w:val="24"/>
                <w:szCs w:val="24"/>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(613)</w:t>
            </w:r>
          </w:p>
        </w:tc>
        <w:tc>
          <w:tcPr>
            <w:tcW w:w="620" w:type="dxa"/>
            <w:vAlign w:val="bottom"/>
          </w:tcPr>
          <w:p>
            <w:pPr>
              <w:spacing w:after="0"/>
              <w:rPr>
                <w:sz w:val="24"/>
                <w:szCs w:val="24"/>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(638)</w:t>
            </w:r>
          </w:p>
        </w:tc>
      </w:tr>
      <w:tr>
        <w:trPr>
          <w:trHeight w:val="277"/>
        </w:trPr>
        <w:tc>
          <w:tcPr>
            <w:tcW w:w="5540" w:type="dxa"/>
            <w:vAlign w:val="bottom"/>
            <w:tcBorders>
              <w:bottom w:val="single" w:sz="8" w:color="00249C"/>
            </w:tcBorders>
          </w:tcPr>
          <w:p>
            <w:pPr>
              <w:ind w:left="380"/>
              <w:spacing w:after="0"/>
              <w:rPr>
                <w:sz w:val="20"/>
                <w:szCs w:val="20"/>
                <w:color w:val="auto"/>
              </w:rPr>
            </w:pPr>
            <w:r>
              <w:rPr>
                <w:rFonts w:ascii="Arial" w:cs="Arial" w:eastAsia="Arial" w:hAnsi="Arial"/>
                <w:sz w:val="18"/>
                <w:szCs w:val="18"/>
                <w:color w:val="auto"/>
              </w:rPr>
              <w:t>Unallocated corporate expense</w:t>
            </w:r>
          </w:p>
        </w:tc>
        <w:tc>
          <w:tcPr>
            <w:tcW w:w="740" w:type="dxa"/>
            <w:vAlign w:val="bottom"/>
            <w:tcBorders>
              <w:bottom w:val="single" w:sz="8" w:color="00249C"/>
            </w:tcBorders>
          </w:tcPr>
          <w:p>
            <w:pPr>
              <w:spacing w:after="0"/>
              <w:rPr>
                <w:sz w:val="24"/>
                <w:szCs w:val="24"/>
                <w:color w:val="auto"/>
              </w:rPr>
            </w:pPr>
          </w:p>
        </w:tc>
        <w:tc>
          <w:tcPr>
            <w:tcW w:w="124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405</w:t>
            </w:r>
          </w:p>
        </w:tc>
        <w:tc>
          <w:tcPr>
            <w:tcW w:w="540" w:type="dxa"/>
            <w:vAlign w:val="bottom"/>
            <w:tcBorders>
              <w:bottom w:val="single" w:sz="8" w:color="00249C"/>
            </w:tcBorders>
          </w:tcPr>
          <w:p>
            <w:pPr>
              <w:spacing w:after="0"/>
              <w:rPr>
                <w:sz w:val="24"/>
                <w:szCs w:val="24"/>
                <w:color w:val="auto"/>
              </w:rPr>
            </w:pPr>
          </w:p>
        </w:tc>
        <w:tc>
          <w:tcPr>
            <w:tcW w:w="132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280</w:t>
            </w:r>
          </w:p>
        </w:tc>
        <w:tc>
          <w:tcPr>
            <w:tcW w:w="620" w:type="dxa"/>
            <w:vAlign w:val="bottom"/>
            <w:tcBorders>
              <w:bottom w:val="single" w:sz="8" w:color="00249C"/>
            </w:tcBorders>
          </w:tcPr>
          <w:p>
            <w:pPr>
              <w:spacing w:after="0"/>
              <w:rPr>
                <w:sz w:val="24"/>
                <w:szCs w:val="24"/>
                <w:color w:val="auto"/>
              </w:rPr>
            </w:pPr>
          </w:p>
        </w:tc>
        <w:tc>
          <w:tcPr>
            <w:tcW w:w="1240" w:type="dxa"/>
            <w:vAlign w:val="bottom"/>
            <w:tcBorders>
              <w:bottom w:val="single" w:sz="8" w:color="00249C"/>
            </w:tcBorders>
          </w:tcPr>
          <w:p>
            <w:pPr>
              <w:jc w:val="right"/>
              <w:ind w:right="91"/>
              <w:spacing w:after="0"/>
              <w:rPr>
                <w:sz w:val="20"/>
                <w:szCs w:val="20"/>
                <w:color w:val="auto"/>
              </w:rPr>
            </w:pPr>
            <w:r>
              <w:rPr>
                <w:rFonts w:ascii="Arial" w:cs="Arial" w:eastAsia="Arial" w:hAnsi="Arial"/>
                <w:sz w:val="18"/>
                <w:szCs w:val="18"/>
                <w:color w:val="auto"/>
              </w:rPr>
              <w:t>323</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Segment operating income</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3,909</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3,447</w:t>
            </w:r>
          </w:p>
        </w:tc>
        <w:tc>
          <w:tcPr>
            <w:tcW w:w="6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2,903</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7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11.6%</w:t>
            </w:r>
          </w:p>
        </w:tc>
        <w:tc>
          <w:tcPr>
            <w:tcW w:w="5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6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11.2%</w:t>
            </w:r>
          </w:p>
        </w:tc>
      </w:tr>
      <w:tr>
        <w:trPr>
          <w:trHeight w:val="27"/>
        </w:trPr>
        <w:tc>
          <w:tcPr>
            <w:tcW w:w="5540" w:type="dxa"/>
            <w:vAlign w:val="bottom"/>
            <w:tcBorders>
              <w:bottom w:val="single" w:sz="8" w:color="00249C"/>
            </w:tcBorders>
          </w:tcPr>
          <w:p>
            <w:pPr>
              <w:spacing w:after="0"/>
              <w:rPr>
                <w:sz w:val="2"/>
                <w:szCs w:val="2"/>
                <w:color w:val="auto"/>
              </w:rPr>
            </w:pPr>
          </w:p>
        </w:tc>
        <w:tc>
          <w:tcPr>
            <w:tcW w:w="740" w:type="dxa"/>
            <w:vAlign w:val="bottom"/>
            <w:tcBorders>
              <w:bottom w:val="single" w:sz="8" w:color="00249C"/>
            </w:tcBorders>
          </w:tcPr>
          <w:p>
            <w:pPr>
              <w:spacing w:after="0"/>
              <w:rPr>
                <w:sz w:val="2"/>
                <w:szCs w:val="2"/>
                <w:color w:val="auto"/>
              </w:rPr>
            </w:pPr>
          </w:p>
        </w:tc>
        <w:tc>
          <w:tcPr>
            <w:tcW w:w="1240" w:type="dxa"/>
            <w:vAlign w:val="bottom"/>
            <w:tcBorders>
              <w:bottom w:val="single" w:sz="8" w:color="00249C"/>
            </w:tcBorders>
          </w:tcPr>
          <w:p>
            <w:pPr>
              <w:spacing w:after="0"/>
              <w:rPr>
                <w:sz w:val="2"/>
                <w:szCs w:val="2"/>
                <w:color w:val="auto"/>
              </w:rPr>
            </w:pPr>
          </w:p>
        </w:tc>
        <w:tc>
          <w:tcPr>
            <w:tcW w:w="540" w:type="dxa"/>
            <w:vAlign w:val="bottom"/>
            <w:tcBorders>
              <w:bottom w:val="single" w:sz="8" w:color="00249C"/>
            </w:tcBorders>
          </w:tcPr>
          <w:p>
            <w:pPr>
              <w:spacing w:after="0"/>
              <w:rPr>
                <w:sz w:val="2"/>
                <w:szCs w:val="2"/>
                <w:color w:val="auto"/>
              </w:rPr>
            </w:pPr>
          </w:p>
        </w:tc>
        <w:tc>
          <w:tcPr>
            <w:tcW w:w="1320" w:type="dxa"/>
            <w:vAlign w:val="bottom"/>
            <w:tcBorders>
              <w:bottom w:val="single" w:sz="8" w:color="00249C"/>
            </w:tcBorders>
          </w:tcPr>
          <w:p>
            <w:pPr>
              <w:spacing w:after="0"/>
              <w:rPr>
                <w:sz w:val="2"/>
                <w:szCs w:val="2"/>
                <w:color w:val="auto"/>
              </w:rPr>
            </w:pPr>
          </w:p>
        </w:tc>
        <w:tc>
          <w:tcPr>
            <w:tcW w:w="620" w:type="dxa"/>
            <w:vAlign w:val="bottom"/>
            <w:tcBorders>
              <w:bottom w:val="single" w:sz="8" w:color="00249C"/>
            </w:tcBorders>
          </w:tcPr>
          <w:p>
            <w:pPr>
              <w:spacing w:after="0"/>
              <w:rPr>
                <w:sz w:val="2"/>
                <w:szCs w:val="2"/>
                <w:color w:val="auto"/>
              </w:rPr>
            </w:pPr>
          </w:p>
        </w:tc>
        <w:tc>
          <w:tcPr>
            <w:tcW w:w="1240" w:type="dxa"/>
            <w:vAlign w:val="bottom"/>
            <w:tcBorders>
              <w:bottom w:val="single" w:sz="8" w:color="00249C"/>
            </w:tcBorders>
          </w:tcPr>
          <w:p>
            <w:pPr>
              <w:spacing w:after="0"/>
              <w:rPr>
                <w:sz w:val="2"/>
                <w:szCs w:val="2"/>
                <w:color w:val="auto"/>
              </w:rPr>
            </w:pPr>
          </w:p>
        </w:tc>
      </w:tr>
      <w:tr>
        <w:trPr>
          <w:trHeight w:val="56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Net earnings</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2,248</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3,229</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2,869</w:t>
            </w:r>
          </w:p>
        </w:tc>
      </w:tr>
      <w:tr>
        <w:trPr>
          <w:trHeight w:val="270"/>
        </w:trPr>
        <w:tc>
          <w:tcPr>
            <w:tcW w:w="5540" w:type="dxa"/>
            <w:vAlign w:val="bottom"/>
          </w:tcPr>
          <w:p>
            <w:pPr>
              <w:ind w:left="380"/>
              <w:spacing w:after="0"/>
              <w:rPr>
                <w:sz w:val="20"/>
                <w:szCs w:val="20"/>
                <w:color w:val="auto"/>
              </w:rPr>
            </w:pPr>
            <w:r>
              <w:rPr>
                <w:rFonts w:ascii="Arial" w:cs="Arial" w:eastAsia="Arial" w:hAnsi="Arial"/>
                <w:sz w:val="18"/>
                <w:szCs w:val="18"/>
                <w:color w:val="auto"/>
              </w:rPr>
              <w:t>MTM expense (benefit)</w:t>
            </w:r>
          </w:p>
        </w:tc>
        <w:tc>
          <w:tcPr>
            <w:tcW w:w="740" w:type="dxa"/>
            <w:vAlign w:val="bottom"/>
          </w:tcPr>
          <w:p>
            <w:pPr>
              <w:spacing w:after="0"/>
              <w:rPr>
                <w:sz w:val="23"/>
                <w:szCs w:val="23"/>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1,800</w:t>
            </w:r>
          </w:p>
        </w:tc>
        <w:tc>
          <w:tcPr>
            <w:tcW w:w="540" w:type="dxa"/>
            <w:vAlign w:val="bottom"/>
          </w:tcPr>
          <w:p>
            <w:pPr>
              <w:spacing w:after="0"/>
              <w:rPr>
                <w:sz w:val="23"/>
                <w:szCs w:val="23"/>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655</w:t>
            </w:r>
          </w:p>
        </w:tc>
        <w:tc>
          <w:tcPr>
            <w:tcW w:w="6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(536)</w:t>
            </w:r>
          </w:p>
        </w:tc>
      </w:tr>
      <w:tr>
        <w:trPr>
          <w:trHeight w:val="283"/>
        </w:trPr>
        <w:tc>
          <w:tcPr>
            <w:tcW w:w="5540" w:type="dxa"/>
            <w:vAlign w:val="bottom"/>
          </w:tcPr>
          <w:p>
            <w:pPr>
              <w:ind w:left="380"/>
              <w:spacing w:after="0"/>
              <w:rPr>
                <w:sz w:val="20"/>
                <w:szCs w:val="20"/>
                <w:color w:val="auto"/>
              </w:rPr>
            </w:pPr>
            <w:r>
              <w:rPr>
                <w:rFonts w:ascii="Arial" w:cs="Arial" w:eastAsia="Arial" w:hAnsi="Arial"/>
                <w:sz w:val="18"/>
                <w:szCs w:val="18"/>
                <w:color w:val="auto"/>
              </w:rPr>
              <w:t>MTM-related deferred state tax (benefit) expense</w:t>
            </w:r>
          </w:p>
        </w:tc>
        <w:tc>
          <w:tcPr>
            <w:tcW w:w="740" w:type="dxa"/>
            <w:vAlign w:val="bottom"/>
          </w:tcPr>
          <w:p>
            <w:pPr>
              <w:spacing w:after="0"/>
              <w:rPr>
                <w:sz w:val="24"/>
                <w:szCs w:val="24"/>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4"/>
                <w:szCs w:val="24"/>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4"/>
                <w:szCs w:val="24"/>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24</w:t>
            </w:r>
          </w:p>
        </w:tc>
      </w:tr>
      <w:tr>
        <w:trPr>
          <w:trHeight w:val="277"/>
        </w:trPr>
        <w:tc>
          <w:tcPr>
            <w:tcW w:w="5540" w:type="dxa"/>
            <w:vAlign w:val="bottom"/>
            <w:tcBorders>
              <w:bottom w:val="single" w:sz="8" w:color="00249C"/>
            </w:tcBorders>
          </w:tcPr>
          <w:p>
            <w:pPr>
              <w:ind w:left="380"/>
              <w:spacing w:after="0"/>
              <w:rPr>
                <w:sz w:val="20"/>
                <w:szCs w:val="20"/>
                <w:color w:val="auto"/>
              </w:rPr>
            </w:pPr>
            <w:r>
              <w:rPr>
                <w:rFonts w:ascii="Arial" w:cs="Arial" w:eastAsia="Arial" w:hAnsi="Arial"/>
                <w:sz w:val="18"/>
                <w:szCs w:val="18"/>
                <w:color w:val="auto"/>
              </w:rPr>
              <w:t>Federal tax (benefit) expense of items above</w:t>
            </w:r>
          </w:p>
        </w:tc>
        <w:tc>
          <w:tcPr>
            <w:tcW w:w="740" w:type="dxa"/>
            <w:vAlign w:val="bottom"/>
            <w:tcBorders>
              <w:bottom w:val="single" w:sz="8" w:color="00249C"/>
            </w:tcBorders>
          </w:tcPr>
          <w:p>
            <w:pPr>
              <w:spacing w:after="0"/>
              <w:rPr>
                <w:sz w:val="24"/>
                <w:szCs w:val="24"/>
                <w:color w:val="auto"/>
              </w:rPr>
            </w:pPr>
          </w:p>
        </w:tc>
        <w:tc>
          <w:tcPr>
            <w:tcW w:w="1240" w:type="dxa"/>
            <w:vAlign w:val="bottom"/>
            <w:tcBorders>
              <w:bottom w:val="single" w:sz="8" w:color="00249C"/>
            </w:tcBorders>
          </w:tcPr>
          <w:p>
            <w:pPr>
              <w:jc w:val="right"/>
              <w:ind w:right="51"/>
              <w:spacing w:after="0"/>
              <w:rPr>
                <w:sz w:val="20"/>
                <w:szCs w:val="20"/>
                <w:color w:val="auto"/>
              </w:rPr>
            </w:pPr>
            <w:r>
              <w:rPr>
                <w:rFonts w:ascii="Arial" w:cs="Arial" w:eastAsia="Arial" w:hAnsi="Arial"/>
                <w:sz w:val="18"/>
                <w:szCs w:val="18"/>
                <w:color w:val="auto"/>
              </w:rPr>
              <w:t>(361)</w:t>
            </w:r>
          </w:p>
        </w:tc>
        <w:tc>
          <w:tcPr>
            <w:tcW w:w="540" w:type="dxa"/>
            <w:vAlign w:val="bottom"/>
            <w:tcBorders>
              <w:bottom w:val="single" w:sz="8" w:color="00249C"/>
            </w:tcBorders>
          </w:tcPr>
          <w:p>
            <w:pPr>
              <w:spacing w:after="0"/>
              <w:rPr>
                <w:sz w:val="24"/>
                <w:szCs w:val="24"/>
                <w:color w:val="auto"/>
              </w:rPr>
            </w:pPr>
          </w:p>
        </w:tc>
        <w:tc>
          <w:tcPr>
            <w:tcW w:w="1320" w:type="dxa"/>
            <w:vAlign w:val="bottom"/>
            <w:tcBorders>
              <w:bottom w:val="single" w:sz="8" w:color="00249C"/>
            </w:tcBorders>
          </w:tcPr>
          <w:p>
            <w:pPr>
              <w:jc w:val="right"/>
              <w:ind w:right="51"/>
              <w:spacing w:after="0"/>
              <w:rPr>
                <w:sz w:val="20"/>
                <w:szCs w:val="20"/>
                <w:color w:val="auto"/>
              </w:rPr>
            </w:pPr>
            <w:r>
              <w:rPr>
                <w:rFonts w:ascii="Arial" w:cs="Arial" w:eastAsia="Arial" w:hAnsi="Arial"/>
                <w:sz w:val="18"/>
                <w:szCs w:val="18"/>
                <w:color w:val="auto"/>
              </w:rPr>
              <w:t>(131)</w:t>
            </w:r>
          </w:p>
        </w:tc>
        <w:tc>
          <w:tcPr>
            <w:tcW w:w="620" w:type="dxa"/>
            <w:vAlign w:val="bottom"/>
            <w:tcBorders>
              <w:bottom w:val="single" w:sz="8" w:color="00249C"/>
            </w:tcBorders>
          </w:tcPr>
          <w:p>
            <w:pPr>
              <w:spacing w:after="0"/>
              <w:rPr>
                <w:sz w:val="24"/>
                <w:szCs w:val="24"/>
                <w:color w:val="auto"/>
              </w:rPr>
            </w:pPr>
          </w:p>
        </w:tc>
        <w:tc>
          <w:tcPr>
            <w:tcW w:w="1240" w:type="dxa"/>
            <w:vAlign w:val="bottom"/>
            <w:tcBorders>
              <w:bottom w:val="single" w:sz="8" w:color="00249C"/>
            </w:tcBorders>
          </w:tcPr>
          <w:p>
            <w:pPr>
              <w:jc w:val="right"/>
              <w:ind w:right="91"/>
              <w:spacing w:after="0"/>
              <w:rPr>
                <w:sz w:val="20"/>
                <w:szCs w:val="20"/>
                <w:color w:val="auto"/>
              </w:rPr>
            </w:pPr>
            <w:r>
              <w:rPr>
                <w:rFonts w:ascii="Arial" w:cs="Arial" w:eastAsia="Arial" w:hAnsi="Arial"/>
                <w:sz w:val="18"/>
                <w:szCs w:val="18"/>
                <w:color w:val="auto"/>
              </w:rPr>
              <w:t>108</w:t>
            </w:r>
          </w:p>
        </w:tc>
      </w:tr>
      <w:tr>
        <w:trPr>
          <w:trHeight w:val="263"/>
        </w:trPr>
        <w:tc>
          <w:tcPr>
            <w:tcW w:w="5540" w:type="dxa"/>
            <w:vAlign w:val="bottom"/>
            <w:tcBorders>
              <w:bottom w:val="single" w:sz="8" w:color="00249C"/>
            </w:tcBorders>
          </w:tcPr>
          <w:p>
            <w:pPr>
              <w:ind w:left="40"/>
              <w:spacing w:after="0"/>
              <w:rPr>
                <w:sz w:val="20"/>
                <w:szCs w:val="20"/>
                <w:color w:val="auto"/>
              </w:rPr>
            </w:pPr>
            <w:r>
              <w:rPr>
                <w:rFonts w:ascii="Arial" w:cs="Arial" w:eastAsia="Arial" w:hAnsi="Arial"/>
                <w:sz w:val="18"/>
                <w:szCs w:val="18"/>
                <w:color w:val="auto"/>
              </w:rPr>
              <w:t>After-tax MTM adjustment</w:t>
            </w:r>
          </w:p>
        </w:tc>
        <w:tc>
          <w:tcPr>
            <w:tcW w:w="740" w:type="dxa"/>
            <w:vAlign w:val="bottom"/>
            <w:tcBorders>
              <w:bottom w:val="single" w:sz="8" w:color="00249C"/>
            </w:tcBorders>
          </w:tcPr>
          <w:p>
            <w:pPr>
              <w:spacing w:after="0"/>
              <w:rPr>
                <w:sz w:val="22"/>
                <w:szCs w:val="22"/>
                <w:color w:val="auto"/>
              </w:rPr>
            </w:pPr>
          </w:p>
        </w:tc>
        <w:tc>
          <w:tcPr>
            <w:tcW w:w="124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1,358</w:t>
            </w:r>
          </w:p>
        </w:tc>
        <w:tc>
          <w:tcPr>
            <w:tcW w:w="540" w:type="dxa"/>
            <w:vAlign w:val="bottom"/>
            <w:tcBorders>
              <w:bottom w:val="single" w:sz="8" w:color="00249C"/>
            </w:tcBorders>
          </w:tcPr>
          <w:p>
            <w:pPr>
              <w:spacing w:after="0"/>
              <w:rPr>
                <w:sz w:val="22"/>
                <w:szCs w:val="22"/>
                <w:color w:val="auto"/>
              </w:rPr>
            </w:pPr>
          </w:p>
        </w:tc>
        <w:tc>
          <w:tcPr>
            <w:tcW w:w="132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495</w:t>
            </w:r>
          </w:p>
        </w:tc>
        <w:tc>
          <w:tcPr>
            <w:tcW w:w="620" w:type="dxa"/>
            <w:vAlign w:val="bottom"/>
            <w:tcBorders>
              <w:bottom w:val="single" w:sz="8" w:color="00249C"/>
            </w:tcBorders>
          </w:tcPr>
          <w:p>
            <w:pPr>
              <w:spacing w:after="0"/>
              <w:rPr>
                <w:sz w:val="22"/>
                <w:szCs w:val="22"/>
                <w:color w:val="auto"/>
              </w:rPr>
            </w:pPr>
          </w:p>
        </w:tc>
        <w:tc>
          <w:tcPr>
            <w:tcW w:w="1240" w:type="dxa"/>
            <w:vAlign w:val="bottom"/>
            <w:tcBorders>
              <w:bottom w:val="single" w:sz="8" w:color="00249C"/>
            </w:tcBorders>
          </w:tcPr>
          <w:p>
            <w:pPr>
              <w:jc w:val="right"/>
              <w:ind w:right="31"/>
              <w:spacing w:after="0"/>
              <w:rPr>
                <w:sz w:val="20"/>
                <w:szCs w:val="20"/>
                <w:color w:val="auto"/>
              </w:rPr>
            </w:pPr>
            <w:r>
              <w:rPr>
                <w:rFonts w:ascii="Arial" w:cs="Arial" w:eastAsia="Arial" w:hAnsi="Arial"/>
                <w:sz w:val="18"/>
                <w:szCs w:val="18"/>
                <w:color w:val="auto"/>
              </w:rPr>
              <w:t>(404)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MTM-adjusted net earnings</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3,606</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3,724</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2,465</w:t>
            </w:r>
          </w:p>
        </w:tc>
      </w:tr>
      <w:tr>
        <w:trPr>
          <w:trHeight w:val="27"/>
        </w:trPr>
        <w:tc>
          <w:tcPr>
            <w:tcW w:w="5540" w:type="dxa"/>
            <w:vAlign w:val="bottom"/>
            <w:tcBorders>
              <w:bottom w:val="single" w:sz="8" w:color="00249C"/>
            </w:tcBorders>
          </w:tcPr>
          <w:p>
            <w:pPr>
              <w:spacing w:after="0"/>
              <w:rPr>
                <w:sz w:val="2"/>
                <w:szCs w:val="2"/>
                <w:color w:val="auto"/>
              </w:rPr>
            </w:pPr>
          </w:p>
        </w:tc>
        <w:tc>
          <w:tcPr>
            <w:tcW w:w="740" w:type="dxa"/>
            <w:vAlign w:val="bottom"/>
            <w:tcBorders>
              <w:bottom w:val="single" w:sz="8" w:color="00249C"/>
            </w:tcBorders>
          </w:tcPr>
          <w:p>
            <w:pPr>
              <w:spacing w:after="0"/>
              <w:rPr>
                <w:sz w:val="2"/>
                <w:szCs w:val="2"/>
                <w:color w:val="auto"/>
              </w:rPr>
            </w:pPr>
          </w:p>
        </w:tc>
        <w:tc>
          <w:tcPr>
            <w:tcW w:w="1240" w:type="dxa"/>
            <w:vAlign w:val="bottom"/>
            <w:tcBorders>
              <w:bottom w:val="single" w:sz="8" w:color="00249C"/>
            </w:tcBorders>
          </w:tcPr>
          <w:p>
            <w:pPr>
              <w:spacing w:after="0"/>
              <w:rPr>
                <w:sz w:val="2"/>
                <w:szCs w:val="2"/>
                <w:color w:val="auto"/>
              </w:rPr>
            </w:pPr>
          </w:p>
        </w:tc>
        <w:tc>
          <w:tcPr>
            <w:tcW w:w="540" w:type="dxa"/>
            <w:vAlign w:val="bottom"/>
            <w:tcBorders>
              <w:bottom w:val="single" w:sz="8" w:color="00249C"/>
            </w:tcBorders>
          </w:tcPr>
          <w:p>
            <w:pPr>
              <w:spacing w:after="0"/>
              <w:rPr>
                <w:sz w:val="2"/>
                <w:szCs w:val="2"/>
                <w:color w:val="auto"/>
              </w:rPr>
            </w:pPr>
          </w:p>
        </w:tc>
        <w:tc>
          <w:tcPr>
            <w:tcW w:w="1320" w:type="dxa"/>
            <w:vAlign w:val="bottom"/>
            <w:tcBorders>
              <w:bottom w:val="single" w:sz="8" w:color="00249C"/>
            </w:tcBorders>
          </w:tcPr>
          <w:p>
            <w:pPr>
              <w:spacing w:after="0"/>
              <w:rPr>
                <w:sz w:val="2"/>
                <w:szCs w:val="2"/>
                <w:color w:val="auto"/>
              </w:rPr>
            </w:pPr>
          </w:p>
        </w:tc>
        <w:tc>
          <w:tcPr>
            <w:tcW w:w="620" w:type="dxa"/>
            <w:vAlign w:val="bottom"/>
            <w:tcBorders>
              <w:bottom w:val="single" w:sz="8" w:color="00249C"/>
            </w:tcBorders>
          </w:tcPr>
          <w:p>
            <w:pPr>
              <w:spacing w:after="0"/>
              <w:rPr>
                <w:sz w:val="2"/>
                <w:szCs w:val="2"/>
                <w:color w:val="auto"/>
              </w:rPr>
            </w:pPr>
          </w:p>
        </w:tc>
        <w:tc>
          <w:tcPr>
            <w:tcW w:w="1240" w:type="dxa"/>
            <w:vAlign w:val="bottom"/>
            <w:tcBorders>
              <w:bottom w:val="single" w:sz="8" w:color="00249C"/>
            </w:tcBorders>
          </w:tcPr>
          <w:p>
            <w:pPr>
              <w:spacing w:after="0"/>
              <w:rPr>
                <w:sz w:val="2"/>
                <w:szCs w:val="2"/>
                <w:color w:val="auto"/>
              </w:rPr>
            </w:pPr>
          </w:p>
        </w:tc>
      </w:tr>
      <w:tr>
        <w:trPr>
          <w:trHeight w:val="56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11"/>
              <w:spacing w:after="0"/>
              <w:rPr>
                <w:sz w:val="20"/>
                <w:szCs w:val="20"/>
                <w:color w:val="auto"/>
              </w:rPr>
            </w:pPr>
            <w:r>
              <w:rPr>
                <w:rFonts w:ascii="Arial" w:cs="Arial" w:eastAsia="Arial" w:hAnsi="Arial"/>
                <w:sz w:val="18"/>
                <w:szCs w:val="18"/>
                <w:b w:val="1"/>
                <w:bCs w:val="1"/>
                <w:color w:val="auto"/>
              </w:rPr>
              <w:t>13.22</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rPr>
              <w:t>18.49</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b w:val="1"/>
                <w:bCs w:val="1"/>
                <w:color w:val="auto"/>
              </w:rPr>
              <w:t>16.34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-5648325</wp:posOffset>
            </wp:positionV>
            <wp:extent cx="35490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MTM expense (benefit) per share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MTM-related deferred state tax (benefit) expense per share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 tax (benefit) expense of items above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670"/>
              <w:spacing w:after="0"/>
              <w:rPr>
                <w:sz w:val="20"/>
                <w:szCs w:val="20"/>
                <w:color w:val="auto"/>
              </w:rPr>
            </w:pPr>
            <w:r>
              <w:rPr>
                <w:rFonts w:ascii="Arial" w:cs="Arial" w:eastAsia="Arial" w:hAnsi="Arial"/>
                <w:sz w:val="18"/>
                <w:szCs w:val="18"/>
                <w:color w:val="auto"/>
                <w:w w:val="93"/>
              </w:rPr>
              <w:t>10.59</w:t>
            </w:r>
          </w:p>
        </w:tc>
        <w:tc>
          <w:tcPr>
            <w:tcW w:w="1860" w:type="dxa"/>
            <w:vAlign w:val="bottom"/>
          </w:tcPr>
          <w:p>
            <w:pPr>
              <w:jc w:val="right"/>
              <w:ind w:right="670"/>
              <w:spacing w:after="0"/>
              <w:rPr>
                <w:sz w:val="20"/>
                <w:szCs w:val="20"/>
                <w:color w:val="auto"/>
              </w:rPr>
            </w:pPr>
            <w:r>
              <w:rPr>
                <w:rFonts w:ascii="Arial" w:cs="Arial" w:eastAsia="Arial" w:hAnsi="Arial"/>
                <w:sz w:val="18"/>
                <w:szCs w:val="18"/>
                <w:color w:val="auto"/>
              </w:rPr>
              <w:t>3.76</w:t>
            </w:r>
          </w:p>
        </w:tc>
        <w:tc>
          <w:tcPr>
            <w:tcW w:w="11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0"/>
        </w:trPr>
        <w:tc>
          <w:tcPr>
            <w:tcW w:w="1200" w:type="dxa"/>
            <w:vAlign w:val="bottom"/>
          </w:tcPr>
          <w:p>
            <w:pPr>
              <w:jc w:val="right"/>
              <w:ind w:right="610"/>
              <w:spacing w:after="0"/>
              <w:rPr>
                <w:sz w:val="20"/>
                <w:szCs w:val="20"/>
                <w:color w:val="auto"/>
              </w:rPr>
            </w:pPr>
            <w:r>
              <w:rPr>
                <w:rFonts w:ascii="Arial" w:cs="Arial" w:eastAsia="Arial" w:hAnsi="Arial"/>
                <w:sz w:val="18"/>
                <w:szCs w:val="18"/>
                <w:color w:val="auto"/>
              </w:rPr>
              <w:t>(0.48)</w:t>
            </w:r>
          </w:p>
        </w:tc>
        <w:tc>
          <w:tcPr>
            <w:tcW w:w="1860" w:type="dxa"/>
            <w:vAlign w:val="bottom"/>
          </w:tcPr>
          <w:p>
            <w:pPr>
              <w:jc w:val="right"/>
              <w:ind w:right="610"/>
              <w:spacing w:after="0"/>
              <w:rPr>
                <w:sz w:val="20"/>
                <w:szCs w:val="20"/>
                <w:color w:val="auto"/>
              </w:rPr>
            </w:pPr>
            <w:r>
              <w:rPr>
                <w:rFonts w:ascii="Arial" w:cs="Arial" w:eastAsia="Arial" w:hAnsi="Arial"/>
                <w:sz w:val="18"/>
                <w:szCs w:val="18"/>
                <w:color w:val="auto"/>
              </w:rPr>
              <w:t>(0.17)</w:t>
            </w:r>
          </w:p>
        </w:tc>
        <w:tc>
          <w:tcPr>
            <w:tcW w:w="118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0"/>
        </w:trPr>
        <w:tc>
          <w:tcPr>
            <w:tcW w:w="1200" w:type="dxa"/>
            <w:vAlign w:val="bottom"/>
          </w:tcPr>
          <w:p>
            <w:pPr>
              <w:jc w:val="right"/>
              <w:ind w:right="610"/>
              <w:spacing w:after="0"/>
              <w:rPr>
                <w:sz w:val="20"/>
                <w:szCs w:val="20"/>
                <w:color w:val="auto"/>
              </w:rPr>
            </w:pPr>
            <w:r>
              <w:rPr>
                <w:rFonts w:ascii="Arial" w:cs="Arial" w:eastAsia="Arial" w:hAnsi="Arial"/>
                <w:sz w:val="18"/>
                <w:szCs w:val="18"/>
                <w:color w:val="auto"/>
              </w:rPr>
              <w:t>(2.12)</w:t>
            </w:r>
          </w:p>
        </w:tc>
        <w:tc>
          <w:tcPr>
            <w:tcW w:w="1860" w:type="dxa"/>
            <w:vAlign w:val="bottom"/>
          </w:tcPr>
          <w:p>
            <w:pPr>
              <w:jc w:val="right"/>
              <w:ind w:right="610"/>
              <w:spacing w:after="0"/>
              <w:rPr>
                <w:sz w:val="20"/>
                <w:szCs w:val="20"/>
                <w:color w:val="auto"/>
              </w:rPr>
            </w:pPr>
            <w:r>
              <w:rPr>
                <w:rFonts w:ascii="Arial" w:cs="Arial" w:eastAsia="Arial" w:hAnsi="Arial"/>
                <w:sz w:val="18"/>
                <w:szCs w:val="18"/>
                <w:color w:val="auto"/>
              </w:rPr>
              <w:t>(0.75)</w:t>
            </w:r>
          </w:p>
        </w:tc>
        <w:tc>
          <w:tcPr>
            <w:tcW w:w="1180" w:type="dxa"/>
            <w:vAlign w:val="bottom"/>
          </w:tcPr>
          <w:p>
            <w:pPr>
              <w:jc w:val="right"/>
              <w:spacing w:after="0"/>
              <w:rPr>
                <w:sz w:val="20"/>
                <w:szCs w:val="20"/>
                <w:color w:val="auto"/>
              </w:rPr>
            </w:pPr>
            <w:r>
              <w:rPr>
                <w:rFonts w:ascii="Arial" w:cs="Arial" w:eastAsia="Arial" w:hAnsi="Arial"/>
                <w:sz w:val="18"/>
                <w:szCs w:val="18"/>
                <w:color w:val="auto"/>
              </w:rPr>
              <w:t>0.62</w:t>
            </w:r>
          </w:p>
        </w:tc>
      </w:tr>
    </w:tbl>
    <w:p>
      <w:pPr>
        <w:spacing w:after="0" w:line="53" w:lineRule="exact"/>
        <w:rPr>
          <w:sz w:val="20"/>
          <w:szCs w:val="20"/>
          <w:color w:val="auto"/>
        </w:rPr>
      </w:pPr>
    </w:p>
    <w:p>
      <w:pPr>
        <w:sectPr>
          <w:pgSz w:w="11900" w:h="16838" w:orient="portrait"/>
          <w:cols w:equalWidth="0" w:num="2">
            <w:col w:w="6160" w:space="720"/>
            <w:col w:w="4360"/>
          </w:cols>
          <w:pgMar w:left="320" w:top="674"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80" w:type="dxa"/>
            <w:vAlign w:val="bottom"/>
            <w:tcBorders>
              <w:bottom w:val="single" w:sz="8" w:color="00249C"/>
            </w:tcBorders>
          </w:tcPr>
          <w:p>
            <w:pPr>
              <w:ind w:left="40"/>
              <w:spacing w:after="0"/>
              <w:rPr>
                <w:sz w:val="20"/>
                <w:szCs w:val="20"/>
                <w:color w:val="auto"/>
              </w:rPr>
            </w:pPr>
            <w:r>
              <w:rPr>
                <w:rFonts w:ascii="Arial" w:cs="Arial" w:eastAsia="Arial" w:hAnsi="Arial"/>
                <w:sz w:val="18"/>
                <w:szCs w:val="18"/>
                <w:color w:val="auto"/>
              </w:rPr>
              <w:t>After-tax MTM adjustment per share</w:t>
            </w:r>
          </w:p>
        </w:tc>
        <w:tc>
          <w:tcPr>
            <w:tcW w:w="2020" w:type="dxa"/>
            <w:vAlign w:val="bottom"/>
            <w:tcBorders>
              <w:bottom w:val="single" w:sz="8" w:color="00249C"/>
            </w:tcBorders>
          </w:tcPr>
          <w:p>
            <w:pPr>
              <w:spacing w:after="0"/>
              <w:rPr>
                <w:sz w:val="20"/>
                <w:szCs w:val="20"/>
                <w:color w:val="auto"/>
              </w:rPr>
            </w:pPr>
          </w:p>
        </w:tc>
        <w:tc>
          <w:tcPr>
            <w:tcW w:w="1100" w:type="dxa"/>
            <w:vAlign w:val="bottom"/>
            <w:tcBorders>
              <w:bottom w:val="single" w:sz="8" w:color="00249C"/>
            </w:tcBorders>
          </w:tcPr>
          <w:p>
            <w:pPr>
              <w:jc w:val="right"/>
              <w:ind w:right="190"/>
              <w:spacing w:after="0"/>
              <w:rPr>
                <w:sz w:val="20"/>
                <w:szCs w:val="20"/>
                <w:color w:val="auto"/>
              </w:rPr>
            </w:pPr>
            <w:r>
              <w:rPr>
                <w:rFonts w:ascii="Arial" w:cs="Arial" w:eastAsia="Arial" w:hAnsi="Arial"/>
                <w:sz w:val="18"/>
                <w:szCs w:val="18"/>
                <w:color w:val="auto"/>
              </w:rPr>
              <w:t>7.99</w:t>
            </w:r>
          </w:p>
        </w:tc>
        <w:tc>
          <w:tcPr>
            <w:tcW w:w="760" w:type="dxa"/>
            <w:vAlign w:val="bottom"/>
            <w:tcBorders>
              <w:bottom w:val="single" w:sz="8" w:color="00249C"/>
            </w:tcBorders>
          </w:tcPr>
          <w:p>
            <w:pPr>
              <w:spacing w:after="0"/>
              <w:rPr>
                <w:sz w:val="20"/>
                <w:szCs w:val="20"/>
                <w:color w:val="auto"/>
              </w:rPr>
            </w:pPr>
          </w:p>
        </w:tc>
        <w:tc>
          <w:tcPr>
            <w:tcW w:w="1120" w:type="dxa"/>
            <w:vAlign w:val="bottom"/>
            <w:tcBorders>
              <w:bottom w:val="single" w:sz="8" w:color="00249C"/>
            </w:tcBorders>
          </w:tcPr>
          <w:p>
            <w:pPr>
              <w:jc w:val="right"/>
              <w:ind w:right="210"/>
              <w:spacing w:after="0"/>
              <w:rPr>
                <w:sz w:val="20"/>
                <w:szCs w:val="20"/>
                <w:color w:val="auto"/>
              </w:rPr>
            </w:pPr>
            <w:r>
              <w:rPr>
                <w:rFonts w:ascii="Arial" w:cs="Arial" w:eastAsia="Arial" w:hAnsi="Arial"/>
                <w:sz w:val="18"/>
                <w:szCs w:val="18"/>
                <w:color w:val="auto"/>
              </w:rPr>
              <w:t>2.84</w:t>
            </w:r>
          </w:p>
        </w:tc>
        <w:tc>
          <w:tcPr>
            <w:tcW w:w="740" w:type="dxa"/>
            <w:vAlign w:val="bottom"/>
            <w:tcBorders>
              <w:bottom w:val="single" w:sz="8" w:color="00249C"/>
            </w:tcBorders>
          </w:tcPr>
          <w:p>
            <w:pPr>
              <w:spacing w:after="0"/>
              <w:rPr>
                <w:sz w:val="20"/>
                <w:szCs w:val="20"/>
                <w:color w:val="auto"/>
              </w:rPr>
            </w:pPr>
          </w:p>
        </w:tc>
        <w:tc>
          <w:tcPr>
            <w:tcW w:w="1020" w:type="dxa"/>
            <w:vAlign w:val="bottom"/>
            <w:tcBorders>
              <w:bottom w:val="single" w:sz="8" w:color="00249C"/>
            </w:tcBorders>
          </w:tcPr>
          <w:p>
            <w:pPr>
              <w:jc w:val="right"/>
              <w:ind w:right="30"/>
              <w:spacing w:after="0"/>
              <w:rPr>
                <w:sz w:val="20"/>
                <w:szCs w:val="20"/>
                <w:color w:val="auto"/>
              </w:rPr>
            </w:pPr>
            <w:r>
              <w:rPr>
                <w:rFonts w:ascii="Arial" w:cs="Arial" w:eastAsia="Arial" w:hAnsi="Arial"/>
                <w:sz w:val="18"/>
                <w:szCs w:val="18"/>
                <w:color w:val="auto"/>
              </w:rPr>
              <w:t>(2.30)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MTM-adjusted diluted EPS</w:t>
            </w: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21.21</w:t>
            </w: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21.33</w:t>
            </w: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14.04</w:t>
            </w:r>
          </w:p>
        </w:tc>
      </w:tr>
      <w:tr>
        <w:trPr>
          <w:trHeight w:val="27"/>
        </w:trPr>
        <w:tc>
          <w:tcPr>
            <w:tcW w:w="4480" w:type="dxa"/>
            <w:vAlign w:val="bottom"/>
            <w:tcBorders>
              <w:bottom w:val="single" w:sz="8" w:color="00249C"/>
            </w:tcBorders>
          </w:tcPr>
          <w:p>
            <w:pPr>
              <w:spacing w:after="0"/>
              <w:rPr>
                <w:sz w:val="2"/>
                <w:szCs w:val="2"/>
                <w:color w:val="auto"/>
              </w:rPr>
            </w:pPr>
          </w:p>
        </w:tc>
        <w:tc>
          <w:tcPr>
            <w:tcW w:w="2020" w:type="dxa"/>
            <w:vAlign w:val="bottom"/>
            <w:tcBorders>
              <w:bottom w:val="single" w:sz="8" w:color="00249C"/>
            </w:tcBorders>
          </w:tcPr>
          <w:p>
            <w:pPr>
              <w:spacing w:after="0"/>
              <w:rPr>
                <w:sz w:val="2"/>
                <w:szCs w:val="2"/>
                <w:color w:val="auto"/>
              </w:rPr>
            </w:pPr>
          </w:p>
        </w:tc>
        <w:tc>
          <w:tcPr>
            <w:tcW w:w="1100" w:type="dxa"/>
            <w:vAlign w:val="bottom"/>
            <w:tcBorders>
              <w:bottom w:val="single" w:sz="8" w:color="00249C"/>
            </w:tcBorders>
          </w:tcPr>
          <w:p>
            <w:pPr>
              <w:spacing w:after="0"/>
              <w:rPr>
                <w:sz w:val="2"/>
                <w:szCs w:val="2"/>
                <w:color w:val="auto"/>
              </w:rPr>
            </w:pPr>
          </w:p>
        </w:tc>
        <w:tc>
          <w:tcPr>
            <w:tcW w:w="760" w:type="dxa"/>
            <w:vAlign w:val="bottom"/>
            <w:tcBorders>
              <w:bottom w:val="single" w:sz="8" w:color="00249C"/>
            </w:tcBorders>
          </w:tcPr>
          <w:p>
            <w:pPr>
              <w:spacing w:after="0"/>
              <w:rPr>
                <w:sz w:val="2"/>
                <w:szCs w:val="2"/>
                <w:color w:val="auto"/>
              </w:rPr>
            </w:pPr>
          </w:p>
        </w:tc>
        <w:tc>
          <w:tcPr>
            <w:tcW w:w="1120" w:type="dxa"/>
            <w:vAlign w:val="bottom"/>
            <w:tcBorders>
              <w:bottom w:val="single" w:sz="8" w:color="00249C"/>
            </w:tcBorders>
          </w:tcPr>
          <w:p>
            <w:pPr>
              <w:spacing w:after="0"/>
              <w:rPr>
                <w:sz w:val="2"/>
                <w:szCs w:val="2"/>
                <w:color w:val="auto"/>
              </w:rPr>
            </w:pPr>
          </w:p>
        </w:tc>
        <w:tc>
          <w:tcPr>
            <w:tcW w:w="740" w:type="dxa"/>
            <w:vAlign w:val="bottom"/>
            <w:tcBorders>
              <w:bottom w:val="single" w:sz="8" w:color="00249C"/>
            </w:tcBorders>
          </w:tcPr>
          <w:p>
            <w:pPr>
              <w:spacing w:after="0"/>
              <w:rPr>
                <w:sz w:val="2"/>
                <w:szCs w:val="2"/>
                <w:color w:val="auto"/>
              </w:rPr>
            </w:pPr>
          </w:p>
        </w:tc>
        <w:tc>
          <w:tcPr>
            <w:tcW w:w="1020" w:type="dxa"/>
            <w:vAlign w:val="bottom"/>
            <w:tcBorders>
              <w:bottom w:val="single" w:sz="8" w:color="00249C"/>
            </w:tcBorders>
          </w:tcPr>
          <w:p>
            <w:pPr>
              <w:spacing w:after="0"/>
              <w:rPr>
                <w:sz w:val="2"/>
                <w:szCs w:val="2"/>
                <w:color w:val="auto"/>
              </w:rPr>
            </w:pPr>
          </w:p>
        </w:tc>
      </w:tr>
    </w:tbl>
    <w:p>
      <w:pPr>
        <w:spacing w:after="0" w:line="296" w:lineRule="exact"/>
        <w:rPr>
          <w:sz w:val="20"/>
          <w:szCs w:val="20"/>
          <w:color w:val="auto"/>
        </w:rPr>
      </w:pPr>
    </w:p>
    <w:p>
      <w:pPr>
        <w:ind w:left="5140"/>
        <w:spacing w:after="0"/>
        <w:rPr>
          <w:sz w:val="20"/>
          <w:szCs w:val="20"/>
          <w:color w:val="auto"/>
        </w:rPr>
      </w:pPr>
      <w:r>
        <w:rPr>
          <w:rFonts w:ascii="Arial" w:cs="Arial" w:eastAsia="Arial" w:hAnsi="Arial"/>
          <w:sz w:val="14"/>
          <w:szCs w:val="14"/>
          <w:color w:val="00249C"/>
        </w:rPr>
        <w:t xml:space="preserve">NOTICE OF 2020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A-3</w:t>
      </w:r>
    </w:p>
    <w:p>
      <w:pPr>
        <w:sectPr>
          <w:pgSz w:w="11900" w:h="16838" w:orient="portrait"/>
          <w:cols w:equalWidth="0" w:num="1">
            <w:col w:w="11240"/>
          </w:cols>
          <w:pgMar w:left="320" w:top="674" w:right="339" w:bottom="1440" w:gutter="0" w:footer="0" w:header="0"/>
          <w:type w:val="continuous"/>
        </w:sectPr>
      </w:pPr>
    </w:p>
    <w:bookmarkStart w:id="89" w:name="page90"/>
    <w:bookmarkEnd w:id="89"/>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3257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t>APPENDIX A - USE OF NON-GAAP FINANCIAL MEASURES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260" w:type="dxa"/>
            <w:vAlign w:val="bottom"/>
            <w:shd w:val="clear" w:color="auto" w:fill="00249C"/>
          </w:tcPr>
          <w:p>
            <w:pPr>
              <w:spacing w:after="0"/>
              <w:rPr>
                <w:sz w:val="22"/>
                <w:szCs w:val="22"/>
                <w:color w:val="auto"/>
              </w:rPr>
            </w:pPr>
          </w:p>
        </w:tc>
        <w:tc>
          <w:tcPr>
            <w:tcW w:w="640" w:type="dxa"/>
            <w:vAlign w:val="bottom"/>
            <w:shd w:val="clear" w:color="auto" w:fill="00249C"/>
          </w:tcPr>
          <w:p>
            <w:pPr>
              <w:spacing w:after="0"/>
              <w:rPr>
                <w:sz w:val="22"/>
                <w:szCs w:val="22"/>
                <w:color w:val="auto"/>
              </w:rPr>
            </w:pPr>
          </w:p>
        </w:tc>
        <w:tc>
          <w:tcPr>
            <w:tcW w:w="1340" w:type="dxa"/>
            <w:vAlign w:val="bottom"/>
            <w:shd w:val="clear" w:color="auto" w:fill="00249C"/>
          </w:tcPr>
          <w:p>
            <w:pPr>
              <w:jc w:val="right"/>
              <w:ind w:right="512"/>
              <w:spacing w:after="0"/>
              <w:rPr>
                <w:sz w:val="20"/>
                <w:szCs w:val="20"/>
                <w:color w:val="auto"/>
              </w:rPr>
            </w:pPr>
            <w:r>
              <w:rPr>
                <w:rFonts w:ascii="Arial" w:cs="Arial" w:eastAsia="Arial" w:hAnsi="Arial"/>
                <w:sz w:val="14"/>
                <w:szCs w:val="14"/>
                <w:b w:val="1"/>
                <w:bCs w:val="1"/>
                <w:color w:val="FFFFFF"/>
              </w:rPr>
              <w:t>Total Year</w:t>
            </w:r>
          </w:p>
        </w:tc>
      </w:tr>
      <w:tr>
        <w:trPr>
          <w:trHeight w:val="282"/>
        </w:trPr>
        <w:tc>
          <w:tcPr>
            <w:tcW w:w="9260" w:type="dxa"/>
            <w:vAlign w:val="bottom"/>
            <w:shd w:val="clear" w:color="auto" w:fill="00249C"/>
          </w:tcPr>
          <w:p>
            <w:pPr>
              <w:ind w:left="40"/>
              <w:spacing w:after="0"/>
              <w:rPr>
                <w:sz w:val="20"/>
                <w:szCs w:val="20"/>
                <w:color w:val="auto"/>
              </w:rPr>
            </w:pPr>
            <w:r>
              <w:rPr>
                <w:rFonts w:ascii="Arial" w:cs="Arial" w:eastAsia="Arial" w:hAnsi="Arial"/>
                <w:sz w:val="14"/>
                <w:szCs w:val="14"/>
                <w:b w:val="1"/>
                <w:bCs w:val="1"/>
                <w:color w:val="FFFFFF"/>
              </w:rPr>
              <w:t>($M)</w:t>
            </w:r>
          </w:p>
        </w:tc>
        <w:tc>
          <w:tcPr>
            <w:tcW w:w="640" w:type="dxa"/>
            <w:vAlign w:val="bottom"/>
            <w:shd w:val="clear" w:color="auto" w:fill="00249C"/>
          </w:tcPr>
          <w:p>
            <w:pPr>
              <w:spacing w:after="0"/>
              <w:rPr>
                <w:sz w:val="24"/>
                <w:szCs w:val="24"/>
                <w:color w:val="auto"/>
              </w:rPr>
            </w:pPr>
          </w:p>
        </w:tc>
        <w:tc>
          <w:tcPr>
            <w:tcW w:w="1340" w:type="dxa"/>
            <w:vAlign w:val="bottom"/>
            <w:shd w:val="clear" w:color="auto" w:fill="00249C"/>
          </w:tcPr>
          <w:p>
            <w:pPr>
              <w:jc w:val="right"/>
              <w:ind w:right="692"/>
              <w:spacing w:after="0"/>
              <w:rPr>
                <w:sz w:val="20"/>
                <w:szCs w:val="20"/>
                <w:color w:val="auto"/>
              </w:rPr>
            </w:pPr>
            <w:r>
              <w:rPr>
                <w:rFonts w:ascii="Arial" w:cs="Arial" w:eastAsia="Arial" w:hAnsi="Arial"/>
                <w:sz w:val="14"/>
                <w:szCs w:val="14"/>
                <w:b w:val="1"/>
                <w:bCs w:val="1"/>
                <w:color w:val="FFFFFF"/>
              </w:rPr>
              <w:t>2019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Cash provided by operating activities before after-tax discretionary pension contributions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4,392</w:t>
            </w:r>
          </w:p>
        </w:tc>
      </w:tr>
      <w:tr>
        <w:trPr>
          <w:trHeight w:val="270"/>
        </w:trPr>
        <w:tc>
          <w:tcPr>
            <w:tcW w:w="9260" w:type="dxa"/>
            <w:vAlign w:val="bottom"/>
          </w:tcPr>
          <w:p>
            <w:pPr>
              <w:ind w:left="40"/>
              <w:spacing w:after="0"/>
              <w:rPr>
                <w:sz w:val="20"/>
                <w:szCs w:val="20"/>
                <w:color w:val="auto"/>
              </w:rPr>
            </w:pPr>
            <w:r>
              <w:rPr>
                <w:rFonts w:ascii="Arial" w:cs="Arial" w:eastAsia="Arial" w:hAnsi="Arial"/>
                <w:sz w:val="18"/>
                <w:szCs w:val="18"/>
                <w:color w:val="auto"/>
              </w:rPr>
              <w:t>After-tax Orbital ATK transaction-related expenses</w:t>
            </w:r>
          </w:p>
        </w:tc>
        <w:tc>
          <w:tcPr>
            <w:tcW w:w="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89</w:t>
            </w:r>
          </w:p>
        </w:tc>
      </w:tr>
      <w:tr>
        <w:trPr>
          <w:trHeight w:val="27"/>
        </w:trPr>
        <w:tc>
          <w:tcPr>
            <w:tcW w:w="9260" w:type="dxa"/>
            <w:vAlign w:val="bottom"/>
            <w:tcBorders>
              <w:bottom w:val="single" w:sz="8" w:color="00249C"/>
            </w:tcBorders>
          </w:tcPr>
          <w:p>
            <w:pPr>
              <w:spacing w:after="0"/>
              <w:rPr>
                <w:sz w:val="2"/>
                <w:szCs w:val="2"/>
                <w:color w:val="auto"/>
              </w:rPr>
            </w:pPr>
          </w:p>
        </w:tc>
        <w:tc>
          <w:tcPr>
            <w:tcW w:w="640" w:type="dxa"/>
            <w:vAlign w:val="bottom"/>
            <w:tcBorders>
              <w:bottom w:val="single" w:sz="8" w:color="00249C"/>
            </w:tcBorders>
          </w:tcPr>
          <w:p>
            <w:pPr>
              <w:spacing w:after="0"/>
              <w:rPr>
                <w:sz w:val="2"/>
                <w:szCs w:val="2"/>
                <w:color w:val="auto"/>
              </w:rPr>
            </w:pPr>
          </w:p>
        </w:tc>
        <w:tc>
          <w:tcPr>
            <w:tcW w:w="1340" w:type="dxa"/>
            <w:vAlign w:val="bottom"/>
            <w:tcBorders>
              <w:bottom w:val="single" w:sz="8" w:color="00249C"/>
            </w:tcBorders>
          </w:tcPr>
          <w:p>
            <w:pPr>
              <w:spacing w:after="0"/>
              <w:rPr>
                <w:sz w:val="2"/>
                <w:szCs w:val="2"/>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Pension-adjusted Cash Flow from Operations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4,481</w:t>
            </w:r>
          </w:p>
        </w:tc>
      </w:tr>
      <w:tr>
        <w:trPr>
          <w:trHeight w:val="27"/>
        </w:trPr>
        <w:tc>
          <w:tcPr>
            <w:tcW w:w="9260" w:type="dxa"/>
            <w:vAlign w:val="bottom"/>
            <w:tcBorders>
              <w:bottom w:val="single" w:sz="8" w:color="00249C"/>
            </w:tcBorders>
          </w:tcPr>
          <w:p>
            <w:pPr>
              <w:spacing w:after="0"/>
              <w:rPr>
                <w:sz w:val="2"/>
                <w:szCs w:val="2"/>
                <w:color w:val="auto"/>
              </w:rPr>
            </w:pPr>
          </w:p>
        </w:tc>
        <w:tc>
          <w:tcPr>
            <w:tcW w:w="640" w:type="dxa"/>
            <w:vAlign w:val="bottom"/>
            <w:tcBorders>
              <w:bottom w:val="single" w:sz="8" w:color="00249C"/>
            </w:tcBorders>
          </w:tcPr>
          <w:p>
            <w:pPr>
              <w:spacing w:after="0"/>
              <w:rPr>
                <w:sz w:val="2"/>
                <w:szCs w:val="2"/>
                <w:color w:val="auto"/>
              </w:rPr>
            </w:pPr>
          </w:p>
        </w:tc>
        <w:tc>
          <w:tcPr>
            <w:tcW w:w="1340" w:type="dxa"/>
            <w:vAlign w:val="bottom"/>
            <w:tcBorders>
              <w:bottom w:val="single" w:sz="8" w:color="00249C"/>
            </w:tcBorders>
          </w:tcPr>
          <w:p>
            <w:pPr>
              <w:spacing w:after="0"/>
              <w:rPr>
                <w:sz w:val="2"/>
                <w:szCs w:val="2"/>
                <w:color w:val="auto"/>
              </w:rPr>
            </w:pPr>
          </w:p>
        </w:tc>
      </w:tr>
      <w:tr>
        <w:trPr>
          <w:trHeight w:val="507"/>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3,969</w:t>
            </w:r>
          </w:p>
        </w:tc>
      </w:tr>
      <w:tr>
        <w:trPr>
          <w:trHeight w:val="270"/>
        </w:trPr>
        <w:tc>
          <w:tcPr>
            <w:tcW w:w="9260" w:type="dxa"/>
            <w:vAlign w:val="bottom"/>
          </w:tcPr>
          <w:p>
            <w:pPr>
              <w:ind w:left="380"/>
              <w:spacing w:after="0"/>
              <w:rPr>
                <w:sz w:val="20"/>
                <w:szCs w:val="20"/>
                <w:color w:val="auto"/>
              </w:rPr>
            </w:pPr>
            <w:r>
              <w:rPr>
                <w:rFonts w:ascii="Arial" w:cs="Arial" w:eastAsia="Arial" w:hAnsi="Arial"/>
                <w:sz w:val="18"/>
                <w:szCs w:val="18"/>
                <w:color w:val="auto"/>
              </w:rPr>
              <w:t>Net FAS (service)/CAS pension adjustment</w:t>
            </w:r>
          </w:p>
        </w:tc>
        <w:tc>
          <w:tcPr>
            <w:tcW w:w="64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(465)</w:t>
            </w:r>
          </w:p>
        </w:tc>
      </w:tr>
      <w:tr>
        <w:trPr>
          <w:trHeight w:val="270"/>
        </w:trPr>
        <w:tc>
          <w:tcPr>
            <w:tcW w:w="9260" w:type="dxa"/>
            <w:vAlign w:val="bottom"/>
          </w:tcPr>
          <w:p>
            <w:pPr>
              <w:ind w:left="380"/>
              <w:spacing w:after="0"/>
              <w:rPr>
                <w:sz w:val="20"/>
                <w:szCs w:val="20"/>
                <w:color w:val="auto"/>
              </w:rPr>
            </w:pPr>
            <w:r>
              <w:rPr>
                <w:rFonts w:ascii="Arial" w:cs="Arial" w:eastAsia="Arial" w:hAnsi="Arial"/>
                <w:sz w:val="18"/>
                <w:szCs w:val="18"/>
                <w:color w:val="auto"/>
              </w:rPr>
              <w:t>Innovation Systems intangible asset amortization and PP&amp;E step-up depreciation</w:t>
            </w:r>
          </w:p>
        </w:tc>
        <w:tc>
          <w:tcPr>
            <w:tcW w:w="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375</w:t>
            </w:r>
          </w:p>
        </w:tc>
      </w:tr>
      <w:tr>
        <w:trPr>
          <w:trHeight w:val="270"/>
        </w:trPr>
        <w:tc>
          <w:tcPr>
            <w:tcW w:w="9260" w:type="dxa"/>
            <w:vAlign w:val="bottom"/>
          </w:tcPr>
          <w:p>
            <w:pPr>
              <w:ind w:left="380"/>
              <w:spacing w:after="0"/>
              <w:rPr>
                <w:sz w:val="20"/>
                <w:szCs w:val="20"/>
                <w:color w:val="auto"/>
              </w:rPr>
            </w:pPr>
            <w:r>
              <w:rPr>
                <w:rFonts w:ascii="Arial" w:cs="Arial" w:eastAsia="Arial" w:hAnsi="Arial"/>
                <w:sz w:val="18"/>
                <w:szCs w:val="18"/>
                <w:color w:val="auto"/>
              </w:rPr>
              <w:t>Orbital ATK transaction-related expenses</w:t>
            </w:r>
          </w:p>
        </w:tc>
        <w:tc>
          <w:tcPr>
            <w:tcW w:w="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9</w:t>
            </w:r>
          </w:p>
        </w:tc>
      </w:tr>
      <w:tr>
        <w:trPr>
          <w:trHeight w:val="270"/>
        </w:trPr>
        <w:tc>
          <w:tcPr>
            <w:tcW w:w="9260" w:type="dxa"/>
            <w:vAlign w:val="bottom"/>
          </w:tcPr>
          <w:p>
            <w:pPr>
              <w:ind w:left="380"/>
              <w:spacing w:after="0"/>
              <w:rPr>
                <w:sz w:val="20"/>
                <w:szCs w:val="20"/>
                <w:color w:val="auto"/>
              </w:rPr>
            </w:pPr>
            <w:r>
              <w:rPr>
                <w:rFonts w:ascii="Arial" w:cs="Arial" w:eastAsia="Arial" w:hAnsi="Arial"/>
                <w:sz w:val="18"/>
                <w:szCs w:val="18"/>
                <w:color w:val="auto"/>
              </w:rPr>
              <w:t>MTM-related deferred state tax benefit</w:t>
            </w:r>
          </w:p>
        </w:tc>
        <w:tc>
          <w:tcPr>
            <w:tcW w:w="64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(81)</w:t>
            </w:r>
          </w:p>
        </w:tc>
      </w:tr>
      <w:tr>
        <w:trPr>
          <w:trHeight w:val="27"/>
        </w:trPr>
        <w:tc>
          <w:tcPr>
            <w:tcW w:w="9260" w:type="dxa"/>
            <w:vAlign w:val="bottom"/>
            <w:tcBorders>
              <w:bottom w:val="single" w:sz="8" w:color="00249C"/>
            </w:tcBorders>
          </w:tcPr>
          <w:p>
            <w:pPr>
              <w:spacing w:after="0"/>
              <w:rPr>
                <w:sz w:val="2"/>
                <w:szCs w:val="2"/>
                <w:color w:val="auto"/>
              </w:rPr>
            </w:pPr>
          </w:p>
        </w:tc>
        <w:tc>
          <w:tcPr>
            <w:tcW w:w="640" w:type="dxa"/>
            <w:vAlign w:val="bottom"/>
            <w:tcBorders>
              <w:bottom w:val="single" w:sz="8" w:color="00249C"/>
            </w:tcBorders>
          </w:tcPr>
          <w:p>
            <w:pPr>
              <w:spacing w:after="0"/>
              <w:rPr>
                <w:sz w:val="2"/>
                <w:szCs w:val="2"/>
                <w:color w:val="auto"/>
              </w:rPr>
            </w:pPr>
          </w:p>
        </w:tc>
        <w:tc>
          <w:tcPr>
            <w:tcW w:w="1340" w:type="dxa"/>
            <w:vAlign w:val="bottom"/>
            <w:tcBorders>
              <w:bottom w:val="single" w:sz="8" w:color="00249C"/>
            </w:tcBorders>
          </w:tcPr>
          <w:p>
            <w:pPr>
              <w:spacing w:after="0"/>
              <w:rPr>
                <w:sz w:val="2"/>
                <w:szCs w:val="2"/>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Pension-adjusted operating income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3,807</w:t>
            </w:r>
          </w:p>
        </w:tc>
      </w:tr>
      <w:tr>
        <w:trPr>
          <w:trHeight w:val="270"/>
        </w:trPr>
        <w:tc>
          <w:tcPr>
            <w:tcW w:w="9260" w:type="dxa"/>
            <w:vAlign w:val="bottom"/>
          </w:tcPr>
          <w:p>
            <w:pPr>
              <w:ind w:left="40"/>
              <w:spacing w:after="0"/>
              <w:rPr>
                <w:sz w:val="20"/>
                <w:szCs w:val="20"/>
                <w:color w:val="auto"/>
              </w:rPr>
            </w:pPr>
            <w:r>
              <w:rPr>
                <w:rFonts w:ascii="Arial" w:cs="Arial" w:eastAsia="Arial" w:hAnsi="Arial"/>
                <w:sz w:val="18"/>
                <w:szCs w:val="18"/>
                <w:i w:val="1"/>
                <w:iCs w:val="1"/>
                <w:color w:val="auto"/>
              </w:rPr>
              <w:t>Pension-adjusted Operating Margin Rate</w:t>
            </w:r>
          </w:p>
        </w:tc>
        <w:tc>
          <w:tcPr>
            <w:tcW w:w="6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11.2%</w:t>
            </w:r>
          </w:p>
        </w:tc>
      </w:tr>
      <w:tr>
        <w:trPr>
          <w:trHeight w:val="27"/>
        </w:trPr>
        <w:tc>
          <w:tcPr>
            <w:tcW w:w="9260" w:type="dxa"/>
            <w:vAlign w:val="bottom"/>
            <w:tcBorders>
              <w:bottom w:val="single" w:sz="8" w:color="00249C"/>
            </w:tcBorders>
          </w:tcPr>
          <w:p>
            <w:pPr>
              <w:spacing w:after="0"/>
              <w:rPr>
                <w:sz w:val="2"/>
                <w:szCs w:val="2"/>
                <w:color w:val="auto"/>
              </w:rPr>
            </w:pPr>
          </w:p>
        </w:tc>
        <w:tc>
          <w:tcPr>
            <w:tcW w:w="640" w:type="dxa"/>
            <w:vAlign w:val="bottom"/>
            <w:tcBorders>
              <w:bottom w:val="single" w:sz="8" w:color="00249C"/>
            </w:tcBorders>
          </w:tcPr>
          <w:p>
            <w:pPr>
              <w:spacing w:after="0"/>
              <w:rPr>
                <w:sz w:val="2"/>
                <w:szCs w:val="2"/>
                <w:color w:val="auto"/>
              </w:rPr>
            </w:pPr>
          </w:p>
        </w:tc>
        <w:tc>
          <w:tcPr>
            <w:tcW w:w="1340" w:type="dxa"/>
            <w:vAlign w:val="bottom"/>
            <w:tcBorders>
              <w:bottom w:val="single" w:sz="8" w:color="00249C"/>
            </w:tcBorders>
          </w:tcPr>
          <w:p>
            <w:pPr>
              <w:spacing w:after="0"/>
              <w:rPr>
                <w:sz w:val="2"/>
                <w:szCs w:val="2"/>
                <w:color w:val="auto"/>
              </w:rPr>
            </w:pPr>
          </w:p>
        </w:tc>
      </w:tr>
      <w:tr>
        <w:trPr>
          <w:trHeight w:val="561"/>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Net earnings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2,248</w:t>
            </w:r>
          </w:p>
        </w:tc>
      </w:tr>
      <w:tr>
        <w:trPr>
          <w:trHeight w:val="270"/>
        </w:trPr>
        <w:tc>
          <w:tcPr>
            <w:tcW w:w="9260" w:type="dxa"/>
            <w:vAlign w:val="bottom"/>
          </w:tcPr>
          <w:p>
            <w:pPr>
              <w:ind w:left="380"/>
              <w:spacing w:after="0"/>
              <w:rPr>
                <w:sz w:val="20"/>
                <w:szCs w:val="20"/>
                <w:color w:val="auto"/>
              </w:rPr>
            </w:pPr>
            <w:r>
              <w:rPr>
                <w:rFonts w:ascii="Arial" w:cs="Arial" w:eastAsia="Arial" w:hAnsi="Arial"/>
                <w:sz w:val="18"/>
                <w:szCs w:val="18"/>
                <w:color w:val="auto"/>
              </w:rPr>
              <w:t>Net FAS (service)/CAS pension adjustment</w:t>
            </w:r>
          </w:p>
        </w:tc>
        <w:tc>
          <w:tcPr>
            <w:tcW w:w="64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(465)</w:t>
            </w:r>
          </w:p>
        </w:tc>
      </w:tr>
      <w:tr>
        <w:trPr>
          <w:trHeight w:val="270"/>
        </w:trPr>
        <w:tc>
          <w:tcPr>
            <w:tcW w:w="9260" w:type="dxa"/>
            <w:vAlign w:val="bottom"/>
          </w:tcPr>
          <w:p>
            <w:pPr>
              <w:ind w:left="380"/>
              <w:spacing w:after="0"/>
              <w:rPr>
                <w:sz w:val="20"/>
                <w:szCs w:val="20"/>
                <w:color w:val="auto"/>
              </w:rPr>
            </w:pPr>
            <w:r>
              <w:rPr>
                <w:rFonts w:ascii="Arial" w:cs="Arial" w:eastAsia="Arial" w:hAnsi="Arial"/>
                <w:sz w:val="18"/>
                <w:szCs w:val="18"/>
                <w:color w:val="auto"/>
              </w:rPr>
              <w:t>Net FAS (non-service) pension benefit</w:t>
            </w:r>
          </w:p>
        </w:tc>
        <w:tc>
          <w:tcPr>
            <w:tcW w:w="64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(800)</w:t>
            </w:r>
          </w:p>
        </w:tc>
      </w:tr>
      <w:tr>
        <w:trPr>
          <w:trHeight w:val="270"/>
        </w:trPr>
        <w:tc>
          <w:tcPr>
            <w:tcW w:w="9260" w:type="dxa"/>
            <w:vAlign w:val="bottom"/>
          </w:tcPr>
          <w:p>
            <w:pPr>
              <w:ind w:left="380"/>
              <w:spacing w:after="0"/>
              <w:rPr>
                <w:sz w:val="20"/>
                <w:szCs w:val="20"/>
                <w:color w:val="auto"/>
              </w:rPr>
            </w:pPr>
            <w:r>
              <w:rPr>
                <w:rFonts w:ascii="Arial" w:cs="Arial" w:eastAsia="Arial" w:hAnsi="Arial"/>
                <w:sz w:val="18"/>
                <w:szCs w:val="18"/>
                <w:color w:val="auto"/>
              </w:rPr>
              <w:t>Tax effect of net pension adjustment</w:t>
            </w:r>
          </w:p>
        </w:tc>
        <w:tc>
          <w:tcPr>
            <w:tcW w:w="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266</w:t>
            </w:r>
          </w:p>
        </w:tc>
      </w:tr>
      <w:tr>
        <w:trPr>
          <w:trHeight w:val="27"/>
        </w:trPr>
        <w:tc>
          <w:tcPr>
            <w:tcW w:w="9260" w:type="dxa"/>
            <w:vAlign w:val="bottom"/>
            <w:tcBorders>
              <w:bottom w:val="single" w:sz="8" w:color="00249C"/>
            </w:tcBorders>
          </w:tcPr>
          <w:p>
            <w:pPr>
              <w:spacing w:after="0"/>
              <w:rPr>
                <w:sz w:val="2"/>
                <w:szCs w:val="2"/>
                <w:color w:val="auto"/>
              </w:rPr>
            </w:pPr>
          </w:p>
        </w:tc>
        <w:tc>
          <w:tcPr>
            <w:tcW w:w="640" w:type="dxa"/>
            <w:vAlign w:val="bottom"/>
            <w:tcBorders>
              <w:bottom w:val="single" w:sz="8" w:color="00249C"/>
            </w:tcBorders>
          </w:tcPr>
          <w:p>
            <w:pPr>
              <w:spacing w:after="0"/>
              <w:rPr>
                <w:sz w:val="2"/>
                <w:szCs w:val="2"/>
                <w:color w:val="auto"/>
              </w:rPr>
            </w:pPr>
          </w:p>
        </w:tc>
        <w:tc>
          <w:tcPr>
            <w:tcW w:w="1340" w:type="dxa"/>
            <w:vAlign w:val="bottom"/>
            <w:tcBorders>
              <w:bottom w:val="single" w:sz="8" w:color="00249C"/>
            </w:tcBorders>
          </w:tcPr>
          <w:p>
            <w:pPr>
              <w:spacing w:after="0"/>
              <w:rPr>
                <w:sz w:val="2"/>
                <w:szCs w:val="2"/>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After-tax net pension adjustment</w:t>
            </w:r>
          </w:p>
        </w:tc>
        <w:tc>
          <w:tcPr>
            <w:tcW w:w="64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(999)</w:t>
            </w:r>
          </w:p>
        </w:tc>
      </w:tr>
      <w:tr>
        <w:trPr>
          <w:trHeight w:val="270"/>
        </w:trPr>
        <w:tc>
          <w:tcPr>
            <w:tcW w:w="9260" w:type="dxa"/>
            <w:vAlign w:val="bottom"/>
          </w:tcPr>
          <w:p>
            <w:pPr>
              <w:ind w:left="40"/>
              <w:spacing w:after="0"/>
              <w:rPr>
                <w:sz w:val="20"/>
                <w:szCs w:val="20"/>
                <w:color w:val="auto"/>
              </w:rPr>
            </w:pPr>
            <w:r>
              <w:rPr>
                <w:rFonts w:ascii="Arial" w:cs="Arial" w:eastAsia="Arial" w:hAnsi="Arial"/>
                <w:sz w:val="18"/>
                <w:szCs w:val="18"/>
                <w:color w:val="auto"/>
              </w:rPr>
              <w:t>Innovation Systems intangible asset amortization and PP&amp;E step-up depreciation</w:t>
            </w:r>
          </w:p>
        </w:tc>
        <w:tc>
          <w:tcPr>
            <w:tcW w:w="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375</w:t>
            </w:r>
          </w:p>
        </w:tc>
      </w:tr>
      <w:tr>
        <w:trPr>
          <w:trHeight w:val="270"/>
        </w:trPr>
        <w:tc>
          <w:tcPr>
            <w:tcW w:w="9260" w:type="dxa"/>
            <w:vAlign w:val="bottom"/>
          </w:tcPr>
          <w:p>
            <w:pPr>
              <w:ind w:left="40"/>
              <w:spacing w:after="0"/>
              <w:rPr>
                <w:sz w:val="20"/>
                <w:szCs w:val="20"/>
                <w:color w:val="auto"/>
              </w:rPr>
            </w:pPr>
            <w:r>
              <w:rPr>
                <w:rFonts w:ascii="Arial" w:cs="Arial" w:eastAsia="Arial" w:hAnsi="Arial"/>
                <w:sz w:val="18"/>
                <w:szCs w:val="18"/>
                <w:color w:val="auto"/>
              </w:rPr>
              <w:t>Orbital ATK transaction-related expenses</w:t>
            </w:r>
          </w:p>
        </w:tc>
        <w:tc>
          <w:tcPr>
            <w:tcW w:w="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9</w:t>
            </w:r>
          </w:p>
        </w:tc>
      </w:tr>
      <w:tr>
        <w:trPr>
          <w:trHeight w:val="270"/>
        </w:trPr>
        <w:tc>
          <w:tcPr>
            <w:tcW w:w="9260" w:type="dxa"/>
            <w:vAlign w:val="bottom"/>
          </w:tcPr>
          <w:p>
            <w:pPr>
              <w:ind w:left="40"/>
              <w:spacing w:after="0"/>
              <w:rPr>
                <w:sz w:val="20"/>
                <w:szCs w:val="20"/>
                <w:color w:val="auto"/>
              </w:rPr>
            </w:pPr>
            <w:r>
              <w:rPr>
                <w:rFonts w:ascii="Arial" w:cs="Arial" w:eastAsia="Arial" w:hAnsi="Arial"/>
                <w:sz w:val="18"/>
                <w:szCs w:val="18"/>
                <w:color w:val="auto"/>
              </w:rPr>
              <w:t>Tax effect of items above</w:t>
            </w:r>
          </w:p>
        </w:tc>
        <w:tc>
          <w:tcPr>
            <w:tcW w:w="64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(81)</w:t>
            </w:r>
          </w:p>
        </w:tc>
      </w:tr>
      <w:tr>
        <w:trPr>
          <w:trHeight w:val="270"/>
        </w:trPr>
        <w:tc>
          <w:tcPr>
            <w:tcW w:w="9260" w:type="dxa"/>
            <w:vAlign w:val="bottom"/>
          </w:tcPr>
          <w:p>
            <w:pPr>
              <w:ind w:left="40"/>
              <w:spacing w:after="0"/>
              <w:rPr>
                <w:sz w:val="20"/>
                <w:szCs w:val="20"/>
                <w:color w:val="auto"/>
              </w:rPr>
            </w:pPr>
            <w:r>
              <w:rPr>
                <w:rFonts w:ascii="Arial" w:cs="Arial" w:eastAsia="Arial" w:hAnsi="Arial"/>
                <w:sz w:val="18"/>
                <w:szCs w:val="18"/>
                <w:color w:val="auto"/>
              </w:rPr>
              <w:t>After-tax MTM adjustment</w:t>
            </w:r>
          </w:p>
        </w:tc>
        <w:tc>
          <w:tcPr>
            <w:tcW w:w="6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1,358</w:t>
            </w:r>
          </w:p>
        </w:tc>
      </w:tr>
      <w:tr>
        <w:trPr>
          <w:trHeight w:val="27"/>
        </w:trPr>
        <w:tc>
          <w:tcPr>
            <w:tcW w:w="9260" w:type="dxa"/>
            <w:vAlign w:val="bottom"/>
            <w:tcBorders>
              <w:bottom w:val="single" w:sz="8" w:color="00249C"/>
            </w:tcBorders>
          </w:tcPr>
          <w:p>
            <w:pPr>
              <w:spacing w:after="0"/>
              <w:rPr>
                <w:sz w:val="2"/>
                <w:szCs w:val="2"/>
                <w:color w:val="auto"/>
              </w:rPr>
            </w:pPr>
          </w:p>
        </w:tc>
        <w:tc>
          <w:tcPr>
            <w:tcW w:w="640" w:type="dxa"/>
            <w:vAlign w:val="bottom"/>
            <w:tcBorders>
              <w:bottom w:val="single" w:sz="8" w:color="00249C"/>
            </w:tcBorders>
          </w:tcPr>
          <w:p>
            <w:pPr>
              <w:spacing w:after="0"/>
              <w:rPr>
                <w:sz w:val="2"/>
                <w:szCs w:val="2"/>
                <w:color w:val="auto"/>
              </w:rPr>
            </w:pPr>
          </w:p>
        </w:tc>
        <w:tc>
          <w:tcPr>
            <w:tcW w:w="1340" w:type="dxa"/>
            <w:vAlign w:val="bottom"/>
            <w:tcBorders>
              <w:bottom w:val="single" w:sz="8" w:color="00249C"/>
            </w:tcBorders>
          </w:tcPr>
          <w:p>
            <w:pPr>
              <w:spacing w:after="0"/>
              <w:rPr>
                <w:sz w:val="2"/>
                <w:szCs w:val="2"/>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Pension-adjusted net income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b w:val="1"/>
                <w:bCs w:val="1"/>
                <w:color w:val="auto"/>
              </w:rPr>
              <w:t>2,910</w:t>
            </w:r>
          </w:p>
        </w:tc>
      </w:tr>
      <w:tr>
        <w:trPr>
          <w:trHeight w:val="27"/>
        </w:trPr>
        <w:tc>
          <w:tcPr>
            <w:tcW w:w="9260" w:type="dxa"/>
            <w:vAlign w:val="bottom"/>
            <w:tcBorders>
              <w:bottom w:val="single" w:sz="8" w:color="00249C"/>
            </w:tcBorders>
          </w:tcPr>
          <w:p>
            <w:pPr>
              <w:spacing w:after="0"/>
              <w:rPr>
                <w:sz w:val="2"/>
                <w:szCs w:val="2"/>
                <w:color w:val="auto"/>
              </w:rPr>
            </w:pPr>
          </w:p>
        </w:tc>
        <w:tc>
          <w:tcPr>
            <w:tcW w:w="640" w:type="dxa"/>
            <w:vAlign w:val="bottom"/>
            <w:tcBorders>
              <w:bottom w:val="single" w:sz="8" w:color="00249C"/>
            </w:tcBorders>
          </w:tcPr>
          <w:p>
            <w:pPr>
              <w:spacing w:after="0"/>
              <w:rPr>
                <w:sz w:val="2"/>
                <w:szCs w:val="2"/>
                <w:color w:val="auto"/>
              </w:rPr>
            </w:pPr>
          </w:p>
        </w:tc>
        <w:tc>
          <w:tcPr>
            <w:tcW w:w="1340" w:type="dxa"/>
            <w:vAlign w:val="bottom"/>
            <w:tcBorders>
              <w:bottom w:val="single" w:sz="8" w:color="00249C"/>
            </w:tcBorders>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2020 ANNUAL MEETING OF SHAREHOLDERS AND PROXY STATEMENT</w:t>
      </w:r>
    </w:p>
    <w:p>
      <w:pPr>
        <w:sectPr>
          <w:pgSz w:w="11900" w:h="16838" w:orient="portrait"/>
          <w:cols w:equalWidth="0" w:num="1">
            <w:col w:w="11240"/>
          </w:cols>
          <w:pgMar w:left="320" w:top="674" w:right="339" w:bottom="1440"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713740</wp:posOffset>
            </wp:positionH>
            <wp:positionV relativeFrom="page">
              <wp:posOffset>637540</wp:posOffset>
            </wp:positionV>
            <wp:extent cx="6120765" cy="78695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6120765" cy="7869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637540</wp:posOffset>
            </wp:positionV>
            <wp:extent cx="6077585" cy="78695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6077585" cy="7869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5863590" cy="37547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FFFFFF"/>
          <w:highlight w:val="black"/>
        </w:rPr>
        <w:t xml:space="preserve">A </w:t>
      </w:r>
      <w:r>
        <w:rPr>
          <w:rFonts w:ascii="Arial" w:cs="Arial" w:eastAsia="Arial" w:hAnsi="Arial"/>
          <w:sz w:val="16"/>
          <w:szCs w:val="16"/>
          <w:b w:val="1"/>
          <w:bCs w:val="1"/>
          <w:color w:val="000000"/>
        </w:rPr>
        <w:t>Proposals - The Board of Directors recommends a vote</w:t>
      </w:r>
      <w:r>
        <w:rPr>
          <w:rFonts w:ascii="Arial" w:cs="Arial" w:eastAsia="Arial" w:hAnsi="Arial"/>
          <w:sz w:val="16"/>
          <w:szCs w:val="16"/>
          <w:color w:val="FFFFFF"/>
          <w:highlight w:val="black"/>
        </w:rPr>
        <w:t xml:space="preserve"> </w:t>
      </w:r>
      <w:r>
        <w:rPr>
          <w:rFonts w:ascii="Arial" w:cs="Arial" w:eastAsia="Arial" w:hAnsi="Arial"/>
          <w:sz w:val="16"/>
          <w:szCs w:val="16"/>
          <w:b w:val="1"/>
          <w:bCs w:val="1"/>
          <w:u w:val="single" w:color="auto"/>
          <w:color w:val="000000"/>
        </w:rPr>
        <w:t>FOR</w:t>
      </w:r>
      <w:r>
        <w:rPr>
          <w:rFonts w:ascii="Arial" w:cs="Arial" w:eastAsia="Arial" w:hAnsi="Arial"/>
          <w:sz w:val="16"/>
          <w:szCs w:val="16"/>
          <w:color w:val="FFFFFF"/>
          <w:highlight w:val="black"/>
        </w:rPr>
        <w:t xml:space="preserve"> </w:t>
      </w:r>
      <w:r>
        <w:rPr>
          <w:rFonts w:ascii="Arial" w:cs="Arial" w:eastAsia="Arial" w:hAnsi="Arial"/>
          <w:sz w:val="16"/>
          <w:szCs w:val="16"/>
          <w:b w:val="1"/>
          <w:bCs w:val="1"/>
          <w:color w:val="000000"/>
        </w:rPr>
        <w:t>all the nominees listed and</w:t>
      </w:r>
      <w:r>
        <w:rPr>
          <w:rFonts w:ascii="Arial" w:cs="Arial" w:eastAsia="Arial" w:hAnsi="Arial"/>
          <w:sz w:val="16"/>
          <w:szCs w:val="16"/>
          <w:color w:val="FFFFFF"/>
          <w:highlight w:val="black"/>
        </w:rPr>
        <w:t xml:space="preserve"> </w:t>
      </w:r>
      <w:r>
        <w:rPr>
          <w:rFonts w:ascii="Arial" w:cs="Arial" w:eastAsia="Arial" w:hAnsi="Arial"/>
          <w:sz w:val="16"/>
          <w:szCs w:val="16"/>
          <w:b w:val="1"/>
          <w:bCs w:val="1"/>
          <w:u w:val="single" w:color="auto"/>
          <w:color w:val="000000"/>
        </w:rPr>
        <w:t>FOR</w:t>
      </w:r>
      <w:r>
        <w:rPr>
          <w:rFonts w:ascii="Arial" w:cs="Arial" w:eastAsia="Arial" w:hAnsi="Arial"/>
          <w:sz w:val="16"/>
          <w:szCs w:val="16"/>
          <w:color w:val="FFFFFF"/>
          <w:highlight w:val="black"/>
        </w:rPr>
        <w:t xml:space="preserve"> </w:t>
      </w:r>
      <w:r>
        <w:rPr>
          <w:rFonts w:ascii="Arial" w:cs="Arial" w:eastAsia="Arial" w:hAnsi="Arial"/>
          <w:sz w:val="16"/>
          <w:szCs w:val="16"/>
          <w:b w:val="1"/>
          <w:bCs w:val="1"/>
          <w:color w:val="000000"/>
        </w:rPr>
        <w:t>Proposals 2 and 3.</w:t>
      </w:r>
    </w:p>
    <w:p>
      <w:pPr>
        <w:sectPr>
          <w:pgSz w:w="11900" w:h="16838" w:orient="portrait"/>
          <w:cols w:equalWidth="0" w:num="1">
            <w:col w:w="10139"/>
          </w:cols>
          <w:pgMar w:left="320" w:top="1440" w:right="1440" w:bottom="1440" w:gutter="0" w:footer="0" w:header="0"/>
        </w:sectPr>
      </w:pP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94"/>
              </w:rPr>
              <w:t>1. Election of Directors:</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70"/>
        </w:trPr>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For Against Abstain</w:t>
            </w: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60" w:type="dxa"/>
            <w:vAlign w:val="bottom"/>
          </w:tcPr>
          <w:p>
            <w:pPr>
              <w:ind w:left="80"/>
              <w:spacing w:after="0"/>
              <w:rPr>
                <w:sz w:val="20"/>
                <w:szCs w:val="20"/>
                <w:color w:val="auto"/>
              </w:rPr>
            </w:pPr>
            <w:r>
              <w:rPr>
                <w:rFonts w:ascii="Arial" w:cs="Arial" w:eastAsia="Arial" w:hAnsi="Arial"/>
                <w:sz w:val="14"/>
                <w:szCs w:val="14"/>
                <w:color w:val="auto"/>
              </w:rPr>
              <w:t>For Against Abstain</w:t>
            </w: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03"/>
        </w:trPr>
        <w:tc>
          <w:tcPr>
            <w:tcW w:w="160" w:type="dxa"/>
            <w:vAlign w:val="bottom"/>
          </w:tcPr>
          <w:p>
            <w:pPr>
              <w:spacing w:after="0"/>
              <w:rPr>
                <w:sz w:val="20"/>
                <w:szCs w:val="20"/>
                <w:color w:val="auto"/>
              </w:rPr>
            </w:pPr>
            <w:r>
              <w:rPr>
                <w:rFonts w:ascii="Arial" w:cs="Arial" w:eastAsia="Arial" w:hAnsi="Arial"/>
                <w:sz w:val="14"/>
                <w:szCs w:val="14"/>
                <w:color w:val="auto"/>
                <w:w w:val="89"/>
              </w:rPr>
              <w:t>01</w:t>
            </w:r>
          </w:p>
        </w:tc>
        <w:tc>
          <w:tcPr>
            <w:tcW w:w="1340" w:type="dxa"/>
            <w:vAlign w:val="bottom"/>
          </w:tcPr>
          <w:p>
            <w:pPr>
              <w:ind w:left="20"/>
              <w:spacing w:after="0"/>
              <w:rPr>
                <w:sz w:val="20"/>
                <w:szCs w:val="20"/>
                <w:color w:val="auto"/>
              </w:rPr>
            </w:pPr>
            <w:r>
              <w:rPr>
                <w:rFonts w:ascii="Arial" w:cs="Arial" w:eastAsia="Arial" w:hAnsi="Arial"/>
                <w:sz w:val="14"/>
                <w:szCs w:val="14"/>
                <w:color w:val="auto"/>
              </w:rPr>
              <w:t>- Kathy J. Warden</w:t>
            </w:r>
          </w:p>
        </w:tc>
        <w:tc>
          <w:tcPr>
            <w:tcW w:w="144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06</w:t>
            </w:r>
          </w:p>
        </w:tc>
        <w:tc>
          <w:tcPr>
            <w:tcW w:w="1500" w:type="dxa"/>
            <w:vAlign w:val="bottom"/>
          </w:tcPr>
          <w:p>
            <w:pPr>
              <w:ind w:left="20"/>
              <w:spacing w:after="0"/>
              <w:rPr>
                <w:sz w:val="20"/>
                <w:szCs w:val="20"/>
                <w:color w:val="auto"/>
              </w:rPr>
            </w:pPr>
            <w:r>
              <w:rPr>
                <w:rFonts w:ascii="Arial" w:cs="Arial" w:eastAsia="Arial" w:hAnsi="Arial"/>
                <w:sz w:val="14"/>
                <w:szCs w:val="14"/>
                <w:color w:val="auto"/>
              </w:rPr>
              <w:t>- William H. Hernandez</w:t>
            </w:r>
          </w:p>
        </w:tc>
        <w:tc>
          <w:tcPr>
            <w:tcW w:w="146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w w:val="89"/>
              </w:rPr>
              <w:t>10</w:t>
            </w:r>
          </w:p>
        </w:tc>
        <w:tc>
          <w:tcPr>
            <w:tcW w:w="1320" w:type="dxa"/>
            <w:vAlign w:val="bottom"/>
          </w:tcPr>
          <w:p>
            <w:pPr>
              <w:ind w:left="20"/>
              <w:spacing w:after="0"/>
              <w:rPr>
                <w:sz w:val="20"/>
                <w:szCs w:val="20"/>
                <w:color w:val="auto"/>
              </w:rPr>
            </w:pPr>
            <w:r>
              <w:rPr>
                <w:rFonts w:ascii="Arial" w:cs="Arial" w:eastAsia="Arial" w:hAnsi="Arial"/>
                <w:sz w:val="14"/>
                <w:szCs w:val="14"/>
                <w:color w:val="auto"/>
                <w:w w:val="91"/>
              </w:rPr>
              <w:t>- Thomas M. Schoewe</w:t>
            </w:r>
          </w:p>
        </w:tc>
      </w:tr>
      <w:tr>
        <w:trPr>
          <w:trHeight w:val="203"/>
        </w:trPr>
        <w:tc>
          <w:tcPr>
            <w:tcW w:w="160" w:type="dxa"/>
            <w:vAlign w:val="bottom"/>
          </w:tcPr>
          <w:p>
            <w:pPr>
              <w:spacing w:after="0"/>
              <w:rPr>
                <w:sz w:val="20"/>
                <w:szCs w:val="20"/>
                <w:color w:val="auto"/>
              </w:rPr>
            </w:pPr>
            <w:r>
              <w:rPr>
                <w:rFonts w:ascii="Arial" w:cs="Arial" w:eastAsia="Arial" w:hAnsi="Arial"/>
                <w:sz w:val="14"/>
                <w:szCs w:val="14"/>
                <w:color w:val="auto"/>
                <w:w w:val="89"/>
              </w:rPr>
              <w:t>02</w:t>
            </w:r>
          </w:p>
        </w:tc>
        <w:tc>
          <w:tcPr>
            <w:tcW w:w="1340" w:type="dxa"/>
            <w:vAlign w:val="bottom"/>
          </w:tcPr>
          <w:p>
            <w:pPr>
              <w:ind w:left="20"/>
              <w:spacing w:after="0"/>
              <w:rPr>
                <w:sz w:val="20"/>
                <w:szCs w:val="20"/>
                <w:color w:val="auto"/>
              </w:rPr>
            </w:pPr>
            <w:r>
              <w:rPr>
                <w:rFonts w:ascii="Arial" w:cs="Arial" w:eastAsia="Arial" w:hAnsi="Arial"/>
                <w:sz w:val="14"/>
                <w:szCs w:val="14"/>
                <w:color w:val="auto"/>
              </w:rPr>
              <w:t>- Marianne C. Brown</w:t>
            </w:r>
          </w:p>
        </w:tc>
        <w:tc>
          <w:tcPr>
            <w:tcW w:w="144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07</w:t>
            </w:r>
          </w:p>
        </w:tc>
        <w:tc>
          <w:tcPr>
            <w:tcW w:w="1500" w:type="dxa"/>
            <w:vAlign w:val="bottom"/>
          </w:tcPr>
          <w:p>
            <w:pPr>
              <w:ind w:left="20"/>
              <w:spacing w:after="0"/>
              <w:rPr>
                <w:sz w:val="20"/>
                <w:szCs w:val="20"/>
                <w:color w:val="auto"/>
              </w:rPr>
            </w:pPr>
            <w:r>
              <w:rPr>
                <w:rFonts w:ascii="Arial" w:cs="Arial" w:eastAsia="Arial" w:hAnsi="Arial"/>
                <w:sz w:val="14"/>
                <w:szCs w:val="14"/>
                <w:color w:val="auto"/>
              </w:rPr>
              <w:t>- Madeleine A. Kleiner</w:t>
            </w:r>
          </w:p>
        </w:tc>
        <w:tc>
          <w:tcPr>
            <w:tcW w:w="146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1680" w:type="dxa"/>
            <w:vAlign w:val="bottom"/>
            <w:gridSpan w:val="2"/>
          </w:tcPr>
          <w:p>
            <w:pPr>
              <w:ind w:left="200"/>
              <w:spacing w:after="0"/>
              <w:rPr>
                <w:sz w:val="20"/>
                <w:szCs w:val="20"/>
                <w:color w:val="auto"/>
              </w:rPr>
            </w:pPr>
            <w:r>
              <w:rPr>
                <w:rFonts w:ascii="Arial" w:cs="Arial" w:eastAsia="Arial" w:hAnsi="Arial"/>
                <w:sz w:val="14"/>
                <w:szCs w:val="14"/>
                <w:color w:val="auto"/>
              </w:rPr>
              <w:t>11 - James S. Turley</w:t>
            </w:r>
          </w:p>
        </w:tc>
      </w:tr>
      <w:tr>
        <w:trPr>
          <w:trHeight w:val="203"/>
        </w:trPr>
        <w:tc>
          <w:tcPr>
            <w:tcW w:w="160" w:type="dxa"/>
            <w:vAlign w:val="bottom"/>
          </w:tcPr>
          <w:p>
            <w:pPr>
              <w:spacing w:after="0"/>
              <w:rPr>
                <w:sz w:val="20"/>
                <w:szCs w:val="20"/>
                <w:color w:val="auto"/>
              </w:rPr>
            </w:pPr>
            <w:r>
              <w:rPr>
                <w:rFonts w:ascii="Arial" w:cs="Arial" w:eastAsia="Arial" w:hAnsi="Arial"/>
                <w:sz w:val="14"/>
                <w:szCs w:val="14"/>
                <w:color w:val="auto"/>
                <w:w w:val="89"/>
              </w:rPr>
              <w:t>03</w:t>
            </w:r>
          </w:p>
        </w:tc>
        <w:tc>
          <w:tcPr>
            <w:tcW w:w="1340" w:type="dxa"/>
            <w:vAlign w:val="bottom"/>
          </w:tcPr>
          <w:p>
            <w:pPr>
              <w:ind w:left="20"/>
              <w:spacing w:after="0"/>
              <w:rPr>
                <w:sz w:val="20"/>
                <w:szCs w:val="20"/>
                <w:color w:val="auto"/>
              </w:rPr>
            </w:pPr>
            <w:r>
              <w:rPr>
                <w:rFonts w:ascii="Arial" w:cs="Arial" w:eastAsia="Arial" w:hAnsi="Arial"/>
                <w:sz w:val="14"/>
                <w:szCs w:val="14"/>
                <w:color w:val="auto"/>
                <w:w w:val="98"/>
              </w:rPr>
              <w:t>- Donald E. Felsinger</w:t>
            </w:r>
          </w:p>
        </w:tc>
        <w:tc>
          <w:tcPr>
            <w:tcW w:w="144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08</w:t>
            </w:r>
          </w:p>
        </w:tc>
        <w:tc>
          <w:tcPr>
            <w:tcW w:w="1500" w:type="dxa"/>
            <w:vAlign w:val="bottom"/>
          </w:tcPr>
          <w:p>
            <w:pPr>
              <w:ind w:left="20"/>
              <w:spacing w:after="0"/>
              <w:rPr>
                <w:sz w:val="20"/>
                <w:szCs w:val="20"/>
                <w:color w:val="auto"/>
              </w:rPr>
            </w:pPr>
            <w:r>
              <w:rPr>
                <w:rFonts w:ascii="Arial" w:cs="Arial" w:eastAsia="Arial" w:hAnsi="Arial"/>
                <w:sz w:val="14"/>
                <w:szCs w:val="14"/>
                <w:color w:val="auto"/>
              </w:rPr>
              <w:t>- Karl J. Krapek</w:t>
            </w:r>
          </w:p>
        </w:tc>
        <w:tc>
          <w:tcPr>
            <w:tcW w:w="146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w w:val="89"/>
              </w:rPr>
              <w:t>12</w:t>
            </w:r>
          </w:p>
        </w:tc>
        <w:tc>
          <w:tcPr>
            <w:tcW w:w="1320" w:type="dxa"/>
            <w:vAlign w:val="bottom"/>
          </w:tcPr>
          <w:p>
            <w:pPr>
              <w:ind w:left="20"/>
              <w:spacing w:after="0"/>
              <w:rPr>
                <w:sz w:val="20"/>
                <w:szCs w:val="20"/>
                <w:color w:val="auto"/>
              </w:rPr>
            </w:pPr>
            <w:r>
              <w:rPr>
                <w:rFonts w:ascii="Arial" w:cs="Arial" w:eastAsia="Arial" w:hAnsi="Arial"/>
                <w:sz w:val="14"/>
                <w:szCs w:val="14"/>
                <w:color w:val="auto"/>
              </w:rPr>
              <w:t>- Mark A. Welsh III</w:t>
            </w: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w w:val="89"/>
              </w:rPr>
              <w:t>04</w:t>
            </w:r>
          </w:p>
        </w:tc>
        <w:tc>
          <w:tcPr>
            <w:tcW w:w="1340" w:type="dxa"/>
            <w:vAlign w:val="bottom"/>
          </w:tcPr>
          <w:p>
            <w:pPr>
              <w:ind w:left="20"/>
              <w:spacing w:after="0"/>
              <w:rPr>
                <w:sz w:val="20"/>
                <w:szCs w:val="20"/>
                <w:color w:val="auto"/>
              </w:rPr>
            </w:pPr>
            <w:r>
              <w:rPr>
                <w:rFonts w:ascii="Arial" w:cs="Arial" w:eastAsia="Arial" w:hAnsi="Arial"/>
                <w:sz w:val="14"/>
                <w:szCs w:val="14"/>
                <w:color w:val="auto"/>
              </w:rPr>
              <w:t>- Ann M. Fudge</w:t>
            </w:r>
          </w:p>
        </w:tc>
        <w:tc>
          <w:tcPr>
            <w:tcW w:w="144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09</w:t>
            </w:r>
          </w:p>
        </w:tc>
        <w:tc>
          <w:tcPr>
            <w:tcW w:w="1500" w:type="dxa"/>
            <w:vAlign w:val="bottom"/>
          </w:tcPr>
          <w:p>
            <w:pPr>
              <w:ind w:left="20"/>
              <w:spacing w:after="0"/>
              <w:rPr>
                <w:sz w:val="20"/>
                <w:szCs w:val="20"/>
                <w:color w:val="auto"/>
              </w:rPr>
            </w:pPr>
            <w:r>
              <w:rPr>
                <w:rFonts w:ascii="Arial" w:cs="Arial" w:eastAsia="Arial" w:hAnsi="Arial"/>
                <w:sz w:val="14"/>
                <w:szCs w:val="14"/>
                <w:color w:val="auto"/>
              </w:rPr>
              <w:t>- Gary Roughead</w:t>
            </w:r>
          </w:p>
        </w:tc>
        <w:tc>
          <w:tcPr>
            <w:tcW w:w="146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w w:val="89"/>
              </w:rPr>
              <w:t>05</w:t>
            </w:r>
          </w:p>
        </w:tc>
        <w:tc>
          <w:tcPr>
            <w:tcW w:w="1340" w:type="dxa"/>
            <w:vAlign w:val="bottom"/>
          </w:tcPr>
          <w:p>
            <w:pPr>
              <w:ind w:left="20"/>
              <w:spacing w:after="0"/>
              <w:rPr>
                <w:sz w:val="20"/>
                <w:szCs w:val="20"/>
                <w:color w:val="auto"/>
              </w:rPr>
            </w:pPr>
            <w:r>
              <w:rPr>
                <w:rFonts w:ascii="Arial" w:cs="Arial" w:eastAsia="Arial" w:hAnsi="Arial"/>
                <w:sz w:val="14"/>
                <w:szCs w:val="14"/>
                <w:color w:val="auto"/>
              </w:rPr>
              <w:t>- Bruce S. Gordon</w:t>
            </w:r>
          </w:p>
        </w:tc>
        <w:tc>
          <w:tcPr>
            <w:tcW w:w="144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r>
    </w:tbl>
    <w:p>
      <w:pPr>
        <w:spacing w:after="0" w:line="286" w:lineRule="exact"/>
        <w:rPr>
          <w:sz w:val="20"/>
          <w:szCs w:val="20"/>
          <w:color w:val="auto"/>
        </w:rPr>
      </w:pPr>
    </w:p>
    <w:p>
      <w:pPr>
        <w:ind w:left="180" w:hanging="145"/>
        <w:spacing w:after="0"/>
        <w:tabs>
          <w:tab w:leader="none" w:pos="180" w:val="left"/>
        </w:tabs>
        <w:numPr>
          <w:ilvl w:val="0"/>
          <w:numId w:val="87"/>
        </w:numPr>
        <w:rPr>
          <w:rFonts w:ascii="Arial" w:cs="Arial" w:eastAsia="Arial" w:hAnsi="Arial"/>
          <w:sz w:val="14"/>
          <w:szCs w:val="14"/>
          <w:b w:val="1"/>
          <w:bCs w:val="1"/>
          <w:color w:val="auto"/>
        </w:rPr>
      </w:pPr>
      <w:r>
        <w:rPr>
          <w:rFonts w:ascii="Arial" w:cs="Arial" w:eastAsia="Arial" w:hAnsi="Arial"/>
          <w:sz w:val="14"/>
          <w:szCs w:val="14"/>
          <w:b w:val="1"/>
          <w:bCs w:val="1"/>
          <w:color w:val="auto"/>
        </w:rPr>
        <w:t>Proposal to approve, on an advisory basis, the compensation of the Company's Named Executive Officers.</w:t>
      </w:r>
    </w:p>
    <w:p>
      <w:pPr>
        <w:spacing w:after="0" w:line="311" w:lineRule="exact"/>
        <w:rPr>
          <w:rFonts w:ascii="Arial" w:cs="Arial" w:eastAsia="Arial" w:hAnsi="Arial"/>
          <w:sz w:val="14"/>
          <w:szCs w:val="14"/>
          <w:b w:val="1"/>
          <w:bCs w:val="1"/>
          <w:color w:val="auto"/>
        </w:rPr>
      </w:pPr>
    </w:p>
    <w:p>
      <w:pPr>
        <w:ind w:left="180" w:hanging="145"/>
        <w:spacing w:after="0"/>
        <w:tabs>
          <w:tab w:leader="none" w:pos="180" w:val="left"/>
        </w:tabs>
        <w:numPr>
          <w:ilvl w:val="0"/>
          <w:numId w:val="87"/>
        </w:numPr>
        <w:rPr>
          <w:rFonts w:ascii="Arial" w:cs="Arial" w:eastAsia="Arial" w:hAnsi="Arial"/>
          <w:sz w:val="14"/>
          <w:szCs w:val="14"/>
          <w:b w:val="1"/>
          <w:bCs w:val="1"/>
          <w:color w:val="auto"/>
        </w:rPr>
      </w:pPr>
      <w:r>
        <w:rPr>
          <w:rFonts w:ascii="Arial" w:cs="Arial" w:eastAsia="Arial" w:hAnsi="Arial"/>
          <w:sz w:val="14"/>
          <w:szCs w:val="14"/>
          <w:b w:val="1"/>
          <w:bCs w:val="1"/>
          <w:color w:val="auto"/>
        </w:rPr>
        <w:t>Proposal to ratify the appointment of Deloitte &amp; Touche LLP as the Company's Independent Auditor</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for fiscal year ending December 31, 2020.</w:t>
      </w:r>
    </w:p>
    <w:p>
      <w:pPr>
        <w:spacing w:after="0" w:line="39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Proposals 4 and 5.</w:t>
      </w:r>
    </w:p>
    <w:p>
      <w:pPr>
        <w:spacing w:after="0" w:line="42" w:lineRule="exact"/>
        <w:rPr>
          <w:sz w:val="20"/>
          <w:szCs w:val="20"/>
          <w:color w:val="auto"/>
        </w:rPr>
      </w:pPr>
    </w:p>
    <w:p>
      <w:pPr>
        <w:ind w:left="40" w:right="1820" w:hanging="5"/>
        <w:spacing w:after="0"/>
        <w:tabs>
          <w:tab w:leader="none" w:pos="184"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proposal that the Company assess and report on potential human rights impacts that could result from governments' use of the Company's products and services, including in conflict-affected areas.</w:t>
      </w:r>
    </w:p>
    <w:p>
      <w:pPr>
        <w:spacing w:after="0" w:line="286" w:lineRule="exact"/>
        <w:rPr>
          <w:rFonts w:ascii="Arial" w:cs="Arial" w:eastAsia="Arial" w:hAnsi="Arial"/>
          <w:sz w:val="14"/>
          <w:szCs w:val="14"/>
          <w:b w:val="1"/>
          <w:bCs w:val="1"/>
          <w:color w:val="auto"/>
        </w:rPr>
      </w:pPr>
    </w:p>
    <w:p>
      <w:pPr>
        <w:ind w:left="40" w:right="1860" w:hanging="5"/>
        <w:spacing w:after="0" w:line="258" w:lineRule="auto"/>
        <w:tabs>
          <w:tab w:leader="none" w:pos="184"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proposal to move to a 3% ownership threshold for shareholders to request action by written consent.</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42" w:lineRule="exact"/>
        <w:rPr>
          <w:sz w:val="20"/>
          <w:szCs w:val="20"/>
          <w:color w:val="auto"/>
        </w:rPr>
      </w:pPr>
    </w:p>
    <w:p>
      <w:pPr>
        <w:ind w:right="839"/>
        <w:spacing w:after="0" w:line="486" w:lineRule="auto"/>
        <w:rPr>
          <w:sz w:val="20"/>
          <w:szCs w:val="20"/>
          <w:color w:val="auto"/>
        </w:rPr>
      </w:pPr>
      <w:r>
        <w:rPr>
          <w:rFonts w:ascii="Arial" w:cs="Arial" w:eastAsia="Arial" w:hAnsi="Arial"/>
          <w:sz w:val="13"/>
          <w:szCs w:val="13"/>
          <w:color w:val="auto"/>
        </w:rPr>
        <w:t>For Against Abstain □</w:t>
      </w:r>
      <w:r>
        <w:rPr>
          <w:rFonts w:ascii="Arial" w:cs="Arial" w:eastAsia="Arial" w:hAnsi="Arial"/>
          <w:sz w:val="13"/>
          <w:szCs w:val="13"/>
          <w:color w:val="FFFFFF"/>
        </w:rPr>
        <w:t>____</w:t>
      </w:r>
      <w:r>
        <w:rPr>
          <w:rFonts w:ascii="Arial" w:cs="Arial" w:eastAsia="Arial" w:hAnsi="Arial"/>
          <w:sz w:val="13"/>
          <w:szCs w:val="13"/>
          <w:color w:val="auto"/>
        </w:rPr>
        <w:t>□</w:t>
      </w:r>
      <w:r>
        <w:rPr>
          <w:rFonts w:ascii="Arial" w:cs="Arial" w:eastAsia="Arial" w:hAnsi="Arial"/>
          <w:sz w:val="13"/>
          <w:szCs w:val="13"/>
          <w:color w:val="FFFFFF"/>
        </w:rPr>
        <w:t>____</w:t>
      </w:r>
      <w:r>
        <w:rPr>
          <w:rFonts w:ascii="Arial" w:cs="Arial" w:eastAsia="Arial" w:hAnsi="Arial"/>
          <w:sz w:val="13"/>
          <w:szCs w:val="13"/>
          <w:color w:val="auto"/>
        </w:rPr>
        <w:t>□</w:t>
      </w:r>
    </w:p>
    <w:p>
      <w:pPr>
        <w:spacing w:after="0" w:line="299" w:lineRule="exact"/>
        <w:rPr>
          <w:sz w:val="20"/>
          <w:szCs w:val="20"/>
          <w:color w:val="auto"/>
        </w:rPr>
      </w:pPr>
    </w:p>
    <w:p>
      <w:pPr>
        <w:ind w:right="839"/>
        <w:spacing w:after="0" w:line="507" w:lineRule="auto"/>
        <w:rPr>
          <w:sz w:val="20"/>
          <w:szCs w:val="20"/>
          <w:color w:val="auto"/>
        </w:rPr>
      </w:pPr>
      <w:r>
        <w:rPr>
          <w:rFonts w:ascii="Arial" w:cs="Arial" w:eastAsia="Arial" w:hAnsi="Arial"/>
          <w:sz w:val="13"/>
          <w:szCs w:val="13"/>
          <w:color w:val="auto"/>
        </w:rPr>
        <w:t>For Against Abstain □</w:t>
      </w:r>
      <w:r>
        <w:rPr>
          <w:rFonts w:ascii="Arial" w:cs="Arial" w:eastAsia="Arial" w:hAnsi="Arial"/>
          <w:sz w:val="13"/>
          <w:szCs w:val="13"/>
          <w:color w:val="FFFFFF"/>
        </w:rPr>
        <w:t>____</w:t>
      </w:r>
      <w:r>
        <w:rPr>
          <w:rFonts w:ascii="Arial" w:cs="Arial" w:eastAsia="Arial" w:hAnsi="Arial"/>
          <w:sz w:val="13"/>
          <w:szCs w:val="13"/>
          <w:color w:val="auto"/>
        </w:rPr>
        <w:t>□</w:t>
      </w:r>
      <w:r>
        <w:rPr>
          <w:rFonts w:ascii="Arial" w:cs="Arial" w:eastAsia="Arial" w:hAnsi="Arial"/>
          <w:sz w:val="13"/>
          <w:szCs w:val="13"/>
          <w:color w:val="FFFFFF"/>
        </w:rPr>
        <w:t>____</w:t>
      </w:r>
      <w:r>
        <w:rPr>
          <w:rFonts w:ascii="Arial" w:cs="Arial" w:eastAsia="Arial" w:hAnsi="Arial"/>
          <w:sz w:val="13"/>
          <w:szCs w:val="13"/>
          <w:color w:val="auto"/>
        </w:rPr>
        <w:t>□</w:t>
      </w:r>
    </w:p>
    <w:p>
      <w:pPr>
        <w:spacing w:after="0" w:line="151" w:lineRule="exact"/>
        <w:rPr>
          <w:sz w:val="20"/>
          <w:szCs w:val="20"/>
          <w:color w:val="auto"/>
        </w:rPr>
      </w:pPr>
    </w:p>
    <w:p>
      <w:pPr>
        <w:ind w:right="839"/>
        <w:spacing w:after="0" w:line="486" w:lineRule="auto"/>
        <w:rPr>
          <w:sz w:val="20"/>
          <w:szCs w:val="20"/>
          <w:color w:val="auto"/>
        </w:rPr>
      </w:pPr>
      <w:r>
        <w:rPr>
          <w:rFonts w:ascii="Arial" w:cs="Arial" w:eastAsia="Arial" w:hAnsi="Arial"/>
          <w:sz w:val="13"/>
          <w:szCs w:val="13"/>
          <w:color w:val="auto"/>
        </w:rPr>
        <w:t>For Against Abstain □</w:t>
      </w:r>
      <w:r>
        <w:rPr>
          <w:rFonts w:ascii="Arial" w:cs="Arial" w:eastAsia="Arial" w:hAnsi="Arial"/>
          <w:sz w:val="13"/>
          <w:szCs w:val="13"/>
          <w:color w:val="FFFFFF"/>
        </w:rPr>
        <w:t>____</w:t>
      </w:r>
      <w:r>
        <w:rPr>
          <w:rFonts w:ascii="Arial" w:cs="Arial" w:eastAsia="Arial" w:hAnsi="Arial"/>
          <w:sz w:val="13"/>
          <w:szCs w:val="13"/>
          <w:color w:val="auto"/>
        </w:rPr>
        <w:t>□</w:t>
      </w:r>
      <w:r>
        <w:rPr>
          <w:rFonts w:ascii="Arial" w:cs="Arial" w:eastAsia="Arial" w:hAnsi="Arial"/>
          <w:sz w:val="13"/>
          <w:szCs w:val="13"/>
          <w:color w:val="FFFFFF"/>
        </w:rPr>
        <w:t>____</w:t>
      </w:r>
      <w:r>
        <w:rPr>
          <w:rFonts w:ascii="Arial" w:cs="Arial" w:eastAsia="Arial" w:hAnsi="Arial"/>
          <w:sz w:val="13"/>
          <w:szCs w:val="13"/>
          <w:color w:val="auto"/>
        </w:rPr>
        <w:t>□</w:t>
      </w:r>
    </w:p>
    <w:p>
      <w:pPr>
        <w:spacing w:after="0" w:line="83" w:lineRule="exact"/>
        <w:rPr>
          <w:sz w:val="20"/>
          <w:szCs w:val="20"/>
          <w:color w:val="auto"/>
        </w:rPr>
      </w:pPr>
    </w:p>
    <w:p>
      <w:pPr>
        <w:sectPr>
          <w:pgSz w:w="11900" w:h="16838" w:orient="portrait"/>
          <w:cols w:equalWidth="0" w:num="2">
            <w:col w:w="7980" w:space="160"/>
            <w:col w:w="1999"/>
          </w:cols>
          <w:pgMar w:left="320" w:top="1440" w:right="1440" w:bottom="1440" w:gutter="0" w:footer="0" w:header="0"/>
          <w:type w:val="continuous"/>
        </w:sectPr>
      </w:pPr>
    </w:p>
    <w:p>
      <w:pPr>
        <w:ind w:left="80"/>
        <w:spacing w:after="0"/>
        <w:rPr>
          <w:sz w:val="20"/>
          <w:szCs w:val="20"/>
          <w:color w:val="auto"/>
        </w:rPr>
      </w:pPr>
      <w:r>
        <w:rPr>
          <w:rFonts w:ascii="Arial" w:cs="Arial" w:eastAsia="Arial" w:hAnsi="Arial"/>
          <w:sz w:val="18"/>
          <w:szCs w:val="18"/>
          <w:color w:val="FFFFFF"/>
          <w:highlight w:val="black"/>
        </w:rPr>
        <w:t xml:space="preserve">B </w:t>
      </w:r>
      <w:r>
        <w:rPr>
          <w:rFonts w:ascii="Arial" w:cs="Arial" w:eastAsia="Arial" w:hAnsi="Arial"/>
          <w:sz w:val="16"/>
          <w:szCs w:val="16"/>
          <w:b w:val="1"/>
          <w:bCs w:val="1"/>
          <w:color w:val="000000"/>
        </w:rPr>
        <w:t>Authorized Signatures - This section must be completed for your vote to be counted. Please date and sign below.</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Please sign exactly as name(s) appears hereon. Joint owners should each sign.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When signing as attorney, executor, administrator, corporate officer, trustee, guardian, or custodian, please give full title.</w:t>
      </w:r>
    </w:p>
    <w:p>
      <w:pPr>
        <w:sectPr>
          <w:pgSz w:w="11900" w:h="16838" w:orient="portrait"/>
          <w:cols w:equalWidth="0" w:num="1">
            <w:col w:w="10139"/>
          </w:cols>
          <w:pgMar w:left="320" w:top="1440" w:right="1440" w:bottom="1440" w:gutter="0" w:footer="0" w:header="0"/>
          <w:type w:val="continuous"/>
        </w:sectPr>
      </w:pPr>
    </w:p>
    <w:p>
      <w:pPr>
        <w:spacing w:after="0" w:line="163" w:lineRule="exact"/>
        <w:rPr>
          <w:sz w:val="20"/>
          <w:szCs w:val="20"/>
          <w:color w:val="auto"/>
        </w:rPr>
      </w:pPr>
    </w:p>
    <w:tbl>
      <w:tblPr>
        <w:tblLayout w:type="fixed"/>
        <w:tblInd w:w="130" w:type="dxa"/>
        <w:tblCellMar>
          <w:top w:w="0" w:type="dxa"/>
          <w:left w:w="0" w:type="dxa"/>
          <w:bottom w:w="0" w:type="dxa"/>
          <w:right w:w="0" w:type="dxa"/>
        </w:tblCellMar>
      </w:tblPr>
      <w:tr>
        <w:trPr>
          <w:trHeight w:val="16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Date (mm/dd/yyyy) - Please print date</w:t>
            </w:r>
          </w:p>
        </w:tc>
        <w:tc>
          <w:tcPr>
            <w:tcW w:w="2820" w:type="dxa"/>
            <w:vAlign w:val="bottom"/>
          </w:tcPr>
          <w:p>
            <w:pPr>
              <w:spacing w:after="0"/>
              <w:rPr>
                <w:sz w:val="20"/>
                <w:szCs w:val="20"/>
                <w:color w:val="auto"/>
              </w:rPr>
            </w:pPr>
            <w:r>
              <w:rPr>
                <w:rFonts w:ascii="Arial" w:cs="Arial" w:eastAsia="Arial" w:hAnsi="Arial"/>
                <w:sz w:val="14"/>
                <w:szCs w:val="14"/>
                <w:color w:val="auto"/>
              </w:rPr>
              <w:t>Signature 1 - Please keep signature within</w:t>
            </w:r>
          </w:p>
        </w:tc>
      </w:tr>
      <w:tr>
        <w:trPr>
          <w:trHeight w:val="178"/>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below.</w:t>
            </w:r>
          </w:p>
        </w:tc>
        <w:tc>
          <w:tcPr>
            <w:tcW w:w="2820" w:type="dxa"/>
            <w:vAlign w:val="bottom"/>
          </w:tcPr>
          <w:p>
            <w:pPr>
              <w:spacing w:after="0"/>
              <w:rPr>
                <w:sz w:val="20"/>
                <w:szCs w:val="20"/>
                <w:color w:val="auto"/>
              </w:rPr>
            </w:pPr>
            <w:r>
              <w:rPr>
                <w:rFonts w:ascii="Arial" w:cs="Arial" w:eastAsia="Arial" w:hAnsi="Arial"/>
                <w:sz w:val="14"/>
                <w:szCs w:val="14"/>
                <w:color w:val="auto"/>
              </w:rPr>
              <w:t>the box.</w:t>
            </w:r>
          </w:p>
        </w:tc>
      </w:tr>
      <w:tr>
        <w:trPr>
          <w:trHeight w:val="324"/>
        </w:trPr>
        <w:tc>
          <w:tcPr>
            <w:tcW w:w="25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82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1119"/>
        <w:spacing w:after="0" w:line="258" w:lineRule="auto"/>
        <w:rPr>
          <w:sz w:val="20"/>
          <w:szCs w:val="20"/>
          <w:color w:val="auto"/>
        </w:rPr>
      </w:pPr>
      <w:r>
        <w:rPr>
          <w:rFonts w:ascii="Arial" w:cs="Arial" w:eastAsia="Arial" w:hAnsi="Arial"/>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0</wp:posOffset>
            </wp:positionV>
            <wp:extent cx="1859915" cy="2228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59915" cy="222885"/>
                    </a:xfrm>
                    <a:prstGeom prst="rect">
                      <a:avLst/>
                    </a:prstGeom>
                    <a:noFill/>
                  </pic:spPr>
                </pic:pic>
              </a:graphicData>
            </a:graphic>
          </wp:anchor>
        </w:drawing>
      </w:r>
    </w:p>
    <w:p>
      <w:pPr>
        <w:sectPr>
          <w:pgSz w:w="11900" w:h="16838" w:orient="portrait"/>
          <w:cols w:equalWidth="0" w:num="2">
            <w:col w:w="5820" w:space="500"/>
            <w:col w:w="3819"/>
          </w:cols>
          <w:pgMar w:left="320" w:top="1440" w:right="1440" w:bottom="1440" w:gutter="0" w:footer="0" w:header="0"/>
          <w:type w:val="continuous"/>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6172200" cy="1534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ANNUAL MEETING OF SHAREHOLDERS</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MAY 20, 2020, 8:00 A.M.</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Northrop Grumman Corporation's Offices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2980 Fairview Park Drive, Falls Church, Virginia 22042</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This Proxy/Voting Instruction Card is Solicited on Behalf of The Board of Directors for the 2020 Annual Meeting of Shareholders</w:t>
      </w:r>
    </w:p>
    <w:p>
      <w:pPr>
        <w:spacing w:after="0" w:line="114" w:lineRule="exact"/>
        <w:rPr>
          <w:sz w:val="20"/>
          <w:szCs w:val="20"/>
          <w:color w:val="auto"/>
        </w:rPr>
      </w:pPr>
    </w:p>
    <w:p>
      <w:pPr>
        <w:jc w:val="both"/>
        <w:ind w:left="120"/>
        <w:spacing w:after="0" w:line="243" w:lineRule="auto"/>
        <w:rPr>
          <w:sz w:val="20"/>
          <w:szCs w:val="20"/>
          <w:color w:val="auto"/>
        </w:rPr>
      </w:pPr>
      <w:r>
        <w:rPr>
          <w:rFonts w:ascii="Arial" w:cs="Arial" w:eastAsia="Arial" w:hAnsi="Arial"/>
          <w:sz w:val="14"/>
          <w:szCs w:val="14"/>
          <w:color w:val="auto"/>
        </w:rPr>
        <w:t>The undersigned hereby constitutes and appoints Sheila C. Cheston and Jennifer C. McGarey, and each of them, attorneys and proxies with full power of substitution, to represent the undersigned and to vote all shares of Common Stock, $1.00 par value, of Northrop Grumman Corporation (the “Company”), that the undersigned would be entitled to vote if personally present at the 2020 Annual Meeting of Shareholders of the Company to be held on Wednesday, May 20 2020, at 8:00 a.m. (Eastern Daylight Time) at the Northrop Grumman Corporation Headquarters, 2980 Fairview Park Drive, Falls Church, Virginia 22042 (or at any alternate location and/or by means of communication determined by or on behalf of the Board of Directors), and at any and all adjournments or postponements thereof (the “Meeting”), as herein specified and in such proxyholder’s discretion upon any other matter that may properly come before the Meeting including without limitation to vote on the election of such substitute nominees as such proxies may select in the event nominee(s) named on their card become(s) unable to serve as director. By granting this proxy, the undersigned hereby revokes any proxy previously granted by the undersigned.</w:t>
      </w:r>
    </w:p>
    <w:p>
      <w:pPr>
        <w:spacing w:after="0" w:line="226"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4"/>
          <w:szCs w:val="14"/>
          <w:color w:val="auto"/>
        </w:rPr>
        <w:t>THIS PROXY WILL BE VOTED AS DIRECTED. IF NOT OTHERWISE DIRECTED, THIS PROXY WILL BE VOTED “FOR” THE NOMINEES LISTED UNDER PROPOSAL 1, “FOR” PROPOSALS 2 AND 3 AND “AGAINST” PROPOSALS 4 AND 5.</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PLEASE MARK, DATE AND SIGN THIS PROXY AND RETURN IT PROMPTLY, EVEN IF YOU PLAN TO ATTEND THE ANNUAL MEETING.</w:t>
      </w:r>
    </w:p>
    <w:p>
      <w:pPr>
        <w:spacing w:after="0" w:line="96" w:lineRule="exact"/>
        <w:rPr>
          <w:sz w:val="20"/>
          <w:szCs w:val="20"/>
          <w:color w:val="auto"/>
        </w:rPr>
      </w:pPr>
    </w:p>
    <w:p>
      <w:pPr>
        <w:jc w:val="both"/>
        <w:ind w:left="120"/>
        <w:spacing w:after="0" w:line="246" w:lineRule="auto"/>
        <w:rPr>
          <w:sz w:val="20"/>
          <w:szCs w:val="20"/>
          <w:color w:val="auto"/>
        </w:rPr>
      </w:pPr>
      <w:r>
        <w:rPr>
          <w:rFonts w:ascii="Arial" w:cs="Arial" w:eastAsia="Arial" w:hAnsi="Arial"/>
          <w:sz w:val="14"/>
          <w:szCs w:val="14"/>
          <w:color w:val="auto"/>
        </w:rPr>
        <w:t>If shares are held on your behalf under any of the Company Savings Plans, the proxy serves to provide confidential instructions to the plan Trustee or Voting Manager who then votes the shares. Instructions must be received by 11:59 p.m. Eastern Time on May 17, 2020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 unless contrary to the Employment Retirement Income Security Act.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(Continued and to be signed on the other side)</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8"/>
          <w:szCs w:val="18"/>
          <w:color w:val="FFFFFF"/>
          <w:highlight w:val="black"/>
        </w:rPr>
        <w:t xml:space="preserve">C </w:t>
      </w:r>
      <w:r>
        <w:rPr>
          <w:rFonts w:ascii="Arial" w:cs="Arial" w:eastAsia="Arial" w:hAnsi="Arial"/>
          <w:sz w:val="18"/>
          <w:szCs w:val="18"/>
          <w:b w:val="1"/>
          <w:bCs w:val="1"/>
          <w:color w:val="000000"/>
        </w:rPr>
        <w:t>Non-Voting Items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7063740" cy="42348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63740"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FFFFFF"/>
          <w:highlight w:val="black"/>
        </w:rPr>
        <w:t xml:space="preserve">A </w:t>
      </w:r>
      <w:r>
        <w:rPr>
          <w:rFonts w:ascii="Arial" w:cs="Arial" w:eastAsia="Arial" w:hAnsi="Arial"/>
          <w:sz w:val="16"/>
          <w:szCs w:val="16"/>
          <w:b w:val="1"/>
          <w:bCs w:val="1"/>
          <w:color w:val="000000"/>
        </w:rPr>
        <w:t>Proposals - The Board of Directors recommends a vote</w:t>
      </w:r>
      <w:r>
        <w:rPr>
          <w:rFonts w:ascii="Arial" w:cs="Arial" w:eastAsia="Arial" w:hAnsi="Arial"/>
          <w:sz w:val="16"/>
          <w:szCs w:val="16"/>
          <w:color w:val="FFFFFF"/>
          <w:highlight w:val="black"/>
        </w:rPr>
        <w:t xml:space="preserve"> </w:t>
      </w:r>
      <w:r>
        <w:rPr>
          <w:rFonts w:ascii="Arial" w:cs="Arial" w:eastAsia="Arial" w:hAnsi="Arial"/>
          <w:sz w:val="16"/>
          <w:szCs w:val="16"/>
          <w:b w:val="1"/>
          <w:bCs w:val="1"/>
          <w:u w:val="single" w:color="auto"/>
          <w:color w:val="000000"/>
        </w:rPr>
        <w:t>FOR</w:t>
      </w:r>
      <w:r>
        <w:rPr>
          <w:rFonts w:ascii="Arial" w:cs="Arial" w:eastAsia="Arial" w:hAnsi="Arial"/>
          <w:sz w:val="16"/>
          <w:szCs w:val="16"/>
          <w:color w:val="FFFFFF"/>
          <w:highlight w:val="black"/>
        </w:rPr>
        <w:t xml:space="preserve"> </w:t>
      </w:r>
      <w:r>
        <w:rPr>
          <w:rFonts w:ascii="Arial" w:cs="Arial" w:eastAsia="Arial" w:hAnsi="Arial"/>
          <w:sz w:val="16"/>
          <w:szCs w:val="16"/>
          <w:b w:val="1"/>
          <w:bCs w:val="1"/>
          <w:color w:val="000000"/>
        </w:rPr>
        <w:t>all the nominees listed and</w:t>
      </w:r>
      <w:r>
        <w:rPr>
          <w:rFonts w:ascii="Arial" w:cs="Arial" w:eastAsia="Arial" w:hAnsi="Arial"/>
          <w:sz w:val="16"/>
          <w:szCs w:val="16"/>
          <w:color w:val="FFFFFF"/>
          <w:highlight w:val="black"/>
        </w:rPr>
        <w:t xml:space="preserve"> </w:t>
      </w:r>
      <w:r>
        <w:rPr>
          <w:rFonts w:ascii="Arial" w:cs="Arial" w:eastAsia="Arial" w:hAnsi="Arial"/>
          <w:sz w:val="16"/>
          <w:szCs w:val="16"/>
          <w:b w:val="1"/>
          <w:bCs w:val="1"/>
          <w:u w:val="single" w:color="auto"/>
          <w:color w:val="000000"/>
        </w:rPr>
        <w:t>FOR</w:t>
      </w:r>
      <w:r>
        <w:rPr>
          <w:rFonts w:ascii="Arial" w:cs="Arial" w:eastAsia="Arial" w:hAnsi="Arial"/>
          <w:sz w:val="16"/>
          <w:szCs w:val="16"/>
          <w:color w:val="FFFFFF"/>
          <w:highlight w:val="black"/>
        </w:rPr>
        <w:t xml:space="preserve"> </w:t>
      </w:r>
      <w:r>
        <w:rPr>
          <w:rFonts w:ascii="Arial" w:cs="Arial" w:eastAsia="Arial" w:hAnsi="Arial"/>
          <w:sz w:val="16"/>
          <w:szCs w:val="16"/>
          <w:b w:val="1"/>
          <w:bCs w:val="1"/>
          <w:color w:val="000000"/>
        </w:rPr>
        <w:t>Proposals 2 and 3.</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2"/>
              </w:rPr>
              <w:t>1. Election of Directors:</w:t>
            </w: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vMerge w:val="restart"/>
          </w:tcPr>
          <w:p>
            <w:pPr>
              <w:ind w:left="40"/>
              <w:spacing w:after="0"/>
              <w:rPr>
                <w:sz w:val="20"/>
                <w:szCs w:val="20"/>
                <w:color w:val="auto"/>
              </w:rPr>
            </w:pPr>
            <w:r>
              <w:rPr>
                <w:rFonts w:ascii="Arial" w:cs="Arial" w:eastAsia="Arial" w:hAnsi="Arial"/>
                <w:sz w:val="14"/>
                <w:szCs w:val="14"/>
                <w:color w:val="auto"/>
              </w:rPr>
              <w:t>For Against Abstain</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vMerge w:val="restart"/>
          </w:tcPr>
          <w:p>
            <w:pPr>
              <w:ind w:left="40"/>
              <w:spacing w:after="0"/>
              <w:rPr>
                <w:sz w:val="20"/>
                <w:szCs w:val="20"/>
                <w:color w:val="auto"/>
              </w:rPr>
            </w:pPr>
            <w:r>
              <w:rPr>
                <w:rFonts w:ascii="Arial" w:cs="Arial" w:eastAsia="Arial" w:hAnsi="Arial"/>
                <w:sz w:val="14"/>
                <w:szCs w:val="14"/>
                <w:color w:val="auto"/>
              </w:rPr>
              <w:t>For Against Abstain</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w w:val="93"/>
              </w:rPr>
              <w:t>For Against Abstain</w:t>
            </w:r>
          </w:p>
        </w:tc>
        <w:tc>
          <w:tcPr>
            <w:tcW w:w="0" w:type="dxa"/>
            <w:vAlign w:val="bottom"/>
          </w:tcPr>
          <w:p>
            <w:pPr>
              <w:spacing w:after="0"/>
              <w:rPr>
                <w:sz w:val="1"/>
                <w:szCs w:val="1"/>
                <w:color w:val="auto"/>
              </w:rPr>
            </w:pPr>
          </w:p>
        </w:tc>
      </w:tr>
      <w:tr>
        <w:trPr>
          <w:trHeight w:val="67"/>
        </w:trPr>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20"/>
                <w:szCs w:val="20"/>
                <w:color w:val="auto"/>
              </w:rPr>
            </w:pPr>
            <w:r>
              <w:rPr>
                <w:rFonts w:ascii="Arial" w:cs="Arial" w:eastAsia="Arial" w:hAnsi="Arial"/>
                <w:sz w:val="14"/>
                <w:szCs w:val="14"/>
                <w:color w:val="auto"/>
                <w:w w:val="89"/>
              </w:rPr>
              <w:t>01</w:t>
            </w:r>
          </w:p>
        </w:tc>
        <w:tc>
          <w:tcPr>
            <w:tcW w:w="1320" w:type="dxa"/>
            <w:vAlign w:val="bottom"/>
          </w:tcPr>
          <w:p>
            <w:pPr>
              <w:ind w:left="20"/>
              <w:spacing w:after="0"/>
              <w:rPr>
                <w:sz w:val="20"/>
                <w:szCs w:val="20"/>
                <w:color w:val="auto"/>
              </w:rPr>
            </w:pPr>
            <w:r>
              <w:rPr>
                <w:rFonts w:ascii="Arial" w:cs="Arial" w:eastAsia="Arial" w:hAnsi="Arial"/>
                <w:sz w:val="14"/>
                <w:szCs w:val="14"/>
                <w:color w:val="auto"/>
              </w:rPr>
              <w:t>- Kathy J. Warden</w:t>
            </w:r>
          </w:p>
        </w:tc>
        <w:tc>
          <w:tcPr>
            <w:tcW w:w="13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06</w:t>
            </w:r>
          </w:p>
        </w:tc>
        <w:tc>
          <w:tcPr>
            <w:tcW w:w="1460" w:type="dxa"/>
            <w:vAlign w:val="bottom"/>
          </w:tcPr>
          <w:p>
            <w:pPr>
              <w:ind w:left="20"/>
              <w:spacing w:after="0"/>
              <w:rPr>
                <w:sz w:val="20"/>
                <w:szCs w:val="20"/>
                <w:color w:val="auto"/>
              </w:rPr>
            </w:pPr>
            <w:r>
              <w:rPr>
                <w:rFonts w:ascii="Arial" w:cs="Arial" w:eastAsia="Arial" w:hAnsi="Arial"/>
                <w:sz w:val="14"/>
                <w:szCs w:val="14"/>
                <w:color w:val="auto"/>
                <w:w w:val="98"/>
              </w:rPr>
              <w:t>- William H. Hernandez</w:t>
            </w:r>
          </w:p>
        </w:tc>
        <w:tc>
          <w:tcPr>
            <w:tcW w:w="13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w w:val="89"/>
              </w:rPr>
              <w:t>10</w:t>
            </w:r>
          </w:p>
        </w:tc>
        <w:tc>
          <w:tcPr>
            <w:tcW w:w="1380" w:type="dxa"/>
            <w:vAlign w:val="bottom"/>
          </w:tcPr>
          <w:p>
            <w:pPr>
              <w:ind w:left="20"/>
              <w:spacing w:after="0"/>
              <w:rPr>
                <w:sz w:val="20"/>
                <w:szCs w:val="20"/>
                <w:color w:val="auto"/>
              </w:rPr>
            </w:pPr>
            <w:r>
              <w:rPr>
                <w:rFonts w:ascii="Arial" w:cs="Arial" w:eastAsia="Arial" w:hAnsi="Arial"/>
                <w:sz w:val="14"/>
                <w:szCs w:val="14"/>
                <w:color w:val="auto"/>
                <w:w w:val="95"/>
              </w:rPr>
              <w:t>- Thomas M. Schoewe</w:t>
            </w:r>
          </w:p>
        </w:tc>
        <w:tc>
          <w:tcPr>
            <w:tcW w:w="122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20"/>
                <w:szCs w:val="20"/>
                <w:color w:val="auto"/>
              </w:rPr>
            </w:pPr>
            <w:r>
              <w:rPr>
                <w:rFonts w:ascii="Arial" w:cs="Arial" w:eastAsia="Arial" w:hAnsi="Arial"/>
                <w:sz w:val="14"/>
                <w:szCs w:val="14"/>
                <w:color w:val="auto"/>
                <w:w w:val="89"/>
              </w:rPr>
              <w:t>02</w:t>
            </w:r>
          </w:p>
        </w:tc>
        <w:tc>
          <w:tcPr>
            <w:tcW w:w="1320" w:type="dxa"/>
            <w:vAlign w:val="bottom"/>
          </w:tcPr>
          <w:p>
            <w:pPr>
              <w:ind w:left="20"/>
              <w:spacing w:after="0"/>
              <w:rPr>
                <w:sz w:val="20"/>
                <w:szCs w:val="20"/>
                <w:color w:val="auto"/>
              </w:rPr>
            </w:pPr>
            <w:r>
              <w:rPr>
                <w:rFonts w:ascii="Arial" w:cs="Arial" w:eastAsia="Arial" w:hAnsi="Arial"/>
                <w:sz w:val="14"/>
                <w:szCs w:val="14"/>
                <w:color w:val="auto"/>
                <w:w w:val="99"/>
              </w:rPr>
              <w:t>- Marianne C. Brown</w:t>
            </w:r>
          </w:p>
        </w:tc>
        <w:tc>
          <w:tcPr>
            <w:tcW w:w="13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07</w:t>
            </w:r>
          </w:p>
        </w:tc>
        <w:tc>
          <w:tcPr>
            <w:tcW w:w="1460" w:type="dxa"/>
            <w:vAlign w:val="bottom"/>
          </w:tcPr>
          <w:p>
            <w:pPr>
              <w:ind w:left="20"/>
              <w:spacing w:after="0"/>
              <w:rPr>
                <w:sz w:val="20"/>
                <w:szCs w:val="20"/>
                <w:color w:val="auto"/>
              </w:rPr>
            </w:pPr>
            <w:r>
              <w:rPr>
                <w:rFonts w:ascii="Arial" w:cs="Arial" w:eastAsia="Arial" w:hAnsi="Arial"/>
                <w:sz w:val="14"/>
                <w:szCs w:val="14"/>
                <w:color w:val="auto"/>
              </w:rPr>
              <w:t>- Madeleine A. Kleiner</w:t>
            </w:r>
          </w:p>
        </w:tc>
        <w:tc>
          <w:tcPr>
            <w:tcW w:w="13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1680" w:type="dxa"/>
            <w:vAlign w:val="bottom"/>
            <w:gridSpan w:val="2"/>
          </w:tcPr>
          <w:p>
            <w:pPr>
              <w:ind w:left="140"/>
              <w:spacing w:after="0"/>
              <w:rPr>
                <w:sz w:val="20"/>
                <w:szCs w:val="20"/>
                <w:color w:val="auto"/>
              </w:rPr>
            </w:pPr>
            <w:r>
              <w:rPr>
                <w:rFonts w:ascii="Arial" w:cs="Arial" w:eastAsia="Arial" w:hAnsi="Arial"/>
                <w:sz w:val="14"/>
                <w:szCs w:val="14"/>
                <w:color w:val="auto"/>
              </w:rPr>
              <w:t>11 - James S. Turley</w:t>
            </w:r>
          </w:p>
        </w:tc>
        <w:tc>
          <w:tcPr>
            <w:tcW w:w="122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20"/>
                <w:szCs w:val="20"/>
                <w:color w:val="auto"/>
              </w:rPr>
            </w:pPr>
            <w:r>
              <w:rPr>
                <w:rFonts w:ascii="Arial" w:cs="Arial" w:eastAsia="Arial" w:hAnsi="Arial"/>
                <w:sz w:val="14"/>
                <w:szCs w:val="14"/>
                <w:color w:val="auto"/>
                <w:w w:val="89"/>
              </w:rPr>
              <w:t>03</w:t>
            </w:r>
          </w:p>
        </w:tc>
        <w:tc>
          <w:tcPr>
            <w:tcW w:w="1320" w:type="dxa"/>
            <w:vAlign w:val="bottom"/>
          </w:tcPr>
          <w:p>
            <w:pPr>
              <w:ind w:left="20"/>
              <w:spacing w:after="0"/>
              <w:rPr>
                <w:sz w:val="20"/>
                <w:szCs w:val="20"/>
                <w:color w:val="auto"/>
              </w:rPr>
            </w:pPr>
            <w:r>
              <w:rPr>
                <w:rFonts w:ascii="Arial" w:cs="Arial" w:eastAsia="Arial" w:hAnsi="Arial"/>
                <w:sz w:val="14"/>
                <w:szCs w:val="14"/>
                <w:color w:val="auto"/>
                <w:w w:val="97"/>
              </w:rPr>
              <w:t>- Donald E. Felsinger</w:t>
            </w:r>
          </w:p>
        </w:tc>
        <w:tc>
          <w:tcPr>
            <w:tcW w:w="13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08</w:t>
            </w:r>
          </w:p>
        </w:tc>
        <w:tc>
          <w:tcPr>
            <w:tcW w:w="1460" w:type="dxa"/>
            <w:vAlign w:val="bottom"/>
          </w:tcPr>
          <w:p>
            <w:pPr>
              <w:ind w:left="20"/>
              <w:spacing w:after="0"/>
              <w:rPr>
                <w:sz w:val="20"/>
                <w:szCs w:val="20"/>
                <w:color w:val="auto"/>
              </w:rPr>
            </w:pPr>
            <w:r>
              <w:rPr>
                <w:rFonts w:ascii="Arial" w:cs="Arial" w:eastAsia="Arial" w:hAnsi="Arial"/>
                <w:sz w:val="14"/>
                <w:szCs w:val="14"/>
                <w:color w:val="auto"/>
              </w:rPr>
              <w:t>- Karl J. Krapek</w:t>
            </w:r>
          </w:p>
        </w:tc>
        <w:tc>
          <w:tcPr>
            <w:tcW w:w="13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w w:val="89"/>
              </w:rPr>
              <w:t>12</w:t>
            </w:r>
          </w:p>
        </w:tc>
        <w:tc>
          <w:tcPr>
            <w:tcW w:w="1380" w:type="dxa"/>
            <w:vAlign w:val="bottom"/>
          </w:tcPr>
          <w:p>
            <w:pPr>
              <w:ind w:left="20"/>
              <w:spacing w:after="0"/>
              <w:rPr>
                <w:sz w:val="20"/>
                <w:szCs w:val="20"/>
                <w:color w:val="auto"/>
              </w:rPr>
            </w:pPr>
            <w:r>
              <w:rPr>
                <w:rFonts w:ascii="Arial" w:cs="Arial" w:eastAsia="Arial" w:hAnsi="Arial"/>
                <w:sz w:val="14"/>
                <w:szCs w:val="14"/>
                <w:color w:val="auto"/>
              </w:rPr>
              <w:t>- Mark A. Welsh III</w:t>
            </w:r>
          </w:p>
        </w:tc>
        <w:tc>
          <w:tcPr>
            <w:tcW w:w="122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w w:val="89"/>
              </w:rPr>
              <w:t>04</w:t>
            </w:r>
          </w:p>
        </w:tc>
        <w:tc>
          <w:tcPr>
            <w:tcW w:w="1320" w:type="dxa"/>
            <w:vAlign w:val="bottom"/>
          </w:tcPr>
          <w:p>
            <w:pPr>
              <w:ind w:left="20"/>
              <w:spacing w:after="0"/>
              <w:rPr>
                <w:sz w:val="20"/>
                <w:szCs w:val="20"/>
                <w:color w:val="auto"/>
              </w:rPr>
            </w:pPr>
            <w:r>
              <w:rPr>
                <w:rFonts w:ascii="Arial" w:cs="Arial" w:eastAsia="Arial" w:hAnsi="Arial"/>
                <w:sz w:val="14"/>
                <w:szCs w:val="14"/>
                <w:color w:val="auto"/>
              </w:rPr>
              <w:t>- Ann M. Fudge</w:t>
            </w:r>
          </w:p>
        </w:tc>
        <w:tc>
          <w:tcPr>
            <w:tcW w:w="13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09</w:t>
            </w:r>
          </w:p>
        </w:tc>
        <w:tc>
          <w:tcPr>
            <w:tcW w:w="1460" w:type="dxa"/>
            <w:vAlign w:val="bottom"/>
          </w:tcPr>
          <w:p>
            <w:pPr>
              <w:ind w:left="20"/>
              <w:spacing w:after="0"/>
              <w:rPr>
                <w:sz w:val="20"/>
                <w:szCs w:val="20"/>
                <w:color w:val="auto"/>
              </w:rPr>
            </w:pPr>
            <w:r>
              <w:rPr>
                <w:rFonts w:ascii="Arial" w:cs="Arial" w:eastAsia="Arial" w:hAnsi="Arial"/>
                <w:sz w:val="14"/>
                <w:szCs w:val="14"/>
                <w:color w:val="auto"/>
              </w:rPr>
              <w:t>- Gary Roughead</w:t>
            </w:r>
          </w:p>
        </w:tc>
        <w:tc>
          <w:tcPr>
            <w:tcW w:w="13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0"/>
                <w:szCs w:val="20"/>
                <w:color w:val="auto"/>
              </w:rPr>
            </w:pPr>
            <w:r>
              <w:rPr>
                <w:rFonts w:ascii="Arial" w:cs="Arial" w:eastAsia="Arial" w:hAnsi="Arial"/>
                <w:sz w:val="14"/>
                <w:szCs w:val="14"/>
                <w:color w:val="auto"/>
                <w:w w:val="89"/>
              </w:rPr>
              <w:t>05</w:t>
            </w:r>
          </w:p>
        </w:tc>
        <w:tc>
          <w:tcPr>
            <w:tcW w:w="1320" w:type="dxa"/>
            <w:vAlign w:val="bottom"/>
          </w:tcPr>
          <w:p>
            <w:pPr>
              <w:ind w:left="20"/>
              <w:spacing w:after="0"/>
              <w:rPr>
                <w:sz w:val="20"/>
                <w:szCs w:val="20"/>
                <w:color w:val="auto"/>
              </w:rPr>
            </w:pPr>
            <w:r>
              <w:rPr>
                <w:rFonts w:ascii="Arial" w:cs="Arial" w:eastAsia="Arial" w:hAnsi="Arial"/>
                <w:sz w:val="14"/>
                <w:szCs w:val="14"/>
                <w:color w:val="auto"/>
              </w:rPr>
              <w:t>- Bruce S. Gordon</w:t>
            </w:r>
          </w:p>
        </w:tc>
        <w:tc>
          <w:tcPr>
            <w:tcW w:w="13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w w:val="93"/>
              </w:rPr>
              <w:t>For Against Abstain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0" w:gutter="0" w:footer="0" w:header="0"/>
        </w:sectPr>
      </w:pPr>
    </w:p>
    <w:bookmarkStart w:id="94" w:name="page95"/>
    <w:bookmarkEnd w:id="94"/>
    <w:p>
      <w:pPr>
        <w:ind w:left="5"/>
        <w:spacing w:after="0"/>
        <w:tabs>
          <w:tab w:leader="none" w:pos="7705" w:val="left"/>
        </w:tabs>
        <w:rPr>
          <w:sz w:val="20"/>
          <w:szCs w:val="20"/>
          <w:color w:val="auto"/>
        </w:rPr>
      </w:pPr>
      <w:r>
        <w:rPr>
          <w:rFonts w:ascii="Arial" w:cs="Arial" w:eastAsia="Arial" w:hAnsi="Arial"/>
          <w:sz w:val="14"/>
          <w:szCs w:val="14"/>
          <w:b w:val="1"/>
          <w:bCs w:val="1"/>
          <w:color w:val="auto"/>
        </w:rPr>
        <w:t>2. Proposal to approve, on an advisory basis, the compensation of the Company's Named Executive Officers.</w:t>
      </w:r>
      <w:r>
        <w:rPr>
          <w:sz w:val="20"/>
          <w:szCs w:val="20"/>
          <w:color w:val="auto"/>
        </w:rPr>
        <w:tab/>
      </w:r>
      <w:r>
        <w:rPr>
          <w:rFonts w:ascii="Arial" w:cs="Arial" w:eastAsia="Arial" w:hAnsi="Arial"/>
          <w:sz w:val="13"/>
          <w:szCs w:val="13"/>
          <w:color w:val="auto"/>
        </w:rPr>
        <w:t>□</w:t>
      </w:r>
      <w:r>
        <w:rPr>
          <w:rFonts w:ascii="Arial" w:cs="Arial" w:eastAsia="Arial" w:hAnsi="Arial"/>
          <w:sz w:val="13"/>
          <w:szCs w:val="13"/>
          <w:color w:val="FFFFFF"/>
        </w:rPr>
        <w:t>____</w:t>
      </w:r>
      <w:r>
        <w:rPr>
          <w:rFonts w:ascii="Arial" w:cs="Arial" w:eastAsia="Arial" w:hAnsi="Arial"/>
          <w:sz w:val="13"/>
          <w:szCs w:val="13"/>
          <w:color w:val="auto"/>
        </w:rPr>
        <w:t>□</w:t>
      </w:r>
      <w:r>
        <w:rPr>
          <w:rFonts w:ascii="Arial" w:cs="Arial" w:eastAsia="Arial" w:hAnsi="Arial"/>
          <w:sz w:val="13"/>
          <w:szCs w:val="13"/>
          <w:color w:val="FFFFFF"/>
        </w:rPr>
        <w:t>____</w:t>
      </w:r>
      <w:r>
        <w:rPr>
          <w:rFonts w:ascii="Arial" w:cs="Arial" w:eastAsia="Arial" w:hAnsi="Arial"/>
          <w:sz w:val="13"/>
          <w:szCs w:val="13"/>
          <w:color w:val="auto"/>
        </w:rPr>
        <w:t>□</w:t>
      </w:r>
    </w:p>
    <w:p>
      <w:pPr>
        <w:spacing w:after="0" w:line="46" w:lineRule="exact"/>
        <w:rPr>
          <w:sz w:val="20"/>
          <w:szCs w:val="20"/>
          <w:color w:val="auto"/>
        </w:rPr>
      </w:pPr>
    </w:p>
    <w:p>
      <w:pPr>
        <w:jc w:val="right"/>
        <w:ind w:right="2320"/>
        <w:spacing w:after="0"/>
        <w:rPr>
          <w:sz w:val="20"/>
          <w:szCs w:val="20"/>
          <w:color w:val="auto"/>
        </w:rPr>
      </w:pPr>
      <w:r>
        <w:rPr>
          <w:rFonts w:ascii="Arial" w:cs="Arial" w:eastAsia="Arial" w:hAnsi="Arial"/>
          <w:sz w:val="14"/>
          <w:szCs w:val="14"/>
          <w:color w:val="auto"/>
        </w:rPr>
        <w:t>For Against Abstain</w:t>
      </w:r>
    </w:p>
    <w:p>
      <w:pPr>
        <w:sectPr>
          <w:pgSz w:w="11900" w:h="16838" w:orient="portrait"/>
          <w:cols w:equalWidth="0" w:num="1">
            <w:col w:w="11205"/>
          </w:cols>
          <w:pgMar w:left="355" w:top="130" w:right="339" w:bottom="1440" w:gutter="0" w:footer="0" w:header="0"/>
        </w:sectPr>
      </w:pPr>
    </w:p>
    <w:p>
      <w:pPr>
        <w:spacing w:after="0" w:line="105" w:lineRule="exact"/>
        <w:rPr>
          <w:sz w:val="20"/>
          <w:szCs w:val="20"/>
          <w:color w:val="auto"/>
        </w:rPr>
      </w:pPr>
    </w:p>
    <w:p>
      <w:pPr>
        <w:ind w:left="5" w:right="1180" w:hanging="5"/>
        <w:spacing w:after="0" w:line="258" w:lineRule="auto"/>
        <w:tabs>
          <w:tab w:leader="none" w:pos="149"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color w:val="auto"/>
        </w:rPr>
        <w:t>Proposal to ratify the appointment of Deloitte &amp; Touche LLP as the Company's Independent Auditor for fiscal year ending December 31, 2020.</w:t>
      </w:r>
    </w:p>
    <w:p>
      <w:pPr>
        <w:spacing w:after="0" w:line="369" w:lineRule="exact"/>
        <w:rPr>
          <w:sz w:val="20"/>
          <w:szCs w:val="20"/>
          <w:color w:val="auto"/>
        </w:rPr>
      </w:pPr>
    </w:p>
    <w:p>
      <w:pPr>
        <w:ind w:left="405"/>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Proposals 4 and 5.</w:t>
      </w:r>
    </w:p>
    <w:p>
      <w:pPr>
        <w:spacing w:after="0" w:line="42" w:lineRule="exact"/>
        <w:rPr>
          <w:sz w:val="20"/>
          <w:szCs w:val="20"/>
          <w:color w:val="auto"/>
        </w:rPr>
      </w:pPr>
    </w:p>
    <w:p>
      <w:pPr>
        <w:ind w:left="5" w:right="1160" w:hanging="5"/>
        <w:spacing w:after="0"/>
        <w:tabs>
          <w:tab w:leader="none" w:pos="149"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proposal that the Company assess and report on potential human rights impacts that could result from governments' use of the Company's products and services, including in conflict-affected areas.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17" w:lineRule="exact"/>
        <w:rPr>
          <w:sz w:val="20"/>
          <w:szCs w:val="20"/>
          <w:color w:val="auto"/>
        </w:rPr>
      </w:pPr>
    </w:p>
    <w:p>
      <w:pPr>
        <w:sectPr>
          <w:pgSz w:w="11900" w:h="16838" w:orient="portrait"/>
          <w:cols w:equalWidth="0" w:num="2">
            <w:col w:w="7005" w:space="720"/>
            <w:col w:w="3480"/>
          </w:cols>
          <w:pgMar w:left="355" w:top="130" w:right="339" w:bottom="1440" w:gutter="0" w:footer="0" w:header="0"/>
          <w:type w:val="continuous"/>
        </w:sectPr>
      </w:pPr>
    </w:p>
    <w:p>
      <w:pPr>
        <w:ind w:left="5"/>
        <w:spacing w:after="0"/>
        <w:tabs>
          <w:tab w:leader="none" w:pos="7705" w:val="left"/>
        </w:tabs>
        <w:rPr>
          <w:sz w:val="20"/>
          <w:szCs w:val="20"/>
          <w:color w:val="auto"/>
        </w:rPr>
      </w:pPr>
      <w:r>
        <w:rPr>
          <w:rFonts w:ascii="Arial" w:cs="Arial" w:eastAsia="Arial" w:hAnsi="Arial"/>
          <w:sz w:val="14"/>
          <w:szCs w:val="14"/>
          <w:b w:val="1"/>
          <w:bCs w:val="1"/>
          <w:color w:val="auto"/>
        </w:rPr>
        <w:t>5. Shareholder proposal to move to a 3% ownership threshold for shareholders to request action</w:t>
      </w:r>
      <w:r>
        <w:rPr>
          <w:sz w:val="20"/>
          <w:szCs w:val="20"/>
          <w:color w:val="auto"/>
        </w:rPr>
        <w:tab/>
      </w:r>
      <w:r>
        <w:rPr>
          <w:rFonts w:ascii="Arial" w:cs="Arial" w:eastAsia="Arial" w:hAnsi="Arial"/>
          <w:sz w:val="13"/>
          <w:szCs w:val="13"/>
          <w:color w:val="auto"/>
        </w:rPr>
        <w:t>□</w:t>
      </w:r>
      <w:r>
        <w:rPr>
          <w:rFonts w:ascii="Arial" w:cs="Arial" w:eastAsia="Arial" w:hAnsi="Arial"/>
          <w:sz w:val="13"/>
          <w:szCs w:val="13"/>
          <w:color w:val="FFFFFF"/>
        </w:rPr>
        <w:t>____</w:t>
      </w:r>
      <w:r>
        <w:rPr>
          <w:rFonts w:ascii="Arial" w:cs="Arial" w:eastAsia="Arial" w:hAnsi="Arial"/>
          <w:sz w:val="13"/>
          <w:szCs w:val="13"/>
          <w:color w:val="auto"/>
        </w:rPr>
        <w:t>□</w:t>
      </w:r>
      <w:r>
        <w:rPr>
          <w:rFonts w:ascii="Arial" w:cs="Arial" w:eastAsia="Arial" w:hAnsi="Arial"/>
          <w:sz w:val="13"/>
          <w:szCs w:val="13"/>
          <w:color w:val="FFFFFF"/>
        </w:rPr>
        <w:t>____</w:t>
      </w:r>
      <w:r>
        <w:rPr>
          <w:rFonts w:ascii="Arial" w:cs="Arial" w:eastAsia="Arial" w:hAnsi="Arial"/>
          <w:sz w:val="13"/>
          <w:szCs w:val="13"/>
          <w:color w:val="auto"/>
        </w:rPr>
        <w:t>□</w:t>
      </w:r>
    </w:p>
    <w:p>
      <w:pPr>
        <w:spacing w:after="0" w:line="4"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by written consent.</w:t>
      </w:r>
    </w:p>
    <w:p>
      <w:pPr>
        <w:spacing w:after="0" w:line="98" w:lineRule="exact"/>
        <w:rPr>
          <w:sz w:val="20"/>
          <w:szCs w:val="20"/>
          <w:color w:val="auto"/>
        </w:rPr>
      </w:pPr>
    </w:p>
    <w:p>
      <w:pPr>
        <w:ind w:left="45"/>
        <w:spacing w:after="0"/>
        <w:rPr>
          <w:sz w:val="20"/>
          <w:szCs w:val="20"/>
          <w:color w:val="auto"/>
        </w:rPr>
      </w:pPr>
      <w:r>
        <w:rPr>
          <w:rFonts w:ascii="Arial" w:cs="Arial" w:eastAsia="Arial" w:hAnsi="Arial"/>
          <w:sz w:val="18"/>
          <w:szCs w:val="18"/>
          <w:color w:val="FFFFFF"/>
          <w:highlight w:val="black"/>
        </w:rPr>
        <w:t xml:space="preserve">B </w:t>
      </w:r>
      <w:r>
        <w:rPr>
          <w:rFonts w:ascii="Arial" w:cs="Arial" w:eastAsia="Arial" w:hAnsi="Arial"/>
          <w:sz w:val="16"/>
          <w:szCs w:val="16"/>
          <w:b w:val="1"/>
          <w:bCs w:val="1"/>
          <w:color w:val="000000"/>
        </w:rPr>
        <w:t>Authorized Signatures - This section must be completed for your vote to be counted. Please date and sign below.</w:t>
      </w:r>
    </w:p>
    <w:p>
      <w:pPr>
        <w:spacing w:after="0" w:line="18" w:lineRule="exact"/>
        <w:rPr>
          <w:sz w:val="20"/>
          <w:szCs w:val="20"/>
          <w:color w:val="auto"/>
        </w:rPr>
      </w:pPr>
    </w:p>
    <w:p>
      <w:pPr>
        <w:ind w:left="85"/>
        <w:spacing w:after="0"/>
        <w:rPr>
          <w:sz w:val="20"/>
          <w:szCs w:val="20"/>
          <w:color w:val="auto"/>
        </w:rPr>
      </w:pPr>
      <w:r>
        <w:rPr>
          <w:rFonts w:ascii="Arial" w:cs="Arial" w:eastAsia="Arial" w:hAnsi="Arial"/>
          <w:sz w:val="14"/>
          <w:szCs w:val="14"/>
          <w:color w:val="auto"/>
        </w:rPr>
        <w:t>Please sign exactly as name(s) appears hereon. Joint owners should each sign.</w:t>
      </w:r>
    </w:p>
    <w:p>
      <w:pPr>
        <w:spacing w:after="0" w:line="1" w:lineRule="exact"/>
        <w:rPr>
          <w:sz w:val="20"/>
          <w:szCs w:val="20"/>
          <w:color w:val="auto"/>
        </w:rPr>
      </w:pPr>
    </w:p>
    <w:p>
      <w:pPr>
        <w:ind w:left="85"/>
        <w:spacing w:after="0"/>
        <w:rPr>
          <w:sz w:val="20"/>
          <w:szCs w:val="20"/>
          <w:color w:val="auto"/>
        </w:rPr>
      </w:pPr>
      <w:r>
        <w:rPr>
          <w:rFonts w:ascii="Arial" w:cs="Arial" w:eastAsia="Arial" w:hAnsi="Arial"/>
          <w:sz w:val="14"/>
          <w:szCs w:val="14"/>
          <w:color w:val="auto"/>
        </w:rPr>
        <w:t>When signing as attorney, executor, administrator, corporate officer, trustee, guardian, or custodian, please give full title.</w:t>
      </w:r>
    </w:p>
    <w:p>
      <w:pPr>
        <w:sectPr>
          <w:pgSz w:w="11900" w:h="16838" w:orient="portrait"/>
          <w:cols w:equalWidth="0" w:num="1">
            <w:col w:w="11205"/>
          </w:cols>
          <w:pgMar w:left="355" w:top="130" w:right="339" w:bottom="1440" w:gutter="0" w:footer="0" w:header="0"/>
          <w:type w:val="continuous"/>
        </w:sectPr>
      </w:pPr>
    </w:p>
    <w:p>
      <w:pPr>
        <w:spacing w:after="0" w:line="163" w:lineRule="exact"/>
        <w:rPr>
          <w:sz w:val="20"/>
          <w:szCs w:val="20"/>
          <w:color w:val="auto"/>
        </w:rPr>
      </w:pPr>
    </w:p>
    <w:tbl>
      <w:tblPr>
        <w:tblLayout w:type="fixed"/>
        <w:tblInd w:w="95" w:type="dxa"/>
        <w:tblCellMar>
          <w:top w:w="0" w:type="dxa"/>
          <w:left w:w="0" w:type="dxa"/>
          <w:bottom w:w="0" w:type="dxa"/>
          <w:right w:w="0" w:type="dxa"/>
        </w:tblCellMar>
      </w:tblPr>
      <w:tr>
        <w:trPr>
          <w:trHeight w:val="162"/>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Date (mm/dd/yyyy) - Please print date</w:t>
            </w:r>
          </w:p>
        </w:tc>
        <w:tc>
          <w:tcPr>
            <w:tcW w:w="2820" w:type="dxa"/>
            <w:vAlign w:val="bottom"/>
          </w:tcPr>
          <w:p>
            <w:pPr>
              <w:spacing w:after="0"/>
              <w:rPr>
                <w:sz w:val="20"/>
                <w:szCs w:val="20"/>
                <w:color w:val="auto"/>
              </w:rPr>
            </w:pPr>
            <w:r>
              <w:rPr>
                <w:rFonts w:ascii="Arial" w:cs="Arial" w:eastAsia="Arial" w:hAnsi="Arial"/>
                <w:sz w:val="14"/>
                <w:szCs w:val="14"/>
                <w:color w:val="auto"/>
              </w:rPr>
              <w:t>Signature 1 - Please keep signature within</w:t>
            </w:r>
          </w:p>
        </w:tc>
      </w:tr>
      <w:tr>
        <w:trPr>
          <w:trHeight w:val="178"/>
        </w:trPr>
        <w:tc>
          <w:tcPr>
            <w:tcW w:w="2900" w:type="dxa"/>
            <w:vAlign w:val="bottom"/>
            <w:gridSpan w:val="2"/>
          </w:tcPr>
          <w:p>
            <w:pPr>
              <w:ind w:left="20"/>
              <w:spacing w:after="0"/>
              <w:rPr>
                <w:sz w:val="20"/>
                <w:szCs w:val="20"/>
                <w:color w:val="auto"/>
              </w:rPr>
            </w:pPr>
            <w:r>
              <w:rPr>
                <w:rFonts w:ascii="Arial" w:cs="Arial" w:eastAsia="Arial" w:hAnsi="Arial"/>
                <w:sz w:val="14"/>
                <w:szCs w:val="14"/>
                <w:color w:val="auto"/>
              </w:rPr>
              <w:t>below.</w:t>
            </w:r>
          </w:p>
        </w:tc>
        <w:tc>
          <w:tcPr>
            <w:tcW w:w="2820" w:type="dxa"/>
            <w:vAlign w:val="bottom"/>
          </w:tcPr>
          <w:p>
            <w:pPr>
              <w:spacing w:after="0"/>
              <w:rPr>
                <w:sz w:val="20"/>
                <w:szCs w:val="20"/>
                <w:color w:val="auto"/>
              </w:rPr>
            </w:pPr>
            <w:r>
              <w:rPr>
                <w:rFonts w:ascii="Arial" w:cs="Arial" w:eastAsia="Arial" w:hAnsi="Arial"/>
                <w:sz w:val="14"/>
                <w:szCs w:val="14"/>
                <w:color w:val="auto"/>
              </w:rPr>
              <w:t>the box.</w:t>
            </w:r>
          </w:p>
        </w:tc>
      </w:tr>
      <w:tr>
        <w:trPr>
          <w:trHeight w:val="323"/>
        </w:trPr>
        <w:tc>
          <w:tcPr>
            <w:tcW w:w="25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82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822960</wp:posOffset>
            </wp:positionV>
            <wp:extent cx="6172200" cy="1560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72200" cy="1560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Signature 2 - Please keep signature within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14605</wp:posOffset>
            </wp:positionV>
            <wp:extent cx="1859915" cy="2228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859915" cy="222885"/>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5785" w:space="500"/>
            <w:col w:w="4920"/>
          </w:cols>
          <w:pgMar w:left="355"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84"/>
        <w:spacing w:after="0"/>
        <w:rPr>
          <w:sz w:val="20"/>
          <w:szCs w:val="20"/>
          <w:color w:val="auto"/>
        </w:rPr>
      </w:pPr>
      <w:r>
        <w:rPr>
          <w:rFonts w:ascii="Arial" w:cs="Arial" w:eastAsia="Arial" w:hAnsi="Arial"/>
          <w:sz w:val="14"/>
          <w:szCs w:val="14"/>
          <w:b w:val="1"/>
          <w:bCs w:val="1"/>
          <w:color w:val="auto"/>
        </w:rPr>
        <w:t>ANNUAL MEETING OF SHAREHOLDERS</w:t>
      </w:r>
    </w:p>
    <w:p>
      <w:pPr>
        <w:spacing w:after="0" w:line="19" w:lineRule="exact"/>
        <w:rPr>
          <w:sz w:val="20"/>
          <w:szCs w:val="20"/>
          <w:color w:val="auto"/>
        </w:rPr>
      </w:pPr>
    </w:p>
    <w:p>
      <w:pPr>
        <w:jc w:val="center"/>
        <w:ind w:right="-84"/>
        <w:spacing w:after="0"/>
        <w:rPr>
          <w:sz w:val="20"/>
          <w:szCs w:val="20"/>
          <w:color w:val="auto"/>
        </w:rPr>
      </w:pPr>
      <w:r>
        <w:rPr>
          <w:rFonts w:ascii="Arial" w:cs="Arial" w:eastAsia="Arial" w:hAnsi="Arial"/>
          <w:sz w:val="14"/>
          <w:szCs w:val="14"/>
          <w:b w:val="1"/>
          <w:bCs w:val="1"/>
          <w:color w:val="auto"/>
        </w:rPr>
        <w:t>MAY 20, 2020, 8:00 A.M.</w:t>
      </w:r>
    </w:p>
    <w:p>
      <w:pPr>
        <w:spacing w:after="0" w:line="1" w:lineRule="exact"/>
        <w:rPr>
          <w:sz w:val="20"/>
          <w:szCs w:val="20"/>
          <w:color w:val="auto"/>
        </w:rPr>
      </w:pPr>
    </w:p>
    <w:p>
      <w:pPr>
        <w:jc w:val="center"/>
        <w:ind w:right="-84"/>
        <w:spacing w:after="0"/>
        <w:rPr>
          <w:sz w:val="20"/>
          <w:szCs w:val="20"/>
          <w:color w:val="auto"/>
        </w:rPr>
      </w:pPr>
      <w:r>
        <w:rPr>
          <w:rFonts w:ascii="Arial" w:cs="Arial" w:eastAsia="Arial" w:hAnsi="Arial"/>
          <w:sz w:val="14"/>
          <w:szCs w:val="14"/>
          <w:b w:val="1"/>
          <w:bCs w:val="1"/>
          <w:color w:val="auto"/>
        </w:rPr>
        <w:t>Northrop Grumman Corporation's Offices</w:t>
      </w:r>
    </w:p>
    <w:p>
      <w:pPr>
        <w:spacing w:after="0" w:line="1" w:lineRule="exact"/>
        <w:rPr>
          <w:sz w:val="20"/>
          <w:szCs w:val="20"/>
          <w:color w:val="auto"/>
        </w:rPr>
      </w:pPr>
    </w:p>
    <w:p>
      <w:pPr>
        <w:jc w:val="center"/>
        <w:ind w:right="-84"/>
        <w:spacing w:after="0"/>
        <w:rPr>
          <w:sz w:val="20"/>
          <w:szCs w:val="20"/>
          <w:color w:val="auto"/>
        </w:rPr>
      </w:pPr>
      <w:r>
        <w:rPr>
          <w:rFonts w:ascii="Arial" w:cs="Arial" w:eastAsia="Arial" w:hAnsi="Arial"/>
          <w:sz w:val="14"/>
          <w:szCs w:val="14"/>
          <w:b w:val="1"/>
          <w:bCs w:val="1"/>
          <w:color w:val="auto"/>
        </w:rPr>
        <w:t>2980 Fairview Park Drive, Falls Church, Virginia 22042</w:t>
      </w:r>
    </w:p>
    <w:p>
      <w:pPr>
        <w:spacing w:after="0" w:line="240" w:lineRule="exact"/>
        <w:rPr>
          <w:sz w:val="20"/>
          <w:szCs w:val="20"/>
          <w:color w:val="auto"/>
        </w:rPr>
      </w:pPr>
    </w:p>
    <w:p>
      <w:pPr>
        <w:ind w:left="85"/>
        <w:spacing w:after="0"/>
        <w:rPr>
          <w:sz w:val="20"/>
          <w:szCs w:val="20"/>
          <w:color w:val="auto"/>
        </w:rPr>
      </w:pPr>
      <w:r>
        <w:rPr>
          <w:rFonts w:ascii="Arial" w:cs="Arial" w:eastAsia="Arial" w:hAnsi="Arial"/>
          <w:sz w:val="14"/>
          <w:szCs w:val="14"/>
          <w:b w:val="1"/>
          <w:bCs w:val="1"/>
          <w:color w:val="auto"/>
        </w:rPr>
        <w:t>This Proxy/Voting Instruction Card is Solicited on Behalf of The Board of Directors for the 2020 Annual Meeting of Shareholders</w:t>
      </w:r>
    </w:p>
    <w:p>
      <w:pPr>
        <w:spacing w:after="0" w:line="114" w:lineRule="exact"/>
        <w:rPr>
          <w:sz w:val="20"/>
          <w:szCs w:val="20"/>
          <w:color w:val="auto"/>
        </w:rPr>
      </w:pPr>
    </w:p>
    <w:p>
      <w:pPr>
        <w:jc w:val="both"/>
        <w:ind w:left="85"/>
        <w:spacing w:after="0" w:line="243" w:lineRule="auto"/>
        <w:rPr>
          <w:sz w:val="20"/>
          <w:szCs w:val="20"/>
          <w:color w:val="auto"/>
        </w:rPr>
      </w:pPr>
      <w:r>
        <w:rPr>
          <w:rFonts w:ascii="Arial" w:cs="Arial" w:eastAsia="Arial" w:hAnsi="Arial"/>
          <w:sz w:val="14"/>
          <w:szCs w:val="14"/>
          <w:color w:val="auto"/>
        </w:rPr>
        <w:t>The undersigned hereby constitutes and appoints Sheila C. Cheston and Jennifer C. McGarey, and each of them, attorneys and proxies with full power of substitution, to represent the undersigned and to vote all shares of Common Stock, $1.00 par value, of Northrop Grumman Corporation (the “Company”), that the undersigned would be entitled to vote if personally present at the 2020 Annual Meeting of Shareholders of the Company to be held on Wednesday, May 20 2020, at 8:00 a.m. (Eastern Daylight Time) at the Northrop Grumman Corporation Headquarters, 2980 Fairview Park Drive, Falls Church, Virginia 22042 (or at any alternate location and/or by means of communication determined by or on behalf of the Board of Directors), and at any and all adjournments or postponements thereof (the “Meeting”), as herein specified and in such proxyholder’s discretion upon any other matter that may properly come before the Meeting including without limitation to vote on the election of such substitute nominees as such proxies may select in the event nominee(s) named on their card become(s) unable to serve as director. By granting this proxy, the undersigned hereby revokes any proxy previously granted by the undersigned.</w:t>
      </w:r>
    </w:p>
    <w:p>
      <w:pPr>
        <w:spacing w:after="0" w:line="226" w:lineRule="exact"/>
        <w:rPr>
          <w:sz w:val="20"/>
          <w:szCs w:val="20"/>
          <w:color w:val="auto"/>
        </w:rPr>
      </w:pPr>
    </w:p>
    <w:p>
      <w:pPr>
        <w:jc w:val="both"/>
        <w:ind w:left="85" w:right="20"/>
        <w:spacing w:after="0" w:line="293" w:lineRule="auto"/>
        <w:rPr>
          <w:sz w:val="20"/>
          <w:szCs w:val="20"/>
          <w:color w:val="auto"/>
        </w:rPr>
      </w:pPr>
      <w:r>
        <w:rPr>
          <w:rFonts w:ascii="Arial" w:cs="Arial" w:eastAsia="Arial" w:hAnsi="Arial"/>
          <w:sz w:val="14"/>
          <w:szCs w:val="14"/>
          <w:color w:val="auto"/>
        </w:rPr>
        <w:t>THIS PROXY WILL BE VOTED AS DIRECTED. IF NOT OTHERWISE DIRECTED, THIS PROXY WILL BE VOTED “FOR” THE NOMINEES LISTED UNDER PROPOSAL 1, “FOR” PROPOSALS 2 AND 3 AND “AGAINST” PROPOSALS 4 AND 5.</w:t>
      </w:r>
    </w:p>
    <w:p>
      <w:pPr>
        <w:spacing w:after="0" w:line="35" w:lineRule="exact"/>
        <w:rPr>
          <w:sz w:val="20"/>
          <w:szCs w:val="20"/>
          <w:color w:val="auto"/>
        </w:rPr>
      </w:pPr>
    </w:p>
    <w:p>
      <w:pPr>
        <w:ind w:left="85"/>
        <w:spacing w:after="0"/>
        <w:rPr>
          <w:sz w:val="20"/>
          <w:szCs w:val="20"/>
          <w:color w:val="auto"/>
        </w:rPr>
      </w:pPr>
      <w:r>
        <w:rPr>
          <w:rFonts w:ascii="Arial" w:cs="Arial" w:eastAsia="Arial" w:hAnsi="Arial"/>
          <w:sz w:val="14"/>
          <w:szCs w:val="14"/>
          <w:color w:val="auto"/>
        </w:rPr>
        <w:t>PLEASE MARK, DATE AND SIGN THIS PROXY AND RETURN IT PROMPTLY, EVEN IF YOU PLAN TO ATTEND THE ANNUAL MEETING.</w:t>
      </w:r>
    </w:p>
    <w:p>
      <w:pPr>
        <w:spacing w:after="0" w:line="96" w:lineRule="exact"/>
        <w:rPr>
          <w:sz w:val="20"/>
          <w:szCs w:val="20"/>
          <w:color w:val="auto"/>
        </w:rPr>
      </w:pPr>
    </w:p>
    <w:p>
      <w:pPr>
        <w:jc w:val="both"/>
        <w:ind w:left="85"/>
        <w:spacing w:after="0" w:line="246" w:lineRule="auto"/>
        <w:rPr>
          <w:sz w:val="20"/>
          <w:szCs w:val="20"/>
          <w:color w:val="auto"/>
        </w:rPr>
      </w:pPr>
      <w:r>
        <w:rPr>
          <w:rFonts w:ascii="Arial" w:cs="Arial" w:eastAsia="Arial" w:hAnsi="Arial"/>
          <w:sz w:val="14"/>
          <w:szCs w:val="14"/>
          <w:color w:val="auto"/>
        </w:rPr>
        <w:t>If shares are held on your behalf under any of the Company Savings Plans, the proxy serves to provide confidential instructions to the plan Trustee or Voting Manager who then votes the shares. Instructions must be received by 11:59 p.m. Eastern Time on May 17, 2020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 unless contrary to the Employment Retirement Income Security Act.</w:t>
      </w:r>
    </w:p>
    <w:p>
      <w:pPr>
        <w:spacing w:after="0" w:line="200" w:lineRule="exact"/>
        <w:rPr>
          <w:sz w:val="20"/>
          <w:szCs w:val="20"/>
          <w:color w:val="auto"/>
        </w:rPr>
      </w:pPr>
    </w:p>
    <w:p>
      <w:pPr>
        <w:spacing w:after="0" w:line="287" w:lineRule="exact"/>
        <w:rPr>
          <w:sz w:val="20"/>
          <w:szCs w:val="20"/>
          <w:color w:val="auto"/>
        </w:rPr>
      </w:pPr>
    </w:p>
    <w:p>
      <w:pPr>
        <w:ind w:left="85"/>
        <w:spacing w:after="0"/>
        <w:rPr>
          <w:sz w:val="20"/>
          <w:szCs w:val="20"/>
          <w:color w:val="auto"/>
        </w:rPr>
      </w:pPr>
      <w:r>
        <w:rPr>
          <w:rFonts w:ascii="Arial" w:cs="Arial" w:eastAsia="Arial" w:hAnsi="Arial"/>
          <w:sz w:val="14"/>
          <w:szCs w:val="14"/>
          <w:color w:val="auto"/>
        </w:rPr>
        <w:t>(Continued and to be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109220</wp:posOffset>
            </wp:positionV>
            <wp:extent cx="706374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ectPr>
          <w:pgSz w:w="11900" w:h="16838" w:orient="portrait"/>
          <w:cols w:equalWidth="0" w:num="1">
            <w:col w:w="11205"/>
          </w:cols>
          <w:pgMar w:left="355" w:top="130" w:right="339" w:bottom="1440" w:gutter="0" w:footer="0" w:header="0"/>
          <w:type w:val="continuous"/>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140335</wp:posOffset>
            </wp:positionV>
            <wp:extent cx="5863590" cy="30346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Important Notice Regarding the Availability of Proxy Materials for the</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Northrop Grumman Corporation Meeting of Shareholders to be Held on May 20, 2020</w:t>
      </w:r>
    </w:p>
    <w:p>
      <w:pPr>
        <w:spacing w:after="0" w:line="120" w:lineRule="exact"/>
        <w:rPr>
          <w:sz w:val="20"/>
          <w:szCs w:val="20"/>
          <w:color w:val="auto"/>
        </w:rPr>
      </w:pPr>
    </w:p>
    <w:p>
      <w:pPr>
        <w:ind w:left="80" w:right="60"/>
        <w:spacing w:after="0" w:line="253" w:lineRule="auto"/>
        <w:rPr>
          <w:sz w:val="20"/>
          <w:szCs w:val="20"/>
          <w:color w:val="auto"/>
        </w:rPr>
      </w:pPr>
      <w:r>
        <w:rPr>
          <w:rFonts w:ascii="Arial" w:cs="Arial" w:eastAsia="Arial" w:hAnsi="Arial"/>
          <w:sz w:val="16"/>
          <w:szCs w:val="16"/>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location of the annual meeting are on the reverse side. Your vote is important!</w:t>
      </w:r>
    </w:p>
    <w:p>
      <w:pPr>
        <w:spacing w:after="0" w:line="87" w:lineRule="exact"/>
        <w:rPr>
          <w:sz w:val="20"/>
          <w:szCs w:val="20"/>
          <w:color w:val="auto"/>
        </w:rPr>
      </w:pPr>
    </w:p>
    <w:p>
      <w:pPr>
        <w:ind w:left="80" w:hanging="26"/>
        <w:spacing w:after="0" w:line="26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shareholders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172200" cy="36347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7220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98" w:lineRule="auto"/>
        <w:rPr>
          <w:sz w:val="20"/>
          <w:szCs w:val="20"/>
          <w:color w:val="auto"/>
        </w:rPr>
      </w:pPr>
      <w:r>
        <w:rPr>
          <w:rFonts w:ascii="Arial" w:cs="Arial" w:eastAsia="Arial" w:hAnsi="Arial"/>
          <w:sz w:val="19"/>
          <w:szCs w:val="19"/>
          <w:b w:val="1"/>
          <w:bCs w:val="1"/>
          <w:color w:val="auto"/>
        </w:rPr>
        <w:t>Northrop Grumman Corporation’s Annual Meeting of Shareholders will be held on May 20, 2020 at Northrop Grumman Corporation's offices, 2980 Fairview Park Drive, Falls Church, Virginia 22042,* at 8:00 a.m. Eastern Daylight Time.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Proposals to be voted on at the meeting are listed below along with the Board of Directors’ recommendations.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recommends that you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proposals 1-3.</w:t>
      </w:r>
    </w:p>
    <w:p>
      <w:pPr>
        <w:spacing w:after="0" w:line="214"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Election of the following 12 nominees as Directors:</w:t>
      </w:r>
    </w:p>
    <w:p>
      <w:pPr>
        <w:spacing w:after="0" w:line="5" w:lineRule="exact"/>
        <w:rPr>
          <w:rFonts w:ascii="Arial" w:cs="Arial" w:eastAsia="Arial" w:hAnsi="Arial"/>
          <w:sz w:val="16"/>
          <w:szCs w:val="16"/>
          <w:color w:val="auto"/>
        </w:rPr>
      </w:pPr>
    </w:p>
    <w:p>
      <w:pPr>
        <w:ind w:left="660" w:right="2200"/>
        <w:spacing w:after="0" w:line="260" w:lineRule="auto"/>
        <w:rPr>
          <w:rFonts w:ascii="Arial" w:cs="Arial" w:eastAsia="Arial" w:hAnsi="Arial"/>
          <w:sz w:val="16"/>
          <w:szCs w:val="16"/>
          <w:color w:val="auto"/>
        </w:rPr>
      </w:pPr>
      <w:r>
        <w:rPr>
          <w:rFonts w:ascii="Arial" w:cs="Arial" w:eastAsia="Arial" w:hAnsi="Arial"/>
          <w:sz w:val="16"/>
          <w:szCs w:val="16"/>
          <w:color w:val="auto"/>
        </w:rPr>
        <w:t>Kathy J. Warden, Marianne C. Brown, Donald E. Felsinger, Ann M. Fudge, Bruce S. Gordon, William H. Hernandez, Madeleine A. Kleiner, Karl J. Krapek, Gary Roughead, Thomas M. Schoewe, James S. Turley, and Mark A. Welsh III.</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Proposal to approve, on an advisory basis, the compensation of the Company’s Named Executive Officers.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Proposal to ratify the appointment of Deloitte &amp; Touche LLP as the Company’s Independent Auditor for fiscal year ending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recommends that you vote </w:t>
      </w:r>
      <w:r>
        <w:rPr>
          <w:rFonts w:ascii="Arial" w:cs="Arial" w:eastAsia="Arial" w:hAnsi="Arial"/>
          <w:sz w:val="16"/>
          <w:szCs w:val="16"/>
          <w:b w:val="1"/>
          <w:bCs w:val="1"/>
          <w:u w:val="single" w:color="auto"/>
          <w:color w:val="auto"/>
        </w:rPr>
        <w:t>AGAINST</w:t>
      </w:r>
      <w:r>
        <w:rPr>
          <w:rFonts w:ascii="Arial" w:cs="Arial" w:eastAsia="Arial" w:hAnsi="Arial"/>
          <w:sz w:val="16"/>
          <w:szCs w:val="16"/>
          <w:b w:val="1"/>
          <w:bCs w:val="1"/>
          <w:color w:val="auto"/>
        </w:rPr>
        <w:t xml:space="preserve"> proposals 4 and 5.</w:t>
      </w:r>
    </w:p>
    <w:p>
      <w:pPr>
        <w:spacing w:after="0" w:line="214"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Shareholder proposal that the Company assess and report on potential human rights impacts that could result from governments' use of the</w:t>
      </w:r>
    </w:p>
    <w:p>
      <w:pPr>
        <w:sectPr>
          <w:pgSz w:w="11900" w:h="16861" w:orient="portrait"/>
          <w:cols w:equalWidth="0" w:num="1">
            <w:col w:w="11220"/>
          </w:cols>
          <w:pgMar w:left="320" w:top="1440" w:right="359" w:bottom="0" w:gutter="0" w:footer="0" w:header="0"/>
        </w:sectPr>
      </w:pPr>
    </w:p>
    <w:bookmarkStart w:id="96" w:name="page97"/>
    <w:bookmarkEnd w:id="96"/>
    <w:p>
      <w:pPr>
        <w:ind w:left="660"/>
        <w:spacing w:after="0"/>
        <w:rPr>
          <w:sz w:val="20"/>
          <w:szCs w:val="20"/>
          <w:color w:val="auto"/>
        </w:rPr>
      </w:pPr>
      <w:r>
        <w:rPr>
          <w:rFonts w:ascii="Arial" w:cs="Arial" w:eastAsia="Arial" w:hAnsi="Arial"/>
          <w:sz w:val="16"/>
          <w:szCs w:val="16"/>
          <w:color w:val="auto"/>
        </w:rPr>
        <w:t>Company's products and services, including in conflict-affected areas.</w:t>
      </w:r>
    </w:p>
    <w:p>
      <w:pPr>
        <w:spacing w:after="0" w:line="194"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Shareholder proposal to move to a 3% ownership threshold for shareholders to request action by written consent.</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PLEASE NOTE - YOU CANNOT VOTE BY RETURNING THIS NOTICE. To vote your shares you must vote online or by telephone or request a paper copy of the proxy materials to receive a proxy card. If you wish to attend and vote at the meeting, please bring this notice with you.</w:t>
      </w:r>
    </w:p>
    <w:p>
      <w:pPr>
        <w:spacing w:after="0" w:line="149" w:lineRule="exact"/>
        <w:rPr>
          <w:sz w:val="20"/>
          <w:szCs w:val="20"/>
          <w:color w:val="auto"/>
        </w:rPr>
      </w:pPr>
    </w:p>
    <w:p>
      <w:pPr>
        <w:ind w:firstLine="8"/>
        <w:spacing w:after="0" w:line="249" w:lineRule="auto"/>
        <w:tabs>
          <w:tab w:leader="none" w:pos="108" w:val="left"/>
        </w:tabs>
        <w:numPr>
          <w:ilvl w:val="0"/>
          <w:numId w:val="94"/>
        </w:numPr>
        <w:rPr>
          <w:rFonts w:ascii="Arial" w:cs="Arial" w:eastAsia="Arial" w:hAnsi="Arial"/>
          <w:sz w:val="16"/>
          <w:szCs w:val="16"/>
          <w:color w:val="auto"/>
        </w:rPr>
      </w:pPr>
      <w:r>
        <w:rPr>
          <w:rFonts w:ascii="Arial" w:cs="Arial" w:eastAsia="Arial" w:hAnsi="Arial"/>
          <w:sz w:val="16"/>
          <w:szCs w:val="16"/>
          <w:color w:val="auto"/>
        </w:rPr>
        <w:t>While we currently intend to hold our Annual Meeting in person, we are monitoring the situation regarding COVID-19 (Coronavirus) and are sensitive to the public health and travel concerns our shareholders may have and the protocols that federal, state and local governments may impose. In the event we conclude it is not advisable to hold our Annual Meeting in person, we will announce alternative arrangements for the meeting as promptly as practicable, which may include holding the meeting solely by means of remote communication. Please monitor the Investor Relations section of our website (</w:t>
      </w:r>
      <w:r>
        <w:rPr>
          <w:rFonts w:ascii="Arial" w:cs="Arial" w:eastAsia="Arial" w:hAnsi="Arial"/>
          <w:sz w:val="16"/>
          <w:szCs w:val="16"/>
          <w:i w:val="1"/>
          <w:iCs w:val="1"/>
          <w:color w:val="auto"/>
        </w:rPr>
        <w:t>www.northropgrumman.com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www.edocumentview.com/noc</w:t>
      </w:r>
      <w:r>
        <w:rPr>
          <w:rFonts w:ascii="Arial" w:cs="Arial" w:eastAsia="Arial" w:hAnsi="Arial"/>
          <w:sz w:val="16"/>
          <w:szCs w:val="16"/>
          <w:color w:val="auto"/>
        </w:rPr>
        <w:t xml:space="preserve"> for updated information. If you are planning to attend the Annual Meeting, please check the website prior to the meeting date.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w:t>
      </w:r>
    </w:p>
    <w:p>
      <w:pPr>
        <w:spacing w:after="0" w:line="211" w:lineRule="exact"/>
        <w:rPr>
          <w:sz w:val="20"/>
          <w:szCs w:val="20"/>
          <w:color w:val="auto"/>
        </w:rPr>
      </w:pPr>
    </w:p>
    <w:p>
      <w:pPr>
        <w:ind w:right="5240"/>
        <w:spacing w:after="0" w:line="250" w:lineRule="auto"/>
        <w:rPr>
          <w:sz w:val="20"/>
          <w:szCs w:val="20"/>
          <w:color w:val="auto"/>
        </w:rPr>
      </w:pPr>
      <w:r>
        <w:rPr>
          <w:rFonts w:ascii="Arial" w:cs="Arial" w:eastAsia="Arial" w:hAnsi="Arial"/>
          <w:sz w:val="18"/>
          <w:szCs w:val="18"/>
          <w:color w:val="auto"/>
        </w:rPr>
        <w:t>Directions to the 2020 annual meeting are available in the proxy statement, which can be viewed at www.envisionreports.com/NOC.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21348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2134870"/>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6948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lowerRoman"/>
      <w:start w:val="2"/>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lvl w:ilvl="1">
      <w:lvlJc w:val="left"/>
      <w:lvlText w:val="&amp;"/>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1)"/>
      <w:numFmt w:val="decimal"/>
      <w:start w:val="1"/>
    </w:lvl>
  </w:abstractNum>
  <w:abstractNum w:abstractNumId="62">
    <w:nsid w:val="8F2B15E"/>
    <w:multiLevelType w:val="hybridMultilevel"/>
    <w:lvl w:ilvl="0">
      <w:lvlJc w:val="left"/>
      <w:lvlText w:val="(%1)"/>
      <w:numFmt w:val="decimal"/>
      <w:start w:val="3"/>
    </w:lvl>
  </w:abstractNum>
  <w:abstractNum w:abstractNumId="63">
    <w:nsid w:val="1A32234B"/>
    <w:multiLevelType w:val="hybridMultilevel"/>
    <w:lvl w:ilvl="0">
      <w:lvlJc w:val="left"/>
      <w:lvlText w:val="(%1)"/>
      <w:numFmt w:val="decimal"/>
      <w:start w:val="5"/>
    </w:lvl>
    <w:lvl w:ilvl="1">
      <w:lvlJc w:val="left"/>
      <w:lvlText w:val="%2."/>
      <w:numFmt w:val="lowerRoman"/>
      <w:start w:val="1"/>
    </w:lvl>
  </w:abstractNum>
  <w:abstractNum w:abstractNumId="64">
    <w:nsid w:val="3B0FD379"/>
    <w:multiLevelType w:val="hybridMultilevel"/>
    <w:lvl w:ilvl="0">
      <w:lvlJc w:val="left"/>
      <w:lvlText w:val="(%1)"/>
      <w:numFmt w:val="decimal"/>
      <w:start w:val="6"/>
    </w:lvl>
  </w:abstractNum>
  <w:abstractNum w:abstractNumId="65">
    <w:nsid w:val="68EB2F63"/>
    <w:multiLevelType w:val="hybridMultilevel"/>
    <w:lvl w:ilvl="0">
      <w:lvlJc w:val="left"/>
      <w:lvlText w:val="(%1)"/>
      <w:numFmt w:val="decimal"/>
      <w:start w:val="1"/>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decimal"/>
      <w:start w:val="1"/>
    </w:lvl>
    <w:lvl w:ilvl="1">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bullet"/>
      <w:start w:val="1"/>
    </w:lvl>
  </w:abstractNum>
  <w:abstractNum w:abstractNumId="80">
    <w:nsid w:val="4C04A8AF"/>
    <w:multiLevelType w:val="hybridMultilevel"/>
    <w:lvl w:ilvl="0">
      <w:lvlJc w:val="left"/>
      <w:lvlText w:val="2"/>
      <w:numFmt w:val="bullet"/>
      <w:start w:val="1"/>
    </w:lvl>
  </w:abstractNum>
  <w:abstractNum w:abstractNumId="81">
    <w:nsid w:val="1716703B"/>
    <w:multiLevelType w:val="hybridMultilevel"/>
    <w:lvl w:ilvl="0">
      <w:lvlJc w:val="left"/>
      <w:lvlText w:val="3"/>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1."/>
      <w:numFmt w:val="decimal"/>
      <w:start w:val="2"/>
    </w:lvl>
  </w:abstractNum>
  <w:abstractNum w:abstractNumId="87">
    <w:nsid w:val="46B7D447"/>
    <w:multiLevelType w:val="hybridMultilevel"/>
    <w:lvl w:ilvl="0">
      <w:lvlJc w:val="left"/>
      <w:lvlText w:val="%1."/>
      <w:numFmt w:val="decimal"/>
      <w:start w:val="4"/>
    </w:lvl>
  </w:abstractNum>
  <w:abstractNum w:abstractNumId="88">
    <w:nsid w:val="4A2AC315"/>
    <w:multiLevelType w:val="hybridMultilevel"/>
    <w:lvl w:ilvl="0">
      <w:lvlJc w:val="left"/>
      <w:lvlText w:val="%1."/>
      <w:numFmt w:val="decimal"/>
      <w:start w:val="3"/>
    </w:lvl>
  </w:abstractNum>
  <w:abstractNum w:abstractNumId="89">
    <w:nsid w:val="39EE015C"/>
    <w:multiLevelType w:val="hybridMultilevel"/>
    <w:lvl w:ilvl="0">
      <w:lvlJc w:val="left"/>
      <w:lvlText w:val="%1."/>
      <w:numFmt w:val="decimal"/>
      <w:start w:val="4"/>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decimal"/>
      <w:start w:val="4"/>
    </w:lvl>
  </w:abstractNum>
  <w:abstractNum w:abstractNumId="92">
    <w:nsid w:val="43F18422"/>
    <w:multiLevelType w:val="hybridMultilevel"/>
    <w:lvl w:ilvl="0">
      <w:lvlJc w:val="left"/>
      <w:lvlText w:val="%1."/>
      <w:numFmt w:val="decimal"/>
      <w:start w:val="5"/>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2020-04-03T15:10:51Z</dcterms:created>
  <dcterms:modified xsi:type="dcterms:W3CDTF">2020-04-03T15:10:51Z</dcterms:modified>
</cp:coreProperties>
</file>