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0" w:lineRule="exact"/>
        <w:rPr>
          <w:sz w:val="24"/>
          <w:szCs w:val="24"/>
          <w:color w:val="auto"/>
        </w:rPr>
      </w:pPr>
    </w:p>
    <w:p>
      <w:pPr>
        <w:ind w:left="1900"/>
        <w:spacing w:after="0"/>
        <w:rPr>
          <w:sz w:val="20"/>
          <w:szCs w:val="20"/>
          <w:color w:val="auto"/>
        </w:rPr>
      </w:pPr>
      <w:r>
        <w:rPr>
          <w:rFonts w:ascii="Arial" w:cs="Arial" w:eastAsia="Arial" w:hAnsi="Arial"/>
          <w:sz w:val="29"/>
          <w:szCs w:val="29"/>
          <w:b w:val="1"/>
          <w:bCs w:val="1"/>
          <w:color w:val="auto"/>
        </w:rPr>
        <w:t>______________________________________________</w:t>
      </w:r>
    </w:p>
    <w:p>
      <w:pPr>
        <w:spacing w:after="0" w:line="11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4400"/>
        <w:spacing w:after="0"/>
        <w:rPr>
          <w:sz w:val="20"/>
          <w:szCs w:val="20"/>
          <w:color w:val="auto"/>
        </w:rPr>
      </w:pPr>
      <w:r>
        <w:rPr>
          <w:rFonts w:ascii="Arial" w:cs="Arial" w:eastAsia="Arial" w:hAnsi="Arial"/>
          <w:sz w:val="25"/>
          <w:szCs w:val="25"/>
          <w:b w:val="1"/>
          <w:bCs w:val="1"/>
          <w:color w:val="auto"/>
        </w:rPr>
        <w:t>____________________</w:t>
      </w:r>
    </w:p>
    <w:p>
      <w:pPr>
        <w:spacing w:after="0" w:line="99"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11-K</w:t>
      </w:r>
    </w:p>
    <w:p>
      <w:pPr>
        <w:spacing w:after="0" w:line="96" w:lineRule="exact"/>
        <w:rPr>
          <w:sz w:val="24"/>
          <w:szCs w:val="24"/>
          <w:color w:val="auto"/>
        </w:rPr>
      </w:pPr>
    </w:p>
    <w:p>
      <w:pPr>
        <w:ind w:left="4380"/>
        <w:spacing w:after="0"/>
        <w:rPr>
          <w:sz w:val="20"/>
          <w:szCs w:val="20"/>
          <w:color w:val="auto"/>
        </w:rPr>
      </w:pPr>
      <w:r>
        <w:rPr>
          <w:rFonts w:ascii="Arial" w:cs="Arial" w:eastAsia="Arial" w:hAnsi="Arial"/>
          <w:sz w:val="25"/>
          <w:szCs w:val="25"/>
          <w:b w:val="1"/>
          <w:bCs w:val="1"/>
          <w:color w:val="auto"/>
        </w:rPr>
        <w:t>____________________</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3920" w:right="1019" w:hanging="3714"/>
        <w:spacing w:after="0" w:line="391" w:lineRule="auto"/>
        <w:tabs>
          <w:tab w:leader="none" w:pos="90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 ACT OF 1934 For the fiscal year ended December 31, 2022</w:t>
      </w:r>
    </w:p>
    <w:p>
      <w:pPr>
        <w:spacing w:after="0" w:line="14"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900" w:hanging="694"/>
        <w:spacing w:after="0"/>
        <w:tabs>
          <w:tab w:leader="none" w:pos="9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15(d) OF THE SECURITIES EXCHANGE ACT OF 1934</w:t>
      </w:r>
    </w:p>
    <w:p>
      <w:pPr>
        <w:spacing w:after="0" w:line="115" w:lineRule="exact"/>
        <w:rPr>
          <w:sz w:val="24"/>
          <w:szCs w:val="24"/>
          <w:color w:val="auto"/>
        </w:rPr>
      </w:pPr>
    </w:p>
    <w:p>
      <w:pPr>
        <w:ind w:left="3760"/>
        <w:spacing w:after="0"/>
        <w:tabs>
          <w:tab w:leader="none" w:pos="670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3889375</wp:posOffset>
            </wp:positionH>
            <wp:positionV relativeFrom="paragraph">
              <wp:posOffset>-7620</wp:posOffset>
            </wp:positionV>
            <wp:extent cx="838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151"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1-16411</w:t>
      </w:r>
    </w:p>
    <w:p>
      <w:pPr>
        <w:spacing w:after="0" w:line="337" w:lineRule="exact"/>
        <w:rPr>
          <w:sz w:val="24"/>
          <w:szCs w:val="24"/>
          <w:color w:val="auto"/>
        </w:rPr>
      </w:pPr>
    </w:p>
    <w:p>
      <w:pPr>
        <w:ind w:left="700" w:hanging="67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261" w:lineRule="exact"/>
        <w:rPr>
          <w:rFonts w:ascii="Arial" w:cs="Arial" w:eastAsia="Arial" w:hAnsi="Arial"/>
          <w:sz w:val="18"/>
          <w:szCs w:val="18"/>
          <w:color w:val="auto"/>
        </w:rPr>
      </w:pPr>
    </w:p>
    <w:p>
      <w:pPr>
        <w:ind w:left="3920"/>
        <w:spacing w:after="0"/>
        <w:rPr>
          <w:rFonts w:ascii="Arial" w:cs="Arial" w:eastAsia="Arial" w:hAnsi="Arial"/>
          <w:sz w:val="18"/>
          <w:szCs w:val="18"/>
          <w:color w:val="auto"/>
        </w:rPr>
      </w:pPr>
      <w:r>
        <w:rPr>
          <w:rFonts w:ascii="Arial" w:cs="Arial" w:eastAsia="Arial" w:hAnsi="Arial"/>
          <w:sz w:val="18"/>
          <w:szCs w:val="18"/>
          <w:b w:val="1"/>
          <w:bCs w:val="1"/>
          <w:color w:val="auto"/>
        </w:rPr>
        <w:t>NORTHROP GRUMMAN SAVINGS PLAN</w:t>
      </w:r>
    </w:p>
    <w:p>
      <w:pPr>
        <w:spacing w:after="0" w:line="337" w:lineRule="exact"/>
        <w:rPr>
          <w:rFonts w:ascii="Arial" w:cs="Arial" w:eastAsia="Arial" w:hAnsi="Arial"/>
          <w:sz w:val="18"/>
          <w:szCs w:val="18"/>
          <w:color w:val="auto"/>
        </w:rPr>
      </w:pPr>
    </w:p>
    <w:p>
      <w:pPr>
        <w:ind w:left="700" w:hanging="67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6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NORTHROP GRUMMAN CORPORATION</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2980 Fairview Park Drive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Falls Church, Virginia 22042</w:t>
      </w:r>
    </w:p>
    <w:p>
      <w:pPr>
        <w:spacing w:after="0" w:line="9" w:lineRule="exact"/>
        <w:rPr>
          <w:sz w:val="24"/>
          <w:szCs w:val="24"/>
          <w:color w:val="auto"/>
        </w:rPr>
      </w:pPr>
    </w:p>
    <w:p>
      <w:pPr>
        <w:ind w:left="1740"/>
        <w:spacing w:after="0"/>
        <w:rPr>
          <w:sz w:val="20"/>
          <w:szCs w:val="20"/>
          <w:color w:val="auto"/>
        </w:rPr>
      </w:pPr>
      <w:r>
        <w:rPr>
          <w:rFonts w:ascii="Arial" w:cs="Arial" w:eastAsia="Arial" w:hAnsi="Arial"/>
          <w:sz w:val="29"/>
          <w:szCs w:val="29"/>
          <w:b w:val="1"/>
          <w:bCs w:val="1"/>
          <w:color w:val="auto"/>
        </w:rPr>
        <w:t>________________________________________________</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38"/>
          <w:szCs w:val="38"/>
          <w:b w:val="1"/>
          <w:bCs w:val="1"/>
          <w:i w:val="1"/>
          <w:iCs w:val="1"/>
          <w:color w:val="auto"/>
        </w:rPr>
        <w:t>Northrop Grumman Savings Plan</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Financial Statements as of December 31, 2022 and 2021,</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 for the Year Ended December 31, 2022,</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Supplemental Schedule as of December 31, 2022,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 Report of Independent Registered Public Accounting Firm</w:t>
      </w:r>
    </w:p>
    <w:p>
      <w:pPr>
        <w:sectPr>
          <w:pgSz w:w="11900" w:h="16838" w:orient="portrait"/>
          <w:cols w:equalWidth="0" w:num="1">
            <w:col w:w="10139"/>
          </w:cols>
          <w:pgMar w:left="320" w:top="1094" w:right="1440"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NORTHROP GRUMMAN SAVINGS PLAN</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800" w:type="dxa"/>
            <w:vAlign w:val="bottom"/>
            <w:gridSpan w:val="7"/>
            <w:vMerge w:val="restart"/>
          </w:tcPr>
          <w:p>
            <w:pPr>
              <w:spacing w:after="0"/>
              <w:rPr>
                <w:sz w:val="20"/>
                <w:szCs w:val="20"/>
                <w:color w:val="auto"/>
              </w:rPr>
            </w:pPr>
            <w:r>
              <w:rPr>
                <w:rFonts w:ascii="Arial" w:cs="Arial" w:eastAsia="Arial" w:hAnsi="Arial"/>
                <w:sz w:val="18"/>
                <w:szCs w:val="18"/>
                <w:b w:val="1"/>
                <w:bCs w:val="1"/>
                <w:color w:val="0000FF"/>
              </w:rPr>
              <w:t>REPORT OF INDEPENDENT REGISTERED PUBLIC ACCOUNTING FIRM</w:t>
            </w:r>
          </w:p>
        </w:tc>
        <w:tc>
          <w:tcPr>
            <w:tcW w:w="340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7800" w:type="dxa"/>
            <w:vAlign w:val="bottom"/>
            <w:gridSpan w:val="7"/>
            <w:vMerge w:val="continue"/>
          </w:tcPr>
          <w:p>
            <w:pPr>
              <w:spacing w:after="0"/>
              <w:rPr>
                <w:sz w:val="16"/>
                <w:szCs w:val="16"/>
                <w:color w:val="auto"/>
              </w:rPr>
            </w:pPr>
          </w:p>
        </w:tc>
        <w:tc>
          <w:tcPr>
            <w:tcW w:w="3400" w:type="dxa"/>
            <w:vAlign w:val="bottom"/>
            <w:gridSpan w:val="3"/>
          </w:tcPr>
          <w:p>
            <w:pPr>
              <w:jc w:val="right"/>
              <w:spacing w:after="0" w:line="190"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506"/>
        </w:trPr>
        <w:tc>
          <w:tcPr>
            <w:tcW w:w="6140" w:type="dxa"/>
            <w:vAlign w:val="bottom"/>
            <w:tcBorders>
              <w:top w:val="single" w:sz="8" w:color="0000FF"/>
            </w:tcBorders>
            <w:gridSpan w:val="5"/>
          </w:tcPr>
          <w:p>
            <w:pPr>
              <w:spacing w:after="0"/>
              <w:rPr>
                <w:sz w:val="20"/>
                <w:szCs w:val="20"/>
                <w:color w:val="auto"/>
              </w:rPr>
            </w:pPr>
            <w:r>
              <w:rPr>
                <w:rFonts w:ascii="Arial" w:cs="Arial" w:eastAsia="Arial" w:hAnsi="Arial"/>
                <w:sz w:val="18"/>
                <w:szCs w:val="18"/>
                <w:b w:val="1"/>
                <w:bCs w:val="1"/>
                <w:color w:val="auto"/>
              </w:rPr>
              <w:t>FINANCIAL STATEMENTS</w:t>
            </w:r>
          </w:p>
        </w:tc>
        <w:tc>
          <w:tcPr>
            <w:tcW w:w="1660" w:type="dxa"/>
            <w:vAlign w:val="bottom"/>
            <w:gridSpan w:val="2"/>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980" w:type="dxa"/>
            <w:vAlign w:val="bottom"/>
            <w:gridSpan w:val="4"/>
          </w:tcPr>
          <w:p>
            <w:pPr>
              <w:spacing w:after="0" w:line="190" w:lineRule="exact"/>
              <w:rPr>
                <w:sz w:val="20"/>
                <w:szCs w:val="20"/>
                <w:color w:val="auto"/>
              </w:rPr>
            </w:pPr>
            <w:r>
              <w:rPr>
                <w:rFonts w:ascii="Arial" w:cs="Arial" w:eastAsia="Arial" w:hAnsi="Arial"/>
                <w:sz w:val="18"/>
                <w:szCs w:val="18"/>
                <w:color w:val="0000FF"/>
                <w:w w:val="89"/>
              </w:rPr>
              <w:t>Statements of Net Assets Available for Benefits as of December 31, 2022 and 2021</w:t>
            </w:r>
          </w:p>
        </w:tc>
        <w:tc>
          <w:tcPr>
            <w:tcW w:w="1820" w:type="dxa"/>
            <w:vAlign w:val="bottom"/>
            <w:gridSpan w:val="3"/>
          </w:tcPr>
          <w:p>
            <w:pPr>
              <w:spacing w:after="0"/>
              <w:rPr>
                <w:sz w:val="16"/>
                <w:szCs w:val="16"/>
                <w:color w:val="auto"/>
              </w:rPr>
            </w:pPr>
          </w:p>
        </w:tc>
        <w:tc>
          <w:tcPr>
            <w:tcW w:w="3400" w:type="dxa"/>
            <w:vAlign w:val="bottom"/>
            <w:gridSpan w:val="3"/>
          </w:tcPr>
          <w:p>
            <w:pPr>
              <w:jc w:val="right"/>
              <w:spacing w:after="0" w:line="190" w:lineRule="exact"/>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gridSpan w:val="6"/>
          </w:tcPr>
          <w:p>
            <w:pPr>
              <w:spacing w:after="0"/>
              <w:rPr>
                <w:sz w:val="20"/>
                <w:szCs w:val="20"/>
                <w:color w:val="auto"/>
              </w:rPr>
            </w:pPr>
            <w:r>
              <w:rPr>
                <w:rFonts w:ascii="Arial" w:cs="Arial" w:eastAsia="Arial" w:hAnsi="Arial"/>
                <w:sz w:val="18"/>
                <w:szCs w:val="18"/>
                <w:color w:val="0000FF"/>
                <w:w w:val="89"/>
              </w:rPr>
              <w:t>Statement of Changes in Net Assets Available for Benefits for the Year Ended December 31, 2022</w:t>
            </w:r>
          </w:p>
        </w:tc>
        <w:tc>
          <w:tcPr>
            <w:tcW w:w="740" w:type="dxa"/>
            <w:vAlign w:val="bottom"/>
          </w:tcPr>
          <w:p>
            <w:pPr>
              <w:spacing w:after="0"/>
              <w:rPr>
                <w:sz w:val="19"/>
                <w:szCs w:val="19"/>
                <w:color w:val="auto"/>
              </w:rPr>
            </w:pPr>
          </w:p>
        </w:tc>
        <w:tc>
          <w:tcPr>
            <w:tcW w:w="34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3"/>
          </w:tcPr>
          <w:p>
            <w:pPr>
              <w:spacing w:after="0"/>
              <w:rPr>
                <w:sz w:val="20"/>
                <w:szCs w:val="20"/>
                <w:color w:val="auto"/>
              </w:rPr>
            </w:pPr>
            <w:r>
              <w:rPr>
                <w:rFonts w:ascii="Arial" w:cs="Arial" w:eastAsia="Arial" w:hAnsi="Arial"/>
                <w:sz w:val="18"/>
                <w:szCs w:val="18"/>
                <w:color w:val="0000FF"/>
                <w:w w:val="89"/>
              </w:rPr>
              <w:t>Notes to Financial Statements</w:t>
            </w:r>
          </w:p>
        </w:tc>
        <w:tc>
          <w:tcPr>
            <w:tcW w:w="490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34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800" w:type="dxa"/>
            <w:vAlign w:val="bottom"/>
            <w:gridSpan w:val="7"/>
          </w:tcPr>
          <w:p>
            <w:pPr>
              <w:spacing w:after="0"/>
              <w:rPr>
                <w:sz w:val="20"/>
                <w:szCs w:val="20"/>
                <w:color w:val="auto"/>
              </w:rPr>
            </w:pPr>
            <w:r>
              <w:rPr>
                <w:rFonts w:ascii="Arial" w:cs="Arial" w:eastAsia="Arial" w:hAnsi="Arial"/>
                <w:sz w:val="18"/>
                <w:szCs w:val="18"/>
                <w:b w:val="1"/>
                <w:bCs w:val="1"/>
                <w:color w:val="auto"/>
              </w:rPr>
              <w:t>SUPPLEMENTAL SCHEDULE</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0000FF"/>
            </w:tcBorders>
            <w:gridSpan w:val="7"/>
          </w:tcPr>
          <w:p>
            <w:pPr>
              <w:spacing w:after="0" w:line="190" w:lineRule="exact"/>
              <w:rPr>
                <w:sz w:val="20"/>
                <w:szCs w:val="20"/>
                <w:color w:val="auto"/>
              </w:rPr>
            </w:pPr>
            <w:r>
              <w:rPr>
                <w:rFonts w:ascii="Arial" w:cs="Arial" w:eastAsia="Arial" w:hAnsi="Arial"/>
                <w:sz w:val="18"/>
                <w:szCs w:val="18"/>
                <w:color w:val="0000FF"/>
                <w:w w:val="90"/>
              </w:rPr>
              <w:t>Form 5500, Schedule H, Part IV, Line 4i, Schedule of Assets (Held at End of Year) as of December 31, 2022</w:t>
            </w:r>
          </w:p>
        </w:tc>
        <w:tc>
          <w:tcPr>
            <w:tcW w:w="322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0" w:lineRule="exact"/>
              <w:rPr>
                <w:sz w:val="20"/>
                <w:szCs w:val="20"/>
                <w:color w:val="auto"/>
              </w:rPr>
            </w:pPr>
            <w:r>
              <w:rPr>
                <w:rFonts w:ascii="Arial" w:cs="Arial" w:eastAsia="Arial" w:hAnsi="Arial"/>
                <w:sz w:val="18"/>
                <w:szCs w:val="18"/>
                <w:color w:val="0000FF"/>
                <w:w w:val="79"/>
              </w:rPr>
              <w:t>13</w:t>
            </w:r>
          </w:p>
        </w:tc>
        <w:tc>
          <w:tcPr>
            <w:tcW w:w="0" w:type="dxa"/>
            <w:vAlign w:val="bottom"/>
          </w:tcPr>
          <w:p>
            <w:pPr>
              <w:spacing w:after="0"/>
              <w:rPr>
                <w:sz w:val="1"/>
                <w:szCs w:val="1"/>
                <w:color w:val="auto"/>
              </w:rPr>
            </w:pPr>
          </w:p>
        </w:tc>
      </w:tr>
      <w:tr>
        <w:trPr>
          <w:trHeight w:val="466"/>
        </w:trPr>
        <w:tc>
          <w:tcPr>
            <w:tcW w:w="7800" w:type="dxa"/>
            <w:vAlign w:val="bottom"/>
            <w:gridSpan w:val="7"/>
          </w:tcPr>
          <w:p>
            <w:pPr>
              <w:spacing w:after="0"/>
              <w:rPr>
                <w:sz w:val="20"/>
                <w:szCs w:val="20"/>
                <w:color w:val="auto"/>
              </w:rPr>
            </w:pPr>
            <w:r>
              <w:rPr>
                <w:rFonts w:ascii="Arial" w:cs="Arial" w:eastAsia="Arial" w:hAnsi="Arial"/>
                <w:sz w:val="18"/>
                <w:szCs w:val="18"/>
                <w:b w:val="1"/>
                <w:bCs w:val="1"/>
                <w:color w:val="0000FF"/>
              </w:rPr>
              <w:t>SIGNATURE</w:t>
            </w:r>
          </w:p>
        </w:tc>
        <w:tc>
          <w:tcPr>
            <w:tcW w:w="3400" w:type="dxa"/>
            <w:vAlign w:val="bottom"/>
            <w:gridSpan w:val="3"/>
          </w:tcPr>
          <w:p>
            <w:pPr>
              <w:jc w:val="right"/>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0" w:type="dxa"/>
            <w:vAlign w:val="bottom"/>
            <w:gridSpan w:val="5"/>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rPr>
              <w:t>EXHIBIT INDEX</w:t>
            </w:r>
          </w:p>
        </w:tc>
        <w:tc>
          <w:tcPr>
            <w:tcW w:w="6400" w:type="dxa"/>
            <w:vAlign w:val="bottom"/>
            <w:gridSpan w:val="5"/>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15</w:t>
            </w:r>
          </w:p>
        </w:tc>
        <w:tc>
          <w:tcPr>
            <w:tcW w:w="0" w:type="dxa"/>
            <w:vAlign w:val="bottom"/>
          </w:tcPr>
          <w:p>
            <w:pPr>
              <w:spacing w:after="0"/>
              <w:rPr>
                <w:sz w:val="1"/>
                <w:szCs w:val="1"/>
                <w:color w:val="auto"/>
              </w:rPr>
            </w:pPr>
          </w:p>
        </w:tc>
      </w:tr>
    </w:tbl>
    <w:p>
      <w:pPr>
        <w:sectPr>
          <w:pgSz w:w="11900" w:h="16838" w:orient="portrait"/>
          <w:cols w:equalWidth="0" w:num="1">
            <w:col w:w="11220"/>
          </w:cols>
          <w:pgMar w:left="320" w:top="1089"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 the Benefit Plans Administrative Committee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Falls Church, VA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audited the accompanying statements of net assets available for benefits of the Northrop Grumman Savings Plan (the “Plan”) as of December 31, 2022 and 2021, the related statement of changes in net assets available for benefits for the year ended December 31, 2022, and the related notes (collectively referred to as the “financial statements”). In our opinion, the financial statements present fairly, in all material respects, the net assets available for benefits of the Plan as of December 31, 2022 and 2021, and the changes in net assets available for benefits for the year ended December 31, 2022,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Supplemental Schedule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supplemental schedule of assets (held at end of year) as of December 31, 2022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June 15, 2023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at least 1994; however, an earlier year could not be reliably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093" w:right="35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color w:val="auto"/>
        </w:rPr>
        <w:t>NORTHROP GRUMMAN SAVINGS PLAN</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STATEMENTS OF NET ASSETS AVAILABLE FOR BENEFITS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December 31</w:t>
            </w:r>
          </w:p>
        </w:tc>
        <w:tc>
          <w:tcPr>
            <w:tcW w:w="1320" w:type="dxa"/>
            <w:vAlign w:val="bottom"/>
            <w:tcBorders>
              <w:bottom w:val="single" w:sz="8" w:color="auto"/>
            </w:tcBorders>
          </w:tcPr>
          <w:p>
            <w:pPr>
              <w:spacing w:after="0"/>
              <w:rPr>
                <w:sz w:val="20"/>
                <w:szCs w:val="20"/>
                <w:color w:val="auto"/>
              </w:rPr>
            </w:pPr>
          </w:p>
        </w:tc>
      </w:tr>
      <w:tr>
        <w:trPr>
          <w:trHeight w:val="232"/>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2021</w:t>
            </w:r>
          </w:p>
        </w:tc>
      </w:tr>
      <w:tr>
        <w:trPr>
          <w:trHeight w:val="22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Northrop Grumman Defined Contribution Plans Master Trust (Note 3)</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29,767,902</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33,536,092</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Investment in brokerage account—at fair value</w:t>
            </w:r>
          </w:p>
        </w:tc>
        <w:tc>
          <w:tcPr>
            <w:tcW w:w="5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2,434,310</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3,286,704</w:t>
            </w:r>
          </w:p>
        </w:tc>
      </w:tr>
      <w:tr>
        <w:trPr>
          <w:trHeight w:val="230"/>
        </w:trPr>
        <w:tc>
          <w:tcPr>
            <w:tcW w:w="7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Short-term investment fund—at fair value</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716</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32"/>
        </w:trPr>
        <w:tc>
          <w:tcPr>
            <w:tcW w:w="7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investments</w:t>
            </w: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32,202,928</w:t>
            </w: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36,823,559</w:t>
            </w:r>
          </w:p>
        </w:tc>
      </w:tr>
      <w:tr>
        <w:trPr>
          <w:trHeight w:val="22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Notes receivable from participants</w:t>
            </w:r>
          </w:p>
        </w:tc>
        <w:tc>
          <w:tcPr>
            <w:tcW w:w="560" w:type="dxa"/>
            <w:vAlign w:val="bottom"/>
          </w:tcPr>
          <w:p>
            <w:pPr>
              <w:spacing w:after="0"/>
              <w:rPr>
                <w:sz w:val="19"/>
                <w:szCs w:val="19"/>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b w:val="1"/>
                <w:bCs w:val="1"/>
                <w:color w:val="auto"/>
              </w:rPr>
              <w:t>284,258</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277,204</w:t>
            </w:r>
          </w:p>
        </w:tc>
      </w:tr>
      <w:tr>
        <w:trPr>
          <w:trHeight w:val="243"/>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Employer contributions</w:t>
            </w:r>
          </w:p>
        </w:tc>
        <w:tc>
          <w:tcPr>
            <w:tcW w:w="5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79,547</w:t>
            </w:r>
          </w:p>
        </w:tc>
        <w:tc>
          <w:tcPr>
            <w:tcW w:w="7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82,994</w:t>
            </w:r>
          </w:p>
        </w:tc>
      </w:tr>
      <w:tr>
        <w:trPr>
          <w:trHeight w:val="229"/>
        </w:trPr>
        <w:tc>
          <w:tcPr>
            <w:tcW w:w="7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Participant contributions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597</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r>
      <w:tr>
        <w:trPr>
          <w:trHeight w:val="223"/>
        </w:trPr>
        <w:tc>
          <w:tcPr>
            <w:tcW w:w="71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receivables</w:t>
            </w:r>
          </w:p>
        </w:tc>
        <w:tc>
          <w:tcPr>
            <w:tcW w:w="5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364,402</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363,336</w:t>
            </w:r>
          </w:p>
        </w:tc>
      </w:tr>
      <w:tr>
        <w:trPr>
          <w:trHeight w:val="232"/>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32,567,330</w:t>
            </w: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37,186,895</w:t>
            </w:r>
          </w:p>
        </w:tc>
      </w:tr>
      <w:tr>
        <w:trPr>
          <w:trHeight w:val="227"/>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5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Accrued expenses</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1,580</w:t>
            </w:r>
          </w:p>
        </w:tc>
        <w:tc>
          <w:tcPr>
            <w:tcW w:w="7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43"/>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32,565,750</w:t>
            </w:r>
          </w:p>
        </w:tc>
        <w:tc>
          <w:tcPr>
            <w:tcW w:w="7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37,184,872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4"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color w:val="auto"/>
        </w:rPr>
        <w:t>NORTHROP GRUMMAN SAVINGS PLAN</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STATEMENT OF CHANGES IN NET ASSETS AVAILABLE FOR BENEFITS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b w:val="1"/>
                <w:bCs w:val="1"/>
                <w:color w:val="auto"/>
              </w:rPr>
              <w:t>Year Ended</w:t>
            </w:r>
          </w:p>
        </w:tc>
      </w:tr>
      <w:tr>
        <w:trPr>
          <w:trHeight w:val="243"/>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8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Investment (loss)/income:</w:t>
            </w:r>
          </w:p>
        </w:tc>
        <w:tc>
          <w:tcPr>
            <w:tcW w:w="18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36"/>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interest in the Northrop Grumman Defined Contribution Plans Master Trust</w:t>
            </w:r>
          </w:p>
        </w:tc>
        <w:tc>
          <w:tcPr>
            <w:tcW w:w="18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(2,931,276)</w:t>
            </w:r>
          </w:p>
        </w:tc>
      </w:tr>
      <w:tr>
        <w:trPr>
          <w:trHeight w:val="230"/>
        </w:trPr>
        <w:tc>
          <w:tcPr>
            <w:tcW w:w="7620" w:type="dxa"/>
            <w:vAlign w:val="bottom"/>
          </w:tcPr>
          <w:p>
            <w:pPr>
              <w:ind w:left="360"/>
              <w:spacing w:after="0"/>
              <w:rPr>
                <w:sz w:val="20"/>
                <w:szCs w:val="20"/>
                <w:color w:val="auto"/>
              </w:rPr>
            </w:pPr>
            <w:r>
              <w:rPr>
                <w:rFonts w:ascii="Arial" w:cs="Arial" w:eastAsia="Arial" w:hAnsi="Arial"/>
                <w:sz w:val="18"/>
                <w:szCs w:val="18"/>
                <w:color w:val="auto"/>
              </w:rPr>
              <w:t>Other investments: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43"/>
        </w:trPr>
        <w:tc>
          <w:tcPr>
            <w:tcW w:w="7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reduction in fair value of other investments</w:t>
            </w:r>
          </w:p>
        </w:tc>
        <w:tc>
          <w:tcPr>
            <w:tcW w:w="18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(929,345)</w:t>
            </w:r>
          </w:p>
        </w:tc>
      </w:tr>
      <w:tr>
        <w:trPr>
          <w:trHeight w:val="229"/>
        </w:trPr>
        <w:tc>
          <w:tcPr>
            <w:tcW w:w="7620" w:type="dxa"/>
            <w:vAlign w:val="bottom"/>
          </w:tcPr>
          <w:p>
            <w:pPr>
              <w:ind w:left="560"/>
              <w:spacing w:after="0"/>
              <w:rPr>
                <w:sz w:val="20"/>
                <w:szCs w:val="20"/>
                <w:color w:val="auto"/>
              </w:rPr>
            </w:pPr>
            <w:r>
              <w:rPr>
                <w:rFonts w:ascii="Arial" w:cs="Arial" w:eastAsia="Arial" w:hAnsi="Arial"/>
                <w:sz w:val="18"/>
                <w:szCs w:val="18"/>
                <w:color w:val="auto"/>
              </w:rPr>
              <w:t>Dividends</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56,079</w:t>
            </w:r>
          </w:p>
        </w:tc>
      </w:tr>
      <w:tr>
        <w:trPr>
          <w:trHeight w:val="230"/>
        </w:trPr>
        <w:tc>
          <w:tcPr>
            <w:tcW w:w="76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Interest</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6,728</w:t>
            </w:r>
          </w:p>
        </w:tc>
      </w:tr>
      <w:tr>
        <w:trPr>
          <w:trHeight w:val="232"/>
        </w:trPr>
        <w:tc>
          <w:tcPr>
            <w:tcW w:w="7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investment loss</w:t>
            </w:r>
          </w:p>
        </w:tc>
        <w:tc>
          <w:tcPr>
            <w:tcW w:w="1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(3,797,814)</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notes receivable from participants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12,121</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Contributions: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43"/>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Participant contributions</w:t>
            </w:r>
          </w:p>
        </w:tc>
        <w:tc>
          <w:tcPr>
            <w:tcW w:w="18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1,225,291</w:t>
            </w:r>
          </w:p>
        </w:tc>
      </w:tr>
      <w:tr>
        <w:trPr>
          <w:trHeight w:val="230"/>
        </w:trPr>
        <w:tc>
          <w:tcPr>
            <w:tcW w:w="7620" w:type="dxa"/>
            <w:vAlign w:val="bottom"/>
          </w:tcPr>
          <w:p>
            <w:pPr>
              <w:ind w:left="360"/>
              <w:spacing w:after="0"/>
              <w:rPr>
                <w:sz w:val="20"/>
                <w:szCs w:val="20"/>
                <w:color w:val="auto"/>
              </w:rPr>
            </w:pPr>
            <w:r>
              <w:rPr>
                <w:rFonts w:ascii="Arial" w:cs="Arial" w:eastAsia="Arial" w:hAnsi="Arial"/>
                <w:sz w:val="18"/>
                <w:szCs w:val="18"/>
                <w:color w:val="auto"/>
              </w:rPr>
              <w:t>Employer contributions</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556,324</w:t>
            </w:r>
          </w:p>
        </w:tc>
      </w:tr>
      <w:tr>
        <w:trPr>
          <w:trHeight w:val="229"/>
        </w:trPr>
        <w:tc>
          <w:tcPr>
            <w:tcW w:w="7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Rollover contributions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171,213</w:t>
            </w:r>
          </w:p>
        </w:tc>
      </w:tr>
      <w:tr>
        <w:trPr>
          <w:trHeight w:val="232"/>
        </w:trPr>
        <w:tc>
          <w:tcPr>
            <w:tcW w:w="7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contributions</w:t>
            </w:r>
          </w:p>
        </w:tc>
        <w:tc>
          <w:tcPr>
            <w:tcW w:w="1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1,952,828</w:t>
            </w:r>
          </w:p>
        </w:tc>
      </w:tr>
      <w:tr>
        <w:trPr>
          <w:trHeight w:val="227"/>
        </w:trPr>
        <w:tc>
          <w:tcPr>
            <w:tcW w:w="7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additions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(1,832,865)</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Deductions:</w:t>
            </w:r>
          </w:p>
        </w:tc>
        <w:tc>
          <w:tcPr>
            <w:tcW w:w="18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43"/>
        </w:trPr>
        <w:tc>
          <w:tcPr>
            <w:tcW w:w="7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 to participants</w:t>
            </w:r>
          </w:p>
        </w:tc>
        <w:tc>
          <w:tcPr>
            <w:tcW w:w="18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2,774,770</w:t>
            </w:r>
          </w:p>
        </w:tc>
      </w:tr>
      <w:tr>
        <w:trPr>
          <w:trHeight w:val="230"/>
        </w:trPr>
        <w:tc>
          <w:tcPr>
            <w:tcW w:w="7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Expenses</w:t>
            </w:r>
          </w:p>
        </w:tc>
        <w:tc>
          <w:tcPr>
            <w:tcW w:w="18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11,487</w:t>
            </w:r>
          </w:p>
        </w:tc>
      </w:tr>
      <w:tr>
        <w:trPr>
          <w:trHeight w:val="223"/>
        </w:trPr>
        <w:tc>
          <w:tcPr>
            <w:tcW w:w="7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deductions</w:t>
            </w:r>
          </w:p>
        </w:tc>
        <w:tc>
          <w:tcPr>
            <w:tcW w:w="18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2,786,257</w:t>
            </w:r>
          </w:p>
        </w:tc>
      </w:tr>
      <w:tr>
        <w:trPr>
          <w:trHeight w:val="232"/>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Decrease in net assets</w:t>
            </w:r>
          </w:p>
        </w:tc>
        <w:tc>
          <w:tcPr>
            <w:tcW w:w="18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(4,619,122)</w:t>
            </w:r>
          </w:p>
        </w:tc>
      </w:tr>
      <w:tr>
        <w:trPr>
          <w:trHeight w:val="22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w:t>
            </w:r>
          </w:p>
        </w:tc>
        <w:tc>
          <w:tcPr>
            <w:tcW w:w="18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620" w:type="dxa"/>
            <w:vAlign w:val="bottom"/>
          </w:tcPr>
          <w:p>
            <w:pPr>
              <w:ind w:left="360"/>
              <w:spacing w:after="0"/>
              <w:rPr>
                <w:sz w:val="20"/>
                <w:szCs w:val="20"/>
                <w:color w:val="auto"/>
              </w:rPr>
            </w:pPr>
            <w:r>
              <w:rPr>
                <w:rFonts w:ascii="Arial" w:cs="Arial" w:eastAsia="Arial" w:hAnsi="Arial"/>
                <w:sz w:val="18"/>
                <w:szCs w:val="18"/>
                <w:color w:val="auto"/>
              </w:rPr>
              <w:t>Beginning of year</w:t>
            </w:r>
          </w:p>
        </w:tc>
        <w:tc>
          <w:tcPr>
            <w:tcW w:w="18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37,184,872</w:t>
            </w:r>
          </w:p>
        </w:tc>
      </w:tr>
      <w:tr>
        <w:trPr>
          <w:trHeight w:val="250"/>
        </w:trPr>
        <w:tc>
          <w:tcPr>
            <w:tcW w:w="7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End of year</w:t>
            </w:r>
          </w:p>
        </w:tc>
        <w:tc>
          <w:tcPr>
            <w:tcW w:w="18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32,565,750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05"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NORTHROP GRUMMAN SAVINGS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PLAN</w:t>
      </w:r>
    </w:p>
    <w:p>
      <w:pPr>
        <w:spacing w:after="0" w:line="10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description of the Northrop Grumman Savings Plan (the “Plan”) provides only general information. Participants should refer to the Plan document for a more complete description of the Plan’s provisions.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Plan is a qualified profit-sharing and stock bonus plan that includes an employee stock ownership plan sponsored by Northrop Grumman Corporation (the “Company” or “Plan sponsor”). The Plan was established February 1, 1962.</w:t>
      </w:r>
    </w:p>
    <w:p>
      <w:pPr>
        <w:spacing w:after="0" w:line="5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Plan's Benefit Plans Administrative and Investment Committees control and manage the operation of the Plan. State Street Bank and Trust Company (“State Street” or the “Trustee”) serves as Trustee of the Plan. The Plan is subject to the provisions of the Employee Retirement Income Security Act of 1974, as amended (“ERISA”).</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All of the Plan’s investments are participant directed. The Plan holds assets in the Northrop Grumman Defined Contribution Plans Master Trust (the “DC Master Trust”), as well as a short-term investment fund at the Trustee, and participant-directed brokerage accounts held in the Fidelity Brokerage Services LLC BrokerageLink Account (“BrokerageLink Account”).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Plan covers substantially all hourly and salaried employees of the Company who are at least 18 years old, are citizens or residents of the United States of America (“U.S.”), are not covered under another plan, and whose pay is determined in accordance with the U.S Internal Revenue Code of 1986, as amended (the “Code”) and processed on a U.S. payroll system of the Company.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Participant contributions are subject to certain limitations imposed by the Code. Contributions can be made on a tax-deferred (pre-tax) basis, after-tax basis or to a Roth 401(k) on an after-tax basis, or a combination thereof through payroll withholdings. Participants may also contribute amounts representing benefit payments from certain pension plans sponsored by the Company and other qualified plans. Active participants may change the percentage of their contributions. First time eligible employees (newly hired, rehired, and certain transfers) are enrolled automatically into the Plan approximately 45 days after the date of hire, rehire, or transfer unless an alternative election is made. Contributions for those automatically enrolled in the Plan increase by one percent each year up to a maximum percentage specified by the Plan sponsor. Effective April 1, 2016, the automatic increase program was limited to pre-tax and Roth 401(k) contributions.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For employees hired before April 1, 2016, the Company’s matching contributions are generally as follows:</w:t>
            </w: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Employee Contribution</w:t>
            </w:r>
          </w:p>
        </w:tc>
        <w:tc>
          <w:tcPr>
            <w:tcW w:w="248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37"/>
        </w:trPr>
        <w:tc>
          <w:tcPr>
            <w:tcW w:w="8760" w:type="dxa"/>
            <w:vAlign w:val="bottom"/>
            <w:tcBorders>
              <w:bottom w:val="single" w:sz="8" w:color="auto"/>
            </w:tcBorders>
            <w:vMerge w:val="continue"/>
          </w:tcPr>
          <w:p>
            <w:pPr>
              <w:spacing w:after="0"/>
              <w:rPr>
                <w:sz w:val="20"/>
                <w:szCs w:val="20"/>
                <w:color w:val="auto"/>
              </w:rPr>
            </w:pPr>
          </w:p>
        </w:tc>
        <w:tc>
          <w:tcPr>
            <w:tcW w:w="2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Match</w:t>
            </w:r>
          </w:p>
        </w:tc>
        <w:tc>
          <w:tcPr>
            <w:tcW w:w="0" w:type="dxa"/>
            <w:vAlign w:val="bottom"/>
          </w:tcPr>
          <w:p>
            <w:pPr>
              <w:spacing w:after="0"/>
              <w:rPr>
                <w:sz w:val="1"/>
                <w:szCs w:val="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2% of eligible compensation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Next 2% of eligible compensation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Next 4% of eligible compensation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7"/>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Contributions over 8%</w:t>
            </w:r>
          </w:p>
        </w:tc>
        <w:tc>
          <w:tcPr>
            <w:tcW w:w="2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employees (generally hired or rehired between July 1, 2008 and April 1, 2016), who meet the applicable Plan requirements, are also eligible to receive an additional employer contribution known as a Retirement Account Contribution ("RAC"). The RAC contribution is generally made annually, after the end of each plan year, and with few exceptions, eligible participants must be employed by the Company on December 31 of the plan year to receive the contribution in the first quarter of the following year. For the year ended December 31, 2022, the Company made a $52.8 million RAC contribution which was remitted to the Plan in March 2023. This amount is included in employer contributions receivable in the statement of net assets available for benefits at December 31, 2022. The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8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840" w:type="dxa"/>
            <w:vAlign w:val="bottom"/>
          </w:tcPr>
          <w:p>
            <w:pPr>
              <w:spacing w:after="0"/>
              <w:rPr>
                <w:sz w:val="20"/>
                <w:szCs w:val="20"/>
                <w:color w:val="auto"/>
              </w:rPr>
            </w:pPr>
            <w:r>
              <w:rPr>
                <w:rFonts w:ascii="Arial" w:cs="Arial" w:eastAsia="Arial" w:hAnsi="Arial"/>
                <w:sz w:val="18"/>
                <w:szCs w:val="18"/>
                <w:color w:val="auto"/>
                <w:w w:val="98"/>
              </w:rPr>
              <w:t>amount is generally determined as a percentage of eligible compensation in accordance with the following table:</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Participant’s Age as of December 31, 2016</w:t>
            </w:r>
          </w:p>
        </w:tc>
        <w:tc>
          <w:tcPr>
            <w:tcW w:w="23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Percentage of</w:t>
            </w:r>
          </w:p>
        </w:tc>
        <w:tc>
          <w:tcPr>
            <w:tcW w:w="0" w:type="dxa"/>
            <w:vAlign w:val="bottom"/>
          </w:tcPr>
          <w:p>
            <w:pPr>
              <w:spacing w:after="0"/>
              <w:rPr>
                <w:sz w:val="1"/>
                <w:szCs w:val="1"/>
                <w:color w:val="auto"/>
              </w:rPr>
            </w:pPr>
          </w:p>
        </w:tc>
      </w:tr>
      <w:tr>
        <w:trPr>
          <w:trHeight w:val="237"/>
        </w:trPr>
        <w:tc>
          <w:tcPr>
            <w:tcW w:w="8840" w:type="dxa"/>
            <w:vAlign w:val="bottom"/>
            <w:tcBorders>
              <w:bottom w:val="single" w:sz="8" w:color="auto"/>
            </w:tcBorders>
            <w:vMerge w:val="continue"/>
          </w:tcPr>
          <w:p>
            <w:pPr>
              <w:spacing w:after="0"/>
              <w:rPr>
                <w:sz w:val="20"/>
                <w:szCs w:val="20"/>
                <w:color w:val="auto"/>
              </w:rPr>
            </w:pPr>
          </w:p>
        </w:tc>
        <w:tc>
          <w:tcPr>
            <w:tcW w:w="2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22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 35</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35 – 49</w:t>
            </w:r>
          </w:p>
        </w:tc>
        <w:tc>
          <w:tcPr>
            <w:tcW w:w="234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8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or older</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Certain employees brought on as part of the June 2018 Orbital ATK, Inc acquisition, who were hired between January 1, 2007 and June 5, 2018, are also eligible to receive a Non-Elective Contribution ("NEC"). The NEC contribution is generally made annually, after the end of each plan year, and with few exceptions, eligible participants must be employed by the Company on December 31 of the plan year to receive the contribution in the first quarter of the following year. The NEC contribution ranges from 2.5 percent to 4.0 percent of eligible compensation based on age and years of service. For the year ended December 31, 2022, the Company made a $26.4 million NEC contribution to the Plan, which was remitted to the Plan in March 2023. This amount is included in employer contributions receivable in the statement of net assets available for benefits at December 31, 2022.</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For most employees hired after April 1, 2016 and certain employees who did not previously participate in a Company sponsored pension plan, receive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RAC or a NEC, the Company’s matching contributions are generally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Employee Contribution</w:t>
            </w:r>
          </w:p>
        </w:tc>
        <w:tc>
          <w:tcPr>
            <w:tcW w:w="4580" w:type="dxa"/>
            <w:vAlign w:val="bottom"/>
          </w:tcPr>
          <w:p>
            <w:pPr>
              <w:jc w:val="right"/>
              <w:ind w:right="63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Match</w:t>
            </w:r>
          </w:p>
        </w:tc>
        <w:tc>
          <w:tcPr>
            <w:tcW w:w="0" w:type="dxa"/>
            <w:vAlign w:val="bottom"/>
          </w:tcPr>
          <w:p>
            <w:pPr>
              <w:spacing w:after="0"/>
              <w:rPr>
                <w:sz w:val="1"/>
                <w:szCs w:val="1"/>
                <w:color w:val="auto"/>
              </w:rPr>
            </w:pPr>
          </w:p>
        </w:tc>
      </w:tr>
      <w:tr>
        <w:trPr>
          <w:trHeight w:val="23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4% of eligible compensation</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For employees with less than 5 years of service:</w:t>
            </w:r>
          </w:p>
        </w:tc>
        <w:tc>
          <w:tcPr>
            <w:tcW w:w="4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Next 4% of eligible compensation</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7"/>
        </w:trPr>
        <w:tc>
          <w:tcPr>
            <w:tcW w:w="6660" w:type="dxa"/>
            <w:vAlign w:val="bottom"/>
          </w:tcPr>
          <w:p>
            <w:pPr>
              <w:ind w:left="140"/>
              <w:spacing w:after="0"/>
              <w:rPr>
                <w:sz w:val="20"/>
                <w:szCs w:val="20"/>
                <w:color w:val="auto"/>
              </w:rPr>
            </w:pPr>
            <w:r>
              <w:rPr>
                <w:rFonts w:ascii="Arial" w:cs="Arial" w:eastAsia="Arial" w:hAnsi="Arial"/>
                <w:sz w:val="18"/>
                <w:szCs w:val="18"/>
                <w:color w:val="auto"/>
              </w:rPr>
              <w:t>Contributions over 8%</w:t>
            </w:r>
          </w:p>
        </w:tc>
        <w:tc>
          <w:tcPr>
            <w:tcW w:w="45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employees with 5 or more years of service:</w:t>
            </w:r>
          </w:p>
        </w:tc>
        <w:tc>
          <w:tcPr>
            <w:tcW w:w="4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Next 6% of eligible compensation</w:t>
            </w:r>
          </w:p>
        </w:tc>
        <w:tc>
          <w:tcPr>
            <w:tcW w:w="458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Contributions over 10%</w:t>
            </w:r>
          </w:p>
        </w:tc>
        <w:tc>
          <w:tcPr>
            <w:tcW w:w="4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Individual accounts are maintained for each Plan participant. Each participant account is credited with participant and Company contributions and an allocation of any Plan earnings from the DC Master Trust. Each participant account is charged with withdrawals and an allocation of any Plan losses and administrative expenses. Allocations are based on participant units. Participants are generally entitled to the net of these contributions, withdrawals and allocations to the extent of their vesting in the account.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Plan participants are fully vested in the balance of their accounts from employee contributions and earnings thereon. Plan participants, other than participants covered under certain collective bargaining agreements, become fully vested in Company matching contributions, and earnings thereon, upon completion of three years of service. Plan participants who are eligible for RAC and NEC fully vest in those Company contributions, and earnings thereon, upon completion of three years of service.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Plan participants direct their employee and Company contributions to be invested in the investment funds described below. If direction is not provided by a participant, contributions are generally invested in an appropriate Retirement Path fund. The investment funds are managed by professional investment managers appointed by Plan management.</w:t>
      </w:r>
    </w:p>
    <w:p>
      <w:pPr>
        <w:spacing w:after="0" w:line="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Subject to certain restrictions, participants may generally change their investment elections and transfer existing account balances between investment funds daily.</w:t>
      </w:r>
    </w:p>
    <w:p>
      <w:pPr>
        <w:spacing w:after="0" w:line="35"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Contributions deposited into each investment fund are used to purchase units of that fund based on unit values that are updated daily prior to any Plan transactions. Plan transactions include contributions, withdrawals, distributions and transfers. The value of each participant’s account within each fund depends on two factors: the number of units purchased to date and the current value of each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97" w:right="339" w:bottom="1440" w:gutter="0" w:footer="0" w:header="0"/>
        </w:sectPr>
      </w:pPr>
    </w:p>
    <w:bookmarkStart w:id="8" w:name="page9"/>
    <w:bookmarkEnd w:id="8"/>
    <w:p>
      <w:pPr>
        <w:ind w:right="500"/>
        <w:spacing w:after="0" w:line="277" w:lineRule="auto"/>
        <w:rPr>
          <w:sz w:val="20"/>
          <w:szCs w:val="20"/>
          <w:color w:val="auto"/>
        </w:rPr>
      </w:pPr>
      <w:r>
        <w:rPr>
          <w:rFonts w:ascii="Arial" w:cs="Arial" w:eastAsia="Arial" w:hAnsi="Arial"/>
          <w:sz w:val="18"/>
          <w:szCs w:val="18"/>
          <w:i w:val="1"/>
          <w:iCs w:val="1"/>
          <w:color w:val="auto"/>
        </w:rPr>
        <w:t xml:space="preserve">U.S. Equity Fund </w:t>
      </w:r>
      <w:r>
        <w:rPr>
          <w:rFonts w:ascii="Arial" w:cs="Arial" w:eastAsia="Arial" w:hAnsi="Arial"/>
          <w:sz w:val="18"/>
          <w:szCs w:val="18"/>
          <w:color w:val="auto"/>
        </w:rPr>
        <w:t>— The U.S. Equity Fund primarily consists of holdings in large and medium-sized U.S. company stocks. The fund’s objective is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a high total return through long-term growth of capital and the reinvestment of current income.</w:t>
      </w:r>
    </w:p>
    <w:p>
      <w:pPr>
        <w:spacing w:after="0" w:line="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U.S. Fixed-Income Fund </w:t>
      </w:r>
      <w:r>
        <w:rPr>
          <w:rFonts w:ascii="Arial" w:cs="Arial" w:eastAsia="Arial" w:hAnsi="Arial"/>
          <w:sz w:val="17"/>
          <w:szCs w:val="17"/>
          <w:color w:val="auto"/>
        </w:rPr>
        <w:t>— The U.S. Fixed-Income Fund primarily consists of holdings in marketable, fixed-income securities rated within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highest investment grades assigned by Moody’s Investor Services or Standard &amp; Poor’s Corporation, U.S. Treasury or federal agency obligations, or cash equivalent instruments. The fund invests in a range of fixed-income securities that mature, on average, in eight to ten years.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Stable Value Account </w:t>
      </w:r>
      <w:r>
        <w:rPr>
          <w:rFonts w:ascii="Arial" w:cs="Arial" w:eastAsia="Arial" w:hAnsi="Arial"/>
          <w:sz w:val="16"/>
          <w:szCs w:val="16"/>
          <w:color w:val="auto"/>
        </w:rPr>
        <w:t>— Investments in the Stable Value Account primarily include guaranteed investment contracts (“GICs”), cash and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further information on GICs.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Northrop Grumman Fund (</w:t>
      </w:r>
      <w:r>
        <w:rPr>
          <w:rFonts w:ascii="Arial" w:cs="Arial" w:eastAsia="Arial" w:hAnsi="Arial"/>
          <w:sz w:val="18"/>
          <w:szCs w:val="18"/>
          <w:color w:val="auto"/>
        </w:rPr>
        <w:t>“</w:t>
      </w:r>
      <w:r>
        <w:rPr>
          <w:rFonts w:ascii="Arial" w:cs="Arial" w:eastAsia="Arial" w:hAnsi="Arial"/>
          <w:sz w:val="18"/>
          <w:szCs w:val="18"/>
          <w:i w:val="1"/>
          <w:iCs w:val="1"/>
          <w:color w:val="auto"/>
        </w:rPr>
        <w:t>NG Stock Fund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The NG Stock Fund invests primarily in Northrop Grumman Corporation common stock.</w:t>
      </w:r>
    </w:p>
    <w:p>
      <w:pPr>
        <w:spacing w:after="0" w:line="10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i w:val="1"/>
          <w:iCs w:val="1"/>
          <w:color w:val="auto"/>
        </w:rPr>
        <w:t xml:space="preserve">Balanced Fund </w:t>
      </w:r>
      <w:r>
        <w:rPr>
          <w:rFonts w:ascii="Arial" w:cs="Arial" w:eastAsia="Arial" w:hAnsi="Arial"/>
          <w:sz w:val="18"/>
          <w:szCs w:val="18"/>
          <w:color w:val="auto"/>
        </w:rPr>
        <w:t>— The Balanced Fund is designed to provide investors with a diversified portfolio consisting of targeted proportions of fixed-income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(35 percent), U.S. equities (45 percent), and international equities (20 percent). The fund seeks to exceed the return of the bond market and approach the return of the stock market, but with less risk than an investment solely in equities.</w:t>
      </w:r>
    </w:p>
    <w:p>
      <w:pPr>
        <w:spacing w:after="0" w:line="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International Equity Fund </w:t>
      </w:r>
      <w:r>
        <w:rPr>
          <w:rFonts w:ascii="Arial" w:cs="Arial" w:eastAsia="Arial" w:hAnsi="Arial"/>
          <w:sz w:val="18"/>
          <w:szCs w:val="18"/>
          <w:color w:val="auto"/>
        </w:rPr>
        <w:t>— The International Equity Fund consists of stocks of a diversified group of companies in developed countries outside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U.S. The fund’s objectives are capital appreciation over the long term, along with current income (dividends).</w:t>
      </w:r>
    </w:p>
    <w:p>
      <w:pPr>
        <w:spacing w:after="0" w:line="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 xml:space="preserve">Small Cap Fund </w:t>
      </w:r>
      <w:r>
        <w:rPr>
          <w:rFonts w:ascii="Arial" w:cs="Arial" w:eastAsia="Arial" w:hAnsi="Arial"/>
          <w:sz w:val="18"/>
          <w:szCs w:val="18"/>
          <w:color w:val="auto"/>
        </w:rPr>
        <w:t>— The Small Cap Fund consists of a diversified group of U.S. companies with lower market capitalization and higher expected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than the large, well-established companies that make up the S&amp;P 500 Index. The fund seeks to provide capital appreciation over the long term, rather than current income.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Emerging Markets Fund </w:t>
      </w:r>
      <w:r>
        <w:rPr>
          <w:rFonts w:ascii="Arial" w:cs="Arial" w:eastAsia="Arial" w:hAnsi="Arial"/>
          <w:sz w:val="16"/>
          <w:szCs w:val="16"/>
          <w:color w:val="auto"/>
        </w:rPr>
        <w:t>— The Emerging Markets Fund consists of a diversified portfolio of stocks issued by companies based in developing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fund’s objective is capital appreciation over the long term.</w:t>
      </w:r>
    </w:p>
    <w:p>
      <w:pPr>
        <w:spacing w:after="0" w:line="7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Retirement Path Portfolios </w:t>
      </w:r>
      <w:r>
        <w:rPr>
          <w:rFonts w:ascii="Arial" w:cs="Arial" w:eastAsia="Arial" w:hAnsi="Arial"/>
          <w:sz w:val="17"/>
          <w:szCs w:val="17"/>
          <w:color w:val="auto"/>
        </w:rPr>
        <w:t>— Each retirement path is a broadly diversified portfolio of funds consisting of equities, fixed-income securities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tailored to the participants' investment time horizons. The name of each portfolio reflects the year when the participants expect to draw interest and/or principal out of their accounts. The portfolio consists of eleven Retirement Path funds spanning to 2065.</w:t>
      </w:r>
    </w:p>
    <w:p>
      <w:pPr>
        <w:spacing w:after="0" w:line="4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Plan also offers a participant-directed brokerage account. The BrokerageLink Account enables participants to invest in a range of investment options beyond the core investment options and retirement path funds offered by the Plan. Those investment options include U.S. equities and fixed-income securities.</w:t>
      </w:r>
    </w:p>
    <w:p>
      <w:pPr>
        <w:spacing w:after="0" w:line="6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Apart from the Stable Value Account and NG Stock Fund, the large majority of the other funds are included in common/collective trust (“CCT”) funds. These funds manage pooled trust accounts, which group assets together to develop generally larger and more diversified portfolios. These funds may also include a short-term investment fund.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Participants may borrow from their fund accounts in accordance with the Plan document, with loans from a minimum of $1,000 up to a maximum equal to the lesser of $50,000 reduced by the highest outstanding loan balance over the past 12 months, or 50 percent of their vested account balance. Loans are secured by the balance in the participant's account and are issued at an interest rate set at the prime rate plus one percent. Repayments are made from payroll deductions (for active employees) or other forms of payment (for former employees or employees on a leave of absence). As of December 31, 2022, outstanding participant loans had maturities through 2037 and interest rates ranging from 3.25 percent to 11.5 percent. As of December 31, 2021, outstanding participant loans had maturities through 2036 and interest rates ranging from 3.25 percent to 11.5 percent.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Upon termination of employment with the Company (including termination due to death, disability, or retirement), participants may receive a lump-sum payment of their entire account balance (net of any outstanding loan balances). Otherwise, distributions generally begin on a participant's mandatory commencement date. Participants may roll over account balances to individual retirement accounts or another employer’s qualified retirement plan.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Distributions from the NG Stock Fund may be paid in cash, stock, or a combination of the two, depending on the participant’s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9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Withdrawals</w:t>
      </w:r>
    </w:p>
    <w:p>
      <w:pPr>
        <w:spacing w:after="0" w:line="27" w:lineRule="exact"/>
        <w:rPr>
          <w:sz w:val="20"/>
          <w:szCs w:val="20"/>
          <w:color w:val="auto"/>
        </w:rPr>
      </w:pPr>
    </w:p>
    <w:p>
      <w:pPr>
        <w:ind w:right="620"/>
        <w:spacing w:after="0" w:line="254" w:lineRule="auto"/>
        <w:rPr>
          <w:sz w:val="20"/>
          <w:szCs w:val="20"/>
          <w:color w:val="auto"/>
        </w:rPr>
      </w:pPr>
      <w:r>
        <w:rPr>
          <w:rFonts w:ascii="Arial" w:cs="Arial" w:eastAsia="Arial" w:hAnsi="Arial"/>
          <w:sz w:val="18"/>
          <w:szCs w:val="18"/>
          <w:color w:val="auto"/>
        </w:rPr>
        <w:t>Participants may withdraw all or a portion of their vested account balance in accordance with the Plan document, which provides different rules for withdrawals based on whether or not the participant has reached age 59</w:t>
      </w:r>
      <w:r>
        <w:rPr>
          <w:rFonts w:ascii="Arial" w:cs="Arial" w:eastAsia="Arial" w:hAnsi="Arial"/>
          <w:sz w:val="23"/>
          <w:szCs w:val="23"/>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2</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Forfeited Accounts</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years ended December 31, 2022 and 2021, Plan forfeitures totaled $18.9 million and $20.5 million, respectively. Forfeited amounts may be used to reduce Company contributions or to offset Plan expenses. During the year ended December 31, 2022, employer contributions were reduced by $18.9 million due to forfeitures. No forfeitures were used to offset Plan expenses during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 Employer Plan</w:t>
      </w:r>
    </w:p>
    <w:p>
      <w:pPr>
        <w:spacing w:after="0" w:line="27"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On January 30, 2021 (the “Closing Date”), the Company completed the sale of its federal IT and mission support services business to Peraton Inc ("Peraton"). Certain former Company employees transferring to Peraton ("Peraton Employees") in connection with the transaction became eligible to continue to participate in the Plan, with substantially the same benefits, from the Closing Date through December 31, 2021. During that time, Peraton became a participating employer of the Plan which qualified as a Multiple Employer Plan in accordance with IRS Code Section 413(c). Effective January 1, 2022, Peraton Employees were no longer eligible to participate in the Plan, and the Plan reverted back to a Single Employer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w:t>
      </w:r>
    </w:p>
    <w:p>
      <w:pPr>
        <w:spacing w:after="0" w:line="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7" w:lineRule="exact"/>
        <w:rPr>
          <w:sz w:val="20"/>
          <w:szCs w:val="20"/>
          <w:color w:val="auto"/>
        </w:rPr>
      </w:pPr>
    </w:p>
    <w:p>
      <w:pPr>
        <w:jc w:val="both"/>
        <w:ind w:right="560"/>
        <w:spacing w:after="0" w:line="255"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liabilities and changes therein, and disclosure of contingent assets and liabilities. Actual results could differ materially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Plan invests in various securities, including U.S. and foreign government securities, corporate debt instruments, U.S. equities, asset-backed securities, common/collective trust funds and a stable value account. Investment securities are exposed to various risks, including interest rate and credit risk, overall market volatility, market risks including global events such as pandemics or international conflicts, and risks related to U.S. and foreign government instability. Due to the level of risk associated with certain investment securities, it is reasonably possible that changes in the values of investment securities may occur in the near term, and those changes could materially affect the amounts reported in the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Plan measures the fair value of its financial instruments using observable and unobservable inputs. Observable inputs reflect market data obtained from independent sources, while unobservable inputs reflect internal market assumptions. Assets are classified in their entirety based on the lowest level of input that is significant to the fair value measurement.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These two types of inputs create the following fair value hierarchy: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Level 1 - Quoted prices for identical instruments in active markets. Level 1 investments of the DC Master Trust and the Plan primarily include U.S.</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equities.</w:t>
      </w:r>
    </w:p>
    <w:p>
      <w:pPr>
        <w:spacing w:after="0" w:line="89" w:lineRule="exact"/>
        <w:rPr>
          <w:sz w:val="20"/>
          <w:szCs w:val="20"/>
          <w:color w:val="auto"/>
        </w:rPr>
      </w:pPr>
    </w:p>
    <w:p>
      <w:pPr>
        <w:ind w:left="740" w:right="180" w:hanging="728"/>
        <w:spacing w:after="0" w:line="286"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whose inputs are observable or whose significant value drivers are observable. Level 2 investments of the DC Master Trust and the Plan primarily include cash equivalents, short-term investment fund, and fixed-income securities.</w:t>
      </w:r>
    </w:p>
    <w:p>
      <w:pPr>
        <w:spacing w:after="0" w:line="30" w:lineRule="exact"/>
        <w:rPr>
          <w:sz w:val="20"/>
          <w:szCs w:val="20"/>
          <w:color w:val="auto"/>
        </w:rPr>
      </w:pPr>
    </w:p>
    <w:p>
      <w:pPr>
        <w:ind w:left="740" w:right="160" w:hanging="728"/>
        <w:spacing w:after="0" w:line="277" w:lineRule="auto"/>
        <w:rPr>
          <w:sz w:val="20"/>
          <w:szCs w:val="20"/>
          <w:color w:val="auto"/>
        </w:rPr>
      </w:pPr>
      <w:r>
        <w:rPr>
          <w:rFonts w:ascii="Arial" w:cs="Arial" w:eastAsia="Arial" w:hAnsi="Arial"/>
          <w:sz w:val="18"/>
          <w:szCs w:val="18"/>
          <w:color w:val="auto"/>
        </w:rPr>
        <w:t>Level 3 - Significant inputs to the valuation model are unobservable. There were no Level 3 investments in the Plan during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Investment Valuation and Income Recognition</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Plan’s investments are stated at fair value with the exception of GICs held by the Plan through the Stable Value Account of the DC Master Trust, which are stated at contract value. Fair value of a financial instrument is the price that would be received to sell an asset or paid to transfer a liability in an orderly transaction between market participants at the measurement date (see Note 4). The GICs are stated at contract value because contract value is the amount that would be received by participants if they were to initiate permitted transactions under the terms of the Plan. Contract value is equal to the value of initial deposited principal, plus accumulated interest and additional deposits, minus withdrawals and expenses (see Note 5). Plan management provides direction and oversight of the valuation process. The fair value of Plan investments, including the underlying investments in the DC Master Trust and BrokerageLink Account, is determined as follows:</w:t>
      </w:r>
    </w:p>
    <w:p>
      <w:pPr>
        <w:spacing w:after="0" w:line="5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Investments in U.S. equities, which include common and preferred stock, are valued at the last reported sales price of the stock on the active market on which the securities are traded on the last business day of the plan year. Investments in CCT funds are valued based on the net asset value (“NAV”) derived by investment managers, as a practical expedient. The short-term investment fund is not an exchange-traded fund, however, the price per unit is published and represents the actual price at which the units held in the fund can be bought or sold. Fixed-income securities are valued based on broker quotes or model-derived valuations.</w:t>
      </w:r>
    </w:p>
    <w:p>
      <w:pPr>
        <w:spacing w:after="0" w:line="5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All securities and cash or cash equivalents are quoted in the local currency and then converted into U.S. dollars. Purchases and sales of securities are recorded on a trade-date basis. Interest income is recorded on the accrual basis. Dividends are recorded on the ex-dividend date. Broker commissions, transfer taxes, and other charges and expenses incurred in connection with the purchase, sale, or other disposition of securities or other investments are added to the cost of such securities or other investments, or are deducted from the proceeds of the sale or other disposition thereof, as appropriate. Taxes, if any, on fund assets, or on any gain resulting from the sale or other disposition of such assets, or on the earnings of the funds, are apportioned among the participants whose interests in the Plan are affected, and the share of such taxes apportioned to each such person is charged against their account in the Plan.</w:t>
      </w:r>
    </w:p>
    <w:p>
      <w:pPr>
        <w:spacing w:after="0" w:line="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Trustee, in performing any required valuations or calculations, relies on the prices provided by pricing sources, the investment managers, Plan management or the participant’s broker as a certification as to the value.</w:t>
      </w:r>
    </w:p>
    <w:p>
      <w:pPr>
        <w:spacing w:after="0" w:line="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DC Master Trust allocates investment income, realized gains and losses, and unrealized appreciation and depreciation on the underlying securities to the participating plans daily based upon the market value of each plan’s investment. The realized gain or loss on investments is the difference between the proceeds received and the average cost of investments sold. The unrealized appreciation or depreciation is the aggregate difference between the current fair market value and the cost of investments.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 loans are measured at their unpaid principal balance plus accrued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Plan expenses are paid by the Plan or the Plan sponsor as provided in the Plan document. Fees incurred by the Plan for investment management services of $3.0 million are presented as a reduction to investment (loss)/income in the Statement of Changes in Net Assets Available for Benefits for the year ended December 31, 2022.</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27" w:lineRule="exact"/>
        <w:rPr>
          <w:sz w:val="20"/>
          <w:szCs w:val="20"/>
          <w:color w:val="auto"/>
        </w:rPr>
      </w:pPr>
    </w:p>
    <w:p>
      <w:pPr>
        <w:jc w:val="both"/>
        <w:ind w:right="220"/>
        <w:spacing w:after="0" w:line="255" w:lineRule="auto"/>
        <w:rPr>
          <w:sz w:val="20"/>
          <w:szCs w:val="20"/>
          <w:color w:val="auto"/>
        </w:rPr>
      </w:pPr>
      <w:r>
        <w:rPr>
          <w:rFonts w:ascii="Arial" w:cs="Arial" w:eastAsia="Arial" w:hAnsi="Arial"/>
          <w:sz w:val="18"/>
          <w:szCs w:val="18"/>
          <w:color w:val="auto"/>
        </w:rPr>
        <w:t>Benefit payments to participants are recorded upon distribution. Amounts allocated to accounts of participants who have elected to withdraw funds from the Plan but have not yet been paid were $4.5 million and $7.8 million at December 31, 2022 and 2021, respectively. These amounts continued to accrue investment earnings (losses) until paid.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Plan’s investments consist of a divided interest in investments held by the DC Master Trust. Those investments are stated at fair value determined and reported by the Trustee in accordance with the DC Master Trust Agreement established by the Company.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Plan's total divided interest represents 98 percent of total net assets reported by the Trustee of the DC Master Trust as of December 31, 2022 and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remaining interest in the investments held by the DC Master Trust belongs to the Northrop Grumman Financial Security and Savings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09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net assets of the DC Master Trust and the Plan's interest in Master Trust balances as of December 31, 2022 and 2021,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4"/>
              </w:rPr>
              <w:t>Plan's Interest in Master Trust</w:t>
            </w:r>
          </w:p>
        </w:tc>
        <w:tc>
          <w:tcPr>
            <w:tcW w:w="20" w:type="dxa"/>
            <w:vAlign w:val="bottom"/>
          </w:tcPr>
          <w:p>
            <w:pPr>
              <w:spacing w:after="0"/>
              <w:rPr>
                <w:sz w:val="17"/>
                <w:szCs w:val="17"/>
                <w:color w:val="auto"/>
              </w:rPr>
            </w:pPr>
          </w:p>
        </w:tc>
      </w:tr>
      <w:tr>
        <w:trPr>
          <w:trHeight w:val="169"/>
        </w:trPr>
        <w:tc>
          <w:tcPr>
            <w:tcW w:w="4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Borders>
              <w:bottom w:val="single" w:sz="8" w:color="auto"/>
            </w:tcBorders>
            <w:gridSpan w:val="3"/>
          </w:tcPr>
          <w:p>
            <w:pPr>
              <w:spacing w:after="0" w:line="169" w:lineRule="exact"/>
              <w:rPr>
                <w:sz w:val="20"/>
                <w:szCs w:val="20"/>
                <w:color w:val="auto"/>
              </w:rPr>
            </w:pPr>
            <w:r>
              <w:rPr>
                <w:rFonts w:ascii="Arial" w:cs="Arial" w:eastAsia="Arial" w:hAnsi="Arial"/>
                <w:sz w:val="18"/>
                <w:szCs w:val="18"/>
                <w:b w:val="1"/>
                <w:bCs w:val="1"/>
                <w:color w:val="auto"/>
                <w:w w:val="88"/>
              </w:rPr>
              <w:t>Master Trust Balances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line="169" w:lineRule="exact"/>
              <w:rPr>
                <w:sz w:val="20"/>
                <w:szCs w:val="20"/>
                <w:color w:val="auto"/>
              </w:rPr>
            </w:pPr>
            <w:r>
              <w:rPr>
                <w:rFonts w:ascii="Arial" w:cs="Arial" w:eastAsia="Arial" w:hAnsi="Arial"/>
                <w:sz w:val="15"/>
                <w:szCs w:val="15"/>
                <w:b w:val="1"/>
                <w:bCs w:val="1"/>
                <w:color w:val="auto"/>
                <w:w w:val="72"/>
              </w:rPr>
              <w:t>Balances</w:t>
            </w: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8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At fair value: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equivalents and short-term investment fund</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73,533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72,390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88,212</w:t>
            </w:r>
          </w:p>
        </w:tc>
        <w:tc>
          <w:tcPr>
            <w:tcW w:w="20" w:type="dxa"/>
            <w:vAlign w:val="bottom"/>
          </w:tcPr>
          <w:p>
            <w:pPr>
              <w:spacing w:after="0"/>
              <w:rPr>
                <w:sz w:val="19"/>
                <w:szCs w:val="19"/>
                <w:color w:val="auto"/>
              </w:rPr>
            </w:pPr>
          </w:p>
        </w:tc>
      </w:tr>
      <w:tr>
        <w:trPr>
          <w:trHeight w:val="239"/>
        </w:trPr>
        <w:tc>
          <w:tcPr>
            <w:tcW w:w="4880" w:type="dxa"/>
            <w:vAlign w:val="bottom"/>
          </w:tcPr>
          <w:p>
            <w:pPr>
              <w:ind w:left="220"/>
              <w:spacing w:after="0"/>
              <w:rPr>
                <w:sz w:val="20"/>
                <w:szCs w:val="20"/>
                <w:color w:val="auto"/>
              </w:rPr>
            </w:pPr>
            <w:r>
              <w:rPr>
                <w:rFonts w:ascii="Arial" w:cs="Arial" w:eastAsia="Arial" w:hAnsi="Arial"/>
                <w:sz w:val="18"/>
                <w:szCs w:val="18"/>
                <w:color w:val="auto"/>
              </w:rPr>
              <w:t>U.S. equities</w:t>
            </w:r>
          </w:p>
        </w:tc>
        <w:tc>
          <w:tcPr>
            <w:tcW w:w="800" w:type="dxa"/>
            <w:vAlign w:val="bottom"/>
          </w:tcPr>
          <w:p>
            <w:pPr>
              <w:spacing w:after="0"/>
              <w:rPr>
                <w:sz w:val="20"/>
                <w:szCs w:val="20"/>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4,718,423</w:t>
            </w:r>
          </w:p>
        </w:tc>
        <w:tc>
          <w:tcPr>
            <w:tcW w:w="4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3,470,954</w:t>
            </w:r>
          </w:p>
        </w:tc>
        <w:tc>
          <w:tcPr>
            <w:tcW w:w="260" w:type="dxa"/>
            <w:vAlign w:val="bottom"/>
          </w:tcPr>
          <w:p>
            <w:pPr>
              <w:spacing w:after="0"/>
              <w:rPr>
                <w:sz w:val="20"/>
                <w:szCs w:val="20"/>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4,693,102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3,452,145</w:t>
            </w:r>
          </w:p>
        </w:tc>
        <w:tc>
          <w:tcPr>
            <w:tcW w:w="20" w:type="dxa"/>
            <w:vAlign w:val="bottom"/>
          </w:tcPr>
          <w:p>
            <w:pPr>
              <w:spacing w:after="0"/>
              <w:rPr>
                <w:sz w:val="20"/>
                <w:szCs w:val="20"/>
                <w:color w:val="auto"/>
              </w:rPr>
            </w:pPr>
          </w:p>
        </w:tc>
      </w:tr>
      <w:tr>
        <w:trPr>
          <w:trHeight w:val="234"/>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Common/collective trust funds</w:t>
            </w:r>
          </w:p>
        </w:tc>
        <w:tc>
          <w:tcPr>
            <w:tcW w:w="8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21,490,906</w:t>
            </w:r>
          </w:p>
        </w:tc>
        <w:tc>
          <w:tcPr>
            <w:tcW w:w="4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26,763,365</w:t>
            </w: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21,110,417</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26,252,718</w:t>
            </w:r>
          </w:p>
        </w:tc>
        <w:tc>
          <w:tcPr>
            <w:tcW w:w="20" w:type="dxa"/>
            <w:vAlign w:val="bottom"/>
          </w:tcPr>
          <w:p>
            <w:pPr>
              <w:spacing w:after="0"/>
              <w:rPr>
                <w:sz w:val="20"/>
                <w:szCs w:val="20"/>
                <w:color w:val="auto"/>
              </w:rPr>
            </w:pPr>
          </w:p>
        </w:tc>
      </w:tr>
      <w:tr>
        <w:trPr>
          <w:trHeight w:val="230"/>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Collateral held under securities lending agreements</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530,859</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851,667</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8"/>
                <w:szCs w:val="18"/>
                <w:b w:val="1"/>
                <w:bCs w:val="1"/>
                <w:color w:val="auto"/>
              </w:rPr>
              <w:t>523,709</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838,722</w:t>
            </w:r>
          </w:p>
        </w:tc>
        <w:tc>
          <w:tcPr>
            <w:tcW w:w="20" w:type="dxa"/>
            <w:vAlign w:val="bottom"/>
          </w:tcPr>
          <w:p>
            <w:pPr>
              <w:spacing w:after="0"/>
              <w:rPr>
                <w:sz w:val="19"/>
                <w:szCs w:val="19"/>
                <w:color w:val="auto"/>
              </w:rPr>
            </w:pPr>
          </w:p>
        </w:tc>
      </w:tr>
      <w:tr>
        <w:trPr>
          <w:trHeight w:val="232"/>
        </w:trPr>
        <w:tc>
          <w:tcPr>
            <w:tcW w:w="4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investments at fair value</w:t>
            </w:r>
          </w:p>
        </w:tc>
        <w:tc>
          <w:tcPr>
            <w:tcW w:w="8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26,813,721</w:t>
            </w:r>
          </w:p>
        </w:tc>
        <w:tc>
          <w:tcPr>
            <w:tcW w:w="4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31,175,796</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26,399,618</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30,631,797</w:t>
            </w:r>
          </w:p>
        </w:tc>
        <w:tc>
          <w:tcPr>
            <w:tcW w:w="20" w:type="dxa"/>
            <w:vAlign w:val="bottom"/>
          </w:tcPr>
          <w:p>
            <w:pPr>
              <w:spacing w:after="0"/>
              <w:rPr>
                <w:sz w:val="20"/>
                <w:szCs w:val="20"/>
                <w:color w:val="auto"/>
              </w:rPr>
            </w:pPr>
          </w:p>
        </w:tc>
      </w:tr>
      <w:tr>
        <w:trPr>
          <w:trHeight w:val="227"/>
        </w:trPr>
        <w:tc>
          <w:tcPr>
            <w:tcW w:w="4880" w:type="dxa"/>
            <w:vAlign w:val="bottom"/>
          </w:tcPr>
          <w:p>
            <w:pPr>
              <w:ind w:left="20"/>
              <w:spacing w:after="0"/>
              <w:rPr>
                <w:sz w:val="20"/>
                <w:szCs w:val="20"/>
                <w:color w:val="auto"/>
              </w:rPr>
            </w:pPr>
            <w:r>
              <w:rPr>
                <w:rFonts w:ascii="Arial" w:cs="Arial" w:eastAsia="Arial" w:hAnsi="Arial"/>
                <w:sz w:val="18"/>
                <w:szCs w:val="18"/>
                <w:color w:val="auto"/>
              </w:rPr>
              <w:t>At contract value: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Guaranteed investment contracts</w:t>
            </w: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3,962,742</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3,808,328</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3,893,643</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3,739,747</w:t>
            </w:r>
          </w:p>
        </w:tc>
        <w:tc>
          <w:tcPr>
            <w:tcW w:w="20" w:type="dxa"/>
            <w:vAlign w:val="bottom"/>
          </w:tcPr>
          <w:p>
            <w:pPr>
              <w:spacing w:after="0"/>
              <w:rPr>
                <w:sz w:val="19"/>
                <w:szCs w:val="19"/>
                <w:color w:val="auto"/>
              </w:rPr>
            </w:pPr>
          </w:p>
        </w:tc>
      </w:tr>
      <w:tr>
        <w:trPr>
          <w:trHeight w:val="232"/>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investments at contract value</w:t>
            </w: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3,962,742</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3,808,328</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8"/>
                <w:szCs w:val="18"/>
                <w:b w:val="1"/>
                <w:bCs w:val="1"/>
                <w:color w:val="auto"/>
              </w:rPr>
              <w:t>3,893,643</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3,739,747</w:t>
            </w:r>
          </w:p>
        </w:tc>
        <w:tc>
          <w:tcPr>
            <w:tcW w:w="20" w:type="dxa"/>
            <w:vAlign w:val="bottom"/>
          </w:tcPr>
          <w:p>
            <w:pPr>
              <w:spacing w:after="0"/>
              <w:rPr>
                <w:sz w:val="20"/>
                <w:szCs w:val="20"/>
                <w:color w:val="auto"/>
              </w:rPr>
            </w:pPr>
          </w:p>
        </w:tc>
      </w:tr>
      <w:tr>
        <w:trPr>
          <w:trHeight w:val="227"/>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 from broker for investments sold</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5,385</w:t>
            </w:r>
          </w:p>
        </w:tc>
        <w:tc>
          <w:tcPr>
            <w:tcW w:w="20" w:type="dxa"/>
            <w:vAlign w:val="bottom"/>
          </w:tcPr>
          <w:p>
            <w:pPr>
              <w:spacing w:after="0"/>
              <w:rPr>
                <w:sz w:val="19"/>
                <w:szCs w:val="19"/>
                <w:color w:val="auto"/>
              </w:rPr>
            </w:pPr>
          </w:p>
        </w:tc>
      </w:tr>
      <w:tr>
        <w:trPr>
          <w:trHeight w:val="229"/>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Dividends, interest, taxes and other receivables</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274</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8"/>
                <w:szCs w:val="18"/>
                <w:b w:val="1"/>
                <w:bCs w:val="1"/>
                <w:color w:val="auto"/>
              </w:rPr>
              <w:t>271</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r>
      <w:tr>
        <w:trPr>
          <w:trHeight w:val="232"/>
        </w:trPr>
        <w:tc>
          <w:tcPr>
            <w:tcW w:w="4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30,776,737</w:t>
            </w:r>
          </w:p>
        </w:tc>
        <w:tc>
          <w:tcPr>
            <w:tcW w:w="4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34,989,614</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30,293,532</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34,376,937</w:t>
            </w:r>
          </w:p>
        </w:tc>
        <w:tc>
          <w:tcPr>
            <w:tcW w:w="20" w:type="dxa"/>
            <w:vAlign w:val="bottom"/>
          </w:tcPr>
          <w:p>
            <w:pPr>
              <w:spacing w:after="0"/>
              <w:rPr>
                <w:sz w:val="20"/>
                <w:szCs w:val="20"/>
                <w:color w:val="auto"/>
              </w:rPr>
            </w:pPr>
          </w:p>
        </w:tc>
      </w:tr>
      <w:tr>
        <w:trPr>
          <w:trHeight w:val="227"/>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Collateral held under securities lending agreements</w:t>
            </w:r>
          </w:p>
        </w:tc>
        <w:tc>
          <w:tcPr>
            <w:tcW w:w="8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530,859</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851,667</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523,709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838,722</w:t>
            </w:r>
          </w:p>
        </w:tc>
        <w:tc>
          <w:tcPr>
            <w:tcW w:w="20" w:type="dxa"/>
            <w:vAlign w:val="bottom"/>
          </w:tcPr>
          <w:p>
            <w:pPr>
              <w:spacing w:after="0"/>
              <w:rPr>
                <w:sz w:val="19"/>
                <w:szCs w:val="19"/>
                <w:color w:val="auto"/>
              </w:rPr>
            </w:pPr>
          </w:p>
        </w:tc>
      </w:tr>
      <w:tr>
        <w:trPr>
          <w:trHeight w:val="239"/>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Due to broker for securities purchased and other payables</w:t>
            </w:r>
          </w:p>
        </w:tc>
        <w:tc>
          <w:tcPr>
            <w:tcW w:w="8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1,959</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2,234</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8"/>
                <w:szCs w:val="18"/>
                <w:b w:val="1"/>
                <w:bCs w:val="1"/>
                <w:color w:val="auto"/>
              </w:rPr>
              <w:t>1,921</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2,123</w:t>
            </w:r>
          </w:p>
        </w:tc>
        <w:tc>
          <w:tcPr>
            <w:tcW w:w="20" w:type="dxa"/>
            <w:vAlign w:val="bottom"/>
          </w:tcPr>
          <w:p>
            <w:pPr>
              <w:spacing w:after="0"/>
              <w:rPr>
                <w:sz w:val="20"/>
                <w:szCs w:val="20"/>
                <w:color w:val="auto"/>
              </w:rPr>
            </w:pPr>
          </w:p>
        </w:tc>
      </w:tr>
      <w:tr>
        <w:trPr>
          <w:trHeight w:val="227"/>
        </w:trPr>
        <w:tc>
          <w:tcPr>
            <w:tcW w:w="4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532,818</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853,901</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525,630</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840,845</w:t>
            </w:r>
          </w:p>
        </w:tc>
        <w:tc>
          <w:tcPr>
            <w:tcW w:w="20" w:type="dxa"/>
            <w:vAlign w:val="bottom"/>
          </w:tcPr>
          <w:p>
            <w:pPr>
              <w:spacing w:after="0"/>
              <w:rPr>
                <w:sz w:val="19"/>
                <w:szCs w:val="19"/>
                <w:color w:val="auto"/>
              </w:rPr>
            </w:pPr>
          </w:p>
        </w:tc>
      </w:tr>
      <w:tr>
        <w:trPr>
          <w:trHeight w:val="23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assets of the DC Master Trust</w:t>
            </w: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30,243,919</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34,135,713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8"/>
                <w:szCs w:val="18"/>
                <w:b w:val="1"/>
                <w:bCs w:val="1"/>
                <w:color w:val="auto"/>
              </w:rPr>
              <w:t>29,767,902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33,536,092</w:t>
            </w:r>
          </w:p>
        </w:tc>
        <w:tc>
          <w:tcPr>
            <w:tcW w:w="20" w:type="dxa"/>
            <w:vAlign w:val="bottom"/>
          </w:tcPr>
          <w:p>
            <w:pPr>
              <w:spacing w:after="0"/>
              <w:rPr>
                <w:sz w:val="20"/>
                <w:szCs w:val="20"/>
                <w:color w:val="auto"/>
              </w:rPr>
            </w:pPr>
          </w:p>
        </w:tc>
      </w:tr>
      <w:tr>
        <w:trPr>
          <w:trHeight w:val="405"/>
        </w:trPr>
        <w:tc>
          <w:tcPr>
            <w:tcW w:w="8280" w:type="dxa"/>
            <w:vAlign w:val="bottom"/>
            <w:gridSpan w:val="7"/>
          </w:tcPr>
          <w:p>
            <w:pPr>
              <w:spacing w:after="0"/>
              <w:rPr>
                <w:sz w:val="20"/>
                <w:szCs w:val="20"/>
                <w:color w:val="auto"/>
              </w:rPr>
            </w:pPr>
            <w:r>
              <w:rPr>
                <w:rFonts w:ascii="Arial" w:cs="Arial" w:eastAsia="Arial" w:hAnsi="Arial"/>
                <w:sz w:val="18"/>
                <w:szCs w:val="18"/>
                <w:color w:val="auto"/>
              </w:rPr>
              <w:t>Net investment loss for the DC Master Trust for the plan year ended December 31, 2022, is as follows: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8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(loss)/income</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9"/>
        </w:trPr>
        <w:tc>
          <w:tcPr>
            <w:tcW w:w="4880" w:type="dxa"/>
            <w:vAlign w:val="bottom"/>
          </w:tcPr>
          <w:p>
            <w:pPr>
              <w:ind w:left="220"/>
              <w:spacing w:after="0"/>
              <w:rPr>
                <w:sz w:val="20"/>
                <w:szCs w:val="20"/>
                <w:color w:val="auto"/>
              </w:rPr>
            </w:pPr>
            <w:r>
              <w:rPr>
                <w:rFonts w:ascii="Arial" w:cs="Arial" w:eastAsia="Arial" w:hAnsi="Arial"/>
                <w:sz w:val="18"/>
                <w:szCs w:val="18"/>
                <w:color w:val="auto"/>
              </w:rPr>
              <w:t>Net reduction in value of investments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(3,138,143)</w:t>
            </w:r>
          </w:p>
        </w:tc>
        <w:tc>
          <w:tcPr>
            <w:tcW w:w="20" w:type="dxa"/>
            <w:vAlign w:val="bottom"/>
          </w:tcPr>
          <w:p>
            <w:pPr>
              <w:spacing w:after="0"/>
              <w:rPr>
                <w:sz w:val="20"/>
                <w:szCs w:val="20"/>
                <w:color w:val="auto"/>
              </w:rPr>
            </w:pPr>
          </w:p>
        </w:tc>
      </w:tr>
      <w:tr>
        <w:trPr>
          <w:trHeight w:val="234"/>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w:t>
            </w: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76,090</w:t>
            </w:r>
          </w:p>
        </w:tc>
        <w:tc>
          <w:tcPr>
            <w:tcW w:w="20" w:type="dxa"/>
            <w:vAlign w:val="bottom"/>
            <w:shd w:val="clear" w:color="auto" w:fill="CCEEFF"/>
          </w:tcPr>
          <w:p>
            <w:pPr>
              <w:spacing w:after="0"/>
              <w:rPr>
                <w:sz w:val="20"/>
                <w:szCs w:val="20"/>
                <w:color w:val="auto"/>
              </w:rPr>
            </w:pPr>
          </w:p>
        </w:tc>
      </w:tr>
      <w:tr>
        <w:trPr>
          <w:trHeight w:val="230"/>
        </w:trPr>
        <w:tc>
          <w:tcPr>
            <w:tcW w:w="488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59,171</w:t>
            </w:r>
          </w:p>
        </w:tc>
        <w:tc>
          <w:tcPr>
            <w:tcW w:w="20" w:type="dxa"/>
            <w:vAlign w:val="bottom"/>
          </w:tcPr>
          <w:p>
            <w:pPr>
              <w:spacing w:after="0"/>
              <w:rPr>
                <w:sz w:val="19"/>
                <w:szCs w:val="19"/>
                <w:color w:val="auto"/>
              </w:rPr>
            </w:pPr>
          </w:p>
        </w:tc>
      </w:tr>
      <w:tr>
        <w:trPr>
          <w:trHeight w:val="243"/>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1,564</w:t>
            </w:r>
          </w:p>
        </w:tc>
        <w:tc>
          <w:tcPr>
            <w:tcW w:w="20" w:type="dxa"/>
            <w:vAlign w:val="bottom"/>
            <w:shd w:val="clear" w:color="auto" w:fill="CCEEFF"/>
          </w:tcPr>
          <w:p>
            <w:pPr>
              <w:spacing w:after="0"/>
              <w:rPr>
                <w:sz w:val="21"/>
                <w:szCs w:val="21"/>
                <w:color w:val="auto"/>
              </w:rPr>
            </w:pPr>
          </w:p>
        </w:tc>
      </w:tr>
      <w:tr>
        <w:trPr>
          <w:trHeight w:val="230"/>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manager fees</w:t>
            </w: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(3,038)</w:t>
            </w:r>
          </w:p>
        </w:tc>
        <w:tc>
          <w:tcPr>
            <w:tcW w:w="20" w:type="dxa"/>
            <w:vAlign w:val="bottom"/>
            <w:tcBorders>
              <w:bottom w:val="single" w:sz="8" w:color="auto"/>
            </w:tcBorders>
          </w:tcPr>
          <w:p>
            <w:pPr>
              <w:spacing w:after="0"/>
              <w:rPr>
                <w:sz w:val="19"/>
                <w:szCs w:val="19"/>
                <w:color w:val="auto"/>
              </w:rPr>
            </w:pPr>
          </w:p>
        </w:tc>
      </w:tr>
      <w:tr>
        <w:trPr>
          <w:trHeight w:val="230"/>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loss</w:t>
            </w:r>
          </w:p>
        </w:tc>
        <w:tc>
          <w:tcPr>
            <w:tcW w:w="8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(3,004,356)</w:t>
            </w:r>
          </w:p>
        </w:tc>
        <w:tc>
          <w:tcPr>
            <w:tcW w:w="20" w:type="dxa"/>
            <w:vAlign w:val="bottom"/>
            <w:tcBorders>
              <w:bottom w:val="single" w:sz="8" w:color="auto"/>
            </w:tcBorders>
            <w:shd w:val="clear" w:color="auto" w:fill="CCEEFF"/>
          </w:tcPr>
          <w:p>
            <w:pPr>
              <w:spacing w:after="0"/>
              <w:rPr>
                <w:sz w:val="20"/>
                <w:szCs w:val="20"/>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investments that are measured at fair value using NAV per share (or its equivalent) as a practical expedient are not required to be categorized in the fair value hierarchy tables. The total fair value of these investments is included in the tables below to permit reconciliation of the fair value hierarchy to amounts presented in the investments footnote (Note 3). These investments have no unfunded commitments, redemption notice periods greater than seven days or other redemption restrictions. As of December 31, 2022 and 2021, there were no investments expected to be sold at a value materially different than NAV.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97" w:right="339" w:bottom="1440" w:gutter="0" w:footer="0" w:header="0"/>
        </w:sectPr>
      </w:pPr>
    </w:p>
    <w:bookmarkStart w:id="12" w:name="page13"/>
    <w:bookmarkEnd w:id="12"/>
    <w:p>
      <w:pPr>
        <w:ind w:right="280"/>
        <w:spacing w:after="0" w:line="277" w:lineRule="auto"/>
        <w:rPr>
          <w:sz w:val="20"/>
          <w:szCs w:val="20"/>
          <w:color w:val="auto"/>
        </w:rPr>
      </w:pPr>
      <w:r>
        <w:rPr>
          <w:rFonts w:ascii="Arial" w:cs="Arial" w:eastAsia="Arial" w:hAnsi="Arial"/>
          <w:sz w:val="18"/>
          <w:szCs w:val="18"/>
          <w:color w:val="auto"/>
        </w:rPr>
        <w:t>The table below sets forth the fair value of the investments by level, measured on a recurring basis and held by the DC Master Trust as of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37"/>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DC Master Trust at fair value</w:t>
            </w:r>
          </w:p>
        </w:tc>
        <w:tc>
          <w:tcPr>
            <w:tcW w:w="3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9"/>
        </w:trPr>
        <w:tc>
          <w:tcPr>
            <w:tcW w:w="5740" w:type="dxa"/>
            <w:vAlign w:val="bottom"/>
          </w:tcPr>
          <w:p>
            <w:pPr>
              <w:ind w:left="140"/>
              <w:spacing w:after="0"/>
              <w:rPr>
                <w:sz w:val="20"/>
                <w:szCs w:val="20"/>
                <w:color w:val="auto"/>
              </w:rPr>
            </w:pPr>
            <w:r>
              <w:rPr>
                <w:rFonts w:ascii="Arial" w:cs="Arial" w:eastAsia="Arial" w:hAnsi="Arial"/>
                <w:sz w:val="18"/>
                <w:szCs w:val="18"/>
                <w:color w:val="auto"/>
              </w:rPr>
              <w:t>Cash equivalents and short-term investment fund</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73,529</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73,533</w:t>
            </w: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equities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4,718,423</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4,718,423</w:t>
            </w:r>
          </w:p>
        </w:tc>
      </w:tr>
      <w:tr>
        <w:trPr>
          <w:trHeight w:val="239"/>
        </w:trPr>
        <w:tc>
          <w:tcPr>
            <w:tcW w:w="5740" w:type="dxa"/>
            <w:vAlign w:val="bottom"/>
          </w:tcPr>
          <w:p>
            <w:pPr>
              <w:ind w:left="140"/>
              <w:spacing w:after="0"/>
              <w:rPr>
                <w:sz w:val="20"/>
                <w:szCs w:val="20"/>
                <w:color w:val="auto"/>
              </w:rPr>
            </w:pPr>
            <w:r>
              <w:rPr>
                <w:rFonts w:ascii="Arial" w:cs="Arial" w:eastAsia="Arial" w:hAnsi="Arial"/>
                <w:sz w:val="18"/>
                <w:szCs w:val="18"/>
                <w:color w:val="auto"/>
              </w:rPr>
              <w:t>Collateral held under securities lending agreements</w:t>
            </w:r>
          </w:p>
        </w:tc>
        <w:tc>
          <w:tcPr>
            <w:tcW w:w="3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530,859</w:t>
            </w:r>
          </w:p>
        </w:tc>
        <w:tc>
          <w:tcPr>
            <w:tcW w:w="4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530,859</w:t>
            </w:r>
          </w:p>
        </w:tc>
      </w:tr>
      <w:tr>
        <w:trPr>
          <w:trHeight w:val="234"/>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5"/>
              </w:rPr>
              <w:t>Common/collective trust funds valued using NAV as a practical expedient</w:t>
            </w:r>
          </w:p>
        </w:tc>
        <w:tc>
          <w:tcPr>
            <w:tcW w:w="3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21,490,906</w:t>
            </w: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DC Master Trust at fair value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4,718,427</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604,388</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26,813,721</w:t>
            </w:r>
          </w:p>
        </w:tc>
      </w:tr>
    </w:tbl>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sets forth the fair value of the BrokerageLink Account and short-term investment fund, by level, measured on a recurring basis, and held by the Plan as of December 31, 2022: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2</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Plan investments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9"/>
        </w:trPr>
        <w:tc>
          <w:tcPr>
            <w:tcW w:w="5740" w:type="dxa"/>
            <w:vAlign w:val="bottom"/>
          </w:tcPr>
          <w:p>
            <w:pPr>
              <w:ind w:left="140"/>
              <w:spacing w:after="0"/>
              <w:rPr>
                <w:sz w:val="20"/>
                <w:szCs w:val="20"/>
                <w:color w:val="auto"/>
              </w:rPr>
            </w:pPr>
            <w:r>
              <w:rPr>
                <w:rFonts w:ascii="Arial" w:cs="Arial" w:eastAsia="Arial" w:hAnsi="Arial"/>
                <w:sz w:val="18"/>
                <w:szCs w:val="18"/>
                <w:color w:val="auto"/>
              </w:rPr>
              <w:t>BrokerageLink Account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2,409,572</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b w:val="1"/>
                <w:bCs w:val="1"/>
                <w:color w:val="auto"/>
              </w:rPr>
              <w:t>24,738</w:t>
            </w:r>
          </w:p>
        </w:tc>
        <w:tc>
          <w:tcPr>
            <w:tcW w:w="4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2,434,310</w:t>
            </w:r>
          </w:p>
        </w:tc>
      </w:tr>
      <w:tr>
        <w:trPr>
          <w:trHeight w:val="234"/>
        </w:trPr>
        <w:tc>
          <w:tcPr>
            <w:tcW w:w="5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State Street Bank and Trust Company short-term investment fund</w:t>
            </w:r>
          </w:p>
        </w:tc>
        <w:tc>
          <w:tcPr>
            <w:tcW w:w="3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716</w:t>
            </w:r>
          </w:p>
        </w:tc>
        <w:tc>
          <w:tcPr>
            <w:tcW w:w="4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r>
      <w:tr>
        <w:trPr>
          <w:trHeight w:val="23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other Plan investments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2,409,572</w:t>
            </w: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25,454</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2,435,026</w:t>
            </w:r>
          </w:p>
        </w:tc>
      </w:tr>
    </w:tbl>
    <w:p>
      <w:pPr>
        <w:spacing w:after="0" w:line="175"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The table below sets forth the fair value of the investments by level, measured on a recurring basis and held by the DC Master Trust as of December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Level 1</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DC Master Trust at fair value</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Cash equivalents and short-term investment fund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89,793</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89,810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equities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3,470,954</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3,470,954</w:t>
            </w:r>
          </w:p>
        </w:tc>
        <w:tc>
          <w:tcPr>
            <w:tcW w:w="0" w:type="dxa"/>
            <w:vAlign w:val="bottom"/>
          </w:tcPr>
          <w:p>
            <w:pPr>
              <w:spacing w:after="0"/>
              <w:rPr>
                <w:sz w:val="1"/>
                <w:szCs w:val="1"/>
                <w:color w:val="auto"/>
              </w:rPr>
            </w:pPr>
          </w:p>
        </w:tc>
      </w:tr>
      <w:tr>
        <w:trPr>
          <w:trHeight w:val="237"/>
        </w:trPr>
        <w:tc>
          <w:tcPr>
            <w:tcW w:w="5600" w:type="dxa"/>
            <w:vAlign w:val="bottom"/>
          </w:tcPr>
          <w:p>
            <w:pPr>
              <w:ind w:left="140"/>
              <w:spacing w:after="0"/>
              <w:rPr>
                <w:sz w:val="20"/>
                <w:szCs w:val="20"/>
                <w:color w:val="auto"/>
              </w:rPr>
            </w:pPr>
            <w:r>
              <w:rPr>
                <w:rFonts w:ascii="Arial" w:cs="Arial" w:eastAsia="Arial" w:hAnsi="Arial"/>
                <w:sz w:val="18"/>
                <w:szCs w:val="18"/>
                <w:color w:val="auto"/>
              </w:rPr>
              <w:t>Collateral held under securities lending agreements</w:t>
            </w:r>
          </w:p>
        </w:tc>
        <w:tc>
          <w:tcPr>
            <w:tcW w:w="36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851,667</w:t>
            </w:r>
          </w:p>
        </w:tc>
        <w:tc>
          <w:tcPr>
            <w:tcW w:w="5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851,667</w:t>
            </w: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Common/collective trust funds valued using NAV as a practical</w:t>
            </w: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26,763,365</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expedient</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DC Master Trust at fair value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3,470,971</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941,460</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31,175,796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The table below sets forth the fair value of the BrokerageLink Account and short-term investment fund, by level, measured on a recurring basis, and held by the Plan as of December 31,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Level 1</w:t>
            </w: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Level 2</w:t>
            </w: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Total</w:t>
            </w:r>
          </w:p>
        </w:tc>
      </w:tr>
      <w:tr>
        <w:trPr>
          <w:trHeight w:val="23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Plan investments</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8"/>
                <w:szCs w:val="18"/>
                <w:color w:val="auto"/>
              </w:rPr>
              <w:t>BrokerageLink Account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3,286,704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3,286,704</w:t>
            </w:r>
          </w:p>
        </w:tc>
      </w:tr>
      <w:tr>
        <w:trPr>
          <w:trHeight w:val="229"/>
        </w:trPr>
        <w:tc>
          <w:tcPr>
            <w:tcW w:w="5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State Street Bank and Trust Company short-term investment fund</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5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44"/>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other Plan investments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3,286,704</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3,287,467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097"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INTEREST IN GUARANTEED INVESTMENT CONTRACTS</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Guaranteed investment contracts consist of fully benefit-responsive wrapper contracts that provide specified interest rates. Realized and unrealized gains and losses on the underlying assets are not reflected immediately in the net assets of the Plan, but are amortized as adjustments to the future interest-crediting rate over a period equal to or less than the duration of the underlying assets. Primary variables affecting the future crediting rate of the wrapper contracts include the current yield of underlying assets, the duration of underlying assets, and the difference between the market value and contract value of underlying assets.</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Investments held in guaranteed investment contracts (at contract value) totaled $4.0 billion and $3.8 billion, respectively, as of December 31, 2022 and 2021.</w:t>
      </w:r>
    </w:p>
    <w:p>
      <w:pPr>
        <w:spacing w:after="0" w:line="4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events, such as Plan termination or a plan merger initiated by the Plan sponsor, may limit the ability of the Plan to transact at contract value or may allow for the termination of the wrapper contract at less than contract value. Plan management believes that the occurrence of events that may limit the ability of the Plan to transact at less than contract value is not probable.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THIRD PARTY BORROWINGS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DC Master Trust participates in a securities lending program with State Street through the separately managed Stable Value Account. The program allows State Street to loan securities, which are assets of the DC Master Trust, to approved borrowers. Such assets could be subject to sale restrictions in the event security lending agreements are terminated and the securities have not been returned to the DC Master Trust. DC Master Trust assets on loan to third-party borrowers under security lending agreements are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December 31</w:t>
            </w:r>
          </w:p>
        </w:tc>
        <w:tc>
          <w:tcPr>
            <w:tcW w:w="140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2021</w:t>
            </w:r>
          </w:p>
        </w:tc>
      </w:tr>
      <w:tr>
        <w:trPr>
          <w:trHeight w:val="232"/>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Underlying securities of guaranteed investment contracts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519,490</w:t>
            </w:r>
          </w:p>
        </w:tc>
        <w:tc>
          <w:tcPr>
            <w:tcW w:w="7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833,852</w:t>
            </w:r>
          </w:p>
        </w:tc>
      </w:tr>
    </w:tbl>
    <w:p>
      <w:pPr>
        <w:spacing w:after="0" w:line="16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State Street requires borrowers, pursuant to a security loan agreement, to deliver collateral to secure each loan. The initial collateral required is 102 percent of the fair value of U.S. securities borrowed and 105 percent for foreign equity securities borrowed. The DC Master Trust bears the risk of loss with respect to any unfavorable change in fair value of the invested cash collateral. However, the borrower bears the risk of loss related to the decrease in the fair value of the securities collateral and, therefore, may have to deliver additional cash or securities to maintain the required collateral. In U.S. markets, State Street generally enters into a netting arrangement with a borrower which permits the netting of mark-to-market exposure for transactions within the lending program with that borrower. Such arrangements would cover lending transactions with the borrower and reverse repurchase agreements of cash collateral involving investment of the collateral. State Street may also negotiate a right of offset in the event of borrower default. In the event of borrower default, State Street indemnifies the DC Master Trust against any loss of the amount loaned. As of December 31, 2022, cash and non-cash collateral associated with securities on loan totaled $449 million and $82 million, respectively. As of December 31, 2021, cash and non-cash collateral associated with securities on loan totaled $792 million and $60 million, respectively. All of the securities on loan are collateralized at more than 102 percent.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EXEMPT PARTY-IN-INTEREST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Party-in-interest transactions through the DC Master Trust include the purchase and sale of investments managed by affiliates of the Plan's Trustee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transactions involving Northrop Grumman Corporation common stock. The NG Stock Fund within the DC Master Trust held 8.6 million and 9.0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shares of common stock of the Company with a fair value of $4.7 billion and $3.5 billion at December 31, 2022 and 2021, respectively. The Plan’s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 the net assets of the NG Stock Fund was approximately 99.5 percent at December 31, 2022 and 2021. During 2022, the NG Stock Fund earned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dividends of $59.2 million from its investment in Northrop Grumman Corporation common stock.</w:t>
      </w:r>
    </w:p>
    <w:p>
      <w:pPr>
        <w:spacing w:after="0" w:line="7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State Street affiliates managed $0.7 million and $0.8 million of Plan assets held in a short-term investment fund as of December 31, 2022 and 2021, respectively. The Plan paid $0.6 million to the Trustee in fees during the year ended December 31, 2022.</w:t>
      </w:r>
    </w:p>
    <w:p>
      <w:pPr>
        <w:spacing w:after="0" w:line="49"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The DC Master Trust utilized various investment managers to manage its net assets. These net assets may be invested into funds also managed by the investment managers. Therefore, these transactions qualify as party-in-interest transactions. The Plan had transactions with the Trustee’s short-term investment fund, a liquidity pooled fund in which participation commences and terminates on a daily basis. In Plan management’s opinion, fees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during the year for services rendered by parties-in-interest were based upon customary and reasonable rates for such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PLAN TERMINATION</w:t>
      </w:r>
    </w:p>
    <w:p>
      <w:pPr>
        <w:spacing w:after="0" w:line="1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Although it has not expressed any intention to do so, the Company has the right under the Plan provisions to discontinue its contributions at any time and to terminate the Plan subject to ERISA provisions. In the event of a Plan termination, participants will become fully vested in their accounts.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FEDERAL INCOME TAX STATUS</w:t>
      </w:r>
    </w:p>
    <w:p>
      <w:pPr>
        <w:spacing w:after="0" w:line="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Plan obtained its latest determination letter dated August 31, 2021, in which the IRS determined that the Plan’s terms at the time of the determination letter application were in compliance with applicable sections of the Code and, therefore, is exempt from taxation. In December 2016, the IRS began publishing a Required Amendments List for individually designed plans which specifies changes in qualification requirements. The list is published annually and requires plans to be amended for each item on the list, as applicable, to retain its tax-exempt status. Management believes the Plan and related trust are currently designed, have been amended, and are being operated in compliance with the applicable requirements of the Code. Therefore, no provision for income taxes has been included in the Plan’s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RECONCILIATION OF FINANCIAL STATEMENTS TO FORM 5500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net assets available for benefits per the financial statements to Form 5500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December 31</w:t>
            </w:r>
          </w:p>
        </w:tc>
        <w:tc>
          <w:tcPr>
            <w:tcW w:w="1600" w:type="dxa"/>
            <w:vAlign w:val="bottom"/>
            <w:tcBorders>
              <w:bottom w:val="single" w:sz="8" w:color="auto"/>
            </w:tcBorders>
          </w:tcPr>
          <w:p>
            <w:pPr>
              <w:spacing w:after="0"/>
              <w:rPr>
                <w:sz w:val="20"/>
                <w:szCs w:val="20"/>
                <w:color w:val="auto"/>
              </w:rPr>
            </w:pPr>
          </w:p>
        </w:tc>
      </w:tr>
      <w:tr>
        <w:trPr>
          <w:trHeight w:val="232"/>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2021</w:t>
            </w: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 per the financial statements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32,565,750</w:t>
            </w:r>
          </w:p>
        </w:tc>
        <w:tc>
          <w:tcPr>
            <w:tcW w:w="7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37,184,872</w:t>
            </w:r>
          </w:p>
        </w:tc>
      </w:tr>
      <w:tr>
        <w:trPr>
          <w:trHeight w:val="229"/>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amounts allocated to withdrawing participants</w:t>
            </w: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(4,549)</w:t>
            </w:r>
          </w:p>
        </w:tc>
        <w:tc>
          <w:tcPr>
            <w:tcW w:w="7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(7,773)</w:t>
            </w:r>
          </w:p>
        </w:tc>
      </w:tr>
      <w:tr>
        <w:trPr>
          <w:trHeight w:val="232"/>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available for benefits per Form 5500</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32,561,201</w:t>
            </w:r>
          </w:p>
        </w:tc>
        <w:tc>
          <w:tcPr>
            <w:tcW w:w="7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37,177,099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benefits paid to participants per the financial statements to Form 5500 for the year ended December 31, 2022, is as follows: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Benefits paid to participants per the financial statements</w:t>
            </w:r>
          </w:p>
        </w:tc>
        <w:tc>
          <w:tcPr>
            <w:tcW w:w="258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2,774,770</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Add amounts allocated to withdrawing participants at December 31, 2022</w:t>
            </w:r>
          </w:p>
        </w:tc>
        <w:tc>
          <w:tcPr>
            <w:tcW w:w="25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4,549</w:t>
            </w:r>
          </w:p>
        </w:tc>
      </w:tr>
      <w:tr>
        <w:trPr>
          <w:trHeight w:val="230"/>
        </w:trPr>
        <w:tc>
          <w:tcPr>
            <w:tcW w:w="7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Less amounts allocated to withdrawing participants at December 31, 2021</w:t>
            </w:r>
          </w:p>
        </w:tc>
        <w:tc>
          <w:tcPr>
            <w:tcW w:w="25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(7,773)</w:t>
            </w:r>
          </w:p>
        </w:tc>
      </w:tr>
      <w:tr>
        <w:trPr>
          <w:trHeight w:val="232"/>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Benefits paid to participants per Form 5500</w:t>
            </w:r>
          </w:p>
        </w:tc>
        <w:tc>
          <w:tcPr>
            <w:tcW w:w="2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2,771,546</w:t>
            </w:r>
          </w:p>
        </w:tc>
      </w:tr>
    </w:tbl>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Amounts allocated to withdrawing participants are recorded on Form 5500 for benefit claims that have been processed and approved for payment prior to December 31, 2022 and 2021, but not yet paid as of that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97"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NORTHROP GRUMMAN SAVINGS PLAN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LINE 4i,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2022</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Borders>
              <w:top w:val="single" w:sz="8" w:color="auto"/>
            </w:tcBorders>
          </w:tcPr>
          <w:p>
            <w:pPr>
              <w:spacing w:after="0"/>
              <w:rPr>
                <w:sz w:val="15"/>
                <w:szCs w:val="15"/>
                <w:color w:val="auto"/>
              </w:rPr>
            </w:pPr>
          </w:p>
        </w:tc>
        <w:tc>
          <w:tcPr>
            <w:tcW w:w="2840" w:type="dxa"/>
            <w:vAlign w:val="bottom"/>
            <w:tcBorders>
              <w:top w:val="single" w:sz="8" w:color="auto"/>
            </w:tcBorders>
          </w:tcPr>
          <w:p>
            <w:pPr>
              <w:spacing w:after="0"/>
              <w:rPr>
                <w:sz w:val="15"/>
                <w:szCs w:val="15"/>
                <w:color w:val="auto"/>
              </w:rPr>
            </w:pPr>
          </w:p>
        </w:tc>
        <w:tc>
          <w:tcPr>
            <w:tcW w:w="476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0"/>
              </w:rPr>
              <w:t>Description of Investment,</w:t>
            </w:r>
          </w:p>
        </w:tc>
        <w:tc>
          <w:tcPr>
            <w:tcW w:w="7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2840" w:type="dxa"/>
            <w:vAlign w:val="bottom"/>
            <w:vMerge w:val="restart"/>
          </w:tcPr>
          <w:p>
            <w:pPr>
              <w:ind w:left="480"/>
              <w:spacing w:after="0"/>
              <w:rPr>
                <w:sz w:val="20"/>
                <w:szCs w:val="20"/>
                <w:color w:val="auto"/>
              </w:rPr>
            </w:pPr>
            <w:r>
              <w:rPr>
                <w:rFonts w:ascii="Arial" w:cs="Arial" w:eastAsia="Arial" w:hAnsi="Arial"/>
                <w:sz w:val="18"/>
                <w:szCs w:val="18"/>
                <w:b w:val="1"/>
                <w:bCs w:val="1"/>
                <w:color w:val="auto"/>
                <w:w w:val="97"/>
              </w:rPr>
              <w:t>Identity of Issuer, Borrower,</w:t>
            </w:r>
          </w:p>
        </w:tc>
        <w:tc>
          <w:tcPr>
            <w:tcW w:w="47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4"/>
              </w:rPr>
              <w:t>Including Maturity Date, Rate of</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2840" w:type="dxa"/>
            <w:vAlign w:val="bottom"/>
            <w:vMerge w:val="continue"/>
          </w:tcPr>
          <w:p>
            <w:pPr>
              <w:spacing w:after="0"/>
              <w:rPr>
                <w:sz w:val="15"/>
                <w:szCs w:val="15"/>
                <w:color w:val="auto"/>
              </w:rPr>
            </w:pPr>
          </w:p>
        </w:tc>
        <w:tc>
          <w:tcPr>
            <w:tcW w:w="47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Interest, Collateral, and Par or</w:t>
            </w:r>
          </w:p>
        </w:tc>
        <w:tc>
          <w:tcPr>
            <w:tcW w:w="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Cost</w:t>
            </w:r>
          </w:p>
        </w:tc>
        <w:tc>
          <w:tcPr>
            <w:tcW w:w="380" w:type="dxa"/>
            <w:vAlign w:val="bottom"/>
          </w:tcPr>
          <w:p>
            <w:pPr>
              <w:spacing w:after="0"/>
              <w:rPr>
                <w:sz w:val="15"/>
                <w:szCs w:val="15"/>
                <w:color w:val="auto"/>
              </w:rPr>
            </w:pPr>
          </w:p>
        </w:tc>
        <w:tc>
          <w:tcPr>
            <w:tcW w:w="15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Current Value</w:t>
            </w:r>
          </w:p>
        </w:tc>
        <w:tc>
          <w:tcPr>
            <w:tcW w:w="0" w:type="dxa"/>
            <w:vAlign w:val="bottom"/>
          </w:tcPr>
          <w:p>
            <w:pPr>
              <w:spacing w:after="0"/>
              <w:rPr>
                <w:sz w:val="1"/>
                <w:szCs w:val="1"/>
                <w:color w:val="auto"/>
              </w:rPr>
            </w:pPr>
          </w:p>
        </w:tc>
      </w:tr>
      <w:tr>
        <w:trPr>
          <w:trHeight w:val="239"/>
        </w:trPr>
        <w:tc>
          <w:tcPr>
            <w:tcW w:w="3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Lessor, or Similar Party</w:t>
            </w: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Maturity Value</w:t>
            </w:r>
          </w:p>
        </w:tc>
        <w:tc>
          <w:tcPr>
            <w:tcW w:w="74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60" w:type="dxa"/>
            <w:vAlign w:val="bottom"/>
            <w:shd w:val="clear" w:color="auto" w:fill="CCEEFF"/>
          </w:tcPr>
          <w:p>
            <w:pPr>
              <w:jc w:val="right"/>
              <w:ind w:right="150"/>
              <w:spacing w:after="0" w:line="173" w:lineRule="exact"/>
              <w:rPr>
                <w:sz w:val="20"/>
                <w:szCs w:val="20"/>
                <w:color w:val="auto"/>
              </w:rPr>
            </w:pPr>
            <w:r>
              <w:rPr>
                <w:rFonts w:ascii="Arial" w:cs="Arial" w:eastAsia="Arial" w:hAnsi="Arial"/>
                <w:sz w:val="18"/>
                <w:szCs w:val="18"/>
                <w:color w:val="auto"/>
              </w:rPr>
              <w:t>*</w:t>
            </w:r>
          </w:p>
        </w:tc>
        <w:tc>
          <w:tcPr>
            <w:tcW w:w="2840" w:type="dxa"/>
            <w:vAlign w:val="bottom"/>
            <w:shd w:val="clear" w:color="auto" w:fill="CCEEFF"/>
          </w:tcPr>
          <w:p>
            <w:pPr>
              <w:ind w:left="220"/>
              <w:spacing w:after="0" w:line="173" w:lineRule="exact"/>
              <w:rPr>
                <w:sz w:val="20"/>
                <w:szCs w:val="20"/>
                <w:color w:val="auto"/>
              </w:rPr>
            </w:pPr>
            <w:r>
              <w:rPr>
                <w:rFonts w:ascii="Arial" w:cs="Arial" w:eastAsia="Arial" w:hAnsi="Arial"/>
                <w:sz w:val="18"/>
                <w:szCs w:val="18"/>
                <w:color w:val="auto"/>
              </w:rPr>
              <w:t>Northrop Grumman Defined</w:t>
            </w:r>
          </w:p>
        </w:tc>
        <w:tc>
          <w:tcPr>
            <w:tcW w:w="4760" w:type="dxa"/>
            <w:vAlign w:val="bottom"/>
            <w:shd w:val="clear" w:color="auto" w:fill="CCEEFF"/>
          </w:tcPr>
          <w:p>
            <w:pPr>
              <w:ind w:left="200"/>
              <w:spacing w:after="0" w:line="173" w:lineRule="exact"/>
              <w:rPr>
                <w:sz w:val="20"/>
                <w:szCs w:val="20"/>
                <w:color w:val="auto"/>
              </w:rPr>
            </w:pPr>
            <w:r>
              <w:rPr>
                <w:rFonts w:ascii="Arial" w:cs="Arial" w:eastAsia="Arial" w:hAnsi="Arial"/>
                <w:sz w:val="18"/>
                <w:szCs w:val="18"/>
                <w:color w:val="auto"/>
              </w:rPr>
              <w:t>Participation in Northrop Grumman Defined Contribution</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29,767,902</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2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Contribution Plans Master Trust</w:t>
            </w:r>
          </w:p>
        </w:tc>
        <w:tc>
          <w:tcPr>
            <w:tcW w:w="47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Plans Master Trust</w:t>
            </w:r>
          </w:p>
        </w:tc>
        <w:tc>
          <w:tcPr>
            <w:tcW w:w="74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0" w:type="dxa"/>
            <w:vAlign w:val="bottom"/>
            <w:shd w:val="clear" w:color="auto" w:fill="CCEEFF"/>
          </w:tcPr>
          <w:p>
            <w:pPr>
              <w:spacing w:after="0"/>
              <w:rPr>
                <w:sz w:val="8"/>
                <w:szCs w:val="8"/>
                <w:color w:val="auto"/>
              </w:rPr>
            </w:pPr>
          </w:p>
        </w:tc>
        <w:tc>
          <w:tcPr>
            <w:tcW w:w="2840" w:type="dxa"/>
            <w:vAlign w:val="bottom"/>
            <w:vMerge w:val="continue"/>
            <w:shd w:val="clear" w:color="auto" w:fill="CCEEFF"/>
          </w:tcPr>
          <w:p>
            <w:pPr>
              <w:spacing w:after="0"/>
              <w:rPr>
                <w:sz w:val="8"/>
                <w:szCs w:val="8"/>
                <w:color w:val="auto"/>
              </w:rPr>
            </w:pPr>
          </w:p>
        </w:tc>
        <w:tc>
          <w:tcPr>
            <w:tcW w:w="4760" w:type="dxa"/>
            <w:vAlign w:val="bottom"/>
            <w:vMerge w:val="continue"/>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840" w:type="dxa"/>
            <w:vAlign w:val="bottom"/>
          </w:tcPr>
          <w:p>
            <w:pPr>
              <w:ind w:left="220"/>
              <w:spacing w:after="0"/>
              <w:rPr>
                <w:sz w:val="20"/>
                <w:szCs w:val="20"/>
                <w:color w:val="auto"/>
              </w:rPr>
            </w:pPr>
            <w:r>
              <w:rPr>
                <w:rFonts w:ascii="Arial" w:cs="Arial" w:eastAsia="Arial" w:hAnsi="Arial"/>
                <w:sz w:val="18"/>
                <w:szCs w:val="18"/>
                <w:color w:val="auto"/>
              </w:rPr>
              <w:t>Fidelity Brokerage Services LLC</w:t>
            </w:r>
          </w:p>
        </w:tc>
        <w:tc>
          <w:tcPr>
            <w:tcW w:w="4760" w:type="dxa"/>
            <w:vAlign w:val="bottom"/>
          </w:tcPr>
          <w:p>
            <w:pPr>
              <w:ind w:left="200"/>
              <w:spacing w:after="0"/>
              <w:rPr>
                <w:sz w:val="20"/>
                <w:szCs w:val="20"/>
                <w:color w:val="auto"/>
              </w:rPr>
            </w:pPr>
            <w:r>
              <w:rPr>
                <w:rFonts w:ascii="Arial" w:cs="Arial" w:eastAsia="Arial" w:hAnsi="Arial"/>
                <w:sz w:val="18"/>
                <w:szCs w:val="18"/>
                <w:color w:val="auto"/>
              </w:rPr>
              <w:t>BrokerageLink Account</w:t>
            </w:r>
          </w:p>
        </w:tc>
        <w:tc>
          <w:tcPr>
            <w:tcW w:w="74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2,434,310</w:t>
            </w:r>
          </w:p>
        </w:tc>
        <w:tc>
          <w:tcPr>
            <w:tcW w:w="0" w:type="dxa"/>
            <w:vAlign w:val="bottom"/>
          </w:tcPr>
          <w:p>
            <w:pPr>
              <w:spacing w:after="0"/>
              <w:rPr>
                <w:sz w:val="1"/>
                <w:szCs w:val="1"/>
                <w:color w:val="auto"/>
              </w:rPr>
            </w:pPr>
          </w:p>
        </w:tc>
      </w:tr>
      <w:tr>
        <w:trPr>
          <w:trHeight w:val="180"/>
        </w:trPr>
        <w:tc>
          <w:tcPr>
            <w:tcW w:w="360" w:type="dxa"/>
            <w:vAlign w:val="bottom"/>
            <w:shd w:val="clear" w:color="auto" w:fill="CCEEFF"/>
          </w:tcPr>
          <w:p>
            <w:pPr>
              <w:jc w:val="right"/>
              <w:ind w:right="150"/>
              <w:spacing w:after="0" w:line="180" w:lineRule="exact"/>
              <w:rPr>
                <w:sz w:val="20"/>
                <w:szCs w:val="20"/>
                <w:color w:val="auto"/>
              </w:rPr>
            </w:pPr>
            <w:r>
              <w:rPr>
                <w:rFonts w:ascii="Arial" w:cs="Arial" w:eastAsia="Arial" w:hAnsi="Arial"/>
                <w:sz w:val="18"/>
                <w:szCs w:val="18"/>
                <w:color w:val="auto"/>
              </w:rPr>
              <w:t>*</w:t>
            </w:r>
          </w:p>
        </w:tc>
        <w:tc>
          <w:tcPr>
            <w:tcW w:w="2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Plan Participants</w:t>
            </w:r>
          </w:p>
        </w:tc>
        <w:tc>
          <w:tcPr>
            <w:tcW w:w="4760" w:type="dxa"/>
            <w:vAlign w:val="bottom"/>
            <w:shd w:val="clear" w:color="auto" w:fill="CCEEFF"/>
          </w:tcPr>
          <w:p>
            <w:pPr>
              <w:ind w:left="200"/>
              <w:spacing w:after="0" w:line="180" w:lineRule="exact"/>
              <w:rPr>
                <w:sz w:val="20"/>
                <w:szCs w:val="20"/>
                <w:color w:val="auto"/>
              </w:rPr>
            </w:pPr>
            <w:r>
              <w:rPr>
                <w:rFonts w:ascii="Arial" w:cs="Arial" w:eastAsia="Arial" w:hAnsi="Arial"/>
                <w:sz w:val="18"/>
                <w:szCs w:val="18"/>
                <w:color w:val="auto"/>
              </w:rPr>
              <w:t>Participant loans (maturing from 2022 to 2037 at interest</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284,258</w:t>
            </w:r>
          </w:p>
        </w:tc>
        <w:tc>
          <w:tcPr>
            <w:tcW w:w="0" w:type="dxa"/>
            <w:vAlign w:val="bottom"/>
          </w:tcPr>
          <w:p>
            <w:pPr>
              <w:spacing w:after="0"/>
              <w:rPr>
                <w:sz w:val="1"/>
                <w:szCs w:val="1"/>
                <w:color w:val="auto"/>
              </w:rPr>
            </w:pPr>
          </w:p>
        </w:tc>
      </w:tr>
      <w:tr>
        <w:trPr>
          <w:trHeight w:val="135"/>
        </w:trPr>
        <w:tc>
          <w:tcPr>
            <w:tcW w:w="360" w:type="dxa"/>
            <w:vAlign w:val="bottom"/>
            <w:shd w:val="clear" w:color="auto" w:fill="CCEEFF"/>
          </w:tcPr>
          <w:p>
            <w:pPr>
              <w:spacing w:after="0"/>
              <w:rPr>
                <w:sz w:val="11"/>
                <w:szCs w:val="11"/>
                <w:color w:val="auto"/>
              </w:rPr>
            </w:pPr>
          </w:p>
        </w:tc>
        <w:tc>
          <w:tcPr>
            <w:tcW w:w="2840" w:type="dxa"/>
            <w:vAlign w:val="bottom"/>
            <w:vMerge w:val="continue"/>
            <w:shd w:val="clear" w:color="auto" w:fill="CCEEFF"/>
          </w:tcPr>
          <w:p>
            <w:pPr>
              <w:spacing w:after="0"/>
              <w:rPr>
                <w:sz w:val="11"/>
                <w:szCs w:val="11"/>
                <w:color w:val="auto"/>
              </w:rPr>
            </w:pPr>
          </w:p>
        </w:tc>
        <w:tc>
          <w:tcPr>
            <w:tcW w:w="476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rates ranging from 3.25 percent to 11.5 percent)</w:t>
            </w:r>
          </w:p>
        </w:tc>
        <w:tc>
          <w:tcPr>
            <w:tcW w:w="740" w:type="dxa"/>
            <w:vAlign w:val="bottom"/>
            <w:vMerge w:val="continue"/>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0" w:type="dxa"/>
            <w:vAlign w:val="bottom"/>
            <w:shd w:val="clear" w:color="auto" w:fill="CCEEFF"/>
          </w:tcPr>
          <w:p>
            <w:pPr>
              <w:spacing w:after="0"/>
              <w:rPr>
                <w:sz w:val="8"/>
                <w:szCs w:val="8"/>
                <w:color w:val="auto"/>
              </w:rPr>
            </w:pPr>
          </w:p>
        </w:tc>
        <w:tc>
          <w:tcPr>
            <w:tcW w:w="2840" w:type="dxa"/>
            <w:vAlign w:val="bottom"/>
            <w:shd w:val="clear" w:color="auto" w:fill="CCEEFF"/>
          </w:tcPr>
          <w:p>
            <w:pPr>
              <w:spacing w:after="0"/>
              <w:rPr>
                <w:sz w:val="8"/>
                <w:szCs w:val="8"/>
                <w:color w:val="auto"/>
              </w:rPr>
            </w:pPr>
          </w:p>
        </w:tc>
        <w:tc>
          <w:tcPr>
            <w:tcW w:w="4760" w:type="dxa"/>
            <w:vAlign w:val="bottom"/>
            <w:vMerge w:val="continue"/>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6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2840" w:type="dxa"/>
            <w:vAlign w:val="bottom"/>
          </w:tcPr>
          <w:p>
            <w:pPr>
              <w:ind w:left="220"/>
              <w:spacing w:after="0" w:line="189" w:lineRule="exact"/>
              <w:rPr>
                <w:sz w:val="20"/>
                <w:szCs w:val="20"/>
                <w:color w:val="auto"/>
              </w:rPr>
            </w:pPr>
            <w:r>
              <w:rPr>
                <w:rFonts w:ascii="Arial" w:cs="Arial" w:eastAsia="Arial" w:hAnsi="Arial"/>
                <w:sz w:val="18"/>
                <w:szCs w:val="18"/>
                <w:color w:val="auto"/>
              </w:rPr>
              <w:t>State Street Bank and Trust</w:t>
            </w:r>
          </w:p>
        </w:tc>
        <w:tc>
          <w:tcPr>
            <w:tcW w:w="4760" w:type="dxa"/>
            <w:vAlign w:val="bottom"/>
          </w:tcPr>
          <w:p>
            <w:pPr>
              <w:ind w:left="200"/>
              <w:spacing w:after="0" w:line="189" w:lineRule="exact"/>
              <w:rPr>
                <w:sz w:val="20"/>
                <w:szCs w:val="20"/>
                <w:color w:val="auto"/>
              </w:rPr>
            </w:pPr>
            <w:r>
              <w:rPr>
                <w:rFonts w:ascii="Arial" w:cs="Arial" w:eastAsia="Arial" w:hAnsi="Arial"/>
                <w:sz w:val="18"/>
                <w:szCs w:val="18"/>
                <w:color w:val="auto"/>
                <w:w w:val="93"/>
              </w:rPr>
              <w:t>State Street Bank and Trust Company short-term investment</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716</w:t>
            </w: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2840" w:type="dxa"/>
            <w:vAlign w:val="bottom"/>
            <w:vMerge w:val="restart"/>
          </w:tcPr>
          <w:p>
            <w:pPr>
              <w:ind w:left="220"/>
              <w:spacing w:after="0"/>
              <w:rPr>
                <w:sz w:val="20"/>
                <w:szCs w:val="20"/>
                <w:color w:val="auto"/>
              </w:rPr>
            </w:pPr>
            <w:r>
              <w:rPr>
                <w:rFonts w:ascii="Arial" w:cs="Arial" w:eastAsia="Arial" w:hAnsi="Arial"/>
                <w:sz w:val="18"/>
                <w:szCs w:val="18"/>
                <w:color w:val="auto"/>
              </w:rPr>
              <w:t>Company</w:t>
            </w:r>
          </w:p>
        </w:tc>
        <w:tc>
          <w:tcPr>
            <w:tcW w:w="4760" w:type="dxa"/>
            <w:vAlign w:val="bottom"/>
            <w:vMerge w:val="restart"/>
          </w:tcPr>
          <w:p>
            <w:pPr>
              <w:ind w:left="200"/>
              <w:spacing w:after="0"/>
              <w:rPr>
                <w:sz w:val="20"/>
                <w:szCs w:val="20"/>
                <w:color w:val="auto"/>
              </w:rPr>
            </w:pPr>
            <w:r>
              <w:rPr>
                <w:rFonts w:ascii="Arial" w:cs="Arial" w:eastAsia="Arial" w:hAnsi="Arial"/>
                <w:sz w:val="18"/>
                <w:szCs w:val="18"/>
                <w:color w:val="auto"/>
              </w:rPr>
              <w:t>fund</w:t>
            </w:r>
          </w:p>
        </w:tc>
        <w:tc>
          <w:tcPr>
            <w:tcW w:w="7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vMerge w:val="continue"/>
          </w:tcPr>
          <w:p>
            <w:pPr>
              <w:spacing w:after="0"/>
              <w:rPr>
                <w:sz w:val="8"/>
                <w:szCs w:val="8"/>
                <w:color w:val="auto"/>
              </w:rPr>
            </w:pPr>
          </w:p>
        </w:tc>
        <w:tc>
          <w:tcPr>
            <w:tcW w:w="47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0" w:type="dxa"/>
            <w:vAlign w:val="bottom"/>
            <w:tcBorders>
              <w:bottom w:val="single" w:sz="8" w:color="auto"/>
            </w:tcBorders>
            <w:shd w:val="clear" w:color="auto" w:fill="CCEEFF"/>
          </w:tcPr>
          <w:p>
            <w:pPr>
              <w:spacing w:after="0"/>
              <w:rPr>
                <w:sz w:val="20"/>
                <w:szCs w:val="20"/>
                <w:color w:val="auto"/>
              </w:rPr>
            </w:pPr>
          </w:p>
        </w:tc>
        <w:tc>
          <w:tcPr>
            <w:tcW w:w="2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w:t>
            </w:r>
          </w:p>
        </w:tc>
        <w:tc>
          <w:tcPr>
            <w:tcW w:w="47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32,487,186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980" w:hanging="95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23" w:lineRule="exact"/>
        <w:rPr>
          <w:sz w:val="20"/>
          <w:szCs w:val="20"/>
          <w:color w:val="auto"/>
        </w:rPr>
      </w:pPr>
    </w:p>
    <w:p>
      <w:pPr>
        <w:ind w:left="980" w:hanging="95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information is not required for participant-directed investments and loans, and therefore is not included.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0580"/>
          </w:cols>
          <w:pgMar w:left="320" w:top="1098"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trustees (or other persons who administer the employee benefit plan) have duly caused this annual report to be signed on its behalf by the undersigned hereunto duly authorized.</w:t>
      </w:r>
    </w:p>
    <w:p>
      <w:pPr>
        <w:spacing w:after="0" w:line="34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NORTHROP GRUMMAN SAVINGS PLAN</w:t>
      </w:r>
    </w:p>
    <w:p>
      <w:pPr>
        <w:spacing w:after="0" w:line="302" w:lineRule="exact"/>
        <w:rPr>
          <w:sz w:val="20"/>
          <w:szCs w:val="20"/>
          <w:color w:val="auto"/>
        </w:rPr>
      </w:pPr>
    </w:p>
    <w:p>
      <w:pPr>
        <w:ind w:left="60"/>
        <w:spacing w:after="0"/>
        <w:tabs>
          <w:tab w:leader="none" w:pos="900" w:val="left"/>
          <w:tab w:leader="none" w:pos="6180" w:val="left"/>
          <w:tab w:leader="none" w:pos="8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17145</wp:posOffset>
            </wp:positionV>
            <wp:extent cx="21005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16" w:lineRule="exact"/>
        <w:rPr>
          <w:sz w:val="20"/>
          <w:szCs w:val="20"/>
          <w:color w:val="auto"/>
        </w:rPr>
      </w:pPr>
    </w:p>
    <w:p>
      <w:pPr>
        <w:ind w:left="8880"/>
        <w:spacing w:after="0"/>
        <w:rPr>
          <w:sz w:val="20"/>
          <w:szCs w:val="20"/>
          <w:color w:val="auto"/>
        </w:rPr>
      </w:pPr>
      <w:r>
        <w:rPr>
          <w:rFonts w:ascii="Arial" w:cs="Arial" w:eastAsia="Arial" w:hAnsi="Arial"/>
          <w:sz w:val="14"/>
          <w:szCs w:val="14"/>
          <w:color w:val="auto"/>
        </w:rPr>
        <w:t>Michael A. Hardesty</w:t>
      </w:r>
    </w:p>
    <w:p>
      <w:pPr>
        <w:spacing w:after="0" w:line="39" w:lineRule="exact"/>
        <w:rPr>
          <w:sz w:val="20"/>
          <w:szCs w:val="20"/>
          <w:color w:val="auto"/>
        </w:rPr>
      </w:pPr>
    </w:p>
    <w:p>
      <w:pPr>
        <w:ind w:left="8100"/>
        <w:spacing w:after="0"/>
        <w:rPr>
          <w:sz w:val="20"/>
          <w:szCs w:val="20"/>
          <w:color w:val="auto"/>
        </w:rPr>
      </w:pPr>
      <w:r>
        <w:rPr>
          <w:rFonts w:ascii="Arial" w:cs="Arial" w:eastAsia="Arial" w:hAnsi="Arial"/>
          <w:sz w:val="13"/>
          <w:szCs w:val="13"/>
          <w:color w:val="auto"/>
        </w:rPr>
        <w:t>Chair, Audit Subcommittee of the Benefit Plans</w:t>
      </w:r>
    </w:p>
    <w:p>
      <w:pPr>
        <w:ind w:left="8720"/>
        <w:spacing w:after="0"/>
        <w:rPr>
          <w:sz w:val="20"/>
          <w:szCs w:val="20"/>
          <w:color w:val="auto"/>
        </w:rPr>
      </w:pPr>
      <w:r>
        <w:rPr>
          <w:rFonts w:ascii="Arial" w:cs="Arial" w:eastAsia="Arial" w:hAnsi="Arial"/>
          <w:sz w:val="14"/>
          <w:szCs w:val="14"/>
          <w:color w:val="auto"/>
        </w:rPr>
        <w:t>Administrative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1093" w:right="6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INDEX</w:t>
      </w:r>
    </w:p>
    <w:p>
      <w:pPr>
        <w:spacing w:after="0" w:line="310"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0000FF"/>
        </w:rPr>
        <w:t>Consent of Independent Registered Public Accounting Firm</w:t>
      </w:r>
    </w:p>
    <w:p>
      <w:pPr>
        <w:spacing w:after="0" w:line="293" w:lineRule="exact"/>
        <w:rPr>
          <w:sz w:val="20"/>
          <w:szCs w:val="20"/>
          <w:color w:val="auto"/>
        </w:rPr>
      </w:pPr>
    </w:p>
    <w:p>
      <w:pPr>
        <w:ind w:left="820" w:hanging="794"/>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39"/>
          </w:cols>
          <w:pgMar w:left="320" w:top="1336"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Nos. 033-59853 and 333-121104 on Form S-8 of our report dated June 15, 2023, relating to the financial statements and supplemental schedule of Northrop Grumman Savings Plan, appearing in this Annual Report on Form 11-K of Northrop Grumman Savings Plan for the year ended December 31,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June 15, 2023</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2023-06-15T09:26:46Z</dcterms:created>
  <dcterms:modified xsi:type="dcterms:W3CDTF">2023-06-15T09:26:46Z</dcterms:modified>
</cp:coreProperties>
</file>