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81" w:lineRule="exact"/>
        <w:rPr>
          <w:sz w:val="24"/>
          <w:szCs w:val="24"/>
          <w:color w:val="auto"/>
        </w:rPr>
      </w:pPr>
    </w:p>
    <w:p>
      <w:pPr>
        <w:jc w:val="center"/>
        <w:ind w:right="-79"/>
        <w:spacing w:after="0"/>
        <w:rPr>
          <w:sz w:val="20"/>
          <w:szCs w:val="20"/>
          <w:color w:val="auto"/>
        </w:rPr>
      </w:pPr>
      <w:r>
        <w:rPr>
          <w:rFonts w:ascii="Arial" w:cs="Arial" w:eastAsia="Arial" w:hAnsi="Arial"/>
          <w:sz w:val="21"/>
          <w:szCs w:val="21"/>
          <w:b w:val="1"/>
          <w:bCs w:val="1"/>
          <w:color w:val="auto"/>
        </w:rPr>
        <w:t>UNITED STATES</w:t>
      </w:r>
    </w:p>
    <w:p>
      <w:pPr>
        <w:spacing w:after="0" w:line="23" w:lineRule="exact"/>
        <w:rPr>
          <w:sz w:val="24"/>
          <w:szCs w:val="24"/>
          <w:color w:val="auto"/>
        </w:rPr>
      </w:pPr>
    </w:p>
    <w:p>
      <w:pPr>
        <w:jc w:val="center"/>
        <w:ind w:right="-79"/>
        <w:spacing w:after="0"/>
        <w:rPr>
          <w:sz w:val="20"/>
          <w:szCs w:val="20"/>
          <w:color w:val="auto"/>
        </w:rPr>
      </w:pPr>
      <w:r>
        <w:rPr>
          <w:rFonts w:ascii="Arial" w:cs="Arial" w:eastAsia="Arial" w:hAnsi="Arial"/>
          <w:sz w:val="21"/>
          <w:szCs w:val="21"/>
          <w:b w:val="1"/>
          <w:bCs w:val="1"/>
          <w:color w:val="auto"/>
        </w:rPr>
        <w:t>SECURITIES AND EXCHANGE COMMISSION</w:t>
      </w:r>
    </w:p>
    <w:p>
      <w:pPr>
        <w:jc w:val="center"/>
        <w:ind w:right="-79"/>
        <w:spacing w:after="0"/>
        <w:rPr>
          <w:sz w:val="20"/>
          <w:szCs w:val="20"/>
          <w:color w:val="auto"/>
        </w:rPr>
      </w:pPr>
      <w:r>
        <w:rPr>
          <w:rFonts w:ascii="Arial" w:cs="Arial" w:eastAsia="Arial" w:hAnsi="Arial"/>
          <w:sz w:val="17"/>
          <w:szCs w:val="17"/>
          <w:b w:val="1"/>
          <w:bCs w:val="1"/>
          <w:color w:val="auto"/>
        </w:rPr>
        <w:t>Washington, D.C. 20549</w:t>
      </w:r>
    </w:p>
    <w:p>
      <w:pPr>
        <w:spacing w:after="0" w:line="68" w:lineRule="exact"/>
        <w:rPr>
          <w:sz w:val="24"/>
          <w:szCs w:val="24"/>
          <w:color w:val="auto"/>
        </w:rPr>
      </w:pPr>
    </w:p>
    <w:p>
      <w:pPr>
        <w:jc w:val="center"/>
        <w:ind w:right="-79"/>
        <w:spacing w:after="0"/>
        <w:rPr>
          <w:sz w:val="20"/>
          <w:szCs w:val="20"/>
          <w:color w:val="auto"/>
        </w:rPr>
      </w:pPr>
      <w:r>
        <w:rPr>
          <w:rFonts w:ascii="Arial" w:cs="Arial" w:eastAsia="Arial" w:hAnsi="Arial"/>
          <w:sz w:val="21"/>
          <w:szCs w:val="21"/>
          <w:b w:val="1"/>
          <w:bCs w:val="1"/>
          <w:color w:val="auto"/>
        </w:rPr>
        <w:t>SCHEDULE 14A</w:t>
      </w:r>
    </w:p>
    <w:p>
      <w:pPr>
        <w:spacing w:after="0" w:line="78"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Proxy Statement Pursuant to Section 14(a)</w:t>
      </w:r>
    </w:p>
    <w:p>
      <w:pPr>
        <w:spacing w:after="0" w:line="29"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1149350</wp:posOffset>
            </wp:positionH>
            <wp:positionV relativeFrom="paragraph">
              <wp:posOffset>55880</wp:posOffset>
            </wp:positionV>
            <wp:extent cx="106045" cy="1060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6045" cy="106045"/>
                    </a:xfrm>
                    <a:prstGeom prst="rect">
                      <a:avLst/>
                    </a:prstGeom>
                    <a:noFill/>
                  </pic:spPr>
                </pic:pic>
              </a:graphicData>
            </a:graphic>
          </wp:anchor>
        </w:drawing>
      </w:r>
    </w:p>
    <w:p>
      <w:pPr>
        <w:spacing w:after="0" w:line="80" w:lineRule="exact"/>
        <w:rPr>
          <w:sz w:val="24"/>
          <w:szCs w:val="24"/>
          <w:color w:val="auto"/>
        </w:rPr>
      </w:pPr>
    </w:p>
    <w:p>
      <w:pPr>
        <w:spacing w:after="0"/>
        <w:rPr>
          <w:sz w:val="20"/>
          <w:szCs w:val="20"/>
          <w:color w:val="auto"/>
        </w:rPr>
      </w:pPr>
      <w:r>
        <w:rPr>
          <w:rFonts w:ascii="Arial" w:cs="Arial" w:eastAsia="Arial" w:hAnsi="Arial"/>
          <w:sz w:val="17"/>
          <w:szCs w:val="17"/>
          <w:color w:val="auto"/>
        </w:rPr>
        <w:t>Filed by the Registrant</w:t>
      </w:r>
    </w:p>
    <w:p>
      <w:pPr>
        <w:spacing w:after="0" w:line="87" w:lineRule="exact"/>
        <w:rPr>
          <w:sz w:val="24"/>
          <w:szCs w:val="24"/>
          <w:color w:val="auto"/>
        </w:rPr>
      </w:pPr>
    </w:p>
    <w:p>
      <w:pPr>
        <w:spacing w:after="0"/>
        <w:rPr>
          <w:sz w:val="20"/>
          <w:szCs w:val="20"/>
          <w:color w:val="auto"/>
        </w:rPr>
      </w:pPr>
      <w:r>
        <w:rPr>
          <w:rFonts w:ascii="Arial" w:cs="Arial" w:eastAsia="Arial" w:hAnsi="Arial"/>
          <w:sz w:val="17"/>
          <w:szCs w:val="17"/>
          <w:color w:val="auto"/>
        </w:rPr>
        <w:t>Filed by a Party other than the Registrant</w:t>
      </w:r>
    </w:p>
    <w:p>
      <w:pPr>
        <w:spacing w:after="0" w:line="87" w:lineRule="exact"/>
        <w:rPr>
          <w:sz w:val="24"/>
          <w:szCs w:val="24"/>
          <w:color w:val="auto"/>
        </w:rPr>
      </w:pPr>
    </w:p>
    <w:p>
      <w:pPr>
        <w:spacing w:after="0"/>
        <w:rPr>
          <w:sz w:val="20"/>
          <w:szCs w:val="20"/>
          <w:color w:val="auto"/>
        </w:rPr>
      </w:pPr>
      <w:r>
        <w:rPr>
          <w:rFonts w:ascii="Arial" w:cs="Arial" w:eastAsia="Arial" w:hAnsi="Arial"/>
          <w:sz w:val="17"/>
          <w:szCs w:val="17"/>
          <w:color w:val="auto"/>
        </w:rPr>
        <w:t>Check the appropriate box:</w:t>
      </w:r>
    </w:p>
    <w:p>
      <w:pPr>
        <w:spacing w:after="0" w:line="163" w:lineRule="exact"/>
        <w:rPr>
          <w:sz w:val="24"/>
          <w:szCs w:val="24"/>
          <w:color w:val="auto"/>
        </w:rPr>
      </w:pPr>
    </w:p>
    <w:p>
      <w:pPr>
        <w:ind w:left="380"/>
        <w:spacing w:after="0"/>
        <w:rPr>
          <w:sz w:val="20"/>
          <w:szCs w:val="20"/>
          <w:color w:val="auto"/>
        </w:rPr>
      </w:pPr>
      <w:r>
        <w:rPr>
          <w:rFonts w:ascii="Arial" w:cs="Arial" w:eastAsia="Arial" w:hAnsi="Arial"/>
          <w:sz w:val="17"/>
          <w:szCs w:val="17"/>
          <w:color w:val="auto"/>
        </w:rPr>
        <w:t>Preliminary Proxy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-123190</wp:posOffset>
            </wp:positionV>
            <wp:extent cx="89535" cy="812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9535" cy="81280"/>
                    </a:xfrm>
                    <a:prstGeom prst="rect">
                      <a:avLst/>
                    </a:prstGeom>
                    <a:noFill/>
                  </pic:spPr>
                </pic:pic>
              </a:graphicData>
            </a:graphic>
          </wp:anchor>
        </w:drawing>
      </w:r>
    </w:p>
    <w:p>
      <w:pPr>
        <w:spacing w:after="0" w:line="8" w:lineRule="exact"/>
        <w:rPr>
          <w:sz w:val="24"/>
          <w:szCs w:val="24"/>
          <w:color w:val="auto"/>
        </w:rPr>
      </w:pPr>
    </w:p>
    <w:p>
      <w:pPr>
        <w:ind w:left="380"/>
        <w:spacing w:after="0"/>
        <w:rPr>
          <w:sz w:val="20"/>
          <w:szCs w:val="20"/>
          <w:color w:val="auto"/>
        </w:rPr>
      </w:pPr>
      <w:r>
        <w:rPr>
          <w:rFonts w:ascii="Arial" w:cs="Arial" w:eastAsia="Arial" w:hAnsi="Arial"/>
          <w:sz w:val="17"/>
          <w:szCs w:val="17"/>
          <w:b w:val="1"/>
          <w:bCs w:val="1"/>
          <w:color w:val="auto"/>
        </w:rPr>
        <w:t>Confidential, for Use of the Commission Only (as permitted by Rule 14a-6(e)(2))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-110490</wp:posOffset>
            </wp:positionV>
            <wp:extent cx="89535" cy="812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9535" cy="81280"/>
                    </a:xfrm>
                    <a:prstGeom prst="rect">
                      <a:avLst/>
                    </a:prstGeom>
                    <a:noFill/>
                  </pic:spPr>
                </pic:pic>
              </a:graphicData>
            </a:graphic>
          </wp:anchor>
        </w:drawing>
      </w:r>
    </w:p>
    <w:p>
      <w:pPr>
        <w:spacing w:after="0" w:line="48" w:lineRule="exact"/>
        <w:rPr>
          <w:sz w:val="24"/>
          <w:szCs w:val="24"/>
          <w:color w:val="auto"/>
        </w:rPr>
      </w:pPr>
    </w:p>
    <w:p>
      <w:pPr>
        <w:ind w:left="380"/>
        <w:spacing w:after="0"/>
        <w:rPr>
          <w:sz w:val="20"/>
          <w:szCs w:val="20"/>
          <w:color w:val="auto"/>
        </w:rPr>
      </w:pPr>
      <w:r>
        <w:rPr>
          <w:rFonts w:ascii="Arial" w:cs="Arial" w:eastAsia="Arial" w:hAnsi="Arial"/>
          <w:sz w:val="17"/>
          <w:szCs w:val="17"/>
          <w:color w:val="auto"/>
        </w:rPr>
        <w:t>Definitive Proxy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-123190</wp:posOffset>
            </wp:positionV>
            <wp:extent cx="89535" cy="812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9535" cy="81280"/>
                    </a:xfrm>
                    <a:prstGeom prst="rect">
                      <a:avLst/>
                    </a:prstGeom>
                    <a:noFill/>
                  </pic:spPr>
                </pic:pic>
              </a:graphicData>
            </a:graphic>
          </wp:anchor>
        </w:drawing>
      </w:r>
    </w:p>
    <w:p>
      <w:pPr>
        <w:spacing w:after="0" w:line="28" w:lineRule="exact"/>
        <w:rPr>
          <w:sz w:val="24"/>
          <w:szCs w:val="24"/>
          <w:color w:val="auto"/>
        </w:rPr>
      </w:pPr>
    </w:p>
    <w:p>
      <w:pPr>
        <w:ind w:left="380"/>
        <w:spacing w:after="0"/>
        <w:rPr>
          <w:sz w:val="20"/>
          <w:szCs w:val="20"/>
          <w:color w:val="auto"/>
        </w:rPr>
      </w:pPr>
      <w:r>
        <w:rPr>
          <w:rFonts w:ascii="Arial" w:cs="Arial" w:eastAsia="Arial" w:hAnsi="Arial"/>
          <w:sz w:val="17"/>
          <w:szCs w:val="17"/>
          <w:color w:val="auto"/>
        </w:rPr>
        <w:t>Definitive Additional Materials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-123190</wp:posOffset>
            </wp:positionV>
            <wp:extent cx="89535" cy="812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9535" cy="81280"/>
                    </a:xfrm>
                    <a:prstGeom prst="rect">
                      <a:avLst/>
                    </a:prstGeom>
                    <a:noFill/>
                  </pic:spPr>
                </pic:pic>
              </a:graphicData>
            </a:graphic>
          </wp:anchor>
        </w:drawing>
      </w:r>
    </w:p>
    <w:p>
      <w:pPr>
        <w:spacing w:after="0" w:line="28" w:lineRule="exact"/>
        <w:rPr>
          <w:sz w:val="24"/>
          <w:szCs w:val="24"/>
          <w:color w:val="auto"/>
        </w:rPr>
      </w:pPr>
    </w:p>
    <w:p>
      <w:pPr>
        <w:ind w:left="380"/>
        <w:spacing w:after="0"/>
        <w:rPr>
          <w:sz w:val="20"/>
          <w:szCs w:val="20"/>
          <w:color w:val="auto"/>
        </w:rPr>
      </w:pPr>
      <w:r>
        <w:rPr>
          <w:rFonts w:ascii="Arial" w:cs="Arial" w:eastAsia="Arial" w:hAnsi="Arial"/>
          <w:sz w:val="17"/>
          <w:szCs w:val="17"/>
          <w:color w:val="auto"/>
        </w:rPr>
        <w:t>Soliciting Material Pursuant to §240.14a-12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-123190</wp:posOffset>
            </wp:positionV>
            <wp:extent cx="89535" cy="812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9535" cy="81280"/>
                    </a:xfrm>
                    <a:prstGeom prst="rect">
                      <a:avLst/>
                    </a:prstGeom>
                    <a:noFill/>
                  </pic:spPr>
                </pic:pic>
              </a:graphicData>
            </a:graphic>
          </wp:anchor>
        </w:drawing>
      </w:r>
    </w:p>
    <w:p>
      <w:pPr>
        <w:jc w:val="center"/>
        <w:ind w:right="-79"/>
        <w:spacing w:after="0"/>
        <w:rPr>
          <w:sz w:val="20"/>
          <w:szCs w:val="20"/>
          <w:color w:val="auto"/>
        </w:rPr>
      </w:pPr>
      <w:r>
        <w:rPr>
          <w:rFonts w:ascii="Arial" w:cs="Arial" w:eastAsia="Arial" w:hAnsi="Arial"/>
          <w:sz w:val="21"/>
          <w:szCs w:val="21"/>
          <w:b w:val="1"/>
          <w:bCs w:val="1"/>
          <w:color w:val="auto"/>
        </w:rPr>
        <w:t>Northrop Grumman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701675</wp:posOffset>
            </wp:positionH>
            <wp:positionV relativeFrom="paragraph">
              <wp:posOffset>91440</wp:posOffset>
            </wp:positionV>
            <wp:extent cx="58616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861685" cy="8255"/>
                    </a:xfrm>
                    <a:prstGeom prst="rect">
                      <a:avLst/>
                    </a:prstGeom>
                    <a:noFill/>
                  </pic:spPr>
                </pic:pic>
              </a:graphicData>
            </a:graphic>
          </wp:anchor>
        </w:drawing>
      </w:r>
    </w:p>
    <w:p>
      <w:pPr>
        <w:spacing w:after="0" w:line="257" w:lineRule="exact"/>
        <w:rPr>
          <w:sz w:val="24"/>
          <w:szCs w:val="24"/>
          <w:color w:val="auto"/>
        </w:rPr>
      </w:pPr>
    </w:p>
    <w:p>
      <w:pPr>
        <w:jc w:val="center"/>
        <w:ind w:right="-79"/>
        <w:spacing w:after="0"/>
        <w:rPr>
          <w:sz w:val="20"/>
          <w:szCs w:val="20"/>
          <w:color w:val="auto"/>
        </w:rPr>
      </w:pPr>
      <w:r>
        <w:rPr>
          <w:rFonts w:ascii="Arial" w:cs="Arial" w:eastAsia="Arial" w:hAnsi="Arial"/>
          <w:sz w:val="14"/>
          <w:szCs w:val="14"/>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701675</wp:posOffset>
            </wp:positionH>
            <wp:positionV relativeFrom="paragraph">
              <wp:posOffset>147320</wp:posOffset>
            </wp:positionV>
            <wp:extent cx="58616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861685" cy="8255"/>
                    </a:xfrm>
                    <a:prstGeom prst="rect">
                      <a:avLst/>
                    </a:prstGeom>
                    <a:noFill/>
                  </pic:spPr>
                </pic:pic>
              </a:graphicData>
            </a:graphic>
          </wp:anchor>
        </w:drawing>
      </w:r>
    </w:p>
    <w:p>
      <w:pPr>
        <w:spacing w:after="0" w:line="217" w:lineRule="exact"/>
        <w:rPr>
          <w:sz w:val="24"/>
          <w:szCs w:val="24"/>
          <w:color w:val="auto"/>
        </w:rPr>
      </w:pPr>
    </w:p>
    <w:p>
      <w:pPr>
        <w:ind w:left="3540"/>
        <w:spacing w:after="0"/>
        <w:rPr>
          <w:sz w:val="20"/>
          <w:szCs w:val="20"/>
          <w:color w:val="auto"/>
        </w:rPr>
      </w:pPr>
      <w:r>
        <w:rPr>
          <w:rFonts w:ascii="Arial" w:cs="Arial" w:eastAsia="Arial" w:hAnsi="Arial"/>
          <w:sz w:val="14"/>
          <w:szCs w:val="14"/>
          <w:color w:val="auto"/>
        </w:rPr>
        <w:t>(Name of Person(s) Filing Proxy Statement, if other than the Registrant)</w:t>
      </w:r>
    </w:p>
    <w:p>
      <w:pPr>
        <w:spacing w:after="0"/>
        <w:rPr>
          <w:sz w:val="20"/>
          <w:szCs w:val="20"/>
          <w:color w:val="auto"/>
        </w:rPr>
      </w:pPr>
      <w:r>
        <w:rPr>
          <w:rFonts w:ascii="Arial" w:cs="Arial" w:eastAsia="Arial" w:hAnsi="Arial"/>
          <w:sz w:val="17"/>
          <w:szCs w:val="17"/>
          <w:color w:val="auto"/>
        </w:rPr>
        <w:t>Payment of Filing Fee (Check the appropriate box):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104140</wp:posOffset>
            </wp:positionV>
            <wp:extent cx="89535" cy="812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89535" cy="81280"/>
                    </a:xfrm>
                    <a:prstGeom prst="rect">
                      <a:avLst/>
                    </a:prstGeom>
                    <a:noFill/>
                  </pic:spPr>
                </pic:pic>
              </a:graphicData>
            </a:graphic>
          </wp:anchor>
        </w:drawing>
      </w:r>
    </w:p>
    <w:p>
      <w:pPr>
        <w:spacing w:after="0" w:line="156" w:lineRule="exact"/>
        <w:rPr>
          <w:sz w:val="24"/>
          <w:szCs w:val="24"/>
          <w:color w:val="auto"/>
        </w:rPr>
      </w:pPr>
    </w:p>
    <w:p>
      <w:pPr>
        <w:ind w:left="720"/>
        <w:spacing w:after="0"/>
        <w:rPr>
          <w:sz w:val="20"/>
          <w:szCs w:val="20"/>
          <w:color w:val="auto"/>
        </w:rPr>
      </w:pPr>
      <w:r>
        <w:rPr>
          <w:rFonts w:ascii="Arial" w:cs="Arial" w:eastAsia="Arial" w:hAnsi="Arial"/>
          <w:sz w:val="17"/>
          <w:szCs w:val="17"/>
          <w:color w:val="auto"/>
        </w:rPr>
        <w:t>No fee required.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31115</wp:posOffset>
            </wp:positionV>
            <wp:extent cx="89535" cy="812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9535" cy="81280"/>
                    </a:xfrm>
                    <a:prstGeom prst="rect">
                      <a:avLst/>
                    </a:prstGeom>
                    <a:noFill/>
                  </pic:spPr>
                </pic:pic>
              </a:graphicData>
            </a:graphic>
          </wp:anchor>
        </w:drawing>
      </w:r>
    </w:p>
    <w:p>
      <w:pPr>
        <w:spacing w:after="0" w:line="41" w:lineRule="exact"/>
        <w:rPr>
          <w:sz w:val="24"/>
          <w:szCs w:val="24"/>
          <w:color w:val="auto"/>
        </w:rPr>
      </w:pPr>
    </w:p>
    <w:p>
      <w:pPr>
        <w:ind w:left="720"/>
        <w:spacing w:after="0"/>
        <w:rPr>
          <w:sz w:val="20"/>
          <w:szCs w:val="20"/>
          <w:color w:val="auto"/>
        </w:rPr>
      </w:pPr>
      <w:r>
        <w:rPr>
          <w:rFonts w:ascii="Arial" w:cs="Arial" w:eastAsia="Arial" w:hAnsi="Arial"/>
          <w:sz w:val="17"/>
          <w:szCs w:val="17"/>
          <w:color w:val="auto"/>
        </w:rPr>
        <w:t>Fee computed on table below per Exchange Act Rules 14a-6(i)(1) and 0-11.</w:t>
      </w:r>
    </w:p>
    <w:p>
      <w:pPr>
        <w:spacing w:after="0" w:line="176" w:lineRule="exact"/>
        <w:rPr>
          <w:sz w:val="24"/>
          <w:szCs w:val="24"/>
          <w:color w:val="auto"/>
        </w:rPr>
      </w:pPr>
    </w:p>
    <w:p>
      <w:pPr>
        <w:ind w:left="1120" w:hanging="400"/>
        <w:spacing w:after="0"/>
        <w:tabs>
          <w:tab w:leader="none" w:pos="1120" w:val="left"/>
        </w:tabs>
        <w:numPr>
          <w:ilvl w:val="0"/>
          <w:numId w:val="1"/>
        </w:numPr>
        <w:rPr>
          <w:rFonts w:ascii="Arial" w:cs="Arial" w:eastAsia="Arial" w:hAnsi="Arial"/>
          <w:sz w:val="17"/>
          <w:szCs w:val="17"/>
          <w:color w:val="auto"/>
        </w:rPr>
      </w:pPr>
      <w:r>
        <w:rPr>
          <w:rFonts w:ascii="Arial" w:cs="Arial" w:eastAsia="Arial" w:hAnsi="Arial"/>
          <w:sz w:val="17"/>
          <w:szCs w:val="17"/>
          <w:color w:val="auto"/>
        </w:rPr>
        <w:t>Title of each class of securities to which the transaction applies:</w:t>
      </w:r>
    </w:p>
    <w:p>
      <w:pPr>
        <w:spacing w:after="0" w:line="200" w:lineRule="exact"/>
        <w:rPr>
          <w:rFonts w:ascii="Arial" w:cs="Arial" w:eastAsia="Arial" w:hAnsi="Arial"/>
          <w:sz w:val="17"/>
          <w:szCs w:val="17"/>
          <w:color w:val="auto"/>
        </w:rPr>
      </w:pPr>
    </w:p>
    <w:p>
      <w:pPr>
        <w:spacing w:after="0" w:line="245" w:lineRule="exact"/>
        <w:rPr>
          <w:rFonts w:ascii="Arial" w:cs="Arial" w:eastAsia="Arial" w:hAnsi="Arial"/>
          <w:sz w:val="17"/>
          <w:szCs w:val="17"/>
          <w:color w:val="auto"/>
        </w:rPr>
      </w:pPr>
    </w:p>
    <w:p>
      <w:pPr>
        <w:ind w:left="1100" w:hanging="380"/>
        <w:spacing w:after="0"/>
        <w:tabs>
          <w:tab w:leader="none" w:pos="1100" w:val="left"/>
        </w:tabs>
        <w:numPr>
          <w:ilvl w:val="0"/>
          <w:numId w:val="1"/>
        </w:numPr>
        <w:rPr>
          <w:rFonts w:ascii="Arial" w:cs="Arial" w:eastAsia="Arial" w:hAnsi="Arial"/>
          <w:sz w:val="17"/>
          <w:szCs w:val="17"/>
          <w:color w:val="auto"/>
        </w:rPr>
      </w:pPr>
      <w:r>
        <w:rPr>
          <w:rFonts w:ascii="Arial" w:cs="Arial" w:eastAsia="Arial" w:hAnsi="Arial"/>
          <w:sz w:val="17"/>
          <w:szCs w:val="17"/>
          <w:color w:val="auto"/>
        </w:rPr>
        <w:t>Aggregate number of securities to which the transaction applies:</w:t>
      </w:r>
    </w:p>
    <w:p>
      <w:pPr>
        <w:spacing w:after="0" w:line="291" w:lineRule="exact"/>
        <w:rPr>
          <w:rFonts w:ascii="Arial" w:cs="Arial" w:eastAsia="Arial" w:hAnsi="Arial"/>
          <w:sz w:val="17"/>
          <w:szCs w:val="17"/>
          <w:color w:val="auto"/>
        </w:rPr>
      </w:pPr>
    </w:p>
    <w:p>
      <w:pPr>
        <w:ind w:left="720"/>
        <w:spacing w:after="0" w:line="247" w:lineRule="auto"/>
        <w:tabs>
          <w:tab w:leader="none" w:pos="1119" w:val="left"/>
        </w:tabs>
        <w:numPr>
          <w:ilvl w:val="0"/>
          <w:numId w:val="1"/>
        </w:numPr>
        <w:rPr>
          <w:rFonts w:ascii="Arial" w:cs="Arial" w:eastAsia="Arial" w:hAnsi="Arial"/>
          <w:sz w:val="17"/>
          <w:szCs w:val="17"/>
          <w:color w:val="auto"/>
        </w:rPr>
      </w:pPr>
      <w:r>
        <w:rPr>
          <w:rFonts w:ascii="Arial" w:cs="Arial" w:eastAsia="Arial" w:hAnsi="Arial"/>
          <w:sz w:val="17"/>
          <w:szCs w:val="17"/>
          <w:color w:val="auto"/>
        </w:rPr>
        <w:t>Per unit price or other underlying value of the transaction computed pursuant to Exchange Act Rule 0-11 (set forth the amount on which the filing fee is calculated and state how it was determined):</w:t>
      </w:r>
    </w:p>
    <w:p>
      <w:pPr>
        <w:spacing w:after="0" w:line="200" w:lineRule="exact"/>
        <w:rPr>
          <w:rFonts w:ascii="Arial" w:cs="Arial" w:eastAsia="Arial" w:hAnsi="Arial"/>
          <w:sz w:val="17"/>
          <w:szCs w:val="17"/>
          <w:color w:val="auto"/>
        </w:rPr>
      </w:pPr>
    </w:p>
    <w:p>
      <w:pPr>
        <w:spacing w:after="0" w:line="230" w:lineRule="exact"/>
        <w:rPr>
          <w:rFonts w:ascii="Arial" w:cs="Arial" w:eastAsia="Arial" w:hAnsi="Arial"/>
          <w:sz w:val="17"/>
          <w:szCs w:val="17"/>
          <w:color w:val="auto"/>
        </w:rPr>
      </w:pPr>
    </w:p>
    <w:p>
      <w:pPr>
        <w:ind w:left="1120" w:hanging="400"/>
        <w:spacing w:after="0"/>
        <w:tabs>
          <w:tab w:leader="none" w:pos="1120" w:val="left"/>
        </w:tabs>
        <w:numPr>
          <w:ilvl w:val="0"/>
          <w:numId w:val="1"/>
        </w:numPr>
        <w:rPr>
          <w:rFonts w:ascii="Arial" w:cs="Arial" w:eastAsia="Arial" w:hAnsi="Arial"/>
          <w:sz w:val="17"/>
          <w:szCs w:val="17"/>
          <w:color w:val="auto"/>
        </w:rPr>
      </w:pPr>
      <w:r>
        <w:rPr>
          <w:rFonts w:ascii="Arial" w:cs="Arial" w:eastAsia="Arial" w:hAnsi="Arial"/>
          <w:sz w:val="17"/>
          <w:szCs w:val="17"/>
          <w:color w:val="auto"/>
        </w:rPr>
        <w:t>Proposed maximum aggregate value of the transaction:</w:t>
      </w:r>
    </w:p>
    <w:p>
      <w:pPr>
        <w:spacing w:after="0" w:line="200" w:lineRule="exact"/>
        <w:rPr>
          <w:rFonts w:ascii="Arial" w:cs="Arial" w:eastAsia="Arial" w:hAnsi="Arial"/>
          <w:sz w:val="17"/>
          <w:szCs w:val="17"/>
          <w:color w:val="auto"/>
        </w:rPr>
      </w:pPr>
    </w:p>
    <w:p>
      <w:pPr>
        <w:spacing w:after="0" w:line="245" w:lineRule="exact"/>
        <w:rPr>
          <w:rFonts w:ascii="Arial" w:cs="Arial" w:eastAsia="Arial" w:hAnsi="Arial"/>
          <w:sz w:val="17"/>
          <w:szCs w:val="17"/>
          <w:color w:val="auto"/>
        </w:rPr>
      </w:pPr>
    </w:p>
    <w:p>
      <w:pPr>
        <w:ind w:left="1120" w:hanging="400"/>
        <w:spacing w:after="0"/>
        <w:tabs>
          <w:tab w:leader="none" w:pos="1120" w:val="left"/>
        </w:tabs>
        <w:numPr>
          <w:ilvl w:val="0"/>
          <w:numId w:val="1"/>
        </w:numPr>
        <w:rPr>
          <w:rFonts w:ascii="Arial" w:cs="Arial" w:eastAsia="Arial" w:hAnsi="Arial"/>
          <w:sz w:val="17"/>
          <w:szCs w:val="17"/>
          <w:color w:val="auto"/>
        </w:rPr>
      </w:pPr>
      <w:r>
        <w:rPr>
          <w:rFonts w:ascii="Arial" w:cs="Arial" w:eastAsia="Arial" w:hAnsi="Arial"/>
          <w:sz w:val="17"/>
          <w:szCs w:val="17"/>
          <w:color w:val="auto"/>
        </w:rPr>
        <w:t>Total fee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221615</wp:posOffset>
            </wp:positionH>
            <wp:positionV relativeFrom="paragraph">
              <wp:posOffset>177800</wp:posOffset>
            </wp:positionV>
            <wp:extent cx="703389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33895" cy="8255"/>
                    </a:xfrm>
                    <a:prstGeom prst="rect">
                      <a:avLst/>
                    </a:prstGeom>
                    <a:noFill/>
                  </pic:spPr>
                </pic:pic>
              </a:graphicData>
            </a:graphic>
          </wp:anchor>
        </w:drawing>
        <w:drawing>
          <wp:anchor simplePos="0" relativeHeight="251657728" behindDoc="1" locked="0" layoutInCell="0" allowOverlap="1">
            <wp:simplePos x="0" y="0"/>
            <wp:positionH relativeFrom="column">
              <wp:posOffset>221615</wp:posOffset>
            </wp:positionH>
            <wp:positionV relativeFrom="paragraph">
              <wp:posOffset>-228600</wp:posOffset>
            </wp:positionV>
            <wp:extent cx="703389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33895" cy="8255"/>
                    </a:xfrm>
                    <a:prstGeom prst="rect">
                      <a:avLst/>
                    </a:prstGeom>
                    <a:noFill/>
                  </pic:spPr>
                </pic:pic>
              </a:graphicData>
            </a:graphic>
          </wp:anchor>
        </w:drawing>
        <w:drawing>
          <wp:anchor simplePos="0" relativeHeight="251657728" behindDoc="1" locked="0" layoutInCell="0" allowOverlap="1">
            <wp:simplePos x="0" y="0"/>
            <wp:positionH relativeFrom="column">
              <wp:posOffset>221615</wp:posOffset>
            </wp:positionH>
            <wp:positionV relativeFrom="paragraph">
              <wp:posOffset>-635635</wp:posOffset>
            </wp:positionV>
            <wp:extent cx="703389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33895" cy="8255"/>
                    </a:xfrm>
                    <a:prstGeom prst="rect">
                      <a:avLst/>
                    </a:prstGeom>
                    <a:noFill/>
                  </pic:spPr>
                </pic:pic>
              </a:graphicData>
            </a:graphic>
          </wp:anchor>
        </w:drawing>
        <w:drawing>
          <wp:anchor simplePos="0" relativeHeight="251657728" behindDoc="1" locked="0" layoutInCell="0" allowOverlap="1">
            <wp:simplePos x="0" y="0"/>
            <wp:positionH relativeFrom="column">
              <wp:posOffset>221615</wp:posOffset>
            </wp:positionH>
            <wp:positionV relativeFrom="paragraph">
              <wp:posOffset>-1156970</wp:posOffset>
            </wp:positionV>
            <wp:extent cx="703389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33895" cy="8255"/>
                    </a:xfrm>
                    <a:prstGeom prst="rect">
                      <a:avLst/>
                    </a:prstGeom>
                    <a:noFill/>
                  </pic:spPr>
                </pic:pic>
              </a:graphicData>
            </a:graphic>
          </wp:anchor>
        </w:drawing>
        <w:drawing>
          <wp:anchor simplePos="0" relativeHeight="251657728" behindDoc="1" locked="0" layoutInCell="0" allowOverlap="1">
            <wp:simplePos x="0" y="0"/>
            <wp:positionH relativeFrom="column">
              <wp:posOffset>221615</wp:posOffset>
            </wp:positionH>
            <wp:positionV relativeFrom="paragraph">
              <wp:posOffset>-1474470</wp:posOffset>
            </wp:positionV>
            <wp:extent cx="703389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033895" cy="8255"/>
                    </a:xfrm>
                    <a:prstGeom prst="rect">
                      <a:avLst/>
                    </a:prstGeom>
                    <a:noFill/>
                  </pic:spPr>
                </pic:pic>
              </a:graphicData>
            </a:graphic>
          </wp:anchor>
        </w:drawing>
        <w:drawing>
          <wp:anchor simplePos="0" relativeHeight="251657728" behindDoc="1" locked="0" layoutInCell="0" allowOverlap="1">
            <wp:simplePos x="0" y="0"/>
            <wp:positionH relativeFrom="column">
              <wp:posOffset>17780</wp:posOffset>
            </wp:positionH>
            <wp:positionV relativeFrom="paragraph">
              <wp:posOffset>275590</wp:posOffset>
            </wp:positionV>
            <wp:extent cx="89535" cy="812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9535" cy="81280"/>
                    </a:xfrm>
                    <a:prstGeom prst="rect">
                      <a:avLst/>
                    </a:prstGeom>
                    <a:noFill/>
                  </pic:spPr>
                </pic:pic>
              </a:graphicData>
            </a:graphic>
          </wp:anchor>
        </w:drawing>
      </w:r>
    </w:p>
    <w:p>
      <w:pPr>
        <w:spacing w:after="0" w:line="200" w:lineRule="exact"/>
        <w:rPr>
          <w:sz w:val="24"/>
          <w:szCs w:val="24"/>
          <w:color w:val="auto"/>
        </w:rPr>
      </w:pPr>
    </w:p>
    <w:p>
      <w:pPr>
        <w:spacing w:after="0" w:line="226" w:lineRule="exact"/>
        <w:rPr>
          <w:sz w:val="24"/>
          <w:szCs w:val="24"/>
          <w:color w:val="auto"/>
        </w:rPr>
      </w:pPr>
    </w:p>
    <w:p>
      <w:pPr>
        <w:ind w:left="720"/>
        <w:spacing w:after="0"/>
        <w:rPr>
          <w:sz w:val="20"/>
          <w:szCs w:val="20"/>
          <w:color w:val="auto"/>
        </w:rPr>
      </w:pPr>
      <w:r>
        <w:rPr>
          <w:rFonts w:ascii="Arial" w:cs="Arial" w:eastAsia="Arial" w:hAnsi="Arial"/>
          <w:sz w:val="17"/>
          <w:szCs w:val="17"/>
          <w:color w:val="auto"/>
        </w:rPr>
        <w:t>Fee paid previously with preliminary materials.</w:t>
      </w:r>
    </w:p>
    <w:p>
      <w:pPr>
        <w:spacing w:after="0" w:line="48" w:lineRule="exact"/>
        <w:rPr>
          <w:sz w:val="24"/>
          <w:szCs w:val="24"/>
          <w:color w:val="auto"/>
        </w:rPr>
      </w:pPr>
    </w:p>
    <w:p>
      <w:pPr>
        <w:ind w:left="720" w:right="160"/>
        <w:spacing w:after="0" w:line="247" w:lineRule="auto"/>
        <w:rPr>
          <w:sz w:val="20"/>
          <w:szCs w:val="20"/>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-254635</wp:posOffset>
            </wp:positionV>
            <wp:extent cx="89535" cy="812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9535" cy="81280"/>
                    </a:xfrm>
                    <a:prstGeom prst="rect">
                      <a:avLst/>
                    </a:prstGeom>
                    <a:noFill/>
                  </pic:spPr>
                </pic:pic>
              </a:graphicData>
            </a:graphic>
          </wp:anchor>
        </w:drawing>
      </w:r>
    </w:p>
    <w:p>
      <w:pPr>
        <w:spacing w:after="0" w:line="142" w:lineRule="exact"/>
        <w:rPr>
          <w:sz w:val="24"/>
          <w:szCs w:val="24"/>
          <w:color w:val="auto"/>
        </w:rPr>
      </w:pPr>
    </w:p>
    <w:p>
      <w:pPr>
        <w:ind w:left="1100" w:hanging="380"/>
        <w:spacing w:after="0"/>
        <w:tabs>
          <w:tab w:leader="none" w:pos="1100" w:val="left"/>
        </w:tabs>
        <w:numPr>
          <w:ilvl w:val="0"/>
          <w:numId w:val="2"/>
        </w:numPr>
        <w:rPr>
          <w:rFonts w:ascii="Arial" w:cs="Arial" w:eastAsia="Arial" w:hAnsi="Arial"/>
          <w:sz w:val="17"/>
          <w:szCs w:val="17"/>
          <w:color w:val="auto"/>
        </w:rPr>
      </w:pPr>
      <w:r>
        <w:rPr>
          <w:rFonts w:ascii="Arial" w:cs="Arial" w:eastAsia="Arial" w:hAnsi="Arial"/>
          <w:sz w:val="17"/>
          <w:szCs w:val="17"/>
          <w:color w:val="auto"/>
        </w:rPr>
        <w:t>Amount Previously Paid:</w:t>
      </w:r>
    </w:p>
    <w:p>
      <w:pPr>
        <w:spacing w:after="0" w:line="200" w:lineRule="exact"/>
        <w:rPr>
          <w:rFonts w:ascii="Arial" w:cs="Arial" w:eastAsia="Arial" w:hAnsi="Arial"/>
          <w:sz w:val="17"/>
          <w:szCs w:val="17"/>
          <w:color w:val="auto"/>
        </w:rPr>
      </w:pPr>
    </w:p>
    <w:p>
      <w:pPr>
        <w:spacing w:after="0" w:line="245" w:lineRule="exact"/>
        <w:rPr>
          <w:rFonts w:ascii="Arial" w:cs="Arial" w:eastAsia="Arial" w:hAnsi="Arial"/>
          <w:sz w:val="17"/>
          <w:szCs w:val="17"/>
          <w:color w:val="auto"/>
        </w:rPr>
      </w:pPr>
    </w:p>
    <w:p>
      <w:pPr>
        <w:ind w:left="1120" w:hanging="400"/>
        <w:spacing w:after="0"/>
        <w:tabs>
          <w:tab w:leader="none" w:pos="1120" w:val="left"/>
        </w:tabs>
        <w:numPr>
          <w:ilvl w:val="0"/>
          <w:numId w:val="2"/>
        </w:numPr>
        <w:rPr>
          <w:rFonts w:ascii="Arial" w:cs="Arial" w:eastAsia="Arial" w:hAnsi="Arial"/>
          <w:sz w:val="17"/>
          <w:szCs w:val="17"/>
          <w:color w:val="auto"/>
        </w:rPr>
      </w:pPr>
      <w:r>
        <w:rPr>
          <w:rFonts w:ascii="Arial" w:cs="Arial" w:eastAsia="Arial" w:hAnsi="Arial"/>
          <w:sz w:val="17"/>
          <w:szCs w:val="17"/>
          <w:color w:val="auto"/>
        </w:rPr>
        <w:t>Form, Schedule or Registration Statement No.:</w:t>
      </w:r>
    </w:p>
    <w:p>
      <w:pPr>
        <w:spacing w:after="0" w:line="200" w:lineRule="exact"/>
        <w:rPr>
          <w:rFonts w:ascii="Arial" w:cs="Arial" w:eastAsia="Arial" w:hAnsi="Arial"/>
          <w:sz w:val="17"/>
          <w:szCs w:val="17"/>
          <w:color w:val="auto"/>
        </w:rPr>
      </w:pPr>
    </w:p>
    <w:p>
      <w:pPr>
        <w:spacing w:after="0" w:line="245" w:lineRule="exact"/>
        <w:rPr>
          <w:rFonts w:ascii="Arial" w:cs="Arial" w:eastAsia="Arial" w:hAnsi="Arial"/>
          <w:sz w:val="17"/>
          <w:szCs w:val="17"/>
          <w:color w:val="auto"/>
        </w:rPr>
      </w:pPr>
    </w:p>
    <w:p>
      <w:pPr>
        <w:ind w:left="1120" w:hanging="400"/>
        <w:spacing w:after="0"/>
        <w:tabs>
          <w:tab w:leader="none" w:pos="1120" w:val="left"/>
        </w:tabs>
        <w:numPr>
          <w:ilvl w:val="0"/>
          <w:numId w:val="2"/>
        </w:numPr>
        <w:rPr>
          <w:rFonts w:ascii="Arial" w:cs="Arial" w:eastAsia="Arial" w:hAnsi="Arial"/>
          <w:sz w:val="17"/>
          <w:szCs w:val="17"/>
          <w:color w:val="auto"/>
        </w:rPr>
      </w:pPr>
      <w:r>
        <w:rPr>
          <w:rFonts w:ascii="Arial" w:cs="Arial" w:eastAsia="Arial" w:hAnsi="Arial"/>
          <w:sz w:val="17"/>
          <w:szCs w:val="17"/>
          <w:color w:val="auto"/>
        </w:rPr>
        <w:t>Filing Party:</w:t>
      </w:r>
    </w:p>
    <w:p>
      <w:pPr>
        <w:spacing w:after="0" w:line="200" w:lineRule="exact"/>
        <w:rPr>
          <w:rFonts w:ascii="Arial" w:cs="Arial" w:eastAsia="Arial" w:hAnsi="Arial"/>
          <w:sz w:val="17"/>
          <w:szCs w:val="17"/>
          <w:color w:val="auto"/>
        </w:rPr>
      </w:pPr>
    </w:p>
    <w:p>
      <w:pPr>
        <w:spacing w:after="0" w:line="245" w:lineRule="exact"/>
        <w:rPr>
          <w:rFonts w:ascii="Arial" w:cs="Arial" w:eastAsia="Arial" w:hAnsi="Arial"/>
          <w:sz w:val="17"/>
          <w:szCs w:val="17"/>
          <w:color w:val="auto"/>
        </w:rPr>
      </w:pPr>
    </w:p>
    <w:p>
      <w:pPr>
        <w:ind w:left="1120" w:hanging="400"/>
        <w:spacing w:after="0"/>
        <w:tabs>
          <w:tab w:leader="none" w:pos="1120" w:val="left"/>
        </w:tabs>
        <w:numPr>
          <w:ilvl w:val="0"/>
          <w:numId w:val="2"/>
        </w:numPr>
        <w:rPr>
          <w:rFonts w:ascii="Arial" w:cs="Arial" w:eastAsia="Arial" w:hAnsi="Arial"/>
          <w:sz w:val="17"/>
          <w:szCs w:val="17"/>
          <w:color w:val="auto"/>
        </w:rPr>
      </w:pPr>
      <w:r>
        <w:rPr>
          <w:rFonts w:ascii="Arial" w:cs="Arial" w:eastAsia="Arial" w:hAnsi="Arial"/>
          <w:sz w:val="17"/>
          <w:szCs w:val="17"/>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259080</wp:posOffset>
            </wp:positionV>
            <wp:extent cx="725360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360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275590</wp:posOffset>
            </wp:positionV>
            <wp:extent cx="725360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3605" cy="8255"/>
                    </a:xfrm>
                    <a:prstGeom prst="rect">
                      <a:avLst/>
                    </a:prstGeom>
                    <a:noFill/>
                  </pic:spPr>
                </pic:pic>
              </a:graphicData>
            </a:graphic>
          </wp:anchor>
        </w:drawing>
        <w:drawing>
          <wp:anchor simplePos="0" relativeHeight="251657728" behindDoc="1" locked="0" layoutInCell="0" allowOverlap="1">
            <wp:simplePos x="0" y="0"/>
            <wp:positionH relativeFrom="column">
              <wp:posOffset>221615</wp:posOffset>
            </wp:positionH>
            <wp:positionV relativeFrom="paragraph">
              <wp:posOffset>177800</wp:posOffset>
            </wp:positionV>
            <wp:extent cx="703389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033895" cy="8255"/>
                    </a:xfrm>
                    <a:prstGeom prst="rect">
                      <a:avLst/>
                    </a:prstGeom>
                    <a:noFill/>
                  </pic:spPr>
                </pic:pic>
              </a:graphicData>
            </a:graphic>
          </wp:anchor>
        </w:drawing>
        <w:drawing>
          <wp:anchor simplePos="0" relativeHeight="251657728" behindDoc="1" locked="0" layoutInCell="0" allowOverlap="1">
            <wp:simplePos x="0" y="0"/>
            <wp:positionH relativeFrom="column">
              <wp:posOffset>221615</wp:posOffset>
            </wp:positionH>
            <wp:positionV relativeFrom="paragraph">
              <wp:posOffset>-228600</wp:posOffset>
            </wp:positionV>
            <wp:extent cx="703389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033895" cy="8255"/>
                    </a:xfrm>
                    <a:prstGeom prst="rect">
                      <a:avLst/>
                    </a:prstGeom>
                    <a:noFill/>
                  </pic:spPr>
                </pic:pic>
              </a:graphicData>
            </a:graphic>
          </wp:anchor>
        </w:drawing>
        <w:drawing>
          <wp:anchor simplePos="0" relativeHeight="251657728" behindDoc="1" locked="0" layoutInCell="0" allowOverlap="1">
            <wp:simplePos x="0" y="0"/>
            <wp:positionH relativeFrom="column">
              <wp:posOffset>221615</wp:posOffset>
            </wp:positionH>
            <wp:positionV relativeFrom="paragraph">
              <wp:posOffset>-635635</wp:posOffset>
            </wp:positionV>
            <wp:extent cx="703389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033895" cy="8255"/>
                    </a:xfrm>
                    <a:prstGeom prst="rect">
                      <a:avLst/>
                    </a:prstGeom>
                    <a:noFill/>
                  </pic:spPr>
                </pic:pic>
              </a:graphicData>
            </a:graphic>
          </wp:anchor>
        </w:drawing>
        <w:drawing>
          <wp:anchor simplePos="0" relativeHeight="251657728" behindDoc="1" locked="0" layoutInCell="0" allowOverlap="1">
            <wp:simplePos x="0" y="0"/>
            <wp:positionH relativeFrom="column">
              <wp:posOffset>221615</wp:posOffset>
            </wp:positionH>
            <wp:positionV relativeFrom="paragraph">
              <wp:posOffset>-1042670</wp:posOffset>
            </wp:positionV>
            <wp:extent cx="703389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033895" cy="8255"/>
                    </a:xfrm>
                    <a:prstGeom prst="rect">
                      <a:avLst/>
                    </a:prstGeom>
                    <a:noFill/>
                  </pic:spPr>
                </pic:pic>
              </a:graphicData>
            </a:graphic>
          </wp:anchor>
        </w:drawing>
      </w:r>
    </w:p>
    <w:p>
      <w:pPr>
        <w:sectPr>
          <w:pgSz w:w="11900" w:h="16838" w:orient="portrait"/>
          <w:cols w:equalWidth="0" w:num="1">
            <w:col w:w="11340"/>
          </w:cols>
          <w:pgMar w:left="240" w:top="1440" w:right="319"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854075</wp:posOffset>
            </wp:positionH>
            <wp:positionV relativeFrom="page">
              <wp:posOffset>626110</wp:posOffset>
            </wp:positionV>
            <wp:extent cx="5861685" cy="75793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5861685" cy="75793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154305</wp:posOffset>
            </wp:positionH>
            <wp:positionV relativeFrom="page">
              <wp:posOffset>772795</wp:posOffset>
            </wp:positionV>
            <wp:extent cx="2279650" cy="6515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2279650" cy="65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March 29, 2019</w:t>
      </w:r>
    </w:p>
    <w:p>
      <w:pPr>
        <w:spacing w:after="0" w:line="87" w:lineRule="exact"/>
        <w:rPr>
          <w:sz w:val="20"/>
          <w:szCs w:val="20"/>
          <w:color w:val="auto"/>
        </w:rPr>
      </w:pPr>
    </w:p>
    <w:p>
      <w:pPr>
        <w:jc w:val="both"/>
        <w:ind w:right="40"/>
        <w:spacing w:after="0" w:line="257" w:lineRule="auto"/>
        <w:rPr>
          <w:sz w:val="20"/>
          <w:szCs w:val="20"/>
          <w:color w:val="auto"/>
        </w:rPr>
      </w:pPr>
      <w:r>
        <w:rPr>
          <w:rFonts w:ascii="Arial" w:cs="Arial" w:eastAsia="Arial" w:hAnsi="Arial"/>
          <w:sz w:val="17"/>
          <w:szCs w:val="17"/>
          <w:color w:val="auto"/>
        </w:rPr>
        <w:t>On behalf of the Board of Directors and management team, we cordially invite you to attend Northrop Grumman Corporation's 2019 Annual Meeting of Shareholders. This year's meeting will be held on Wednesday, May 15, 2019 at our principal executive office located at 2980 Fairview Park Drive, Falls Church, Virginia 22042 beginning at 8:00 a.m., Eastern Daylight Time.</w:t>
      </w:r>
    </w:p>
    <w:p>
      <w:pPr>
        <w:spacing w:after="0" w:line="64" w:lineRule="exact"/>
        <w:rPr>
          <w:sz w:val="20"/>
          <w:szCs w:val="20"/>
          <w:color w:val="auto"/>
        </w:rPr>
      </w:pPr>
    </w:p>
    <w:p>
      <w:pPr>
        <w:ind w:right="180"/>
        <w:spacing w:after="0" w:line="263" w:lineRule="auto"/>
        <w:rPr>
          <w:sz w:val="20"/>
          <w:szCs w:val="20"/>
          <w:color w:val="auto"/>
        </w:rPr>
      </w:pPr>
      <w:r>
        <w:rPr>
          <w:rFonts w:ascii="Arial" w:cs="Arial" w:eastAsia="Arial" w:hAnsi="Arial"/>
          <w:sz w:val="17"/>
          <w:szCs w:val="17"/>
          <w:color w:val="auto"/>
        </w:rPr>
        <w:t xml:space="preserve">We look forward to meeting those of you who are able to attend the meeting. For those who are unable to attend, live coverage of the meeting will be available on the Northrop Grumman website at </w:t>
      </w:r>
      <w:r>
        <w:rPr>
          <w:rFonts w:ascii="Arial" w:cs="Arial" w:eastAsia="Arial" w:hAnsi="Arial"/>
          <w:sz w:val="17"/>
          <w:szCs w:val="17"/>
          <w:i w:val="1"/>
          <w:iCs w:val="1"/>
          <w:color w:val="auto"/>
        </w:rPr>
        <w:t>www.northropgrumman.com</w:t>
      </w:r>
      <w:r>
        <w:rPr>
          <w:rFonts w:ascii="Arial" w:cs="Arial" w:eastAsia="Arial" w:hAnsi="Arial"/>
          <w:sz w:val="17"/>
          <w:szCs w:val="17"/>
          <w:color w:val="auto"/>
        </w:rPr>
        <w:t>.</w:t>
      </w:r>
    </w:p>
    <w:p>
      <w:pPr>
        <w:spacing w:after="0" w:line="59" w:lineRule="exact"/>
        <w:rPr>
          <w:sz w:val="20"/>
          <w:szCs w:val="20"/>
          <w:color w:val="auto"/>
        </w:rPr>
      </w:pPr>
    </w:p>
    <w:p>
      <w:pPr>
        <w:spacing w:after="0"/>
        <w:rPr>
          <w:sz w:val="20"/>
          <w:szCs w:val="20"/>
          <w:color w:val="auto"/>
        </w:rPr>
      </w:pPr>
      <w:r>
        <w:rPr>
          <w:rFonts w:ascii="Arial" w:cs="Arial" w:eastAsia="Arial" w:hAnsi="Arial"/>
          <w:sz w:val="17"/>
          <w:szCs w:val="17"/>
          <w:color w:val="auto"/>
        </w:rPr>
        <w:t>At this meeting, shareholders will vote on matters set forth in the accompanying Notice of 2019 Annual Meeting of Shareholders and Proxy Statement.</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We will also provide a report on our Company and will entertain questions of general interest to the shareholders.</w:t>
      </w:r>
    </w:p>
    <w:p>
      <w:pPr>
        <w:spacing w:after="0" w:line="87" w:lineRule="exact"/>
        <w:rPr>
          <w:sz w:val="20"/>
          <w:szCs w:val="20"/>
          <w:color w:val="auto"/>
        </w:rPr>
      </w:pPr>
    </w:p>
    <w:p>
      <w:pPr>
        <w:ind w:right="60"/>
        <w:spacing w:after="0" w:line="254" w:lineRule="auto"/>
        <w:rPr>
          <w:sz w:val="20"/>
          <w:szCs w:val="20"/>
          <w:color w:val="auto"/>
        </w:rPr>
      </w:pPr>
      <w:r>
        <w:rPr>
          <w:rFonts w:ascii="Arial" w:cs="Arial" w:eastAsia="Arial" w:hAnsi="Arial"/>
          <w:sz w:val="17"/>
          <w:szCs w:val="17"/>
          <w:color w:val="auto"/>
        </w:rPr>
        <w:t>2018 was another year of strong performance for our Company. Our acquisition of Orbital ATK in June added a new, fourth business sector to our Company, Innovation Systems, which was immediately accretive to earnings and enhanced our position in the critical space and missile defense domains. Sales rose 16%, operating income increased 17%, and our businesses generated a 19% increase in segment operating profit*. We also generated higher net earnings and earnings per share. These results reflect the addition of Innovation Systems and strong performance from our three legacy Northrop Grumman sectors.</w:t>
      </w:r>
    </w:p>
    <w:p>
      <w:pPr>
        <w:spacing w:after="0" w:line="68" w:lineRule="exact"/>
        <w:rPr>
          <w:sz w:val="20"/>
          <w:szCs w:val="20"/>
          <w:color w:val="auto"/>
        </w:rPr>
      </w:pPr>
    </w:p>
    <w:p>
      <w:pPr>
        <w:spacing w:after="0" w:line="254" w:lineRule="auto"/>
        <w:rPr>
          <w:sz w:val="20"/>
          <w:szCs w:val="20"/>
          <w:color w:val="auto"/>
        </w:rPr>
      </w:pPr>
      <w:r>
        <w:rPr>
          <w:rFonts w:ascii="Arial" w:cs="Arial" w:eastAsia="Arial" w:hAnsi="Arial"/>
          <w:sz w:val="17"/>
          <w:szCs w:val="17"/>
          <w:color w:val="auto"/>
        </w:rPr>
        <w:t>Our capital deployment strategy continues to create shareholder value. In addition to acquiring Orbital ATK, we maintained robust capital expenditures to drive innovation and affordability for our customers. We reduced debt by $2.3 billion, made voluntary contributions to our pension funds, and distributed $2.1 billion to our shareholders through share repurchases and dividends. We increased our dividend twice, totaling approximately 20%. We repurchased $1.3 billion in shares, and early in January, we completed the $1 billion accelerated share repurchase we commenced in 2018, retiring 3.84 million shares at an average price of approximately $260 per share.</w:t>
      </w:r>
    </w:p>
    <w:p>
      <w:pPr>
        <w:spacing w:after="0" w:line="68" w:lineRule="exact"/>
        <w:rPr>
          <w:sz w:val="20"/>
          <w:szCs w:val="20"/>
          <w:color w:val="auto"/>
        </w:rPr>
      </w:pPr>
    </w:p>
    <w:p>
      <w:pPr>
        <w:spacing w:after="0" w:line="254" w:lineRule="auto"/>
        <w:rPr>
          <w:sz w:val="20"/>
          <w:szCs w:val="20"/>
          <w:color w:val="auto"/>
        </w:rPr>
      </w:pPr>
      <w:r>
        <w:rPr>
          <w:rFonts w:ascii="Arial" w:cs="Arial" w:eastAsia="Arial" w:hAnsi="Arial"/>
          <w:sz w:val="17"/>
          <w:szCs w:val="17"/>
          <w:color w:val="auto"/>
        </w:rPr>
        <w:t>In 2018, we also announced an important leadership transition. Kathy Warden, who joined Northrop Grumman in 2008, and has assumed positions of increasing responsibility in critical national security domains since then, was elected to the Board of Directors in July and assumed the CEO role this January. Ms. Warden's deep knowledge and experience, along with her demonstrated leadership across multiple Northrop Grumman businesses, make her particularly well qualified to support the achievement of our Company's many value creation opportunities. Mr. Bush continues as Chair of the Board until July 31, 2019.</w:t>
      </w:r>
    </w:p>
    <w:p>
      <w:pPr>
        <w:spacing w:after="0" w:line="68"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We also continue to strengthen our corporate citizenship and sustainability efforts with leading environmental, social and governance practices. Female representation on our Board has increased to more than 30%. We received a Catalyst Award for the significant progress the Company made to increase the number of women and women of color in leadership positions over a sustained period from 2010-2016. Over this period, women on our senior executive team increased from 8% in 2010 to 46% in 2016, and at the vice president level from 15% to 29% over the same time period. DiversityInc named us one of their Top 50 Companies for Diversity for the ninth consecutive year. For the seventh consecutive year, Northrop Grumman earned a leadership score in CDP's 2018 climate change program. We were again included in the Dow Jones Sustainability Index for North America and we also achieved the highest ESG scores from the proxy advisor, ISS.</w:t>
      </w:r>
    </w:p>
    <w:p>
      <w:pPr>
        <w:spacing w:after="0" w:line="70" w:lineRule="exact"/>
        <w:rPr>
          <w:sz w:val="20"/>
          <w:szCs w:val="20"/>
          <w:color w:val="auto"/>
        </w:rPr>
      </w:pPr>
    </w:p>
    <w:p>
      <w:pPr>
        <w:ind w:right="240"/>
        <w:spacing w:after="0" w:line="263" w:lineRule="auto"/>
        <w:rPr>
          <w:sz w:val="20"/>
          <w:szCs w:val="20"/>
          <w:color w:val="auto"/>
        </w:rPr>
      </w:pPr>
      <w:r>
        <w:rPr>
          <w:rFonts w:ascii="Arial" w:cs="Arial" w:eastAsia="Arial" w:hAnsi="Arial"/>
          <w:sz w:val="17"/>
          <w:szCs w:val="17"/>
          <w:color w:val="auto"/>
        </w:rPr>
        <w:t>In 2018, as in prior years, we actively engaged with our shareholders on a variety of matters, including our strategy for long-term value creation, and ensuring our governance, compensation and sustainability practices are well designed to support long-term profitability growth and value creation.</w:t>
      </w:r>
    </w:p>
    <w:p>
      <w:pPr>
        <w:spacing w:after="0" w:line="59" w:lineRule="exact"/>
        <w:rPr>
          <w:sz w:val="20"/>
          <w:szCs w:val="20"/>
          <w:color w:val="auto"/>
        </w:rPr>
      </w:pPr>
    </w:p>
    <w:p>
      <w:pPr>
        <w:ind w:right="180"/>
        <w:spacing w:after="0" w:line="257" w:lineRule="auto"/>
        <w:rPr>
          <w:sz w:val="20"/>
          <w:szCs w:val="20"/>
          <w:color w:val="auto"/>
        </w:rPr>
      </w:pPr>
      <w:r>
        <w:rPr>
          <w:rFonts w:ascii="Arial" w:cs="Arial" w:eastAsia="Arial" w:hAnsi="Arial"/>
          <w:sz w:val="17"/>
          <w:szCs w:val="17"/>
          <w:color w:val="auto"/>
        </w:rPr>
        <w:t>Your vote is important. Your proxy or voting instruction card includes specific information regarding the several ways to vote your shares. We encourage you to vote as soon as possible, even if you plan to attend the meeting. You may vote over the internet, by telephone or mobile device, by mailing a proxy or voting instruction card or in person at the Annual Meeting.</w:t>
      </w:r>
    </w:p>
    <w:p>
      <w:pPr>
        <w:spacing w:after="0" w:line="64" w:lineRule="exact"/>
        <w:rPr>
          <w:sz w:val="20"/>
          <w:szCs w:val="20"/>
          <w:color w:val="auto"/>
        </w:rPr>
      </w:pPr>
    </w:p>
    <w:p>
      <w:pPr>
        <w:spacing w:after="0"/>
        <w:rPr>
          <w:sz w:val="20"/>
          <w:szCs w:val="20"/>
          <w:color w:val="auto"/>
        </w:rPr>
      </w:pPr>
      <w:r>
        <w:rPr>
          <w:rFonts w:ascii="Arial" w:cs="Arial" w:eastAsia="Arial" w:hAnsi="Arial"/>
          <w:sz w:val="17"/>
          <w:szCs w:val="17"/>
          <w:color w:val="auto"/>
        </w:rPr>
        <w:t>Thank you for your support and continued interest in 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20"/>
        <w:spacing w:after="0"/>
        <w:tabs>
          <w:tab w:leader="none" w:pos="4240" w:val="left"/>
        </w:tabs>
        <w:rPr>
          <w:sz w:val="20"/>
          <w:szCs w:val="20"/>
          <w:color w:val="auto"/>
        </w:rPr>
      </w:pPr>
      <w:r>
        <w:rPr>
          <w:rFonts w:ascii="Arial" w:cs="Arial" w:eastAsia="Arial" w:hAnsi="Arial"/>
          <w:sz w:val="17"/>
          <w:szCs w:val="17"/>
          <w:color w:val="auto"/>
        </w:rPr>
        <w:t>Wes Bush</w:t>
      </w:r>
      <w:r>
        <w:rPr>
          <w:sz w:val="20"/>
          <w:szCs w:val="20"/>
          <w:color w:val="auto"/>
        </w:rPr>
        <w:tab/>
      </w:r>
      <w:r>
        <w:rPr>
          <w:rFonts w:ascii="Arial" w:cs="Arial" w:eastAsia="Arial" w:hAnsi="Arial"/>
          <w:sz w:val="17"/>
          <w:szCs w:val="17"/>
          <w:color w:val="auto"/>
        </w:rPr>
        <w:t>Donald E. Felsinger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31115</wp:posOffset>
            </wp:positionV>
            <wp:extent cx="1050290" cy="3257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050290" cy="325755"/>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31115</wp:posOffset>
            </wp:positionV>
            <wp:extent cx="1506220" cy="3009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506220" cy="300990"/>
                    </a:xfrm>
                    <a:prstGeom prst="rect">
                      <a:avLst/>
                    </a:prstGeom>
                    <a:noFill/>
                  </pic:spPr>
                </pic:pic>
              </a:graphicData>
            </a:graphic>
          </wp:anchor>
        </w:drawing>
      </w:r>
    </w:p>
    <w:p>
      <w:pPr>
        <w:spacing w:after="0" w:line="200" w:lineRule="exact"/>
        <w:rPr>
          <w:sz w:val="20"/>
          <w:szCs w:val="20"/>
          <w:color w:val="auto"/>
        </w:rPr>
      </w:pPr>
    </w:p>
    <w:p>
      <w:pPr>
        <w:spacing w:after="0" w:line="351" w:lineRule="exact"/>
        <w:rPr>
          <w:sz w:val="20"/>
          <w:szCs w:val="20"/>
          <w:color w:val="auto"/>
        </w:rPr>
      </w:pPr>
    </w:p>
    <w:p>
      <w:pPr>
        <w:ind w:left="20"/>
        <w:spacing w:after="0"/>
        <w:rPr>
          <w:sz w:val="20"/>
          <w:szCs w:val="20"/>
          <w:color w:val="auto"/>
        </w:rPr>
      </w:pPr>
      <w:r>
        <w:rPr>
          <w:rFonts w:ascii="Arial" w:cs="Arial" w:eastAsia="Arial" w:hAnsi="Arial"/>
          <w:sz w:val="17"/>
          <w:szCs w:val="17"/>
          <w:color w:val="auto"/>
        </w:rPr>
        <w:t>Chairman</w:t>
      </w:r>
    </w:p>
    <w:p>
      <w:pPr>
        <w:ind w:left="4260"/>
        <w:spacing w:after="0"/>
        <w:rPr>
          <w:sz w:val="20"/>
          <w:szCs w:val="20"/>
          <w:color w:val="auto"/>
        </w:rPr>
      </w:pPr>
      <w:r>
        <w:rPr>
          <w:rFonts w:ascii="Arial" w:cs="Arial" w:eastAsia="Arial" w:hAnsi="Arial"/>
          <w:sz w:val="17"/>
          <w:szCs w:val="17"/>
          <w:color w:val="auto"/>
        </w:rPr>
        <w:t>Lead Independent Director</w:t>
      </w:r>
    </w:p>
    <w:p>
      <w:pPr>
        <w:spacing w:after="0" w:line="192" w:lineRule="exact"/>
        <w:rPr>
          <w:sz w:val="20"/>
          <w:szCs w:val="20"/>
          <w:color w:val="auto"/>
        </w:rPr>
      </w:pPr>
    </w:p>
    <w:p>
      <w:pPr>
        <w:ind w:left="40"/>
        <w:spacing w:after="0"/>
        <w:rPr>
          <w:sz w:val="20"/>
          <w:szCs w:val="20"/>
          <w:color w:val="auto"/>
        </w:rPr>
      </w:pPr>
      <w:r>
        <w:rPr>
          <w:rFonts w:ascii="Arial" w:cs="Arial" w:eastAsia="Arial" w:hAnsi="Arial"/>
          <w:sz w:val="15"/>
          <w:szCs w:val="15"/>
          <w:color w:val="auto"/>
        </w:rPr>
        <w:t>* This metric is a non-GAAP financial measure. For more information, see "Appendix A - Use of Non-GAAP Financial Measures."</w:t>
      </w:r>
    </w:p>
    <w:p>
      <w:pPr>
        <w:spacing w:after="0" w:line="253" w:lineRule="exact"/>
        <w:rPr>
          <w:sz w:val="20"/>
          <w:szCs w:val="20"/>
          <w:color w:val="auto"/>
        </w:rPr>
      </w:pPr>
    </w:p>
    <w:p>
      <w:pPr>
        <w:jc w:val="right"/>
        <w:spacing w:after="0"/>
        <w:rPr>
          <w:sz w:val="20"/>
          <w:szCs w:val="20"/>
          <w:color w:val="auto"/>
        </w:rPr>
      </w:pPr>
      <w:r>
        <w:rPr>
          <w:rFonts w:ascii="Arial" w:cs="Arial" w:eastAsia="Arial" w:hAnsi="Arial"/>
          <w:sz w:val="14"/>
          <w:szCs w:val="14"/>
          <w:color w:val="34657F"/>
        </w:rPr>
        <w:t xml:space="preserve">NOTICE OF 2019 ANNUAL MEETING OF SHAREHOLDERS AND PROXY STATEMENT </w:t>
      </w:r>
      <w:r>
        <w:rPr>
          <w:rFonts w:ascii="Arial" w:cs="Arial" w:eastAsia="Arial" w:hAnsi="Arial"/>
          <w:sz w:val="14"/>
          <w:szCs w:val="14"/>
          <w:color w:val="000000"/>
        </w:rPr>
        <w:t>I</w:t>
      </w:r>
    </w:p>
    <w:p>
      <w:pPr>
        <w:sectPr>
          <w:pgSz w:w="11900" w:h="16838" w:orient="portrait"/>
          <w:cols w:equalWidth="0" w:num="1">
            <w:col w:w="11420"/>
          </w:cols>
          <w:pgMar w:left="240" w:top="1440" w:right="239" w:bottom="1440" w:gutter="0" w:footer="0" w:header="0"/>
        </w:sectPr>
      </w:pPr>
    </w:p>
    <w:bookmarkStart w:id="3" w:name="page4"/>
    <w:bookmarkEnd w:id="3"/>
    <w:p>
      <w:pPr>
        <w:ind w:left="20"/>
        <w:spacing w:after="0"/>
        <w:rPr>
          <w:sz w:val="20"/>
          <w:szCs w:val="20"/>
          <w:color w:val="auto"/>
        </w:rPr>
      </w:pPr>
      <w:r>
        <w:rPr>
          <w:rFonts w:ascii="Arial" w:cs="Arial" w:eastAsia="Arial" w:hAnsi="Arial"/>
          <w:sz w:val="48"/>
          <w:szCs w:val="48"/>
          <w:b w:val="1"/>
          <w:bCs w:val="1"/>
          <w:color w:val="FFFFFF"/>
        </w:rPr>
        <w:drawing>
          <wp:anchor simplePos="0" relativeHeight="251657728" behindDoc="1" locked="0" layoutInCell="0" allowOverlap="1">
            <wp:simplePos x="0" y="0"/>
            <wp:positionH relativeFrom="page">
              <wp:posOffset>154305</wp:posOffset>
            </wp:positionH>
            <wp:positionV relativeFrom="page">
              <wp:posOffset>365760</wp:posOffset>
            </wp:positionV>
            <wp:extent cx="1579245" cy="4394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1579245" cy="439420"/>
                    </a:xfrm>
                    <a:prstGeom prst="rect">
                      <a:avLst/>
                    </a:prstGeom>
                    <a:noFill/>
                  </pic:spPr>
                </pic:pic>
              </a:graphicData>
            </a:graphic>
          </wp:anchor>
        </w:drawing>
        <w:t>Notice of 2019 Annual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-329565</wp:posOffset>
            </wp:positionV>
            <wp:extent cx="7253605" cy="7327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3605" cy="732790"/>
                    </a:xfrm>
                    <a:prstGeom prst="rect">
                      <a:avLst/>
                    </a:prstGeom>
                    <a:noFill/>
                  </pic:spPr>
                </pic:pic>
              </a:graphicData>
            </a:graphic>
          </wp:anchor>
        </w:drawing>
      </w:r>
    </w:p>
    <w:p>
      <w:pPr>
        <w:spacing w:after="0" w:line="39" w:lineRule="exact"/>
        <w:rPr>
          <w:sz w:val="20"/>
          <w:szCs w:val="20"/>
          <w:color w:val="auto"/>
        </w:rPr>
      </w:pPr>
    </w:p>
    <w:p>
      <w:pPr>
        <w:ind w:left="20"/>
        <w:spacing w:after="0"/>
        <w:rPr>
          <w:sz w:val="20"/>
          <w:szCs w:val="20"/>
          <w:color w:val="auto"/>
        </w:rPr>
      </w:pPr>
      <w:r>
        <w:rPr>
          <w:rFonts w:ascii="Arial" w:cs="Arial" w:eastAsia="Arial" w:hAnsi="Arial"/>
          <w:sz w:val="48"/>
          <w:szCs w:val="48"/>
          <w:b w:val="1"/>
          <w:bCs w:val="1"/>
          <w:color w:val="FFFFFF"/>
        </w:rPr>
        <w:t>Meeting of Shareholders</w:t>
      </w:r>
    </w:p>
    <w:p>
      <w:pPr>
        <w:spacing w:after="0" w:line="189" w:lineRule="exact"/>
        <w:rPr>
          <w:sz w:val="20"/>
          <w:szCs w:val="20"/>
          <w:color w:val="auto"/>
        </w:rPr>
      </w:pPr>
    </w:p>
    <w:p>
      <w:pPr>
        <w:spacing w:after="0"/>
        <w:rPr>
          <w:sz w:val="20"/>
          <w:szCs w:val="20"/>
          <w:color w:val="auto"/>
        </w:rPr>
      </w:pPr>
      <w:r>
        <w:rPr>
          <w:rFonts w:ascii="Arial" w:cs="Arial" w:eastAsia="Arial" w:hAnsi="Arial"/>
          <w:sz w:val="27"/>
          <w:szCs w:val="27"/>
          <w:b w:val="1"/>
          <w:bCs w:val="1"/>
          <w:color w:val="34657F"/>
        </w:rPr>
        <w:t>Wednesday, May 15, 2019</w:t>
      </w:r>
    </w:p>
    <w:p>
      <w:pPr>
        <w:spacing w:after="0" w:line="49"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8:00 a.m., Eastern Daylight Time</w:t>
      </w:r>
    </w:p>
    <w:p>
      <w:pPr>
        <w:spacing w:after="0" w:line="11" w:lineRule="exact"/>
        <w:rPr>
          <w:sz w:val="20"/>
          <w:szCs w:val="20"/>
          <w:color w:val="auto"/>
        </w:rPr>
      </w:pPr>
    </w:p>
    <w:p>
      <w:pPr>
        <w:ind w:right="5660"/>
        <w:spacing w:after="0" w:line="297" w:lineRule="auto"/>
        <w:rPr>
          <w:sz w:val="20"/>
          <w:szCs w:val="20"/>
          <w:color w:val="auto"/>
        </w:rPr>
      </w:pPr>
      <w:r>
        <w:rPr>
          <w:rFonts w:ascii="Arial" w:cs="Arial" w:eastAsia="Arial" w:hAnsi="Arial"/>
          <w:sz w:val="19"/>
          <w:szCs w:val="19"/>
          <w:b w:val="1"/>
          <w:bCs w:val="1"/>
          <w:i w:val="1"/>
          <w:iCs w:val="1"/>
          <w:color w:val="auto"/>
        </w:rPr>
        <w:t>Northrop Grumman Corporation, Principal Executive Office 2980 Fairview Park Drive, Falls Church, Virginia 22042</w:t>
      </w:r>
    </w:p>
    <w:p>
      <w:pPr>
        <w:spacing w:after="0" w:line="144" w:lineRule="exact"/>
        <w:rPr>
          <w:sz w:val="20"/>
          <w:szCs w:val="20"/>
          <w:color w:val="auto"/>
        </w:rPr>
      </w:pPr>
    </w:p>
    <w:p>
      <w:pPr>
        <w:ind w:right="120"/>
        <w:spacing w:after="0" w:line="263" w:lineRule="auto"/>
        <w:rPr>
          <w:sz w:val="20"/>
          <w:szCs w:val="20"/>
          <w:color w:val="auto"/>
        </w:rPr>
      </w:pPr>
      <w:r>
        <w:rPr>
          <w:rFonts w:ascii="Arial" w:cs="Arial" w:eastAsia="Arial" w:hAnsi="Arial"/>
          <w:sz w:val="17"/>
          <w:szCs w:val="17"/>
          <w:color w:val="auto"/>
        </w:rPr>
        <w:t>The 2019 Annual Meeting of Shareholders (Annual Meeting) of Northrop Grumman Corporation (Company) will be held on Wednesday, May 15, 2019 at 8:00 a.m., Eastern Daylight Time, at our principal executive office located at 2980 Fairview Park Drive, Falls Church, Virginia 22042.</w:t>
      </w:r>
    </w:p>
    <w:p>
      <w:pPr>
        <w:spacing w:after="0" w:line="59" w:lineRule="exact"/>
        <w:rPr>
          <w:sz w:val="20"/>
          <w:szCs w:val="20"/>
          <w:color w:val="auto"/>
        </w:rPr>
      </w:pPr>
    </w:p>
    <w:p>
      <w:pPr>
        <w:spacing w:after="0"/>
        <w:rPr>
          <w:sz w:val="20"/>
          <w:szCs w:val="20"/>
          <w:color w:val="auto"/>
        </w:rPr>
      </w:pPr>
      <w:r>
        <w:rPr>
          <w:rFonts w:ascii="Arial" w:cs="Arial" w:eastAsia="Arial" w:hAnsi="Arial"/>
          <w:sz w:val="17"/>
          <w:szCs w:val="17"/>
          <w:color w:val="auto"/>
        </w:rPr>
        <w:t>Shareholders of record at the close of business on March 19, 2019 are entitled to vote at the Annual Meeting. The following items are on the agenda:</w:t>
      </w:r>
    </w:p>
    <w:p>
      <w:pPr>
        <w:spacing w:after="0" w:line="87" w:lineRule="exact"/>
        <w:rPr>
          <w:sz w:val="20"/>
          <w:szCs w:val="20"/>
          <w:color w:val="auto"/>
        </w:rPr>
      </w:pPr>
    </w:p>
    <w:p>
      <w:pPr>
        <w:ind w:left="1080" w:hanging="539"/>
        <w:spacing w:after="0"/>
        <w:tabs>
          <w:tab w:leader="none" w:pos="108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election of the 13 nominees named in the accompanying Proxy Statement;</w:t>
      </w:r>
    </w:p>
    <w:p>
      <w:pPr>
        <w:spacing w:after="0" w:line="86" w:lineRule="exact"/>
        <w:rPr>
          <w:rFonts w:ascii="Arial" w:cs="Arial" w:eastAsia="Arial" w:hAnsi="Arial"/>
          <w:sz w:val="17"/>
          <w:szCs w:val="17"/>
          <w:color w:val="auto"/>
        </w:rPr>
      </w:pPr>
    </w:p>
    <w:p>
      <w:pPr>
        <w:ind w:left="1080" w:hanging="539"/>
        <w:spacing w:after="0"/>
        <w:tabs>
          <w:tab w:leader="none" w:pos="1080" w:val="left"/>
        </w:tabs>
        <w:numPr>
          <w:ilvl w:val="0"/>
          <w:numId w:val="3"/>
        </w:numPr>
        <w:rPr>
          <w:rFonts w:ascii="Arial" w:cs="Arial" w:eastAsia="Arial" w:hAnsi="Arial"/>
          <w:sz w:val="17"/>
          <w:szCs w:val="17"/>
          <w:color w:val="auto"/>
        </w:rPr>
      </w:pPr>
      <w:r>
        <w:rPr>
          <w:rFonts w:ascii="Arial" w:cs="Arial" w:eastAsia="Arial" w:hAnsi="Arial"/>
          <w:sz w:val="17"/>
          <w:szCs w:val="17"/>
          <w:color w:val="auto"/>
        </w:rPr>
        <w:t>A proposal to approve, on an advisory basis, the compensation of our named executive officers;</w:t>
      </w:r>
    </w:p>
    <w:p>
      <w:pPr>
        <w:spacing w:after="0" w:line="86" w:lineRule="exact"/>
        <w:rPr>
          <w:rFonts w:ascii="Arial" w:cs="Arial" w:eastAsia="Arial" w:hAnsi="Arial"/>
          <w:sz w:val="17"/>
          <w:szCs w:val="17"/>
          <w:color w:val="auto"/>
        </w:rPr>
      </w:pPr>
    </w:p>
    <w:p>
      <w:pPr>
        <w:ind w:left="1080" w:hanging="539"/>
        <w:spacing w:after="0"/>
        <w:tabs>
          <w:tab w:leader="none" w:pos="1080" w:val="left"/>
        </w:tabs>
        <w:numPr>
          <w:ilvl w:val="0"/>
          <w:numId w:val="3"/>
        </w:numPr>
        <w:rPr>
          <w:rFonts w:ascii="Arial" w:cs="Arial" w:eastAsia="Arial" w:hAnsi="Arial"/>
          <w:sz w:val="17"/>
          <w:szCs w:val="17"/>
          <w:color w:val="auto"/>
        </w:rPr>
      </w:pPr>
      <w:r>
        <w:rPr>
          <w:rFonts w:ascii="Arial" w:cs="Arial" w:eastAsia="Arial" w:hAnsi="Arial"/>
          <w:sz w:val="17"/>
          <w:szCs w:val="17"/>
          <w:color w:val="auto"/>
        </w:rPr>
        <w:t>A proposal to ratify the appointment of Deloitte &amp; Touche LLP as our independent auditor for the year ending December 31, 2019;</w:t>
      </w:r>
    </w:p>
    <w:p>
      <w:pPr>
        <w:spacing w:after="0" w:line="86" w:lineRule="exact"/>
        <w:rPr>
          <w:rFonts w:ascii="Arial" w:cs="Arial" w:eastAsia="Arial" w:hAnsi="Arial"/>
          <w:sz w:val="17"/>
          <w:szCs w:val="17"/>
          <w:color w:val="auto"/>
        </w:rPr>
      </w:pPr>
    </w:p>
    <w:p>
      <w:pPr>
        <w:ind w:left="1080" w:right="240" w:hanging="539"/>
        <w:spacing w:after="0" w:line="263" w:lineRule="auto"/>
        <w:tabs>
          <w:tab w:leader="none" w:pos="1080" w:val="left"/>
        </w:tabs>
        <w:numPr>
          <w:ilvl w:val="0"/>
          <w:numId w:val="3"/>
        </w:numPr>
        <w:rPr>
          <w:rFonts w:ascii="Arial" w:cs="Arial" w:eastAsia="Arial" w:hAnsi="Arial"/>
          <w:sz w:val="17"/>
          <w:szCs w:val="17"/>
          <w:color w:val="auto"/>
        </w:rPr>
      </w:pPr>
      <w:r>
        <w:rPr>
          <w:rFonts w:ascii="Arial" w:cs="Arial" w:eastAsia="Arial" w:hAnsi="Arial"/>
          <w:sz w:val="17"/>
          <w:szCs w:val="17"/>
          <w:color w:val="auto"/>
        </w:rPr>
        <w:t>A shareholder proposal to provide for a report on management systems and processes for implementing the Company's human rights policy;</w:t>
      </w:r>
    </w:p>
    <w:p>
      <w:pPr>
        <w:spacing w:after="0" w:line="58" w:lineRule="exact"/>
        <w:rPr>
          <w:rFonts w:ascii="Arial" w:cs="Arial" w:eastAsia="Arial" w:hAnsi="Arial"/>
          <w:sz w:val="17"/>
          <w:szCs w:val="17"/>
          <w:color w:val="auto"/>
        </w:rPr>
      </w:pPr>
    </w:p>
    <w:p>
      <w:pPr>
        <w:ind w:left="1080" w:hanging="539"/>
        <w:spacing w:after="0"/>
        <w:tabs>
          <w:tab w:leader="none" w:pos="1080" w:val="left"/>
        </w:tabs>
        <w:numPr>
          <w:ilvl w:val="0"/>
          <w:numId w:val="3"/>
        </w:numPr>
        <w:rPr>
          <w:rFonts w:ascii="Arial" w:cs="Arial" w:eastAsia="Arial" w:hAnsi="Arial"/>
          <w:sz w:val="17"/>
          <w:szCs w:val="17"/>
          <w:color w:val="auto"/>
        </w:rPr>
      </w:pPr>
      <w:r>
        <w:rPr>
          <w:rFonts w:ascii="Arial" w:cs="Arial" w:eastAsia="Arial" w:hAnsi="Arial"/>
          <w:sz w:val="17"/>
          <w:szCs w:val="17"/>
          <w:color w:val="auto"/>
        </w:rPr>
        <w:t>A shareholder proposal to provide for an independent chair; and</w:t>
      </w:r>
    </w:p>
    <w:p>
      <w:pPr>
        <w:spacing w:after="0" w:line="86" w:lineRule="exact"/>
        <w:rPr>
          <w:rFonts w:ascii="Arial" w:cs="Arial" w:eastAsia="Arial" w:hAnsi="Arial"/>
          <w:sz w:val="17"/>
          <w:szCs w:val="17"/>
          <w:color w:val="auto"/>
        </w:rPr>
      </w:pPr>
    </w:p>
    <w:p>
      <w:pPr>
        <w:ind w:left="1080" w:hanging="539"/>
        <w:spacing w:after="0"/>
        <w:tabs>
          <w:tab w:leader="none" w:pos="1080" w:val="left"/>
        </w:tabs>
        <w:numPr>
          <w:ilvl w:val="0"/>
          <w:numId w:val="3"/>
        </w:numPr>
        <w:rPr>
          <w:rFonts w:ascii="Arial" w:cs="Arial" w:eastAsia="Arial" w:hAnsi="Arial"/>
          <w:sz w:val="17"/>
          <w:szCs w:val="17"/>
          <w:color w:val="auto"/>
        </w:rPr>
      </w:pPr>
      <w:r>
        <w:rPr>
          <w:rFonts w:ascii="Arial" w:cs="Arial" w:eastAsia="Arial" w:hAnsi="Arial"/>
          <w:sz w:val="17"/>
          <w:szCs w:val="17"/>
          <w:color w:val="auto"/>
        </w:rPr>
        <w:t>Any other business as may properly come before the Annual Meeting or any adjournment or postponement thereof.</w:t>
      </w:r>
    </w:p>
    <w:p>
      <w:pPr>
        <w:spacing w:after="0" w:line="87" w:lineRule="exact"/>
        <w:rPr>
          <w:sz w:val="20"/>
          <w:szCs w:val="20"/>
          <w:color w:val="auto"/>
        </w:rPr>
      </w:pPr>
    </w:p>
    <w:p>
      <w:pPr>
        <w:ind w:right="260"/>
        <w:spacing w:after="0" w:line="263" w:lineRule="auto"/>
        <w:rPr>
          <w:sz w:val="20"/>
          <w:szCs w:val="20"/>
          <w:color w:val="auto"/>
        </w:rPr>
      </w:pPr>
      <w:r>
        <w:rPr>
          <w:rFonts w:ascii="Arial" w:cs="Arial" w:eastAsia="Arial" w:hAnsi="Arial"/>
          <w:sz w:val="17"/>
          <w:szCs w:val="17"/>
          <w:color w:val="auto"/>
        </w:rPr>
        <w:t>All shareholders are invited to attend the Annual Meeting. To be admitted you will need proof of stock ownership and a form of photo identification. If your broker holds your shares in "street name," you will also need proof of beneficial ownership of Northrop Grumman common stock.</w:t>
      </w:r>
    </w:p>
    <w:p>
      <w:pPr>
        <w:spacing w:after="0" w:line="59" w:lineRule="exact"/>
        <w:rPr>
          <w:sz w:val="20"/>
          <w:szCs w:val="20"/>
          <w:color w:val="auto"/>
        </w:rPr>
      </w:pPr>
    </w:p>
    <w:p>
      <w:pPr>
        <w:ind w:right="20"/>
        <w:spacing w:after="0" w:line="257" w:lineRule="auto"/>
        <w:rPr>
          <w:sz w:val="20"/>
          <w:szCs w:val="20"/>
          <w:color w:val="auto"/>
        </w:rPr>
      </w:pPr>
      <w:r>
        <w:rPr>
          <w:rFonts w:ascii="Arial" w:cs="Arial" w:eastAsia="Arial" w:hAnsi="Arial"/>
          <w:sz w:val="17"/>
          <w:szCs w:val="17"/>
          <w:color w:val="auto"/>
        </w:rPr>
        <w:t>We encourage all shareholders to vote on the matters described in the accompanying Proxy Statement. Please see the section entitled "Questions and Answers About the Annual Meeting" on page 78 for information about voting over the internet, by telephone or mobile device, by mailing a proxy or voting instruction card or by attending in person at the Annual Meeting.</w:t>
      </w:r>
    </w:p>
    <w:p>
      <w:pPr>
        <w:spacing w:after="0" w:line="346" w:lineRule="exact"/>
        <w:rPr>
          <w:sz w:val="20"/>
          <w:szCs w:val="20"/>
          <w:color w:val="auto"/>
        </w:rPr>
      </w:pPr>
    </w:p>
    <w:p>
      <w:pPr>
        <w:ind w:left="3400"/>
        <w:spacing w:after="0"/>
        <w:rPr>
          <w:sz w:val="20"/>
          <w:szCs w:val="20"/>
          <w:color w:val="auto"/>
        </w:rPr>
      </w:pPr>
      <w:r>
        <w:rPr>
          <w:rFonts w:ascii="Arial" w:cs="Arial" w:eastAsia="Arial" w:hAnsi="Arial"/>
          <w:sz w:val="17"/>
          <w:szCs w:val="17"/>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2159000</wp:posOffset>
            </wp:positionH>
            <wp:positionV relativeFrom="paragraph">
              <wp:posOffset>31115</wp:posOffset>
            </wp:positionV>
            <wp:extent cx="1245870" cy="4394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45870" cy="4394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3400"/>
        <w:spacing w:after="0"/>
        <w:rPr>
          <w:sz w:val="20"/>
          <w:szCs w:val="20"/>
          <w:color w:val="auto"/>
        </w:rPr>
      </w:pPr>
      <w:r>
        <w:rPr>
          <w:rFonts w:ascii="Arial" w:cs="Arial" w:eastAsia="Arial" w:hAnsi="Arial"/>
          <w:sz w:val="17"/>
          <w:szCs w:val="17"/>
          <w:color w:val="auto"/>
        </w:rPr>
        <w:t>Jennifer C. McGarey</w:t>
      </w:r>
    </w:p>
    <w:p>
      <w:pPr>
        <w:ind w:left="3400"/>
        <w:spacing w:after="0"/>
        <w:rPr>
          <w:sz w:val="20"/>
          <w:szCs w:val="20"/>
          <w:color w:val="auto"/>
        </w:rPr>
      </w:pPr>
      <w:r>
        <w:rPr>
          <w:rFonts w:ascii="Arial" w:cs="Arial" w:eastAsia="Arial" w:hAnsi="Arial"/>
          <w:sz w:val="17"/>
          <w:szCs w:val="17"/>
          <w:i w:val="1"/>
          <w:iCs w:val="1"/>
          <w:color w:val="auto"/>
        </w:rPr>
        <w:t>Corporate Vice President and Secretary</w:t>
      </w:r>
    </w:p>
    <w:p>
      <w:pPr>
        <w:spacing w:after="0" w:line="3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March 29,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149860</wp:posOffset>
            </wp:positionV>
            <wp:extent cx="7270115" cy="4559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70115" cy="455930"/>
                    </a:xfrm>
                    <a:prstGeom prst="rect">
                      <a:avLst/>
                    </a:prstGeom>
                    <a:noFill/>
                  </pic:spPr>
                </pic:pic>
              </a:graphicData>
            </a:graphic>
          </wp:anchor>
        </w:drawing>
      </w:r>
    </w:p>
    <w:p>
      <w:pPr>
        <w:spacing w:after="0" w:line="239" w:lineRule="exact"/>
        <w:rPr>
          <w:sz w:val="20"/>
          <w:szCs w:val="20"/>
          <w:color w:val="auto"/>
        </w:rPr>
      </w:pPr>
    </w:p>
    <w:p>
      <w:pPr>
        <w:jc w:val="both"/>
        <w:ind w:left="40" w:right="340"/>
        <w:spacing w:after="0" w:line="242" w:lineRule="auto"/>
        <w:rPr>
          <w:sz w:val="20"/>
          <w:szCs w:val="20"/>
          <w:color w:val="auto"/>
        </w:rPr>
      </w:pPr>
      <w:r>
        <w:rPr>
          <w:rFonts w:ascii="Arial" w:cs="Arial" w:eastAsia="Arial" w:hAnsi="Arial"/>
          <w:sz w:val="19"/>
          <w:szCs w:val="19"/>
          <w:b w:val="1"/>
          <w:bCs w:val="1"/>
          <w:color w:val="auto"/>
        </w:rPr>
        <w:t xml:space="preserve">Important Notice Regarding the Availability of Proxy Materials for the Shareholders Meeting to be held on May 15, 2019: The Proxy Statement for the 2019 Annual Meeting of Shareholders and the Annual Report for the year ended December 31, 2018 are available at: </w:t>
      </w:r>
      <w:r>
        <w:rPr>
          <w:rFonts w:ascii="Arial" w:cs="Arial" w:eastAsia="Arial" w:hAnsi="Arial"/>
          <w:sz w:val="19"/>
          <w:szCs w:val="19"/>
          <w:b w:val="1"/>
          <w:bCs w:val="1"/>
          <w:i w:val="1"/>
          <w:iCs w:val="1"/>
          <w:color w:val="auto"/>
        </w:rPr>
        <w:t>www.edocumentview.com/noc</w:t>
      </w:r>
      <w:r>
        <w:rPr>
          <w:rFonts w:ascii="Arial" w:cs="Arial" w:eastAsia="Arial" w:hAnsi="Arial"/>
          <w:sz w:val="19"/>
          <w:szCs w:val="19"/>
          <w:b w:val="1"/>
          <w:bCs w:val="1"/>
          <w:color w:val="auto"/>
        </w:rPr>
        <w:t>.</w:t>
      </w:r>
    </w:p>
    <w:p>
      <w:pPr>
        <w:spacing w:after="0" w:line="268" w:lineRule="exact"/>
        <w:rPr>
          <w:sz w:val="20"/>
          <w:szCs w:val="20"/>
          <w:color w:val="auto"/>
        </w:rPr>
      </w:pPr>
    </w:p>
    <w:p>
      <w:pPr>
        <w:jc w:val="right"/>
        <w:spacing w:after="0"/>
        <w:rPr>
          <w:sz w:val="20"/>
          <w:szCs w:val="20"/>
          <w:color w:val="auto"/>
        </w:rPr>
      </w:pPr>
      <w:r>
        <w:rPr>
          <w:rFonts w:ascii="Arial" w:cs="Arial" w:eastAsia="Arial" w:hAnsi="Arial"/>
          <w:sz w:val="14"/>
          <w:szCs w:val="14"/>
          <w:color w:val="34657F"/>
        </w:rPr>
        <w:t xml:space="preserve">NOTICE OF 2019 ANNUAL MEETING OF SHAREHOLDERS AND PROXY STATEMENT </w:t>
      </w:r>
      <w:r>
        <w:rPr>
          <w:rFonts w:ascii="Arial" w:cs="Arial" w:eastAsia="Arial" w:hAnsi="Arial"/>
          <w:sz w:val="14"/>
          <w:szCs w:val="14"/>
          <w:color w:val="000000"/>
        </w:rPr>
        <w:t>I</w:t>
      </w:r>
    </w:p>
    <w:p>
      <w:pPr>
        <w:sectPr>
          <w:pgSz w:w="11900" w:h="16838" w:orient="portrait"/>
          <w:cols w:equalWidth="0" w:num="1">
            <w:col w:w="11420"/>
          </w:cols>
          <w:pgMar w:left="240" w:top="1364" w:right="239" w:bottom="1440" w:gutter="0" w:footer="0" w:header="0"/>
        </w:sectPr>
      </w:pPr>
    </w:p>
    <w:bookmarkStart w:id="4" w:name="page5"/>
    <w:bookmarkEnd w:id="4"/>
    <w:p>
      <w:pPr>
        <w:ind w:left="20"/>
        <w:spacing w:after="0"/>
        <w:rPr>
          <w:sz w:val="20"/>
          <w:szCs w:val="20"/>
          <w:color w:val="auto"/>
        </w:rPr>
      </w:pPr>
      <w:r>
        <w:rPr>
          <w:rFonts w:ascii="Arial" w:cs="Arial" w:eastAsia="Arial" w:hAnsi="Arial"/>
          <w:sz w:val="21"/>
          <w:szCs w:val="21"/>
          <w:b w:val="1"/>
          <w:bCs w:val="1"/>
          <w:color w:val="FFFFFF"/>
        </w:rPr>
        <w:drawing>
          <wp:anchor simplePos="0" relativeHeight="251657728" behindDoc="1" locked="0" layoutInCell="0" allowOverlap="1">
            <wp:simplePos x="0" y="0"/>
            <wp:positionH relativeFrom="page">
              <wp:posOffset>154305</wp:posOffset>
            </wp:positionH>
            <wp:positionV relativeFrom="page">
              <wp:posOffset>365760</wp:posOffset>
            </wp:positionV>
            <wp:extent cx="7253605" cy="5861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3605" cy="586105"/>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10140" w:type="dxa"/>
            <w:vAlign w:val="bottom"/>
            <w:tcBorders>
              <w:bottom w:val="single" w:sz="8" w:color="auto"/>
            </w:tcBorders>
          </w:tcPr>
          <w:p>
            <w:pPr>
              <w:ind w:left="20"/>
              <w:spacing w:after="0"/>
              <w:rPr>
                <w:sz w:val="20"/>
                <w:szCs w:val="20"/>
                <w:color w:val="auto"/>
              </w:rPr>
            </w:pPr>
            <w:r>
              <w:rPr>
                <w:rFonts w:ascii="Arial" w:cs="Arial" w:eastAsia="Arial" w:hAnsi="Arial"/>
                <w:sz w:val="21"/>
                <w:szCs w:val="21"/>
                <w:b w:val="1"/>
                <w:bCs w:val="1"/>
                <w:color w:val="34657F"/>
              </w:rPr>
              <w:t>PROXY STATEMENT SUMMARY</w:t>
            </w:r>
          </w:p>
        </w:tc>
        <w:tc>
          <w:tcPr>
            <w:tcW w:w="1280" w:type="dxa"/>
            <w:vAlign w:val="bottom"/>
            <w:tcBorders>
              <w:bottom w:val="single" w:sz="8" w:color="auto"/>
            </w:tcBorders>
          </w:tcPr>
          <w:p>
            <w:pPr>
              <w:jc w:val="right"/>
              <w:spacing w:after="0"/>
              <w:rPr>
                <w:rFonts w:ascii="Arial" w:cs="Arial" w:eastAsia="Arial" w:hAnsi="Arial"/>
                <w:sz w:val="17"/>
                <w:szCs w:val="17"/>
                <w:color w:val="auto"/>
              </w:rPr>
            </w:pPr>
            <w:hyperlink w:anchor="page7">
              <w:r>
                <w:rPr>
                  <w:rFonts w:ascii="Arial" w:cs="Arial" w:eastAsia="Arial" w:hAnsi="Arial"/>
                  <w:sz w:val="17"/>
                  <w:szCs w:val="17"/>
                  <w:color w:val="auto"/>
                </w:rPr>
                <w:t>1</w:t>
              </w:r>
            </w:hyperlink>
          </w:p>
        </w:tc>
      </w:tr>
      <w:tr>
        <w:trPr>
          <w:trHeight w:val="583"/>
        </w:trPr>
        <w:tc>
          <w:tcPr>
            <w:tcW w:w="10140" w:type="dxa"/>
            <w:vAlign w:val="bottom"/>
            <w:tcBorders>
              <w:bottom w:val="single" w:sz="8" w:color="auto"/>
            </w:tcBorders>
          </w:tcPr>
          <w:p>
            <w:pPr>
              <w:ind w:left="20"/>
              <w:spacing w:after="0"/>
              <w:rPr>
                <w:rFonts w:ascii="Arial" w:cs="Arial" w:eastAsia="Arial" w:hAnsi="Arial"/>
                <w:sz w:val="21"/>
                <w:szCs w:val="21"/>
                <w:b w:val="1"/>
                <w:bCs w:val="1"/>
                <w:color w:val="34657F"/>
              </w:rPr>
            </w:pPr>
            <w:hyperlink w:anchor="page12">
              <w:r>
                <w:rPr>
                  <w:rFonts w:ascii="Arial" w:cs="Arial" w:eastAsia="Arial" w:hAnsi="Arial"/>
                  <w:sz w:val="21"/>
                  <w:szCs w:val="21"/>
                  <w:b w:val="1"/>
                  <w:bCs w:val="1"/>
                  <w:color w:val="34657F"/>
                </w:rPr>
                <w:t>PROPOSAL ONE: ELECTION OF DIRECTORS</w:t>
              </w:r>
            </w:hyperlink>
          </w:p>
        </w:tc>
        <w:tc>
          <w:tcPr>
            <w:tcW w:w="1280" w:type="dxa"/>
            <w:vAlign w:val="bottom"/>
            <w:tcBorders>
              <w:bottom w:val="single" w:sz="8" w:color="auto"/>
            </w:tcBorders>
          </w:tcPr>
          <w:p>
            <w:pPr>
              <w:jc w:val="right"/>
              <w:spacing w:after="0"/>
              <w:rPr>
                <w:rFonts w:ascii="Arial" w:cs="Arial" w:eastAsia="Arial" w:hAnsi="Arial"/>
                <w:sz w:val="17"/>
                <w:szCs w:val="17"/>
                <w:color w:val="auto"/>
              </w:rPr>
            </w:pPr>
            <w:hyperlink w:anchor="page12">
              <w:r>
                <w:rPr>
                  <w:rFonts w:ascii="Arial" w:cs="Arial" w:eastAsia="Arial" w:hAnsi="Arial"/>
                  <w:sz w:val="17"/>
                  <w:szCs w:val="17"/>
                  <w:color w:val="auto"/>
                </w:rPr>
                <w:t>6</w:t>
              </w:r>
            </w:hyperlink>
          </w:p>
        </w:tc>
      </w:tr>
      <w:tr>
        <w:trPr>
          <w:trHeight w:val="229"/>
        </w:trPr>
        <w:tc>
          <w:tcPr>
            <w:tcW w:w="10140" w:type="dxa"/>
            <w:vAlign w:val="bottom"/>
          </w:tcPr>
          <w:p>
            <w:pPr>
              <w:ind w:left="160"/>
              <w:spacing w:after="0"/>
              <w:rPr>
                <w:sz w:val="20"/>
                <w:szCs w:val="20"/>
                <w:color w:val="auto"/>
              </w:rPr>
            </w:pPr>
            <w:r>
              <w:rPr>
                <w:rFonts w:ascii="Arial" w:cs="Arial" w:eastAsia="Arial" w:hAnsi="Arial"/>
                <w:sz w:val="17"/>
                <w:szCs w:val="17"/>
                <w:color w:val="auto"/>
              </w:rPr>
              <w:t>2019 Nominees for Director</w:t>
            </w:r>
          </w:p>
        </w:tc>
        <w:tc>
          <w:tcPr>
            <w:tcW w:w="1280" w:type="dxa"/>
            <w:vAlign w:val="bottom"/>
          </w:tcPr>
          <w:p>
            <w:pPr>
              <w:jc w:val="right"/>
              <w:spacing w:after="0"/>
              <w:rPr>
                <w:rFonts w:ascii="Arial" w:cs="Arial" w:eastAsia="Arial" w:hAnsi="Arial"/>
                <w:sz w:val="17"/>
                <w:szCs w:val="17"/>
                <w:color w:val="auto"/>
              </w:rPr>
            </w:pPr>
            <w:hyperlink w:anchor="page12">
              <w:r>
                <w:rPr>
                  <w:rFonts w:ascii="Arial" w:cs="Arial" w:eastAsia="Arial" w:hAnsi="Arial"/>
                  <w:sz w:val="17"/>
                  <w:szCs w:val="17"/>
                  <w:color w:val="auto"/>
                </w:rPr>
                <w:t>6</w:t>
              </w:r>
            </w:hyperlink>
          </w:p>
        </w:tc>
      </w:tr>
      <w:tr>
        <w:trPr>
          <w:trHeight w:val="597"/>
        </w:trPr>
        <w:tc>
          <w:tcPr>
            <w:tcW w:w="10140" w:type="dxa"/>
            <w:vAlign w:val="bottom"/>
            <w:tcBorders>
              <w:bottom w:val="single" w:sz="8" w:color="auto"/>
            </w:tcBorders>
          </w:tcPr>
          <w:p>
            <w:pPr>
              <w:ind w:left="20"/>
              <w:spacing w:after="0"/>
              <w:rPr>
                <w:rFonts w:ascii="Arial" w:cs="Arial" w:eastAsia="Arial" w:hAnsi="Arial"/>
                <w:sz w:val="21"/>
                <w:szCs w:val="21"/>
                <w:b w:val="1"/>
                <w:bCs w:val="1"/>
                <w:color w:val="34657F"/>
              </w:rPr>
            </w:pPr>
            <w:hyperlink w:anchor="page20">
              <w:r>
                <w:rPr>
                  <w:rFonts w:ascii="Arial" w:cs="Arial" w:eastAsia="Arial" w:hAnsi="Arial"/>
                  <w:sz w:val="21"/>
                  <w:szCs w:val="21"/>
                  <w:b w:val="1"/>
                  <w:bCs w:val="1"/>
                  <w:color w:val="34657F"/>
                </w:rPr>
                <w:t>CORPORATE GOVERNANCE</w:t>
              </w:r>
            </w:hyperlink>
          </w:p>
        </w:tc>
        <w:tc>
          <w:tcPr>
            <w:tcW w:w="1280" w:type="dxa"/>
            <w:vAlign w:val="bottom"/>
            <w:tcBorders>
              <w:bottom w:val="single" w:sz="8" w:color="auto"/>
            </w:tcBorders>
          </w:tcPr>
          <w:p>
            <w:pPr>
              <w:jc w:val="right"/>
              <w:spacing w:after="0"/>
              <w:rPr>
                <w:rFonts w:ascii="Arial" w:cs="Arial" w:eastAsia="Arial" w:hAnsi="Arial"/>
                <w:sz w:val="17"/>
                <w:szCs w:val="17"/>
                <w:color w:val="auto"/>
              </w:rPr>
            </w:pPr>
            <w:hyperlink w:anchor="page20">
              <w:r>
                <w:rPr>
                  <w:rFonts w:ascii="Arial" w:cs="Arial" w:eastAsia="Arial" w:hAnsi="Arial"/>
                  <w:sz w:val="17"/>
                  <w:szCs w:val="17"/>
                  <w:color w:val="auto"/>
                </w:rPr>
                <w:t>14</w:t>
              </w:r>
            </w:hyperlink>
          </w:p>
        </w:tc>
      </w:tr>
      <w:tr>
        <w:trPr>
          <w:trHeight w:val="229"/>
        </w:trPr>
        <w:tc>
          <w:tcPr>
            <w:tcW w:w="10140" w:type="dxa"/>
            <w:vAlign w:val="bottom"/>
          </w:tcPr>
          <w:p>
            <w:pPr>
              <w:ind w:left="160"/>
              <w:spacing w:after="0"/>
              <w:rPr>
                <w:sz w:val="20"/>
                <w:szCs w:val="20"/>
                <w:color w:val="auto"/>
              </w:rPr>
            </w:pPr>
            <w:r>
              <w:rPr>
                <w:rFonts w:ascii="Arial" w:cs="Arial" w:eastAsia="Arial" w:hAnsi="Arial"/>
                <w:sz w:val="17"/>
                <w:szCs w:val="17"/>
                <w:color w:val="auto"/>
              </w:rPr>
              <w:t>Overview</w:t>
            </w:r>
          </w:p>
        </w:tc>
        <w:tc>
          <w:tcPr>
            <w:tcW w:w="1280" w:type="dxa"/>
            <w:vAlign w:val="bottom"/>
          </w:tcPr>
          <w:p>
            <w:pPr>
              <w:jc w:val="right"/>
              <w:spacing w:after="0"/>
              <w:rPr>
                <w:rFonts w:ascii="Arial" w:cs="Arial" w:eastAsia="Arial" w:hAnsi="Arial"/>
                <w:sz w:val="17"/>
                <w:szCs w:val="17"/>
                <w:color w:val="auto"/>
              </w:rPr>
            </w:pPr>
            <w:hyperlink w:anchor="page20">
              <w:r>
                <w:rPr>
                  <w:rFonts w:ascii="Arial" w:cs="Arial" w:eastAsia="Arial" w:hAnsi="Arial"/>
                  <w:sz w:val="17"/>
                  <w:szCs w:val="17"/>
                  <w:color w:val="auto"/>
                </w:rPr>
                <w:t>14</w:t>
              </w:r>
            </w:hyperlink>
          </w:p>
        </w:tc>
      </w:tr>
      <w:tr>
        <w:trPr>
          <w:trHeight w:val="244"/>
        </w:trPr>
        <w:tc>
          <w:tcPr>
            <w:tcW w:w="10140" w:type="dxa"/>
            <w:vAlign w:val="bottom"/>
          </w:tcPr>
          <w:p>
            <w:pPr>
              <w:ind w:left="160"/>
              <w:spacing w:after="0"/>
              <w:rPr>
                <w:rFonts w:ascii="Arial" w:cs="Arial" w:eastAsia="Arial" w:hAnsi="Arial"/>
                <w:sz w:val="17"/>
                <w:szCs w:val="17"/>
                <w:color w:val="auto"/>
              </w:rPr>
            </w:pPr>
            <w:hyperlink w:anchor="page20">
              <w:r>
                <w:rPr>
                  <w:rFonts w:ascii="Arial" w:cs="Arial" w:eastAsia="Arial" w:hAnsi="Arial"/>
                  <w:sz w:val="17"/>
                  <w:szCs w:val="17"/>
                  <w:color w:val="auto"/>
                </w:rPr>
                <w:t>Role of the Board</w:t>
              </w:r>
            </w:hyperlink>
          </w:p>
        </w:tc>
        <w:tc>
          <w:tcPr>
            <w:tcW w:w="1280" w:type="dxa"/>
            <w:vAlign w:val="bottom"/>
          </w:tcPr>
          <w:p>
            <w:pPr>
              <w:jc w:val="right"/>
              <w:spacing w:after="0"/>
              <w:rPr>
                <w:rFonts w:ascii="Arial" w:cs="Arial" w:eastAsia="Arial" w:hAnsi="Arial"/>
                <w:sz w:val="17"/>
                <w:szCs w:val="17"/>
                <w:color w:val="auto"/>
              </w:rPr>
            </w:pPr>
            <w:hyperlink w:anchor="page20">
              <w:r>
                <w:rPr>
                  <w:rFonts w:ascii="Arial" w:cs="Arial" w:eastAsia="Arial" w:hAnsi="Arial"/>
                  <w:sz w:val="17"/>
                  <w:szCs w:val="17"/>
                  <w:color w:val="auto"/>
                </w:rPr>
                <w:t>14</w:t>
              </w:r>
            </w:hyperlink>
          </w:p>
        </w:tc>
      </w:tr>
      <w:tr>
        <w:trPr>
          <w:trHeight w:val="244"/>
        </w:trPr>
        <w:tc>
          <w:tcPr>
            <w:tcW w:w="10140" w:type="dxa"/>
            <w:vAlign w:val="bottom"/>
          </w:tcPr>
          <w:p>
            <w:pPr>
              <w:ind w:left="160"/>
              <w:spacing w:after="0"/>
              <w:rPr>
                <w:rFonts w:ascii="Arial" w:cs="Arial" w:eastAsia="Arial" w:hAnsi="Arial"/>
                <w:sz w:val="17"/>
                <w:szCs w:val="17"/>
                <w:color w:val="auto"/>
              </w:rPr>
            </w:pPr>
            <w:hyperlink w:anchor="page21">
              <w:r>
                <w:rPr>
                  <w:rFonts w:ascii="Arial" w:cs="Arial" w:eastAsia="Arial" w:hAnsi="Arial"/>
                  <w:sz w:val="17"/>
                  <w:szCs w:val="17"/>
                  <w:color w:val="auto"/>
                </w:rPr>
                <w:t>Board Leadership Structure</w:t>
              </w:r>
            </w:hyperlink>
          </w:p>
        </w:tc>
        <w:tc>
          <w:tcPr>
            <w:tcW w:w="1280" w:type="dxa"/>
            <w:vAlign w:val="bottom"/>
          </w:tcPr>
          <w:p>
            <w:pPr>
              <w:jc w:val="right"/>
              <w:spacing w:after="0"/>
              <w:rPr>
                <w:rFonts w:ascii="Arial" w:cs="Arial" w:eastAsia="Arial" w:hAnsi="Arial"/>
                <w:sz w:val="17"/>
                <w:szCs w:val="17"/>
                <w:color w:val="auto"/>
              </w:rPr>
            </w:pPr>
            <w:hyperlink w:anchor="page21">
              <w:r>
                <w:rPr>
                  <w:rFonts w:ascii="Arial" w:cs="Arial" w:eastAsia="Arial" w:hAnsi="Arial"/>
                  <w:sz w:val="17"/>
                  <w:szCs w:val="17"/>
                  <w:color w:val="auto"/>
                </w:rPr>
                <w:t>15</w:t>
              </w:r>
            </w:hyperlink>
          </w:p>
        </w:tc>
      </w:tr>
      <w:tr>
        <w:trPr>
          <w:trHeight w:val="244"/>
        </w:trPr>
        <w:tc>
          <w:tcPr>
            <w:tcW w:w="10140" w:type="dxa"/>
            <w:vAlign w:val="bottom"/>
          </w:tcPr>
          <w:p>
            <w:pPr>
              <w:ind w:left="160"/>
              <w:spacing w:after="0"/>
              <w:rPr>
                <w:rFonts w:ascii="Arial" w:cs="Arial" w:eastAsia="Arial" w:hAnsi="Arial"/>
                <w:sz w:val="17"/>
                <w:szCs w:val="17"/>
                <w:color w:val="auto"/>
              </w:rPr>
            </w:pPr>
            <w:hyperlink w:anchor="page22">
              <w:r>
                <w:rPr>
                  <w:rFonts w:ascii="Arial" w:cs="Arial" w:eastAsia="Arial" w:hAnsi="Arial"/>
                  <w:sz w:val="17"/>
                  <w:szCs w:val="17"/>
                  <w:color w:val="auto"/>
                </w:rPr>
                <w:t>Committees of the Board of Directors</w:t>
              </w:r>
            </w:hyperlink>
          </w:p>
        </w:tc>
        <w:tc>
          <w:tcPr>
            <w:tcW w:w="1280" w:type="dxa"/>
            <w:vAlign w:val="bottom"/>
          </w:tcPr>
          <w:p>
            <w:pPr>
              <w:jc w:val="right"/>
              <w:spacing w:after="0"/>
              <w:rPr>
                <w:rFonts w:ascii="Arial" w:cs="Arial" w:eastAsia="Arial" w:hAnsi="Arial"/>
                <w:sz w:val="17"/>
                <w:szCs w:val="17"/>
                <w:color w:val="auto"/>
              </w:rPr>
            </w:pPr>
            <w:hyperlink w:anchor="page22">
              <w:r>
                <w:rPr>
                  <w:rFonts w:ascii="Arial" w:cs="Arial" w:eastAsia="Arial" w:hAnsi="Arial"/>
                  <w:sz w:val="17"/>
                  <w:szCs w:val="17"/>
                  <w:color w:val="auto"/>
                </w:rPr>
                <w:t>16</w:t>
              </w:r>
            </w:hyperlink>
          </w:p>
        </w:tc>
      </w:tr>
      <w:tr>
        <w:trPr>
          <w:trHeight w:val="244"/>
        </w:trPr>
        <w:tc>
          <w:tcPr>
            <w:tcW w:w="10140" w:type="dxa"/>
            <w:vAlign w:val="bottom"/>
          </w:tcPr>
          <w:p>
            <w:pPr>
              <w:ind w:left="160"/>
              <w:spacing w:after="0"/>
              <w:rPr>
                <w:rFonts w:ascii="Arial" w:cs="Arial" w:eastAsia="Arial" w:hAnsi="Arial"/>
                <w:sz w:val="17"/>
                <w:szCs w:val="17"/>
                <w:color w:val="auto"/>
              </w:rPr>
            </w:pPr>
            <w:hyperlink w:anchor="page25">
              <w:r>
                <w:rPr>
                  <w:rFonts w:ascii="Arial" w:cs="Arial" w:eastAsia="Arial" w:hAnsi="Arial"/>
                  <w:sz w:val="17"/>
                  <w:szCs w:val="17"/>
                  <w:color w:val="auto"/>
                </w:rPr>
                <w:t>Board Meetings and Executive Sessions</w:t>
              </w:r>
            </w:hyperlink>
          </w:p>
        </w:tc>
        <w:tc>
          <w:tcPr>
            <w:tcW w:w="1280" w:type="dxa"/>
            <w:vAlign w:val="bottom"/>
          </w:tcPr>
          <w:p>
            <w:pPr>
              <w:jc w:val="right"/>
              <w:spacing w:after="0"/>
              <w:rPr>
                <w:rFonts w:ascii="Arial" w:cs="Arial" w:eastAsia="Arial" w:hAnsi="Arial"/>
                <w:sz w:val="17"/>
                <w:szCs w:val="17"/>
                <w:color w:val="auto"/>
              </w:rPr>
            </w:pPr>
            <w:hyperlink w:anchor="page25">
              <w:r>
                <w:rPr>
                  <w:rFonts w:ascii="Arial" w:cs="Arial" w:eastAsia="Arial" w:hAnsi="Arial"/>
                  <w:sz w:val="17"/>
                  <w:szCs w:val="17"/>
                  <w:color w:val="auto"/>
                </w:rPr>
                <w:t>19</w:t>
              </w:r>
            </w:hyperlink>
          </w:p>
        </w:tc>
      </w:tr>
      <w:tr>
        <w:trPr>
          <w:trHeight w:val="244"/>
        </w:trPr>
        <w:tc>
          <w:tcPr>
            <w:tcW w:w="10140" w:type="dxa"/>
            <w:vAlign w:val="bottom"/>
          </w:tcPr>
          <w:p>
            <w:pPr>
              <w:ind w:left="160"/>
              <w:spacing w:after="0"/>
              <w:rPr>
                <w:rFonts w:ascii="Arial" w:cs="Arial" w:eastAsia="Arial" w:hAnsi="Arial"/>
                <w:sz w:val="17"/>
                <w:szCs w:val="17"/>
                <w:color w:val="auto"/>
              </w:rPr>
            </w:pPr>
            <w:hyperlink w:anchor="page25">
              <w:r>
                <w:rPr>
                  <w:rFonts w:ascii="Arial" w:cs="Arial" w:eastAsia="Arial" w:hAnsi="Arial"/>
                  <w:sz w:val="17"/>
                  <w:szCs w:val="17"/>
                  <w:color w:val="auto"/>
                </w:rPr>
                <w:t>Meeting Attendance</w:t>
              </w:r>
            </w:hyperlink>
          </w:p>
        </w:tc>
        <w:tc>
          <w:tcPr>
            <w:tcW w:w="1280" w:type="dxa"/>
            <w:vAlign w:val="bottom"/>
          </w:tcPr>
          <w:p>
            <w:pPr>
              <w:jc w:val="right"/>
              <w:spacing w:after="0"/>
              <w:rPr>
                <w:rFonts w:ascii="Arial" w:cs="Arial" w:eastAsia="Arial" w:hAnsi="Arial"/>
                <w:sz w:val="17"/>
                <w:szCs w:val="17"/>
                <w:color w:val="auto"/>
              </w:rPr>
            </w:pPr>
            <w:hyperlink w:anchor="page25">
              <w:r>
                <w:rPr>
                  <w:rFonts w:ascii="Arial" w:cs="Arial" w:eastAsia="Arial" w:hAnsi="Arial"/>
                  <w:sz w:val="17"/>
                  <w:szCs w:val="17"/>
                  <w:color w:val="auto"/>
                </w:rPr>
                <w:t>19</w:t>
              </w:r>
            </w:hyperlink>
          </w:p>
        </w:tc>
      </w:tr>
      <w:tr>
        <w:trPr>
          <w:trHeight w:val="244"/>
        </w:trPr>
        <w:tc>
          <w:tcPr>
            <w:tcW w:w="10140" w:type="dxa"/>
            <w:vAlign w:val="bottom"/>
          </w:tcPr>
          <w:p>
            <w:pPr>
              <w:ind w:left="160"/>
              <w:spacing w:after="0"/>
              <w:rPr>
                <w:rFonts w:ascii="Arial" w:cs="Arial" w:eastAsia="Arial" w:hAnsi="Arial"/>
                <w:sz w:val="17"/>
                <w:szCs w:val="17"/>
                <w:color w:val="auto"/>
              </w:rPr>
            </w:pPr>
            <w:hyperlink w:anchor="page25">
              <w:r>
                <w:rPr>
                  <w:rFonts w:ascii="Arial" w:cs="Arial" w:eastAsia="Arial" w:hAnsi="Arial"/>
                  <w:sz w:val="17"/>
                  <w:szCs w:val="17"/>
                  <w:color w:val="auto"/>
                </w:rPr>
                <w:t>Director Independence</w:t>
              </w:r>
            </w:hyperlink>
          </w:p>
        </w:tc>
        <w:tc>
          <w:tcPr>
            <w:tcW w:w="1280" w:type="dxa"/>
            <w:vAlign w:val="bottom"/>
          </w:tcPr>
          <w:p>
            <w:pPr>
              <w:jc w:val="right"/>
              <w:spacing w:after="0"/>
              <w:rPr>
                <w:rFonts w:ascii="Arial" w:cs="Arial" w:eastAsia="Arial" w:hAnsi="Arial"/>
                <w:sz w:val="17"/>
                <w:szCs w:val="17"/>
                <w:color w:val="auto"/>
              </w:rPr>
            </w:pPr>
            <w:hyperlink w:anchor="page25">
              <w:r>
                <w:rPr>
                  <w:rFonts w:ascii="Arial" w:cs="Arial" w:eastAsia="Arial" w:hAnsi="Arial"/>
                  <w:sz w:val="17"/>
                  <w:szCs w:val="17"/>
                  <w:color w:val="auto"/>
                </w:rPr>
                <w:t>19</w:t>
              </w:r>
            </w:hyperlink>
          </w:p>
        </w:tc>
      </w:tr>
      <w:tr>
        <w:trPr>
          <w:trHeight w:val="244"/>
        </w:trPr>
        <w:tc>
          <w:tcPr>
            <w:tcW w:w="10140" w:type="dxa"/>
            <w:vAlign w:val="bottom"/>
          </w:tcPr>
          <w:p>
            <w:pPr>
              <w:ind w:left="160"/>
              <w:spacing w:after="0"/>
              <w:rPr>
                <w:sz w:val="20"/>
                <w:szCs w:val="20"/>
                <w:color w:val="auto"/>
              </w:rPr>
            </w:pPr>
            <w:r>
              <w:rPr>
                <w:rFonts w:ascii="Arial" w:cs="Arial" w:eastAsia="Arial" w:hAnsi="Arial"/>
                <w:sz w:val="17"/>
                <w:szCs w:val="17"/>
                <w:color w:val="auto"/>
              </w:rPr>
              <w:t>Director Election Process</w:t>
            </w:r>
          </w:p>
        </w:tc>
        <w:tc>
          <w:tcPr>
            <w:tcW w:w="1280" w:type="dxa"/>
            <w:vAlign w:val="bottom"/>
          </w:tcPr>
          <w:p>
            <w:pPr>
              <w:jc w:val="right"/>
              <w:spacing w:after="0"/>
              <w:rPr>
                <w:rFonts w:ascii="Arial" w:cs="Arial" w:eastAsia="Arial" w:hAnsi="Arial"/>
                <w:sz w:val="17"/>
                <w:szCs w:val="17"/>
                <w:color w:val="auto"/>
              </w:rPr>
            </w:pPr>
            <w:hyperlink w:anchor="page26">
              <w:r>
                <w:rPr>
                  <w:rFonts w:ascii="Arial" w:cs="Arial" w:eastAsia="Arial" w:hAnsi="Arial"/>
                  <w:sz w:val="17"/>
                  <w:szCs w:val="17"/>
                  <w:color w:val="auto"/>
                </w:rPr>
                <w:t>20</w:t>
              </w:r>
            </w:hyperlink>
          </w:p>
        </w:tc>
      </w:tr>
      <w:tr>
        <w:trPr>
          <w:trHeight w:val="244"/>
        </w:trPr>
        <w:tc>
          <w:tcPr>
            <w:tcW w:w="10140" w:type="dxa"/>
            <w:vAlign w:val="bottom"/>
          </w:tcPr>
          <w:p>
            <w:pPr>
              <w:ind w:left="160"/>
              <w:spacing w:after="0"/>
              <w:rPr>
                <w:rFonts w:ascii="Arial" w:cs="Arial" w:eastAsia="Arial" w:hAnsi="Arial"/>
                <w:sz w:val="17"/>
                <w:szCs w:val="17"/>
                <w:color w:val="auto"/>
              </w:rPr>
            </w:pPr>
            <w:r>
              <w:rPr>
                <w:rFonts w:ascii="Arial" w:cs="Arial" w:eastAsia="Arial" w:hAnsi="Arial"/>
                <w:sz w:val="17"/>
                <w:szCs w:val="17"/>
                <w:color w:val="auto"/>
              </w:rPr>
              <w:t xml:space="preserve">Board Composition and </w:t>
            </w:r>
            <w:hyperlink w:anchor="page26">
              <w:r>
                <w:rPr>
                  <w:rFonts w:ascii="Arial" w:cs="Arial" w:eastAsia="Arial" w:hAnsi="Arial"/>
                  <w:sz w:val="17"/>
                  <w:szCs w:val="17"/>
                  <w:color w:val="auto"/>
                </w:rPr>
                <w:t xml:space="preserve">Director </w:t>
              </w:r>
            </w:hyperlink>
            <w:r>
              <w:rPr>
                <w:rFonts w:ascii="Arial" w:cs="Arial" w:eastAsia="Arial" w:hAnsi="Arial"/>
                <w:sz w:val="17"/>
                <w:szCs w:val="17"/>
                <w:color w:val="auto"/>
              </w:rPr>
              <w:t>Nominations</w:t>
            </w:r>
          </w:p>
        </w:tc>
        <w:tc>
          <w:tcPr>
            <w:tcW w:w="1280" w:type="dxa"/>
            <w:vAlign w:val="bottom"/>
          </w:tcPr>
          <w:p>
            <w:pPr>
              <w:jc w:val="right"/>
              <w:spacing w:after="0"/>
              <w:rPr>
                <w:rFonts w:ascii="Arial" w:cs="Arial" w:eastAsia="Arial" w:hAnsi="Arial"/>
                <w:sz w:val="17"/>
                <w:szCs w:val="17"/>
                <w:color w:val="auto"/>
              </w:rPr>
            </w:pPr>
            <w:hyperlink w:anchor="page26">
              <w:r>
                <w:rPr>
                  <w:rFonts w:ascii="Arial" w:cs="Arial" w:eastAsia="Arial" w:hAnsi="Arial"/>
                  <w:sz w:val="17"/>
                  <w:szCs w:val="17"/>
                  <w:color w:val="auto"/>
                </w:rPr>
                <w:t>20</w:t>
              </w:r>
            </w:hyperlink>
          </w:p>
        </w:tc>
      </w:tr>
      <w:tr>
        <w:trPr>
          <w:trHeight w:val="244"/>
        </w:trPr>
        <w:tc>
          <w:tcPr>
            <w:tcW w:w="10140" w:type="dxa"/>
            <w:vAlign w:val="bottom"/>
          </w:tcPr>
          <w:p>
            <w:pPr>
              <w:ind w:left="160"/>
              <w:spacing w:after="0"/>
              <w:rPr>
                <w:rFonts w:ascii="Arial" w:cs="Arial" w:eastAsia="Arial" w:hAnsi="Arial"/>
                <w:sz w:val="17"/>
                <w:szCs w:val="17"/>
                <w:color w:val="auto"/>
              </w:rPr>
            </w:pPr>
            <w:hyperlink w:anchor="page26">
              <w:r>
                <w:rPr>
                  <w:rFonts w:ascii="Arial" w:cs="Arial" w:eastAsia="Arial" w:hAnsi="Arial"/>
                  <w:sz w:val="17"/>
                  <w:szCs w:val="17"/>
                  <w:color w:val="auto"/>
                </w:rPr>
                <w:t>Director Qualifications</w:t>
              </w:r>
            </w:hyperlink>
          </w:p>
        </w:tc>
        <w:tc>
          <w:tcPr>
            <w:tcW w:w="1280" w:type="dxa"/>
            <w:vAlign w:val="bottom"/>
          </w:tcPr>
          <w:p>
            <w:pPr>
              <w:jc w:val="right"/>
              <w:spacing w:after="0"/>
              <w:rPr>
                <w:rFonts w:ascii="Arial" w:cs="Arial" w:eastAsia="Arial" w:hAnsi="Arial"/>
                <w:sz w:val="17"/>
                <w:szCs w:val="17"/>
                <w:color w:val="auto"/>
              </w:rPr>
            </w:pPr>
            <w:hyperlink w:anchor="page27">
              <w:r>
                <w:rPr>
                  <w:rFonts w:ascii="Arial" w:cs="Arial" w:eastAsia="Arial" w:hAnsi="Arial"/>
                  <w:sz w:val="17"/>
                  <w:szCs w:val="17"/>
                  <w:color w:val="auto"/>
                </w:rPr>
                <w:t>21</w:t>
              </w:r>
            </w:hyperlink>
          </w:p>
        </w:tc>
      </w:tr>
      <w:tr>
        <w:trPr>
          <w:trHeight w:val="244"/>
        </w:trPr>
        <w:tc>
          <w:tcPr>
            <w:tcW w:w="10140" w:type="dxa"/>
            <w:vAlign w:val="bottom"/>
          </w:tcPr>
          <w:p>
            <w:pPr>
              <w:ind w:left="160"/>
              <w:spacing w:after="0"/>
              <w:rPr>
                <w:sz w:val="20"/>
                <w:szCs w:val="20"/>
                <w:color w:val="auto"/>
              </w:rPr>
            </w:pPr>
            <w:r>
              <w:rPr>
                <w:rFonts w:ascii="Arial" w:cs="Arial" w:eastAsia="Arial" w:hAnsi="Arial"/>
                <w:sz w:val="17"/>
                <w:szCs w:val="17"/>
                <w:color w:val="auto"/>
              </w:rPr>
              <w:t>Director Orientation and Continuing Education</w:t>
            </w:r>
          </w:p>
        </w:tc>
        <w:tc>
          <w:tcPr>
            <w:tcW w:w="1280" w:type="dxa"/>
            <w:vAlign w:val="bottom"/>
          </w:tcPr>
          <w:p>
            <w:pPr>
              <w:jc w:val="right"/>
              <w:spacing w:after="0"/>
              <w:rPr>
                <w:rFonts w:ascii="Arial" w:cs="Arial" w:eastAsia="Arial" w:hAnsi="Arial"/>
                <w:sz w:val="17"/>
                <w:szCs w:val="17"/>
                <w:color w:val="auto"/>
              </w:rPr>
            </w:pPr>
            <w:hyperlink w:anchor="page27">
              <w:r>
                <w:rPr>
                  <w:rFonts w:ascii="Arial" w:cs="Arial" w:eastAsia="Arial" w:hAnsi="Arial"/>
                  <w:sz w:val="17"/>
                  <w:szCs w:val="17"/>
                  <w:color w:val="auto"/>
                </w:rPr>
                <w:t>21</w:t>
              </w:r>
            </w:hyperlink>
          </w:p>
        </w:tc>
      </w:tr>
      <w:tr>
        <w:trPr>
          <w:trHeight w:val="244"/>
        </w:trPr>
        <w:tc>
          <w:tcPr>
            <w:tcW w:w="10140" w:type="dxa"/>
            <w:vAlign w:val="bottom"/>
          </w:tcPr>
          <w:p>
            <w:pPr>
              <w:ind w:left="160"/>
              <w:spacing w:after="0"/>
              <w:rPr>
                <w:rFonts w:ascii="Arial" w:cs="Arial" w:eastAsia="Arial" w:hAnsi="Arial"/>
                <w:sz w:val="17"/>
                <w:szCs w:val="17"/>
                <w:color w:val="auto"/>
              </w:rPr>
            </w:pPr>
            <w:hyperlink w:anchor="page26">
              <w:r>
                <w:rPr>
                  <w:rFonts w:ascii="Arial" w:cs="Arial" w:eastAsia="Arial" w:hAnsi="Arial"/>
                  <w:sz w:val="17"/>
                  <w:szCs w:val="17"/>
                  <w:color w:val="auto"/>
                </w:rPr>
                <w:t xml:space="preserve">Board Membership </w:t>
              </w:r>
            </w:hyperlink>
            <w:r>
              <w:rPr>
                <w:rFonts w:ascii="Arial" w:cs="Arial" w:eastAsia="Arial" w:hAnsi="Arial"/>
                <w:sz w:val="17"/>
                <w:szCs w:val="17"/>
                <w:color w:val="auto"/>
              </w:rPr>
              <w:t>and External Relationships</w:t>
            </w:r>
          </w:p>
        </w:tc>
        <w:tc>
          <w:tcPr>
            <w:tcW w:w="1280" w:type="dxa"/>
            <w:vAlign w:val="bottom"/>
          </w:tcPr>
          <w:p>
            <w:pPr>
              <w:jc w:val="right"/>
              <w:spacing w:after="0"/>
              <w:rPr>
                <w:rFonts w:ascii="Arial" w:cs="Arial" w:eastAsia="Arial" w:hAnsi="Arial"/>
                <w:sz w:val="17"/>
                <w:szCs w:val="17"/>
                <w:color w:val="auto"/>
              </w:rPr>
            </w:pPr>
            <w:hyperlink w:anchor="page28">
              <w:r>
                <w:rPr>
                  <w:rFonts w:ascii="Arial" w:cs="Arial" w:eastAsia="Arial" w:hAnsi="Arial"/>
                  <w:sz w:val="17"/>
                  <w:szCs w:val="17"/>
                  <w:color w:val="auto"/>
                </w:rPr>
                <w:t>22</w:t>
              </w:r>
            </w:hyperlink>
          </w:p>
        </w:tc>
      </w:tr>
      <w:tr>
        <w:trPr>
          <w:trHeight w:val="244"/>
        </w:trPr>
        <w:tc>
          <w:tcPr>
            <w:tcW w:w="10140" w:type="dxa"/>
            <w:vAlign w:val="bottom"/>
          </w:tcPr>
          <w:p>
            <w:pPr>
              <w:ind w:left="160"/>
              <w:spacing w:after="0"/>
              <w:rPr>
                <w:sz w:val="20"/>
                <w:szCs w:val="20"/>
                <w:color w:val="auto"/>
              </w:rPr>
            </w:pPr>
            <w:r>
              <w:rPr>
                <w:rFonts w:ascii="Arial" w:cs="Arial" w:eastAsia="Arial" w:hAnsi="Arial"/>
                <w:sz w:val="17"/>
                <w:szCs w:val="17"/>
                <w:color w:val="auto"/>
              </w:rPr>
              <w:t>Effect of Failure to Receive the Required Vote or Obtain and Retain Security Clearance</w:t>
            </w:r>
          </w:p>
        </w:tc>
        <w:tc>
          <w:tcPr>
            <w:tcW w:w="1280" w:type="dxa"/>
            <w:vAlign w:val="bottom"/>
          </w:tcPr>
          <w:p>
            <w:pPr>
              <w:jc w:val="right"/>
              <w:spacing w:after="0"/>
              <w:rPr>
                <w:rFonts w:ascii="Arial" w:cs="Arial" w:eastAsia="Arial" w:hAnsi="Arial"/>
                <w:sz w:val="17"/>
                <w:szCs w:val="17"/>
                <w:color w:val="auto"/>
              </w:rPr>
            </w:pPr>
            <w:hyperlink w:anchor="page28">
              <w:r>
                <w:rPr>
                  <w:rFonts w:ascii="Arial" w:cs="Arial" w:eastAsia="Arial" w:hAnsi="Arial"/>
                  <w:sz w:val="17"/>
                  <w:szCs w:val="17"/>
                  <w:color w:val="auto"/>
                </w:rPr>
                <w:t>22</w:t>
              </w:r>
            </w:hyperlink>
          </w:p>
        </w:tc>
      </w:tr>
      <w:tr>
        <w:trPr>
          <w:trHeight w:val="244"/>
        </w:trPr>
        <w:tc>
          <w:tcPr>
            <w:tcW w:w="10140" w:type="dxa"/>
            <w:vAlign w:val="bottom"/>
          </w:tcPr>
          <w:p>
            <w:pPr>
              <w:ind w:left="160"/>
              <w:spacing w:after="0"/>
              <w:rPr>
                <w:sz w:val="20"/>
                <w:szCs w:val="20"/>
                <w:color w:val="auto"/>
              </w:rPr>
            </w:pPr>
            <w:r>
              <w:rPr>
                <w:rFonts w:ascii="Arial" w:cs="Arial" w:eastAsia="Arial" w:hAnsi="Arial"/>
                <w:sz w:val="17"/>
                <w:szCs w:val="17"/>
                <w:color w:val="auto"/>
              </w:rPr>
              <w:t>Board and Committee Self-Evaluation</w:t>
            </w:r>
          </w:p>
        </w:tc>
        <w:tc>
          <w:tcPr>
            <w:tcW w:w="1280" w:type="dxa"/>
            <w:vAlign w:val="bottom"/>
          </w:tcPr>
          <w:p>
            <w:pPr>
              <w:jc w:val="right"/>
              <w:spacing w:after="0"/>
              <w:rPr>
                <w:rFonts w:ascii="Arial" w:cs="Arial" w:eastAsia="Arial" w:hAnsi="Arial"/>
                <w:sz w:val="17"/>
                <w:szCs w:val="17"/>
                <w:color w:val="auto"/>
              </w:rPr>
            </w:pPr>
            <w:hyperlink w:anchor="page28">
              <w:r>
                <w:rPr>
                  <w:rFonts w:ascii="Arial" w:cs="Arial" w:eastAsia="Arial" w:hAnsi="Arial"/>
                  <w:sz w:val="17"/>
                  <w:szCs w:val="17"/>
                  <w:color w:val="auto"/>
                </w:rPr>
                <w:t>22</w:t>
              </w:r>
            </w:hyperlink>
          </w:p>
        </w:tc>
      </w:tr>
      <w:tr>
        <w:trPr>
          <w:trHeight w:val="244"/>
        </w:trPr>
        <w:tc>
          <w:tcPr>
            <w:tcW w:w="10140" w:type="dxa"/>
            <w:vAlign w:val="bottom"/>
          </w:tcPr>
          <w:p>
            <w:pPr>
              <w:ind w:left="160"/>
              <w:spacing w:after="0"/>
              <w:rPr>
                <w:sz w:val="20"/>
                <w:szCs w:val="20"/>
                <w:color w:val="auto"/>
              </w:rPr>
            </w:pPr>
            <w:r>
              <w:rPr>
                <w:rFonts w:ascii="Arial" w:cs="Arial" w:eastAsia="Arial" w:hAnsi="Arial"/>
                <w:sz w:val="17"/>
                <w:szCs w:val="17"/>
                <w:color w:val="auto"/>
              </w:rPr>
              <w:t>Succession Planning</w:t>
            </w:r>
          </w:p>
        </w:tc>
        <w:tc>
          <w:tcPr>
            <w:tcW w:w="1280" w:type="dxa"/>
            <w:vAlign w:val="bottom"/>
          </w:tcPr>
          <w:p>
            <w:pPr>
              <w:jc w:val="right"/>
              <w:spacing w:after="0"/>
              <w:rPr>
                <w:rFonts w:ascii="Arial" w:cs="Arial" w:eastAsia="Arial" w:hAnsi="Arial"/>
                <w:sz w:val="17"/>
                <w:szCs w:val="17"/>
                <w:color w:val="auto"/>
              </w:rPr>
            </w:pPr>
            <w:hyperlink w:anchor="page29">
              <w:r>
                <w:rPr>
                  <w:rFonts w:ascii="Arial" w:cs="Arial" w:eastAsia="Arial" w:hAnsi="Arial"/>
                  <w:sz w:val="17"/>
                  <w:szCs w:val="17"/>
                  <w:color w:val="auto"/>
                </w:rPr>
                <w:t>23</w:t>
              </w:r>
            </w:hyperlink>
          </w:p>
        </w:tc>
      </w:tr>
      <w:tr>
        <w:trPr>
          <w:trHeight w:val="244"/>
        </w:trPr>
        <w:tc>
          <w:tcPr>
            <w:tcW w:w="10140" w:type="dxa"/>
            <w:vAlign w:val="bottom"/>
          </w:tcPr>
          <w:p>
            <w:pPr>
              <w:ind w:left="160"/>
              <w:spacing w:after="0"/>
              <w:rPr>
                <w:rFonts w:ascii="Arial" w:cs="Arial" w:eastAsia="Arial" w:hAnsi="Arial"/>
                <w:sz w:val="17"/>
                <w:szCs w:val="17"/>
                <w:color w:val="auto"/>
              </w:rPr>
            </w:pPr>
            <w:hyperlink w:anchor="page29">
              <w:r>
                <w:rPr>
                  <w:rFonts w:ascii="Arial" w:cs="Arial" w:eastAsia="Arial" w:hAnsi="Arial"/>
                  <w:sz w:val="17"/>
                  <w:szCs w:val="17"/>
                  <w:color w:val="auto"/>
                </w:rPr>
                <w:t>Departure and Election of Directors</w:t>
              </w:r>
            </w:hyperlink>
          </w:p>
        </w:tc>
        <w:tc>
          <w:tcPr>
            <w:tcW w:w="1280" w:type="dxa"/>
            <w:vAlign w:val="bottom"/>
          </w:tcPr>
          <w:p>
            <w:pPr>
              <w:jc w:val="right"/>
              <w:spacing w:after="0"/>
              <w:rPr>
                <w:rFonts w:ascii="Arial" w:cs="Arial" w:eastAsia="Arial" w:hAnsi="Arial"/>
                <w:sz w:val="17"/>
                <w:szCs w:val="17"/>
                <w:color w:val="auto"/>
              </w:rPr>
            </w:pPr>
            <w:hyperlink w:anchor="page29">
              <w:r>
                <w:rPr>
                  <w:rFonts w:ascii="Arial" w:cs="Arial" w:eastAsia="Arial" w:hAnsi="Arial"/>
                  <w:sz w:val="17"/>
                  <w:szCs w:val="17"/>
                  <w:color w:val="auto"/>
                </w:rPr>
                <w:t>23</w:t>
              </w:r>
            </w:hyperlink>
          </w:p>
        </w:tc>
      </w:tr>
      <w:tr>
        <w:trPr>
          <w:trHeight w:val="244"/>
        </w:trPr>
        <w:tc>
          <w:tcPr>
            <w:tcW w:w="10140" w:type="dxa"/>
            <w:vAlign w:val="bottom"/>
          </w:tcPr>
          <w:p>
            <w:pPr>
              <w:ind w:left="160"/>
              <w:spacing w:after="0"/>
              <w:rPr>
                <w:rFonts w:ascii="Arial" w:cs="Arial" w:eastAsia="Arial" w:hAnsi="Arial"/>
                <w:sz w:val="17"/>
                <w:szCs w:val="17"/>
                <w:color w:val="auto"/>
              </w:rPr>
            </w:pPr>
            <w:hyperlink w:anchor="page30">
              <w:r>
                <w:rPr>
                  <w:rFonts w:ascii="Arial" w:cs="Arial" w:eastAsia="Arial" w:hAnsi="Arial"/>
                  <w:sz w:val="17"/>
                  <w:szCs w:val="17"/>
                  <w:color w:val="auto"/>
                </w:rPr>
                <w:t>Communications with the Board of Directors</w:t>
              </w:r>
            </w:hyperlink>
          </w:p>
        </w:tc>
        <w:tc>
          <w:tcPr>
            <w:tcW w:w="1280" w:type="dxa"/>
            <w:vAlign w:val="bottom"/>
          </w:tcPr>
          <w:p>
            <w:pPr>
              <w:jc w:val="right"/>
              <w:spacing w:after="0"/>
              <w:rPr>
                <w:rFonts w:ascii="Arial" w:cs="Arial" w:eastAsia="Arial" w:hAnsi="Arial"/>
                <w:sz w:val="17"/>
                <w:szCs w:val="17"/>
                <w:color w:val="auto"/>
              </w:rPr>
            </w:pPr>
            <w:hyperlink w:anchor="page30">
              <w:r>
                <w:rPr>
                  <w:rFonts w:ascii="Arial" w:cs="Arial" w:eastAsia="Arial" w:hAnsi="Arial"/>
                  <w:sz w:val="17"/>
                  <w:szCs w:val="17"/>
                  <w:color w:val="auto"/>
                </w:rPr>
                <w:t>24</w:t>
              </w:r>
            </w:hyperlink>
          </w:p>
        </w:tc>
      </w:tr>
      <w:tr>
        <w:trPr>
          <w:trHeight w:val="244"/>
        </w:trPr>
        <w:tc>
          <w:tcPr>
            <w:tcW w:w="10140" w:type="dxa"/>
            <w:vAlign w:val="bottom"/>
          </w:tcPr>
          <w:p>
            <w:pPr>
              <w:ind w:left="160"/>
              <w:spacing w:after="0"/>
              <w:rPr>
                <w:sz w:val="20"/>
                <w:szCs w:val="20"/>
                <w:color w:val="auto"/>
              </w:rPr>
            </w:pPr>
            <w:r>
              <w:rPr>
                <w:rFonts w:ascii="Arial" w:cs="Arial" w:eastAsia="Arial" w:hAnsi="Arial"/>
                <w:sz w:val="17"/>
                <w:szCs w:val="17"/>
                <w:color w:val="auto"/>
              </w:rPr>
              <w:t>Corporate Responsibility</w:t>
            </w:r>
          </w:p>
        </w:tc>
        <w:tc>
          <w:tcPr>
            <w:tcW w:w="1280" w:type="dxa"/>
            <w:vAlign w:val="bottom"/>
          </w:tcPr>
          <w:p>
            <w:pPr>
              <w:jc w:val="right"/>
              <w:spacing w:after="0"/>
              <w:rPr>
                <w:rFonts w:ascii="Arial" w:cs="Arial" w:eastAsia="Arial" w:hAnsi="Arial"/>
                <w:sz w:val="17"/>
                <w:szCs w:val="17"/>
                <w:color w:val="auto"/>
              </w:rPr>
            </w:pPr>
            <w:hyperlink w:anchor="page30">
              <w:r>
                <w:rPr>
                  <w:rFonts w:ascii="Arial" w:cs="Arial" w:eastAsia="Arial" w:hAnsi="Arial"/>
                  <w:sz w:val="17"/>
                  <w:szCs w:val="17"/>
                  <w:color w:val="auto"/>
                </w:rPr>
                <w:t>24</w:t>
              </w:r>
            </w:hyperlink>
          </w:p>
        </w:tc>
      </w:tr>
      <w:tr>
        <w:trPr>
          <w:trHeight w:val="597"/>
        </w:trPr>
        <w:tc>
          <w:tcPr>
            <w:tcW w:w="10140" w:type="dxa"/>
            <w:vAlign w:val="bottom"/>
            <w:tcBorders>
              <w:bottom w:val="single" w:sz="8" w:color="auto"/>
            </w:tcBorders>
          </w:tcPr>
          <w:p>
            <w:pPr>
              <w:ind w:left="20"/>
              <w:spacing w:after="0"/>
              <w:rPr>
                <w:rFonts w:ascii="Arial" w:cs="Arial" w:eastAsia="Arial" w:hAnsi="Arial"/>
                <w:sz w:val="21"/>
                <w:szCs w:val="21"/>
                <w:b w:val="1"/>
                <w:bCs w:val="1"/>
                <w:color w:val="34657F"/>
              </w:rPr>
            </w:pPr>
            <w:hyperlink w:anchor="page31">
              <w:r>
                <w:rPr>
                  <w:rFonts w:ascii="Arial" w:cs="Arial" w:eastAsia="Arial" w:hAnsi="Arial"/>
                  <w:sz w:val="21"/>
                  <w:szCs w:val="21"/>
                  <w:b w:val="1"/>
                  <w:bCs w:val="1"/>
                  <w:color w:val="34657F"/>
                </w:rPr>
                <w:t>COMPENSATION OF DIRECTORS</w:t>
              </w:r>
            </w:hyperlink>
          </w:p>
        </w:tc>
        <w:tc>
          <w:tcPr>
            <w:tcW w:w="1280" w:type="dxa"/>
            <w:vAlign w:val="bottom"/>
            <w:tcBorders>
              <w:bottom w:val="single" w:sz="8" w:color="auto"/>
            </w:tcBorders>
          </w:tcPr>
          <w:p>
            <w:pPr>
              <w:jc w:val="right"/>
              <w:spacing w:after="0"/>
              <w:rPr>
                <w:rFonts w:ascii="Arial" w:cs="Arial" w:eastAsia="Arial" w:hAnsi="Arial"/>
                <w:sz w:val="17"/>
                <w:szCs w:val="17"/>
                <w:color w:val="auto"/>
              </w:rPr>
            </w:pPr>
            <w:hyperlink w:anchor="page31">
              <w:r>
                <w:rPr>
                  <w:rFonts w:ascii="Arial" w:cs="Arial" w:eastAsia="Arial" w:hAnsi="Arial"/>
                  <w:sz w:val="17"/>
                  <w:szCs w:val="17"/>
                  <w:color w:val="auto"/>
                </w:rPr>
                <w:t>25</w:t>
              </w:r>
            </w:hyperlink>
          </w:p>
        </w:tc>
      </w:tr>
      <w:tr>
        <w:trPr>
          <w:trHeight w:val="229"/>
        </w:trPr>
        <w:tc>
          <w:tcPr>
            <w:tcW w:w="10140" w:type="dxa"/>
            <w:vAlign w:val="bottom"/>
          </w:tcPr>
          <w:p>
            <w:pPr>
              <w:ind w:left="160"/>
              <w:spacing w:after="0"/>
              <w:rPr>
                <w:sz w:val="20"/>
                <w:szCs w:val="20"/>
                <w:color w:val="auto"/>
              </w:rPr>
            </w:pPr>
            <w:r>
              <w:rPr>
                <w:rFonts w:ascii="Arial" w:cs="Arial" w:eastAsia="Arial" w:hAnsi="Arial"/>
                <w:sz w:val="17"/>
                <w:szCs w:val="17"/>
                <w:color w:val="auto"/>
              </w:rPr>
              <w:t>Stock Ownership Requirements and Anti-Hedging and Pledging Policy</w:t>
            </w:r>
          </w:p>
        </w:tc>
        <w:tc>
          <w:tcPr>
            <w:tcW w:w="1280" w:type="dxa"/>
            <w:vAlign w:val="bottom"/>
          </w:tcPr>
          <w:p>
            <w:pPr>
              <w:jc w:val="right"/>
              <w:spacing w:after="0"/>
              <w:rPr>
                <w:rFonts w:ascii="Arial" w:cs="Arial" w:eastAsia="Arial" w:hAnsi="Arial"/>
                <w:sz w:val="17"/>
                <w:szCs w:val="17"/>
                <w:color w:val="auto"/>
              </w:rPr>
            </w:pPr>
            <w:hyperlink w:anchor="page31">
              <w:r>
                <w:rPr>
                  <w:rFonts w:ascii="Arial" w:cs="Arial" w:eastAsia="Arial" w:hAnsi="Arial"/>
                  <w:sz w:val="17"/>
                  <w:szCs w:val="17"/>
                  <w:color w:val="auto"/>
                </w:rPr>
                <w:t>25</w:t>
              </w:r>
            </w:hyperlink>
          </w:p>
        </w:tc>
      </w:tr>
      <w:tr>
        <w:trPr>
          <w:trHeight w:val="244"/>
        </w:trPr>
        <w:tc>
          <w:tcPr>
            <w:tcW w:w="10140" w:type="dxa"/>
            <w:vAlign w:val="bottom"/>
          </w:tcPr>
          <w:p>
            <w:pPr>
              <w:ind w:left="160"/>
              <w:spacing w:after="0"/>
              <w:rPr>
                <w:sz w:val="20"/>
                <w:szCs w:val="20"/>
                <w:color w:val="auto"/>
              </w:rPr>
            </w:pPr>
            <w:r>
              <w:rPr>
                <w:rFonts w:ascii="Arial" w:cs="Arial" w:eastAsia="Arial" w:hAnsi="Arial"/>
                <w:sz w:val="17"/>
                <w:szCs w:val="17"/>
                <w:color w:val="auto"/>
              </w:rPr>
              <w:t>2018 Director Compensation</w:t>
            </w:r>
          </w:p>
        </w:tc>
        <w:tc>
          <w:tcPr>
            <w:tcW w:w="1280" w:type="dxa"/>
            <w:vAlign w:val="bottom"/>
          </w:tcPr>
          <w:p>
            <w:pPr>
              <w:jc w:val="right"/>
              <w:spacing w:after="0"/>
              <w:rPr>
                <w:rFonts w:ascii="Arial" w:cs="Arial" w:eastAsia="Arial" w:hAnsi="Arial"/>
                <w:sz w:val="17"/>
                <w:szCs w:val="17"/>
                <w:color w:val="auto"/>
              </w:rPr>
            </w:pPr>
            <w:hyperlink w:anchor="page32">
              <w:r>
                <w:rPr>
                  <w:rFonts w:ascii="Arial" w:cs="Arial" w:eastAsia="Arial" w:hAnsi="Arial"/>
                  <w:sz w:val="17"/>
                  <w:szCs w:val="17"/>
                  <w:color w:val="auto"/>
                </w:rPr>
                <w:t>26</w:t>
              </w:r>
            </w:hyperlink>
          </w:p>
        </w:tc>
      </w:tr>
      <w:tr>
        <w:trPr>
          <w:trHeight w:val="597"/>
        </w:trPr>
        <w:tc>
          <w:tcPr>
            <w:tcW w:w="10140" w:type="dxa"/>
            <w:vAlign w:val="bottom"/>
            <w:tcBorders>
              <w:bottom w:val="single" w:sz="8" w:color="auto"/>
            </w:tcBorders>
          </w:tcPr>
          <w:p>
            <w:pPr>
              <w:ind w:left="20"/>
              <w:spacing w:after="0"/>
              <w:rPr>
                <w:rFonts w:ascii="Arial" w:cs="Arial" w:eastAsia="Arial" w:hAnsi="Arial"/>
                <w:sz w:val="21"/>
                <w:szCs w:val="21"/>
                <w:b w:val="1"/>
                <w:bCs w:val="1"/>
                <w:color w:val="34657F"/>
              </w:rPr>
            </w:pPr>
            <w:hyperlink w:anchor="page34">
              <w:r>
                <w:rPr>
                  <w:rFonts w:ascii="Arial" w:cs="Arial" w:eastAsia="Arial" w:hAnsi="Arial"/>
                  <w:sz w:val="21"/>
                  <w:szCs w:val="21"/>
                  <w:b w:val="1"/>
                  <w:bCs w:val="1"/>
                  <w:color w:val="34657F"/>
                </w:rPr>
                <w:t>TRANSACTIONS WITH RELATED PERSONS AND CONTROL PERSONS</w:t>
              </w:r>
            </w:hyperlink>
          </w:p>
        </w:tc>
        <w:tc>
          <w:tcPr>
            <w:tcW w:w="1280" w:type="dxa"/>
            <w:vAlign w:val="bottom"/>
            <w:tcBorders>
              <w:bottom w:val="single" w:sz="8" w:color="auto"/>
            </w:tcBorders>
          </w:tcPr>
          <w:p>
            <w:pPr>
              <w:jc w:val="right"/>
              <w:spacing w:after="0"/>
              <w:rPr>
                <w:rFonts w:ascii="Arial" w:cs="Arial" w:eastAsia="Arial" w:hAnsi="Arial"/>
                <w:sz w:val="17"/>
                <w:szCs w:val="17"/>
                <w:color w:val="auto"/>
              </w:rPr>
            </w:pPr>
            <w:hyperlink w:anchor="page34">
              <w:r>
                <w:rPr>
                  <w:rFonts w:ascii="Arial" w:cs="Arial" w:eastAsia="Arial" w:hAnsi="Arial"/>
                  <w:sz w:val="17"/>
                  <w:szCs w:val="17"/>
                  <w:color w:val="auto"/>
                </w:rPr>
                <w:t>28</w:t>
              </w:r>
            </w:hyperlink>
          </w:p>
        </w:tc>
      </w:tr>
      <w:tr>
        <w:trPr>
          <w:trHeight w:val="229"/>
        </w:trPr>
        <w:tc>
          <w:tcPr>
            <w:tcW w:w="10140" w:type="dxa"/>
            <w:vAlign w:val="bottom"/>
          </w:tcPr>
          <w:p>
            <w:pPr>
              <w:ind w:left="160"/>
              <w:spacing w:after="0"/>
              <w:rPr>
                <w:sz w:val="20"/>
                <w:szCs w:val="20"/>
                <w:color w:val="auto"/>
              </w:rPr>
            </w:pPr>
            <w:r>
              <w:rPr>
                <w:rFonts w:ascii="Arial" w:cs="Arial" w:eastAsia="Arial" w:hAnsi="Arial"/>
                <w:sz w:val="17"/>
                <w:szCs w:val="17"/>
                <w:color w:val="auto"/>
              </w:rPr>
              <w:t>Related Person Transactions</w:t>
            </w:r>
          </w:p>
        </w:tc>
        <w:tc>
          <w:tcPr>
            <w:tcW w:w="1280" w:type="dxa"/>
            <w:vAlign w:val="bottom"/>
          </w:tcPr>
          <w:p>
            <w:pPr>
              <w:jc w:val="right"/>
              <w:spacing w:after="0"/>
              <w:rPr>
                <w:rFonts w:ascii="Arial" w:cs="Arial" w:eastAsia="Arial" w:hAnsi="Arial"/>
                <w:sz w:val="17"/>
                <w:szCs w:val="17"/>
                <w:color w:val="auto"/>
              </w:rPr>
            </w:pPr>
            <w:hyperlink w:anchor="page34">
              <w:r>
                <w:rPr>
                  <w:rFonts w:ascii="Arial" w:cs="Arial" w:eastAsia="Arial" w:hAnsi="Arial"/>
                  <w:sz w:val="17"/>
                  <w:szCs w:val="17"/>
                  <w:color w:val="auto"/>
                </w:rPr>
                <w:t>28</w:t>
              </w:r>
            </w:hyperlink>
          </w:p>
        </w:tc>
      </w:tr>
      <w:tr>
        <w:trPr>
          <w:trHeight w:val="244"/>
        </w:trPr>
        <w:tc>
          <w:tcPr>
            <w:tcW w:w="10140" w:type="dxa"/>
            <w:vAlign w:val="bottom"/>
          </w:tcPr>
          <w:p>
            <w:pPr>
              <w:ind w:left="160"/>
              <w:spacing w:after="0"/>
              <w:rPr>
                <w:rFonts w:ascii="Arial" w:cs="Arial" w:eastAsia="Arial" w:hAnsi="Arial"/>
                <w:sz w:val="17"/>
                <w:szCs w:val="17"/>
                <w:color w:val="auto"/>
              </w:rPr>
            </w:pPr>
            <w:hyperlink w:anchor="page34">
              <w:r>
                <w:rPr>
                  <w:rFonts w:ascii="Arial" w:cs="Arial" w:eastAsia="Arial" w:hAnsi="Arial"/>
                  <w:sz w:val="17"/>
                  <w:szCs w:val="17"/>
                  <w:color w:val="auto"/>
                </w:rPr>
                <w:t>Compensation Committee Interlocks and Insider Participation</w:t>
              </w:r>
            </w:hyperlink>
          </w:p>
        </w:tc>
        <w:tc>
          <w:tcPr>
            <w:tcW w:w="1280" w:type="dxa"/>
            <w:vAlign w:val="bottom"/>
          </w:tcPr>
          <w:p>
            <w:pPr>
              <w:jc w:val="right"/>
              <w:spacing w:after="0"/>
              <w:rPr>
                <w:rFonts w:ascii="Arial" w:cs="Arial" w:eastAsia="Arial" w:hAnsi="Arial"/>
                <w:sz w:val="17"/>
                <w:szCs w:val="17"/>
                <w:color w:val="auto"/>
              </w:rPr>
            </w:pPr>
            <w:hyperlink w:anchor="page34">
              <w:r>
                <w:rPr>
                  <w:rFonts w:ascii="Arial" w:cs="Arial" w:eastAsia="Arial" w:hAnsi="Arial"/>
                  <w:sz w:val="17"/>
                  <w:szCs w:val="17"/>
                  <w:color w:val="auto"/>
                </w:rPr>
                <w:t>28</w:t>
              </w:r>
            </w:hyperlink>
          </w:p>
        </w:tc>
      </w:tr>
      <w:tr>
        <w:trPr>
          <w:trHeight w:val="244"/>
        </w:trPr>
        <w:tc>
          <w:tcPr>
            <w:tcW w:w="10140" w:type="dxa"/>
            <w:vAlign w:val="bottom"/>
          </w:tcPr>
          <w:p>
            <w:pPr>
              <w:ind w:left="160"/>
              <w:spacing w:after="0"/>
              <w:rPr>
                <w:sz w:val="20"/>
                <w:szCs w:val="20"/>
                <w:color w:val="auto"/>
              </w:rPr>
            </w:pPr>
            <w:r>
              <w:rPr>
                <w:rFonts w:ascii="Arial" w:cs="Arial" w:eastAsia="Arial" w:hAnsi="Arial"/>
                <w:sz w:val="17"/>
                <w:szCs w:val="17"/>
                <w:color w:val="auto"/>
              </w:rPr>
              <w:t>Indemnification Agreements</w:t>
            </w:r>
          </w:p>
        </w:tc>
        <w:tc>
          <w:tcPr>
            <w:tcW w:w="1280" w:type="dxa"/>
            <w:vAlign w:val="bottom"/>
          </w:tcPr>
          <w:p>
            <w:pPr>
              <w:jc w:val="right"/>
              <w:spacing w:after="0"/>
              <w:rPr>
                <w:rFonts w:ascii="Arial" w:cs="Arial" w:eastAsia="Arial" w:hAnsi="Arial"/>
                <w:sz w:val="17"/>
                <w:szCs w:val="17"/>
                <w:color w:val="auto"/>
              </w:rPr>
            </w:pPr>
            <w:hyperlink w:anchor="page35">
              <w:r>
                <w:rPr>
                  <w:rFonts w:ascii="Arial" w:cs="Arial" w:eastAsia="Arial" w:hAnsi="Arial"/>
                  <w:sz w:val="17"/>
                  <w:szCs w:val="17"/>
                  <w:color w:val="auto"/>
                </w:rPr>
                <w:t>29</w:t>
              </w:r>
            </w:hyperlink>
          </w:p>
        </w:tc>
      </w:tr>
      <w:tr>
        <w:trPr>
          <w:trHeight w:val="597"/>
        </w:trPr>
        <w:tc>
          <w:tcPr>
            <w:tcW w:w="10140" w:type="dxa"/>
            <w:vAlign w:val="bottom"/>
            <w:tcBorders>
              <w:bottom w:val="single" w:sz="8" w:color="auto"/>
            </w:tcBorders>
          </w:tcPr>
          <w:p>
            <w:pPr>
              <w:ind w:left="20"/>
              <w:spacing w:after="0"/>
              <w:rPr>
                <w:sz w:val="20"/>
                <w:szCs w:val="20"/>
                <w:color w:val="auto"/>
              </w:rPr>
            </w:pPr>
            <w:r>
              <w:rPr>
                <w:rFonts w:ascii="Arial" w:cs="Arial" w:eastAsia="Arial" w:hAnsi="Arial"/>
                <w:sz w:val="21"/>
                <w:szCs w:val="21"/>
                <w:b w:val="1"/>
                <w:bCs w:val="1"/>
                <w:color w:val="34657F"/>
              </w:rPr>
              <w:t>SECTION 16(a) BENEFICIAL OWNERSHIP REPORTING COMPLIANCE</w:t>
            </w:r>
          </w:p>
        </w:tc>
        <w:tc>
          <w:tcPr>
            <w:tcW w:w="1280" w:type="dxa"/>
            <w:vAlign w:val="bottom"/>
            <w:tcBorders>
              <w:bottom w:val="single" w:sz="8" w:color="auto"/>
            </w:tcBorders>
          </w:tcPr>
          <w:p>
            <w:pPr>
              <w:jc w:val="right"/>
              <w:spacing w:after="0"/>
              <w:rPr>
                <w:rFonts w:ascii="Arial" w:cs="Arial" w:eastAsia="Arial" w:hAnsi="Arial"/>
                <w:sz w:val="17"/>
                <w:szCs w:val="17"/>
                <w:color w:val="auto"/>
              </w:rPr>
            </w:pPr>
            <w:hyperlink w:anchor="page36">
              <w:r>
                <w:rPr>
                  <w:rFonts w:ascii="Arial" w:cs="Arial" w:eastAsia="Arial" w:hAnsi="Arial"/>
                  <w:sz w:val="17"/>
                  <w:szCs w:val="17"/>
                  <w:color w:val="auto"/>
                </w:rPr>
                <w:t>30</w:t>
              </w:r>
            </w:hyperlink>
          </w:p>
        </w:tc>
      </w:tr>
      <w:tr>
        <w:trPr>
          <w:trHeight w:val="583"/>
        </w:trPr>
        <w:tc>
          <w:tcPr>
            <w:tcW w:w="10140" w:type="dxa"/>
            <w:vAlign w:val="bottom"/>
            <w:tcBorders>
              <w:bottom w:val="single" w:sz="8" w:color="auto"/>
            </w:tcBorders>
          </w:tcPr>
          <w:p>
            <w:pPr>
              <w:ind w:left="20"/>
              <w:spacing w:after="0"/>
              <w:rPr>
                <w:rFonts w:ascii="Arial" w:cs="Arial" w:eastAsia="Arial" w:hAnsi="Arial"/>
                <w:sz w:val="21"/>
                <w:szCs w:val="21"/>
                <w:b w:val="1"/>
                <w:bCs w:val="1"/>
                <w:color w:val="34657F"/>
              </w:rPr>
            </w:pPr>
            <w:hyperlink w:anchor="page37">
              <w:r>
                <w:rPr>
                  <w:rFonts w:ascii="Arial" w:cs="Arial" w:eastAsia="Arial" w:hAnsi="Arial"/>
                  <w:sz w:val="21"/>
                  <w:szCs w:val="21"/>
                  <w:b w:val="1"/>
                  <w:bCs w:val="1"/>
                  <w:color w:val="34657F"/>
                </w:rPr>
                <w:t>VOTING SECURITIES AND PRINCIPAL HOLDERS</w:t>
              </w:r>
            </w:hyperlink>
          </w:p>
        </w:tc>
        <w:tc>
          <w:tcPr>
            <w:tcW w:w="1280" w:type="dxa"/>
            <w:vAlign w:val="bottom"/>
            <w:tcBorders>
              <w:bottom w:val="single" w:sz="8" w:color="auto"/>
            </w:tcBorders>
          </w:tcPr>
          <w:p>
            <w:pPr>
              <w:jc w:val="right"/>
              <w:spacing w:after="0"/>
              <w:rPr>
                <w:rFonts w:ascii="Arial" w:cs="Arial" w:eastAsia="Arial" w:hAnsi="Arial"/>
                <w:sz w:val="17"/>
                <w:szCs w:val="17"/>
                <w:color w:val="auto"/>
              </w:rPr>
            </w:pPr>
            <w:hyperlink w:anchor="page37">
              <w:r>
                <w:rPr>
                  <w:rFonts w:ascii="Arial" w:cs="Arial" w:eastAsia="Arial" w:hAnsi="Arial"/>
                  <w:sz w:val="17"/>
                  <w:szCs w:val="17"/>
                  <w:color w:val="auto"/>
                </w:rPr>
                <w:t>31</w:t>
              </w:r>
            </w:hyperlink>
          </w:p>
        </w:tc>
      </w:tr>
      <w:tr>
        <w:trPr>
          <w:trHeight w:val="229"/>
        </w:trPr>
        <w:tc>
          <w:tcPr>
            <w:tcW w:w="10140" w:type="dxa"/>
            <w:vAlign w:val="bottom"/>
          </w:tcPr>
          <w:p>
            <w:pPr>
              <w:ind w:left="160"/>
              <w:spacing w:after="0"/>
              <w:rPr>
                <w:sz w:val="20"/>
                <w:szCs w:val="20"/>
                <w:color w:val="auto"/>
              </w:rPr>
            </w:pPr>
            <w:r>
              <w:rPr>
                <w:rFonts w:ascii="Arial" w:cs="Arial" w:eastAsia="Arial" w:hAnsi="Arial"/>
                <w:sz w:val="17"/>
                <w:szCs w:val="17"/>
                <w:color w:val="auto"/>
              </w:rPr>
              <w:t>Stock Ownership of Certain Beneficial Owners</w:t>
            </w:r>
          </w:p>
        </w:tc>
        <w:tc>
          <w:tcPr>
            <w:tcW w:w="1280" w:type="dxa"/>
            <w:vAlign w:val="bottom"/>
          </w:tcPr>
          <w:p>
            <w:pPr>
              <w:jc w:val="right"/>
              <w:spacing w:after="0"/>
              <w:rPr>
                <w:rFonts w:ascii="Arial" w:cs="Arial" w:eastAsia="Arial" w:hAnsi="Arial"/>
                <w:sz w:val="17"/>
                <w:szCs w:val="17"/>
                <w:color w:val="auto"/>
              </w:rPr>
            </w:pPr>
            <w:hyperlink w:anchor="page37">
              <w:r>
                <w:rPr>
                  <w:rFonts w:ascii="Arial" w:cs="Arial" w:eastAsia="Arial" w:hAnsi="Arial"/>
                  <w:sz w:val="17"/>
                  <w:szCs w:val="17"/>
                  <w:color w:val="auto"/>
                </w:rPr>
                <w:t>31</w:t>
              </w:r>
            </w:hyperlink>
          </w:p>
        </w:tc>
      </w:tr>
      <w:tr>
        <w:trPr>
          <w:trHeight w:val="244"/>
        </w:trPr>
        <w:tc>
          <w:tcPr>
            <w:tcW w:w="10140" w:type="dxa"/>
            <w:vAlign w:val="bottom"/>
          </w:tcPr>
          <w:p>
            <w:pPr>
              <w:ind w:left="160"/>
              <w:spacing w:after="0"/>
              <w:rPr>
                <w:sz w:val="20"/>
                <w:szCs w:val="20"/>
                <w:color w:val="auto"/>
              </w:rPr>
            </w:pPr>
            <w:r>
              <w:rPr>
                <w:rFonts w:ascii="Arial" w:cs="Arial" w:eastAsia="Arial" w:hAnsi="Arial"/>
                <w:sz w:val="17"/>
                <w:szCs w:val="17"/>
                <w:color w:val="auto"/>
              </w:rPr>
              <w:t>Stock Ownership of Officers and Directors</w:t>
            </w:r>
          </w:p>
        </w:tc>
        <w:tc>
          <w:tcPr>
            <w:tcW w:w="1280" w:type="dxa"/>
            <w:vAlign w:val="bottom"/>
          </w:tcPr>
          <w:p>
            <w:pPr>
              <w:jc w:val="right"/>
              <w:spacing w:after="0"/>
              <w:rPr>
                <w:rFonts w:ascii="Arial" w:cs="Arial" w:eastAsia="Arial" w:hAnsi="Arial"/>
                <w:sz w:val="17"/>
                <w:szCs w:val="17"/>
                <w:color w:val="auto"/>
              </w:rPr>
            </w:pPr>
            <w:hyperlink w:anchor="page38">
              <w:r>
                <w:rPr>
                  <w:rFonts w:ascii="Arial" w:cs="Arial" w:eastAsia="Arial" w:hAnsi="Arial"/>
                  <w:sz w:val="17"/>
                  <w:szCs w:val="17"/>
                  <w:color w:val="auto"/>
                </w:rPr>
                <w:t>32</w:t>
              </w:r>
            </w:hyperlink>
          </w:p>
        </w:tc>
      </w:tr>
      <w:tr>
        <w:trPr>
          <w:trHeight w:val="597"/>
        </w:trPr>
        <w:tc>
          <w:tcPr>
            <w:tcW w:w="10140" w:type="dxa"/>
            <w:vAlign w:val="bottom"/>
            <w:tcBorders>
              <w:bottom w:val="single" w:sz="8" w:color="auto"/>
            </w:tcBorders>
          </w:tcPr>
          <w:p>
            <w:pPr>
              <w:ind w:left="20"/>
              <w:spacing w:after="0"/>
              <w:rPr>
                <w:rFonts w:ascii="Arial" w:cs="Arial" w:eastAsia="Arial" w:hAnsi="Arial"/>
                <w:sz w:val="21"/>
                <w:szCs w:val="21"/>
                <w:b w:val="1"/>
                <w:bCs w:val="1"/>
                <w:color w:val="34657F"/>
              </w:rPr>
            </w:pPr>
            <w:hyperlink w:anchor="page39">
              <w:r>
                <w:rPr>
                  <w:rFonts w:ascii="Arial" w:cs="Arial" w:eastAsia="Arial" w:hAnsi="Arial"/>
                  <w:sz w:val="21"/>
                  <w:szCs w:val="21"/>
                  <w:b w:val="1"/>
                  <w:bCs w:val="1"/>
                  <w:color w:val="34657F"/>
                </w:rPr>
                <w:t>EQUITY COMPENSATION PLAN INFORMATION</w:t>
              </w:r>
            </w:hyperlink>
          </w:p>
        </w:tc>
        <w:tc>
          <w:tcPr>
            <w:tcW w:w="1280" w:type="dxa"/>
            <w:vAlign w:val="bottom"/>
            <w:tcBorders>
              <w:bottom w:val="single" w:sz="8" w:color="auto"/>
            </w:tcBorders>
          </w:tcPr>
          <w:p>
            <w:pPr>
              <w:jc w:val="right"/>
              <w:spacing w:after="0"/>
              <w:rPr>
                <w:rFonts w:ascii="Arial" w:cs="Arial" w:eastAsia="Arial" w:hAnsi="Arial"/>
                <w:sz w:val="17"/>
                <w:szCs w:val="17"/>
                <w:color w:val="auto"/>
              </w:rPr>
            </w:pPr>
            <w:hyperlink w:anchor="page39">
              <w:r>
                <w:rPr>
                  <w:rFonts w:ascii="Arial" w:cs="Arial" w:eastAsia="Arial" w:hAnsi="Arial"/>
                  <w:sz w:val="17"/>
                  <w:szCs w:val="17"/>
                  <w:color w:val="auto"/>
                </w:rPr>
                <w:t>33</w:t>
              </w:r>
            </w:hyperlink>
          </w:p>
        </w:tc>
      </w:tr>
      <w:tr>
        <w:trPr>
          <w:trHeight w:val="583"/>
        </w:trPr>
        <w:tc>
          <w:tcPr>
            <w:tcW w:w="10140" w:type="dxa"/>
            <w:vAlign w:val="bottom"/>
            <w:tcBorders>
              <w:bottom w:val="single" w:sz="8" w:color="auto"/>
            </w:tcBorders>
          </w:tcPr>
          <w:p>
            <w:pPr>
              <w:ind w:left="20"/>
              <w:spacing w:after="0"/>
              <w:rPr>
                <w:sz w:val="20"/>
                <w:szCs w:val="20"/>
                <w:color w:val="auto"/>
              </w:rPr>
            </w:pPr>
            <w:r>
              <w:rPr>
                <w:rFonts w:ascii="Arial" w:cs="Arial" w:eastAsia="Arial" w:hAnsi="Arial"/>
                <w:sz w:val="21"/>
                <w:szCs w:val="21"/>
                <w:b w:val="1"/>
                <w:bCs w:val="1"/>
                <w:color w:val="34657F"/>
              </w:rPr>
              <w:t>PROPOSAL TWO: ADVISORY VOTE ON COMPENSATION OF NAMED EXECUTIVE OFFICERS</w:t>
            </w:r>
          </w:p>
        </w:tc>
        <w:tc>
          <w:tcPr>
            <w:tcW w:w="1280" w:type="dxa"/>
            <w:vAlign w:val="bottom"/>
            <w:tcBorders>
              <w:bottom w:val="single" w:sz="8" w:color="auto"/>
            </w:tcBorders>
          </w:tcPr>
          <w:p>
            <w:pPr>
              <w:jc w:val="right"/>
              <w:spacing w:after="0"/>
              <w:rPr>
                <w:rFonts w:ascii="Arial" w:cs="Arial" w:eastAsia="Arial" w:hAnsi="Arial"/>
                <w:sz w:val="17"/>
                <w:szCs w:val="17"/>
                <w:color w:val="auto"/>
              </w:rPr>
            </w:pPr>
            <w:hyperlink w:anchor="page40">
              <w:r>
                <w:rPr>
                  <w:rFonts w:ascii="Arial" w:cs="Arial" w:eastAsia="Arial" w:hAnsi="Arial"/>
                  <w:sz w:val="17"/>
                  <w:szCs w:val="17"/>
                  <w:color w:val="auto"/>
                </w:rPr>
                <w:t>34</w:t>
              </w:r>
            </w:hyperlink>
          </w:p>
        </w:tc>
      </w:tr>
    </w:tbl>
    <w:p>
      <w:pPr>
        <w:spacing w:after="0" w:line="200" w:lineRule="exact"/>
        <w:rPr>
          <w:sz w:val="20"/>
          <w:szCs w:val="20"/>
          <w:color w:val="auto"/>
        </w:rPr>
      </w:pPr>
    </w:p>
    <w:p>
      <w:pPr>
        <w:sectPr>
          <w:pgSz w:w="11900" w:h="16838" w:orient="portrait"/>
          <w:cols w:equalWidth="0" w:num="1">
            <w:col w:w="11420"/>
          </w:cols>
          <w:pgMar w:left="240" w:top="67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5860"/>
        <w:spacing w:after="0"/>
        <w:rPr>
          <w:sz w:val="20"/>
          <w:szCs w:val="20"/>
          <w:color w:val="auto"/>
        </w:rPr>
      </w:pPr>
      <w:r>
        <w:rPr>
          <w:rFonts w:ascii="Arial" w:cs="Arial" w:eastAsia="Arial" w:hAnsi="Arial"/>
          <w:sz w:val="13"/>
          <w:szCs w:val="13"/>
          <w:color w:val="34657F"/>
        </w:rPr>
        <w:t xml:space="preserve">NOTICE OF 2019 ANNUAL MEETING OF SHAREHOLDERS AND PROXY STATEMENT </w:t>
      </w:r>
      <w:r>
        <w:rPr>
          <w:rFonts w:ascii="Arial" w:cs="Arial" w:eastAsia="Arial" w:hAnsi="Arial"/>
          <w:sz w:val="13"/>
          <w:szCs w:val="13"/>
          <w:color w:val="000000"/>
        </w:rPr>
        <w:t>I i</w:t>
      </w:r>
    </w:p>
    <w:p>
      <w:pPr>
        <w:sectPr>
          <w:pgSz w:w="11900" w:h="16838" w:orient="portrait"/>
          <w:cols w:equalWidth="0" w:num="1">
            <w:col w:w="11420"/>
          </w:cols>
          <w:pgMar w:left="240" w:top="671" w:right="239" w:bottom="1440" w:gutter="0" w:footer="0" w:header="0"/>
          <w:type w:val="continuous"/>
        </w:sectPr>
      </w:pPr>
    </w:p>
    <w:bookmarkStart w:id="5" w:name="page6"/>
    <w:bookmarkEnd w:id="5"/>
    <w:p>
      <w:pPr>
        <w:ind w:left="20"/>
        <w:spacing w:after="0"/>
        <w:rPr>
          <w:sz w:val="20"/>
          <w:szCs w:val="20"/>
          <w:color w:val="auto"/>
        </w:rPr>
      </w:pPr>
      <w:r>
        <w:rPr>
          <w:rFonts w:ascii="Arial" w:cs="Arial" w:eastAsia="Arial" w:hAnsi="Arial"/>
          <w:sz w:val="21"/>
          <w:szCs w:val="21"/>
          <w:b w:val="1"/>
          <w:bCs w:val="1"/>
          <w:color w:val="FFFFFF"/>
        </w:rPr>
        <w:drawing>
          <wp:anchor simplePos="0" relativeHeight="251657728" behindDoc="1" locked="0" layoutInCell="0" allowOverlap="1">
            <wp:simplePos x="0" y="0"/>
            <wp:positionH relativeFrom="page">
              <wp:posOffset>154305</wp:posOffset>
            </wp:positionH>
            <wp:positionV relativeFrom="page">
              <wp:posOffset>365760</wp:posOffset>
            </wp:positionV>
            <wp:extent cx="7253605" cy="5861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3605" cy="586105"/>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9680" w:type="dxa"/>
            <w:vAlign w:val="bottom"/>
            <w:tcBorders>
              <w:bottom w:val="single" w:sz="8" w:color="auto"/>
            </w:tcBorders>
          </w:tcPr>
          <w:p>
            <w:pPr>
              <w:ind w:left="20"/>
              <w:spacing w:after="0"/>
              <w:rPr>
                <w:sz w:val="20"/>
                <w:szCs w:val="20"/>
                <w:color w:val="auto"/>
              </w:rPr>
            </w:pPr>
            <w:r>
              <w:rPr>
                <w:rFonts w:ascii="Arial" w:cs="Arial" w:eastAsia="Arial" w:hAnsi="Arial"/>
                <w:sz w:val="21"/>
                <w:szCs w:val="21"/>
                <w:b w:val="1"/>
                <w:bCs w:val="1"/>
                <w:color w:val="34657F"/>
              </w:rPr>
              <w:t>COMPENSATION DISCUSSION AND ANALYSIS</w:t>
            </w:r>
          </w:p>
        </w:tc>
        <w:tc>
          <w:tcPr>
            <w:tcW w:w="1740" w:type="dxa"/>
            <w:vAlign w:val="bottom"/>
            <w:tcBorders>
              <w:bottom w:val="single" w:sz="8" w:color="auto"/>
            </w:tcBorders>
          </w:tcPr>
          <w:p>
            <w:pPr>
              <w:jc w:val="right"/>
              <w:spacing w:after="0"/>
              <w:rPr>
                <w:rFonts w:ascii="Arial" w:cs="Arial" w:eastAsia="Arial" w:hAnsi="Arial"/>
                <w:sz w:val="17"/>
                <w:szCs w:val="17"/>
                <w:color w:val="auto"/>
              </w:rPr>
            </w:pPr>
            <w:hyperlink w:anchor="page41">
              <w:r>
                <w:rPr>
                  <w:rFonts w:ascii="Arial" w:cs="Arial" w:eastAsia="Arial" w:hAnsi="Arial"/>
                  <w:sz w:val="17"/>
                  <w:szCs w:val="17"/>
                  <w:color w:val="auto"/>
                </w:rPr>
                <w:t>35</w:t>
              </w:r>
            </w:hyperlink>
          </w:p>
        </w:tc>
      </w:tr>
      <w:tr>
        <w:trPr>
          <w:trHeight w:val="229"/>
        </w:trPr>
        <w:tc>
          <w:tcPr>
            <w:tcW w:w="9680" w:type="dxa"/>
            <w:vAlign w:val="bottom"/>
          </w:tcPr>
          <w:p>
            <w:pPr>
              <w:ind w:left="160"/>
              <w:spacing w:after="0"/>
              <w:rPr>
                <w:sz w:val="20"/>
                <w:szCs w:val="20"/>
                <w:color w:val="auto"/>
              </w:rPr>
            </w:pPr>
            <w:r>
              <w:rPr>
                <w:rFonts w:ascii="Arial" w:cs="Arial" w:eastAsia="Arial" w:hAnsi="Arial"/>
                <w:sz w:val="17"/>
                <w:szCs w:val="17"/>
                <w:color w:val="auto"/>
              </w:rPr>
              <w:t>Executive Summary</w:t>
            </w:r>
          </w:p>
        </w:tc>
        <w:tc>
          <w:tcPr>
            <w:tcW w:w="1740" w:type="dxa"/>
            <w:vAlign w:val="bottom"/>
          </w:tcPr>
          <w:p>
            <w:pPr>
              <w:jc w:val="right"/>
              <w:spacing w:after="0"/>
              <w:rPr>
                <w:rFonts w:ascii="Arial" w:cs="Arial" w:eastAsia="Arial" w:hAnsi="Arial"/>
                <w:sz w:val="17"/>
                <w:szCs w:val="17"/>
                <w:color w:val="auto"/>
              </w:rPr>
            </w:pPr>
            <w:hyperlink w:anchor="page43">
              <w:r>
                <w:rPr>
                  <w:rFonts w:ascii="Arial" w:cs="Arial" w:eastAsia="Arial" w:hAnsi="Arial"/>
                  <w:sz w:val="17"/>
                  <w:szCs w:val="17"/>
                  <w:color w:val="auto"/>
                </w:rPr>
                <w:t>37</w:t>
              </w:r>
            </w:hyperlink>
          </w:p>
        </w:tc>
      </w:tr>
      <w:tr>
        <w:trPr>
          <w:trHeight w:val="244"/>
        </w:trPr>
        <w:tc>
          <w:tcPr>
            <w:tcW w:w="9680" w:type="dxa"/>
            <w:vAlign w:val="bottom"/>
          </w:tcPr>
          <w:p>
            <w:pPr>
              <w:ind w:left="160"/>
              <w:spacing w:after="0"/>
              <w:rPr>
                <w:sz w:val="20"/>
                <w:szCs w:val="20"/>
                <w:color w:val="auto"/>
              </w:rPr>
            </w:pPr>
            <w:r>
              <w:rPr>
                <w:rFonts w:ascii="Arial" w:cs="Arial" w:eastAsia="Arial" w:hAnsi="Arial"/>
                <w:sz w:val="17"/>
                <w:szCs w:val="17"/>
                <w:color w:val="auto"/>
              </w:rPr>
              <w:t>Key Principles</w:t>
            </w:r>
          </w:p>
        </w:tc>
        <w:tc>
          <w:tcPr>
            <w:tcW w:w="1740" w:type="dxa"/>
            <w:vAlign w:val="bottom"/>
          </w:tcPr>
          <w:p>
            <w:pPr>
              <w:jc w:val="right"/>
              <w:spacing w:after="0"/>
              <w:rPr>
                <w:rFonts w:ascii="Arial" w:cs="Arial" w:eastAsia="Arial" w:hAnsi="Arial"/>
                <w:sz w:val="17"/>
                <w:szCs w:val="17"/>
                <w:color w:val="auto"/>
              </w:rPr>
            </w:pPr>
            <w:hyperlink w:anchor="page46">
              <w:r>
                <w:rPr>
                  <w:rFonts w:ascii="Arial" w:cs="Arial" w:eastAsia="Arial" w:hAnsi="Arial"/>
                  <w:sz w:val="17"/>
                  <w:szCs w:val="17"/>
                  <w:color w:val="auto"/>
                </w:rPr>
                <w:t>40</w:t>
              </w:r>
            </w:hyperlink>
          </w:p>
        </w:tc>
      </w:tr>
      <w:tr>
        <w:trPr>
          <w:trHeight w:val="244"/>
        </w:trPr>
        <w:tc>
          <w:tcPr>
            <w:tcW w:w="9680" w:type="dxa"/>
            <w:vAlign w:val="bottom"/>
          </w:tcPr>
          <w:p>
            <w:pPr>
              <w:ind w:left="160"/>
              <w:spacing w:after="0"/>
              <w:rPr>
                <w:sz w:val="20"/>
                <w:szCs w:val="20"/>
                <w:color w:val="auto"/>
              </w:rPr>
            </w:pPr>
            <w:r>
              <w:rPr>
                <w:rFonts w:ascii="Arial" w:cs="Arial" w:eastAsia="Arial" w:hAnsi="Arial"/>
                <w:sz w:val="17"/>
                <w:szCs w:val="17"/>
                <w:color w:val="auto"/>
              </w:rPr>
              <w:t>Key Components of Our Programs</w:t>
            </w:r>
          </w:p>
        </w:tc>
        <w:tc>
          <w:tcPr>
            <w:tcW w:w="1740" w:type="dxa"/>
            <w:vAlign w:val="bottom"/>
          </w:tcPr>
          <w:p>
            <w:pPr>
              <w:jc w:val="right"/>
              <w:spacing w:after="0"/>
              <w:rPr>
                <w:rFonts w:ascii="Arial" w:cs="Arial" w:eastAsia="Arial" w:hAnsi="Arial"/>
                <w:sz w:val="17"/>
                <w:szCs w:val="17"/>
                <w:color w:val="auto"/>
              </w:rPr>
            </w:pPr>
            <w:hyperlink w:anchor="page50">
              <w:r>
                <w:rPr>
                  <w:rFonts w:ascii="Arial" w:cs="Arial" w:eastAsia="Arial" w:hAnsi="Arial"/>
                  <w:sz w:val="17"/>
                  <w:szCs w:val="17"/>
                  <w:color w:val="auto"/>
                </w:rPr>
                <w:t>44</w:t>
              </w:r>
            </w:hyperlink>
          </w:p>
        </w:tc>
      </w:tr>
      <w:tr>
        <w:trPr>
          <w:trHeight w:val="597"/>
        </w:trPr>
        <w:tc>
          <w:tcPr>
            <w:tcW w:w="9680" w:type="dxa"/>
            <w:vAlign w:val="bottom"/>
            <w:tcBorders>
              <w:bottom w:val="single" w:sz="8" w:color="auto"/>
            </w:tcBorders>
          </w:tcPr>
          <w:p>
            <w:pPr>
              <w:ind w:left="20"/>
              <w:spacing w:after="0"/>
              <w:rPr>
                <w:sz w:val="20"/>
                <w:szCs w:val="20"/>
                <w:color w:val="auto"/>
              </w:rPr>
            </w:pPr>
            <w:r>
              <w:rPr>
                <w:rFonts w:ascii="Arial" w:cs="Arial" w:eastAsia="Arial" w:hAnsi="Arial"/>
                <w:sz w:val="21"/>
                <w:szCs w:val="21"/>
                <w:b w:val="1"/>
                <w:bCs w:val="1"/>
                <w:color w:val="34657F"/>
              </w:rPr>
              <w:t>COMPENSATION COMMITTEE REPORT</w:t>
            </w:r>
          </w:p>
        </w:tc>
        <w:tc>
          <w:tcPr>
            <w:tcW w:w="1740" w:type="dxa"/>
            <w:vAlign w:val="bottom"/>
            <w:tcBorders>
              <w:bottom w:val="single" w:sz="8" w:color="auto"/>
            </w:tcBorders>
          </w:tcPr>
          <w:p>
            <w:pPr>
              <w:jc w:val="right"/>
              <w:spacing w:after="0"/>
              <w:rPr>
                <w:rFonts w:ascii="Arial" w:cs="Arial" w:eastAsia="Arial" w:hAnsi="Arial"/>
                <w:sz w:val="17"/>
                <w:szCs w:val="17"/>
                <w:color w:val="auto"/>
              </w:rPr>
            </w:pPr>
            <w:hyperlink w:anchor="page58">
              <w:r>
                <w:rPr>
                  <w:rFonts w:ascii="Arial" w:cs="Arial" w:eastAsia="Arial" w:hAnsi="Arial"/>
                  <w:sz w:val="17"/>
                  <w:szCs w:val="17"/>
                  <w:color w:val="auto"/>
                </w:rPr>
                <w:t>52</w:t>
              </w:r>
            </w:hyperlink>
          </w:p>
        </w:tc>
      </w:tr>
      <w:tr>
        <w:trPr>
          <w:trHeight w:val="583"/>
        </w:trPr>
        <w:tc>
          <w:tcPr>
            <w:tcW w:w="9680" w:type="dxa"/>
            <w:vAlign w:val="bottom"/>
            <w:tcBorders>
              <w:bottom w:val="single" w:sz="8" w:color="auto"/>
            </w:tcBorders>
          </w:tcPr>
          <w:p>
            <w:pPr>
              <w:ind w:left="20"/>
              <w:spacing w:after="0"/>
              <w:rPr>
                <w:sz w:val="20"/>
                <w:szCs w:val="20"/>
                <w:color w:val="auto"/>
              </w:rPr>
            </w:pPr>
            <w:r>
              <w:rPr>
                <w:rFonts w:ascii="Arial" w:cs="Arial" w:eastAsia="Arial" w:hAnsi="Arial"/>
                <w:sz w:val="21"/>
                <w:szCs w:val="21"/>
                <w:b w:val="1"/>
                <w:bCs w:val="1"/>
                <w:color w:val="34657F"/>
              </w:rPr>
              <w:t>COMPENSATION TABLES</w:t>
            </w:r>
          </w:p>
        </w:tc>
        <w:tc>
          <w:tcPr>
            <w:tcW w:w="1740" w:type="dxa"/>
            <w:vAlign w:val="bottom"/>
            <w:tcBorders>
              <w:bottom w:val="single" w:sz="8" w:color="auto"/>
            </w:tcBorders>
          </w:tcPr>
          <w:p>
            <w:pPr>
              <w:jc w:val="right"/>
              <w:spacing w:after="0"/>
              <w:rPr>
                <w:rFonts w:ascii="Arial" w:cs="Arial" w:eastAsia="Arial" w:hAnsi="Arial"/>
                <w:sz w:val="17"/>
                <w:szCs w:val="17"/>
                <w:color w:val="auto"/>
              </w:rPr>
            </w:pPr>
            <w:hyperlink w:anchor="page59">
              <w:r>
                <w:rPr>
                  <w:rFonts w:ascii="Arial" w:cs="Arial" w:eastAsia="Arial" w:hAnsi="Arial"/>
                  <w:sz w:val="17"/>
                  <w:szCs w:val="17"/>
                  <w:color w:val="auto"/>
                </w:rPr>
                <w:t>53</w:t>
              </w:r>
            </w:hyperlink>
          </w:p>
        </w:tc>
      </w:tr>
      <w:tr>
        <w:trPr>
          <w:trHeight w:val="229"/>
        </w:trPr>
        <w:tc>
          <w:tcPr>
            <w:tcW w:w="9680" w:type="dxa"/>
            <w:vAlign w:val="bottom"/>
          </w:tcPr>
          <w:p>
            <w:pPr>
              <w:ind w:left="160"/>
              <w:spacing w:after="0"/>
              <w:rPr>
                <w:sz w:val="20"/>
                <w:szCs w:val="20"/>
                <w:color w:val="auto"/>
              </w:rPr>
            </w:pPr>
            <w:r>
              <w:rPr>
                <w:rFonts w:ascii="Arial" w:cs="Arial" w:eastAsia="Arial" w:hAnsi="Arial"/>
                <w:sz w:val="17"/>
                <w:szCs w:val="17"/>
                <w:color w:val="auto"/>
              </w:rPr>
              <w:t>Summary Compensation Table</w:t>
            </w:r>
          </w:p>
        </w:tc>
        <w:tc>
          <w:tcPr>
            <w:tcW w:w="1740" w:type="dxa"/>
            <w:vAlign w:val="bottom"/>
          </w:tcPr>
          <w:p>
            <w:pPr>
              <w:jc w:val="right"/>
              <w:spacing w:after="0"/>
              <w:rPr>
                <w:rFonts w:ascii="Arial" w:cs="Arial" w:eastAsia="Arial" w:hAnsi="Arial"/>
                <w:sz w:val="17"/>
                <w:szCs w:val="17"/>
                <w:color w:val="auto"/>
              </w:rPr>
            </w:pPr>
            <w:hyperlink w:anchor="page59">
              <w:r>
                <w:rPr>
                  <w:rFonts w:ascii="Arial" w:cs="Arial" w:eastAsia="Arial" w:hAnsi="Arial"/>
                  <w:sz w:val="17"/>
                  <w:szCs w:val="17"/>
                  <w:color w:val="auto"/>
                </w:rPr>
                <w:t>53</w:t>
              </w:r>
            </w:hyperlink>
          </w:p>
        </w:tc>
      </w:tr>
      <w:tr>
        <w:trPr>
          <w:trHeight w:val="244"/>
        </w:trPr>
        <w:tc>
          <w:tcPr>
            <w:tcW w:w="9680" w:type="dxa"/>
            <w:vAlign w:val="bottom"/>
          </w:tcPr>
          <w:p>
            <w:pPr>
              <w:ind w:left="160"/>
              <w:spacing w:after="0"/>
              <w:rPr>
                <w:sz w:val="20"/>
                <w:szCs w:val="20"/>
                <w:color w:val="auto"/>
              </w:rPr>
            </w:pPr>
            <w:r>
              <w:rPr>
                <w:rFonts w:ascii="Arial" w:cs="Arial" w:eastAsia="Arial" w:hAnsi="Arial"/>
                <w:sz w:val="17"/>
                <w:szCs w:val="17"/>
                <w:color w:val="auto"/>
              </w:rPr>
              <w:t>Grants of Plan-Based Awards Table</w:t>
            </w:r>
          </w:p>
        </w:tc>
        <w:tc>
          <w:tcPr>
            <w:tcW w:w="1740" w:type="dxa"/>
            <w:vAlign w:val="bottom"/>
          </w:tcPr>
          <w:p>
            <w:pPr>
              <w:jc w:val="right"/>
              <w:spacing w:after="0"/>
              <w:rPr>
                <w:rFonts w:ascii="Arial" w:cs="Arial" w:eastAsia="Arial" w:hAnsi="Arial"/>
                <w:sz w:val="17"/>
                <w:szCs w:val="17"/>
                <w:color w:val="auto"/>
              </w:rPr>
            </w:pPr>
            <w:hyperlink w:anchor="page61">
              <w:r>
                <w:rPr>
                  <w:rFonts w:ascii="Arial" w:cs="Arial" w:eastAsia="Arial" w:hAnsi="Arial"/>
                  <w:sz w:val="17"/>
                  <w:szCs w:val="17"/>
                  <w:color w:val="auto"/>
                </w:rPr>
                <w:t>55</w:t>
              </w:r>
            </w:hyperlink>
          </w:p>
        </w:tc>
      </w:tr>
      <w:tr>
        <w:trPr>
          <w:trHeight w:val="244"/>
        </w:trPr>
        <w:tc>
          <w:tcPr>
            <w:tcW w:w="9680" w:type="dxa"/>
            <w:vAlign w:val="bottom"/>
          </w:tcPr>
          <w:p>
            <w:pPr>
              <w:ind w:left="160"/>
              <w:spacing w:after="0"/>
              <w:rPr>
                <w:sz w:val="20"/>
                <w:szCs w:val="20"/>
                <w:color w:val="auto"/>
              </w:rPr>
            </w:pPr>
            <w:r>
              <w:rPr>
                <w:rFonts w:ascii="Arial" w:cs="Arial" w:eastAsia="Arial" w:hAnsi="Arial"/>
                <w:sz w:val="17"/>
                <w:szCs w:val="17"/>
                <w:color w:val="auto"/>
              </w:rPr>
              <w:t>Outstanding Equity Awards Table</w:t>
            </w:r>
          </w:p>
        </w:tc>
        <w:tc>
          <w:tcPr>
            <w:tcW w:w="1740" w:type="dxa"/>
            <w:vAlign w:val="bottom"/>
          </w:tcPr>
          <w:p>
            <w:pPr>
              <w:jc w:val="right"/>
              <w:spacing w:after="0"/>
              <w:rPr>
                <w:rFonts w:ascii="Arial" w:cs="Arial" w:eastAsia="Arial" w:hAnsi="Arial"/>
                <w:sz w:val="17"/>
                <w:szCs w:val="17"/>
                <w:color w:val="auto"/>
              </w:rPr>
            </w:pPr>
            <w:hyperlink w:anchor="page62">
              <w:r>
                <w:rPr>
                  <w:rFonts w:ascii="Arial" w:cs="Arial" w:eastAsia="Arial" w:hAnsi="Arial"/>
                  <w:sz w:val="17"/>
                  <w:szCs w:val="17"/>
                  <w:color w:val="auto"/>
                </w:rPr>
                <w:t>56</w:t>
              </w:r>
            </w:hyperlink>
          </w:p>
        </w:tc>
      </w:tr>
      <w:tr>
        <w:trPr>
          <w:trHeight w:val="244"/>
        </w:trPr>
        <w:tc>
          <w:tcPr>
            <w:tcW w:w="9680" w:type="dxa"/>
            <w:vAlign w:val="bottom"/>
          </w:tcPr>
          <w:p>
            <w:pPr>
              <w:ind w:left="160"/>
              <w:spacing w:after="0"/>
              <w:rPr>
                <w:sz w:val="20"/>
                <w:szCs w:val="20"/>
                <w:color w:val="auto"/>
              </w:rPr>
            </w:pPr>
            <w:r>
              <w:rPr>
                <w:rFonts w:ascii="Arial" w:cs="Arial" w:eastAsia="Arial" w:hAnsi="Arial"/>
                <w:sz w:val="17"/>
                <w:szCs w:val="17"/>
                <w:color w:val="auto"/>
              </w:rPr>
              <w:t>Stock Vested Table</w:t>
            </w:r>
          </w:p>
        </w:tc>
        <w:tc>
          <w:tcPr>
            <w:tcW w:w="1740" w:type="dxa"/>
            <w:vAlign w:val="bottom"/>
          </w:tcPr>
          <w:p>
            <w:pPr>
              <w:jc w:val="right"/>
              <w:spacing w:after="0"/>
              <w:rPr>
                <w:rFonts w:ascii="Arial" w:cs="Arial" w:eastAsia="Arial" w:hAnsi="Arial"/>
                <w:sz w:val="17"/>
                <w:szCs w:val="17"/>
                <w:color w:val="auto"/>
              </w:rPr>
            </w:pPr>
            <w:hyperlink w:anchor="page63">
              <w:r>
                <w:rPr>
                  <w:rFonts w:ascii="Arial" w:cs="Arial" w:eastAsia="Arial" w:hAnsi="Arial"/>
                  <w:sz w:val="17"/>
                  <w:szCs w:val="17"/>
                  <w:color w:val="auto"/>
                </w:rPr>
                <w:t>57</w:t>
              </w:r>
            </w:hyperlink>
          </w:p>
        </w:tc>
      </w:tr>
      <w:tr>
        <w:trPr>
          <w:trHeight w:val="244"/>
        </w:trPr>
        <w:tc>
          <w:tcPr>
            <w:tcW w:w="9680" w:type="dxa"/>
            <w:vAlign w:val="bottom"/>
          </w:tcPr>
          <w:p>
            <w:pPr>
              <w:ind w:left="160"/>
              <w:spacing w:after="0"/>
              <w:rPr>
                <w:sz w:val="20"/>
                <w:szCs w:val="20"/>
                <w:color w:val="auto"/>
              </w:rPr>
            </w:pPr>
            <w:r>
              <w:rPr>
                <w:rFonts w:ascii="Arial" w:cs="Arial" w:eastAsia="Arial" w:hAnsi="Arial"/>
                <w:sz w:val="17"/>
                <w:szCs w:val="17"/>
                <w:color w:val="auto"/>
              </w:rPr>
              <w:t>Pension Benefits</w:t>
            </w:r>
          </w:p>
        </w:tc>
        <w:tc>
          <w:tcPr>
            <w:tcW w:w="1740" w:type="dxa"/>
            <w:vAlign w:val="bottom"/>
          </w:tcPr>
          <w:p>
            <w:pPr>
              <w:jc w:val="right"/>
              <w:spacing w:after="0"/>
              <w:rPr>
                <w:rFonts w:ascii="Arial" w:cs="Arial" w:eastAsia="Arial" w:hAnsi="Arial"/>
                <w:sz w:val="17"/>
                <w:szCs w:val="17"/>
                <w:color w:val="auto"/>
              </w:rPr>
            </w:pPr>
            <w:hyperlink w:anchor="page64">
              <w:r>
                <w:rPr>
                  <w:rFonts w:ascii="Arial" w:cs="Arial" w:eastAsia="Arial" w:hAnsi="Arial"/>
                  <w:sz w:val="17"/>
                  <w:szCs w:val="17"/>
                  <w:color w:val="auto"/>
                </w:rPr>
                <w:t>58</w:t>
              </w:r>
            </w:hyperlink>
          </w:p>
        </w:tc>
      </w:tr>
      <w:tr>
        <w:trPr>
          <w:trHeight w:val="244"/>
        </w:trPr>
        <w:tc>
          <w:tcPr>
            <w:tcW w:w="9680" w:type="dxa"/>
            <w:vAlign w:val="bottom"/>
          </w:tcPr>
          <w:p>
            <w:pPr>
              <w:ind w:left="160"/>
              <w:spacing w:after="0"/>
              <w:rPr>
                <w:sz w:val="20"/>
                <w:szCs w:val="20"/>
                <w:color w:val="auto"/>
              </w:rPr>
            </w:pPr>
            <w:r>
              <w:rPr>
                <w:rFonts w:ascii="Arial" w:cs="Arial" w:eastAsia="Arial" w:hAnsi="Arial"/>
                <w:sz w:val="17"/>
                <w:szCs w:val="17"/>
                <w:color w:val="auto"/>
              </w:rPr>
              <w:t>Nonqualified Deferred Compensation Table</w:t>
            </w:r>
          </w:p>
        </w:tc>
        <w:tc>
          <w:tcPr>
            <w:tcW w:w="1740" w:type="dxa"/>
            <w:vAlign w:val="bottom"/>
          </w:tcPr>
          <w:p>
            <w:pPr>
              <w:jc w:val="right"/>
              <w:spacing w:after="0"/>
              <w:rPr>
                <w:rFonts w:ascii="Arial" w:cs="Arial" w:eastAsia="Arial" w:hAnsi="Arial"/>
                <w:sz w:val="17"/>
                <w:szCs w:val="17"/>
                <w:color w:val="auto"/>
              </w:rPr>
            </w:pPr>
            <w:hyperlink w:anchor="page69">
              <w:r>
                <w:rPr>
                  <w:rFonts w:ascii="Arial" w:cs="Arial" w:eastAsia="Arial" w:hAnsi="Arial"/>
                  <w:sz w:val="17"/>
                  <w:szCs w:val="17"/>
                  <w:color w:val="auto"/>
                </w:rPr>
                <w:t>63</w:t>
              </w:r>
            </w:hyperlink>
          </w:p>
        </w:tc>
      </w:tr>
      <w:tr>
        <w:trPr>
          <w:trHeight w:val="597"/>
        </w:trPr>
        <w:tc>
          <w:tcPr>
            <w:tcW w:w="9680" w:type="dxa"/>
            <w:vAlign w:val="bottom"/>
            <w:tcBorders>
              <w:bottom w:val="single" w:sz="8" w:color="auto"/>
            </w:tcBorders>
          </w:tcPr>
          <w:p>
            <w:pPr>
              <w:ind w:left="20"/>
              <w:spacing w:after="0"/>
              <w:rPr>
                <w:sz w:val="20"/>
                <w:szCs w:val="20"/>
                <w:color w:val="auto"/>
              </w:rPr>
            </w:pPr>
            <w:r>
              <w:rPr>
                <w:rFonts w:ascii="Arial" w:cs="Arial" w:eastAsia="Arial" w:hAnsi="Arial"/>
                <w:sz w:val="21"/>
                <w:szCs w:val="21"/>
                <w:b w:val="1"/>
                <w:bCs w:val="1"/>
                <w:color w:val="34657F"/>
              </w:rPr>
              <w:t>CEO PAY RATIO</w:t>
            </w:r>
          </w:p>
        </w:tc>
        <w:tc>
          <w:tcPr>
            <w:tcW w:w="1740" w:type="dxa"/>
            <w:vAlign w:val="bottom"/>
            <w:tcBorders>
              <w:bottom w:val="single" w:sz="8" w:color="auto"/>
            </w:tcBorders>
          </w:tcPr>
          <w:p>
            <w:pPr>
              <w:jc w:val="right"/>
              <w:spacing w:after="0"/>
              <w:rPr>
                <w:rFonts w:ascii="Arial" w:cs="Arial" w:eastAsia="Arial" w:hAnsi="Arial"/>
                <w:sz w:val="17"/>
                <w:szCs w:val="17"/>
                <w:color w:val="auto"/>
              </w:rPr>
            </w:pPr>
            <w:hyperlink w:anchor="page71">
              <w:r>
                <w:rPr>
                  <w:rFonts w:ascii="Arial" w:cs="Arial" w:eastAsia="Arial" w:hAnsi="Arial"/>
                  <w:sz w:val="17"/>
                  <w:szCs w:val="17"/>
                  <w:color w:val="auto"/>
                </w:rPr>
                <w:t>65</w:t>
              </w:r>
            </w:hyperlink>
          </w:p>
        </w:tc>
      </w:tr>
      <w:tr>
        <w:trPr>
          <w:trHeight w:val="583"/>
        </w:trPr>
        <w:tc>
          <w:tcPr>
            <w:tcW w:w="9680" w:type="dxa"/>
            <w:vAlign w:val="bottom"/>
            <w:tcBorders>
              <w:bottom w:val="single" w:sz="8" w:color="auto"/>
            </w:tcBorders>
          </w:tcPr>
          <w:p>
            <w:pPr>
              <w:ind w:left="20"/>
              <w:spacing w:after="0"/>
              <w:rPr>
                <w:sz w:val="20"/>
                <w:szCs w:val="20"/>
                <w:color w:val="auto"/>
              </w:rPr>
            </w:pPr>
            <w:r>
              <w:rPr>
                <w:rFonts w:ascii="Arial" w:cs="Arial" w:eastAsia="Arial" w:hAnsi="Arial"/>
                <w:sz w:val="21"/>
                <w:szCs w:val="21"/>
                <w:b w:val="1"/>
                <w:bCs w:val="1"/>
                <w:color w:val="34657F"/>
              </w:rPr>
              <w:t>TERMINATION PAYMENTS AND BENEFITS</w:t>
            </w:r>
          </w:p>
        </w:tc>
        <w:tc>
          <w:tcPr>
            <w:tcW w:w="1740" w:type="dxa"/>
            <w:vAlign w:val="bottom"/>
            <w:tcBorders>
              <w:bottom w:val="single" w:sz="8" w:color="auto"/>
            </w:tcBorders>
          </w:tcPr>
          <w:p>
            <w:pPr>
              <w:jc w:val="right"/>
              <w:spacing w:after="0"/>
              <w:rPr>
                <w:rFonts w:ascii="Arial" w:cs="Arial" w:eastAsia="Arial" w:hAnsi="Arial"/>
                <w:sz w:val="17"/>
                <w:szCs w:val="17"/>
                <w:color w:val="auto"/>
              </w:rPr>
            </w:pPr>
            <w:hyperlink w:anchor="page72">
              <w:r>
                <w:rPr>
                  <w:rFonts w:ascii="Arial" w:cs="Arial" w:eastAsia="Arial" w:hAnsi="Arial"/>
                  <w:sz w:val="17"/>
                  <w:szCs w:val="17"/>
                  <w:color w:val="auto"/>
                </w:rPr>
                <w:t>66</w:t>
              </w:r>
            </w:hyperlink>
          </w:p>
        </w:tc>
      </w:tr>
      <w:tr>
        <w:trPr>
          <w:trHeight w:val="229"/>
        </w:trPr>
        <w:tc>
          <w:tcPr>
            <w:tcW w:w="9680" w:type="dxa"/>
            <w:vAlign w:val="bottom"/>
          </w:tcPr>
          <w:p>
            <w:pPr>
              <w:ind w:left="160"/>
              <w:spacing w:after="0"/>
              <w:rPr>
                <w:sz w:val="20"/>
                <w:szCs w:val="20"/>
                <w:color w:val="auto"/>
              </w:rPr>
            </w:pPr>
            <w:r>
              <w:rPr>
                <w:rFonts w:ascii="Arial" w:cs="Arial" w:eastAsia="Arial" w:hAnsi="Arial"/>
                <w:sz w:val="17"/>
                <w:szCs w:val="17"/>
                <w:color w:val="auto"/>
              </w:rPr>
              <w:t>Termination Payment Table</w:t>
            </w:r>
          </w:p>
        </w:tc>
        <w:tc>
          <w:tcPr>
            <w:tcW w:w="1740" w:type="dxa"/>
            <w:vAlign w:val="bottom"/>
          </w:tcPr>
          <w:p>
            <w:pPr>
              <w:jc w:val="right"/>
              <w:spacing w:after="0"/>
              <w:rPr>
                <w:rFonts w:ascii="Arial" w:cs="Arial" w:eastAsia="Arial" w:hAnsi="Arial"/>
                <w:sz w:val="17"/>
                <w:szCs w:val="17"/>
                <w:color w:val="auto"/>
              </w:rPr>
            </w:pPr>
            <w:hyperlink w:anchor="page74">
              <w:r>
                <w:rPr>
                  <w:rFonts w:ascii="Arial" w:cs="Arial" w:eastAsia="Arial" w:hAnsi="Arial"/>
                  <w:sz w:val="17"/>
                  <w:szCs w:val="17"/>
                  <w:color w:val="auto"/>
                </w:rPr>
                <w:t>68</w:t>
              </w:r>
            </w:hyperlink>
          </w:p>
        </w:tc>
      </w:tr>
      <w:tr>
        <w:trPr>
          <w:trHeight w:val="597"/>
        </w:trPr>
        <w:tc>
          <w:tcPr>
            <w:tcW w:w="9680" w:type="dxa"/>
            <w:vAlign w:val="bottom"/>
            <w:tcBorders>
              <w:bottom w:val="single" w:sz="8" w:color="auto"/>
            </w:tcBorders>
          </w:tcPr>
          <w:p>
            <w:pPr>
              <w:ind w:left="20"/>
              <w:spacing w:after="0"/>
              <w:rPr>
                <w:sz w:val="20"/>
                <w:szCs w:val="20"/>
                <w:color w:val="auto"/>
              </w:rPr>
            </w:pPr>
            <w:r>
              <w:rPr>
                <w:rFonts w:ascii="Arial" w:cs="Arial" w:eastAsia="Arial" w:hAnsi="Arial"/>
                <w:sz w:val="21"/>
                <w:szCs w:val="21"/>
                <w:b w:val="1"/>
                <w:bCs w:val="1"/>
                <w:color w:val="34657F"/>
              </w:rPr>
              <w:t>PROPOSAL THREE: RATIFICATION OF APPOINTMENT OF INDEPENDENT AUDITOR</w:t>
            </w:r>
          </w:p>
        </w:tc>
        <w:tc>
          <w:tcPr>
            <w:tcW w:w="1740" w:type="dxa"/>
            <w:vAlign w:val="bottom"/>
            <w:tcBorders>
              <w:bottom w:val="single" w:sz="8" w:color="auto"/>
            </w:tcBorders>
          </w:tcPr>
          <w:p>
            <w:pPr>
              <w:jc w:val="right"/>
              <w:spacing w:after="0"/>
              <w:rPr>
                <w:rFonts w:ascii="Arial" w:cs="Arial" w:eastAsia="Arial" w:hAnsi="Arial"/>
                <w:sz w:val="17"/>
                <w:szCs w:val="17"/>
                <w:color w:val="auto"/>
              </w:rPr>
            </w:pPr>
            <w:hyperlink w:anchor="page75">
              <w:r>
                <w:rPr>
                  <w:rFonts w:ascii="Arial" w:cs="Arial" w:eastAsia="Arial" w:hAnsi="Arial"/>
                  <w:sz w:val="17"/>
                  <w:szCs w:val="17"/>
                  <w:color w:val="auto"/>
                </w:rPr>
                <w:t>69</w:t>
              </w:r>
            </w:hyperlink>
          </w:p>
        </w:tc>
      </w:tr>
      <w:tr>
        <w:trPr>
          <w:trHeight w:val="229"/>
        </w:trPr>
        <w:tc>
          <w:tcPr>
            <w:tcW w:w="9680" w:type="dxa"/>
            <w:vAlign w:val="bottom"/>
          </w:tcPr>
          <w:p>
            <w:pPr>
              <w:ind w:left="160"/>
              <w:spacing w:after="0"/>
              <w:rPr>
                <w:sz w:val="20"/>
                <w:szCs w:val="20"/>
                <w:color w:val="auto"/>
              </w:rPr>
            </w:pPr>
            <w:r>
              <w:rPr>
                <w:rFonts w:ascii="Arial" w:cs="Arial" w:eastAsia="Arial" w:hAnsi="Arial"/>
                <w:sz w:val="17"/>
                <w:szCs w:val="17"/>
                <w:color w:val="auto"/>
              </w:rPr>
              <w:t>Audit Fees and All Other Fees</w:t>
            </w:r>
          </w:p>
        </w:tc>
        <w:tc>
          <w:tcPr>
            <w:tcW w:w="1740" w:type="dxa"/>
            <w:vAlign w:val="bottom"/>
          </w:tcPr>
          <w:p>
            <w:pPr>
              <w:jc w:val="right"/>
              <w:spacing w:after="0"/>
              <w:rPr>
                <w:rFonts w:ascii="Arial" w:cs="Arial" w:eastAsia="Arial" w:hAnsi="Arial"/>
                <w:sz w:val="17"/>
                <w:szCs w:val="17"/>
                <w:color w:val="auto"/>
              </w:rPr>
            </w:pPr>
            <w:hyperlink w:anchor="page75">
              <w:r>
                <w:rPr>
                  <w:rFonts w:ascii="Arial" w:cs="Arial" w:eastAsia="Arial" w:hAnsi="Arial"/>
                  <w:sz w:val="17"/>
                  <w:szCs w:val="17"/>
                  <w:color w:val="auto"/>
                </w:rPr>
                <w:t>69</w:t>
              </w:r>
            </w:hyperlink>
          </w:p>
        </w:tc>
      </w:tr>
      <w:tr>
        <w:trPr>
          <w:trHeight w:val="244"/>
        </w:trPr>
        <w:tc>
          <w:tcPr>
            <w:tcW w:w="9680" w:type="dxa"/>
            <w:vAlign w:val="bottom"/>
          </w:tcPr>
          <w:p>
            <w:pPr>
              <w:ind w:left="160"/>
              <w:spacing w:after="0"/>
              <w:rPr>
                <w:sz w:val="20"/>
                <w:szCs w:val="20"/>
                <w:color w:val="auto"/>
              </w:rPr>
            </w:pPr>
            <w:r>
              <w:rPr>
                <w:rFonts w:ascii="Arial" w:cs="Arial" w:eastAsia="Arial" w:hAnsi="Arial"/>
                <w:sz w:val="17"/>
                <w:szCs w:val="17"/>
                <w:color w:val="auto"/>
              </w:rPr>
              <w:t>Policy on Audit Committee Pre-Approval of Audit and Permissible Non-Audit Services</w:t>
            </w:r>
          </w:p>
        </w:tc>
        <w:tc>
          <w:tcPr>
            <w:tcW w:w="1740" w:type="dxa"/>
            <w:vAlign w:val="bottom"/>
          </w:tcPr>
          <w:p>
            <w:pPr>
              <w:jc w:val="right"/>
              <w:spacing w:after="0"/>
              <w:rPr>
                <w:rFonts w:ascii="Arial" w:cs="Arial" w:eastAsia="Arial" w:hAnsi="Arial"/>
                <w:sz w:val="17"/>
                <w:szCs w:val="17"/>
                <w:color w:val="auto"/>
              </w:rPr>
            </w:pPr>
            <w:hyperlink w:anchor="page75">
              <w:r>
                <w:rPr>
                  <w:rFonts w:ascii="Arial" w:cs="Arial" w:eastAsia="Arial" w:hAnsi="Arial"/>
                  <w:sz w:val="17"/>
                  <w:szCs w:val="17"/>
                  <w:color w:val="auto"/>
                </w:rPr>
                <w:t>69</w:t>
              </w:r>
            </w:hyperlink>
          </w:p>
        </w:tc>
      </w:tr>
      <w:tr>
        <w:trPr>
          <w:trHeight w:val="597"/>
        </w:trPr>
        <w:tc>
          <w:tcPr>
            <w:tcW w:w="9680" w:type="dxa"/>
            <w:vAlign w:val="bottom"/>
            <w:tcBorders>
              <w:bottom w:val="single" w:sz="8" w:color="auto"/>
            </w:tcBorders>
          </w:tcPr>
          <w:p>
            <w:pPr>
              <w:ind w:left="20"/>
              <w:spacing w:after="0"/>
              <w:rPr>
                <w:rFonts w:ascii="Arial" w:cs="Arial" w:eastAsia="Arial" w:hAnsi="Arial"/>
                <w:sz w:val="21"/>
                <w:szCs w:val="21"/>
                <w:b w:val="1"/>
                <w:bCs w:val="1"/>
                <w:color w:val="34657F"/>
              </w:rPr>
            </w:pPr>
            <w:hyperlink w:anchor="page77">
              <w:r>
                <w:rPr>
                  <w:rFonts w:ascii="Arial" w:cs="Arial" w:eastAsia="Arial" w:hAnsi="Arial"/>
                  <w:sz w:val="21"/>
                  <w:szCs w:val="21"/>
                  <w:b w:val="1"/>
                  <w:bCs w:val="1"/>
                  <w:color w:val="34657F"/>
                </w:rPr>
                <w:t>AUDIT COMMITTEE REPORT</w:t>
              </w:r>
            </w:hyperlink>
          </w:p>
        </w:tc>
        <w:tc>
          <w:tcPr>
            <w:tcW w:w="1740" w:type="dxa"/>
            <w:vAlign w:val="bottom"/>
            <w:tcBorders>
              <w:bottom w:val="single" w:sz="8" w:color="auto"/>
            </w:tcBorders>
          </w:tcPr>
          <w:p>
            <w:pPr>
              <w:jc w:val="right"/>
              <w:spacing w:after="0"/>
              <w:rPr>
                <w:rFonts w:ascii="Arial" w:cs="Arial" w:eastAsia="Arial" w:hAnsi="Arial"/>
                <w:sz w:val="17"/>
                <w:szCs w:val="17"/>
                <w:color w:val="auto"/>
              </w:rPr>
            </w:pPr>
            <w:hyperlink w:anchor="page77">
              <w:r>
                <w:rPr>
                  <w:rFonts w:ascii="Arial" w:cs="Arial" w:eastAsia="Arial" w:hAnsi="Arial"/>
                  <w:sz w:val="17"/>
                  <w:szCs w:val="17"/>
                  <w:color w:val="auto"/>
                </w:rPr>
                <w:t>71</w:t>
              </w:r>
            </w:hyperlink>
          </w:p>
        </w:tc>
      </w:tr>
      <w:tr>
        <w:trPr>
          <w:trHeight w:val="583"/>
        </w:trPr>
        <w:tc>
          <w:tcPr>
            <w:tcW w:w="9680" w:type="dxa"/>
            <w:vAlign w:val="bottom"/>
            <w:tcBorders>
              <w:bottom w:val="single" w:sz="8" w:color="auto"/>
            </w:tcBorders>
          </w:tcPr>
          <w:p>
            <w:pPr>
              <w:ind w:left="20"/>
              <w:spacing w:after="0"/>
              <w:rPr>
                <w:sz w:val="20"/>
                <w:szCs w:val="20"/>
                <w:color w:val="auto"/>
              </w:rPr>
            </w:pPr>
            <w:r>
              <w:rPr>
                <w:rFonts w:ascii="Arial" w:cs="Arial" w:eastAsia="Arial" w:hAnsi="Arial"/>
                <w:sz w:val="21"/>
                <w:szCs w:val="21"/>
                <w:b w:val="1"/>
                <w:bCs w:val="1"/>
                <w:color w:val="34657F"/>
              </w:rPr>
              <w:t>PROPOSAL FOUR: SHAREHOLDER PROPOSAL</w:t>
            </w:r>
          </w:p>
        </w:tc>
        <w:tc>
          <w:tcPr>
            <w:tcW w:w="1740" w:type="dxa"/>
            <w:vAlign w:val="bottom"/>
            <w:tcBorders>
              <w:bottom w:val="single" w:sz="8" w:color="auto"/>
            </w:tcBorders>
          </w:tcPr>
          <w:p>
            <w:pPr>
              <w:jc w:val="right"/>
              <w:spacing w:after="0"/>
              <w:rPr>
                <w:rFonts w:ascii="Arial" w:cs="Arial" w:eastAsia="Arial" w:hAnsi="Arial"/>
                <w:sz w:val="17"/>
                <w:szCs w:val="17"/>
                <w:color w:val="auto"/>
              </w:rPr>
            </w:pPr>
            <w:hyperlink w:anchor="page78">
              <w:r>
                <w:rPr>
                  <w:rFonts w:ascii="Arial" w:cs="Arial" w:eastAsia="Arial" w:hAnsi="Arial"/>
                  <w:sz w:val="17"/>
                  <w:szCs w:val="17"/>
                  <w:color w:val="auto"/>
                </w:rPr>
                <w:t>72</w:t>
              </w:r>
            </w:hyperlink>
          </w:p>
        </w:tc>
      </w:tr>
      <w:tr>
        <w:trPr>
          <w:trHeight w:val="583"/>
        </w:trPr>
        <w:tc>
          <w:tcPr>
            <w:tcW w:w="9680" w:type="dxa"/>
            <w:vAlign w:val="bottom"/>
            <w:tcBorders>
              <w:bottom w:val="single" w:sz="8" w:color="auto"/>
            </w:tcBorders>
          </w:tcPr>
          <w:p>
            <w:pPr>
              <w:ind w:left="20"/>
              <w:spacing w:after="0"/>
              <w:rPr>
                <w:sz w:val="20"/>
                <w:szCs w:val="20"/>
                <w:color w:val="auto"/>
              </w:rPr>
            </w:pPr>
            <w:r>
              <w:rPr>
                <w:rFonts w:ascii="Arial" w:cs="Arial" w:eastAsia="Arial" w:hAnsi="Arial"/>
                <w:sz w:val="21"/>
                <w:szCs w:val="21"/>
                <w:b w:val="1"/>
                <w:bCs w:val="1"/>
                <w:color w:val="34657F"/>
              </w:rPr>
              <w:t>PROPOSAL FIVE: SHAREHOLDER PROPOSAL</w:t>
            </w:r>
          </w:p>
        </w:tc>
        <w:tc>
          <w:tcPr>
            <w:tcW w:w="1740" w:type="dxa"/>
            <w:vAlign w:val="bottom"/>
            <w:tcBorders>
              <w:bottom w:val="single" w:sz="8" w:color="auto"/>
            </w:tcBorders>
          </w:tcPr>
          <w:p>
            <w:pPr>
              <w:jc w:val="right"/>
              <w:spacing w:after="0"/>
              <w:rPr>
                <w:rFonts w:ascii="Arial" w:cs="Arial" w:eastAsia="Arial" w:hAnsi="Arial"/>
                <w:sz w:val="17"/>
                <w:szCs w:val="17"/>
                <w:color w:val="auto"/>
              </w:rPr>
            </w:pPr>
            <w:hyperlink w:anchor="page81">
              <w:r>
                <w:rPr>
                  <w:rFonts w:ascii="Arial" w:cs="Arial" w:eastAsia="Arial" w:hAnsi="Arial"/>
                  <w:sz w:val="17"/>
                  <w:szCs w:val="17"/>
                  <w:color w:val="auto"/>
                </w:rPr>
                <w:t>75</w:t>
              </w:r>
            </w:hyperlink>
          </w:p>
        </w:tc>
      </w:tr>
      <w:tr>
        <w:trPr>
          <w:trHeight w:val="583"/>
        </w:trPr>
        <w:tc>
          <w:tcPr>
            <w:tcW w:w="9680" w:type="dxa"/>
            <w:vAlign w:val="bottom"/>
            <w:tcBorders>
              <w:bottom w:val="single" w:sz="8" w:color="auto"/>
            </w:tcBorders>
          </w:tcPr>
          <w:p>
            <w:pPr>
              <w:ind w:left="20"/>
              <w:spacing w:after="0"/>
              <w:rPr>
                <w:rFonts w:ascii="Arial" w:cs="Arial" w:eastAsia="Arial" w:hAnsi="Arial"/>
                <w:sz w:val="21"/>
                <w:szCs w:val="21"/>
                <w:b w:val="1"/>
                <w:bCs w:val="1"/>
                <w:color w:val="34657F"/>
              </w:rPr>
            </w:pPr>
            <w:hyperlink w:anchor="page84">
              <w:r>
                <w:rPr>
                  <w:rFonts w:ascii="Arial" w:cs="Arial" w:eastAsia="Arial" w:hAnsi="Arial"/>
                  <w:sz w:val="21"/>
                  <w:szCs w:val="21"/>
                  <w:b w:val="1"/>
                  <w:bCs w:val="1"/>
                  <w:color w:val="34657F"/>
                </w:rPr>
                <w:t>QUESTIONS AND ANSWERS ABOUT THE ANNUAL MEETING</w:t>
              </w:r>
            </w:hyperlink>
          </w:p>
        </w:tc>
        <w:tc>
          <w:tcPr>
            <w:tcW w:w="1740" w:type="dxa"/>
            <w:vAlign w:val="bottom"/>
            <w:tcBorders>
              <w:bottom w:val="single" w:sz="8" w:color="auto"/>
            </w:tcBorders>
          </w:tcPr>
          <w:p>
            <w:pPr>
              <w:jc w:val="right"/>
              <w:spacing w:after="0"/>
              <w:rPr>
                <w:rFonts w:ascii="Arial" w:cs="Arial" w:eastAsia="Arial" w:hAnsi="Arial"/>
                <w:sz w:val="17"/>
                <w:szCs w:val="17"/>
                <w:color w:val="auto"/>
              </w:rPr>
            </w:pPr>
            <w:hyperlink w:anchor="page84">
              <w:r>
                <w:rPr>
                  <w:rFonts w:ascii="Arial" w:cs="Arial" w:eastAsia="Arial" w:hAnsi="Arial"/>
                  <w:sz w:val="17"/>
                  <w:szCs w:val="17"/>
                  <w:color w:val="auto"/>
                </w:rPr>
                <w:t>78</w:t>
              </w:r>
            </w:hyperlink>
          </w:p>
        </w:tc>
      </w:tr>
      <w:tr>
        <w:trPr>
          <w:trHeight w:val="583"/>
        </w:trPr>
        <w:tc>
          <w:tcPr>
            <w:tcW w:w="9680" w:type="dxa"/>
            <w:vAlign w:val="bottom"/>
            <w:tcBorders>
              <w:bottom w:val="single" w:sz="8" w:color="auto"/>
            </w:tcBorders>
          </w:tcPr>
          <w:p>
            <w:pPr>
              <w:ind w:left="20"/>
              <w:spacing w:after="0"/>
              <w:rPr>
                <w:rFonts w:ascii="Arial" w:cs="Arial" w:eastAsia="Arial" w:hAnsi="Arial"/>
                <w:sz w:val="21"/>
                <w:szCs w:val="21"/>
                <w:b w:val="1"/>
                <w:bCs w:val="1"/>
                <w:color w:val="34657F"/>
              </w:rPr>
            </w:pPr>
            <w:hyperlink w:anchor="page87">
              <w:r>
                <w:rPr>
                  <w:rFonts w:ascii="Arial" w:cs="Arial" w:eastAsia="Arial" w:hAnsi="Arial"/>
                  <w:sz w:val="21"/>
                  <w:szCs w:val="21"/>
                  <w:b w:val="1"/>
                  <w:bCs w:val="1"/>
                  <w:color w:val="34657F"/>
                </w:rPr>
                <w:t>MISCELLANEOUS</w:t>
              </w:r>
            </w:hyperlink>
          </w:p>
        </w:tc>
        <w:tc>
          <w:tcPr>
            <w:tcW w:w="1740" w:type="dxa"/>
            <w:vAlign w:val="bottom"/>
            <w:tcBorders>
              <w:bottom w:val="single" w:sz="8" w:color="auto"/>
            </w:tcBorders>
          </w:tcPr>
          <w:p>
            <w:pPr>
              <w:jc w:val="right"/>
              <w:spacing w:after="0"/>
              <w:rPr>
                <w:rFonts w:ascii="Arial" w:cs="Arial" w:eastAsia="Arial" w:hAnsi="Arial"/>
                <w:sz w:val="17"/>
                <w:szCs w:val="17"/>
                <w:color w:val="auto"/>
              </w:rPr>
            </w:pPr>
            <w:hyperlink w:anchor="page87">
              <w:r>
                <w:rPr>
                  <w:rFonts w:ascii="Arial" w:cs="Arial" w:eastAsia="Arial" w:hAnsi="Arial"/>
                  <w:sz w:val="17"/>
                  <w:szCs w:val="17"/>
                  <w:color w:val="auto"/>
                </w:rPr>
                <w:t>81</w:t>
              </w:r>
            </w:hyperlink>
          </w:p>
        </w:tc>
      </w:tr>
      <w:tr>
        <w:trPr>
          <w:trHeight w:val="229"/>
        </w:trPr>
        <w:tc>
          <w:tcPr>
            <w:tcW w:w="9680" w:type="dxa"/>
            <w:vAlign w:val="bottom"/>
          </w:tcPr>
          <w:p>
            <w:pPr>
              <w:ind w:left="160"/>
              <w:spacing w:after="0"/>
              <w:rPr>
                <w:sz w:val="20"/>
                <w:szCs w:val="20"/>
                <w:color w:val="auto"/>
              </w:rPr>
            </w:pPr>
            <w:r>
              <w:rPr>
                <w:rFonts w:ascii="Arial" w:cs="Arial" w:eastAsia="Arial" w:hAnsi="Arial"/>
                <w:sz w:val="17"/>
                <w:szCs w:val="17"/>
                <w:color w:val="auto"/>
              </w:rPr>
              <w:t>Voting on Other Matters</w:t>
            </w:r>
          </w:p>
        </w:tc>
        <w:tc>
          <w:tcPr>
            <w:tcW w:w="1740" w:type="dxa"/>
            <w:vAlign w:val="bottom"/>
          </w:tcPr>
          <w:p>
            <w:pPr>
              <w:jc w:val="right"/>
              <w:spacing w:after="0"/>
              <w:rPr>
                <w:rFonts w:ascii="Arial" w:cs="Arial" w:eastAsia="Arial" w:hAnsi="Arial"/>
                <w:sz w:val="17"/>
                <w:szCs w:val="17"/>
                <w:color w:val="auto"/>
              </w:rPr>
            </w:pPr>
            <w:hyperlink w:anchor="page87">
              <w:r>
                <w:rPr>
                  <w:rFonts w:ascii="Arial" w:cs="Arial" w:eastAsia="Arial" w:hAnsi="Arial"/>
                  <w:sz w:val="17"/>
                  <w:szCs w:val="17"/>
                  <w:color w:val="auto"/>
                </w:rPr>
                <w:t>81</w:t>
              </w:r>
            </w:hyperlink>
          </w:p>
        </w:tc>
      </w:tr>
      <w:tr>
        <w:trPr>
          <w:trHeight w:val="244"/>
        </w:trPr>
        <w:tc>
          <w:tcPr>
            <w:tcW w:w="9680" w:type="dxa"/>
            <w:vAlign w:val="bottom"/>
          </w:tcPr>
          <w:p>
            <w:pPr>
              <w:ind w:left="160"/>
              <w:spacing w:after="0"/>
              <w:rPr>
                <w:sz w:val="20"/>
                <w:szCs w:val="20"/>
                <w:color w:val="auto"/>
              </w:rPr>
            </w:pPr>
            <w:r>
              <w:rPr>
                <w:rFonts w:ascii="Arial" w:cs="Arial" w:eastAsia="Arial" w:hAnsi="Arial"/>
                <w:sz w:val="17"/>
                <w:szCs w:val="17"/>
                <w:color w:val="auto"/>
              </w:rPr>
              <w:t>Shareholder Proposals for the 2020 Annual Meeting</w:t>
            </w:r>
          </w:p>
        </w:tc>
        <w:tc>
          <w:tcPr>
            <w:tcW w:w="1740" w:type="dxa"/>
            <w:vAlign w:val="bottom"/>
          </w:tcPr>
          <w:p>
            <w:pPr>
              <w:jc w:val="right"/>
              <w:spacing w:after="0"/>
              <w:rPr>
                <w:rFonts w:ascii="Arial" w:cs="Arial" w:eastAsia="Arial" w:hAnsi="Arial"/>
                <w:sz w:val="17"/>
                <w:szCs w:val="17"/>
                <w:color w:val="auto"/>
              </w:rPr>
            </w:pPr>
            <w:hyperlink w:anchor="page87">
              <w:r>
                <w:rPr>
                  <w:rFonts w:ascii="Arial" w:cs="Arial" w:eastAsia="Arial" w:hAnsi="Arial"/>
                  <w:sz w:val="17"/>
                  <w:szCs w:val="17"/>
                  <w:color w:val="auto"/>
                </w:rPr>
                <w:t>81</w:t>
              </w:r>
            </w:hyperlink>
          </w:p>
        </w:tc>
      </w:tr>
      <w:tr>
        <w:trPr>
          <w:trHeight w:val="244"/>
        </w:trPr>
        <w:tc>
          <w:tcPr>
            <w:tcW w:w="9680" w:type="dxa"/>
            <w:vAlign w:val="bottom"/>
          </w:tcPr>
          <w:p>
            <w:pPr>
              <w:ind w:left="160"/>
              <w:spacing w:after="0"/>
              <w:rPr>
                <w:rFonts w:ascii="Arial" w:cs="Arial" w:eastAsia="Arial" w:hAnsi="Arial"/>
                <w:sz w:val="17"/>
                <w:szCs w:val="17"/>
                <w:color w:val="auto"/>
              </w:rPr>
            </w:pPr>
            <w:hyperlink w:anchor="page87">
              <w:r>
                <w:rPr>
                  <w:rFonts w:ascii="Arial" w:cs="Arial" w:eastAsia="Arial" w:hAnsi="Arial"/>
                  <w:sz w:val="17"/>
                  <w:szCs w:val="17"/>
                  <w:color w:val="auto"/>
                </w:rPr>
                <w:t xml:space="preserve">Shareholder </w:t>
              </w:r>
            </w:hyperlink>
            <w:r>
              <w:rPr>
                <w:rFonts w:ascii="Arial" w:cs="Arial" w:eastAsia="Arial" w:hAnsi="Arial"/>
                <w:sz w:val="17"/>
                <w:szCs w:val="17"/>
                <w:color w:val="auto"/>
              </w:rPr>
              <w:t>Nominations for Director Election at the 2020 Annual Meeting</w:t>
            </w:r>
          </w:p>
        </w:tc>
        <w:tc>
          <w:tcPr>
            <w:tcW w:w="1740" w:type="dxa"/>
            <w:vAlign w:val="bottom"/>
          </w:tcPr>
          <w:p>
            <w:pPr>
              <w:jc w:val="right"/>
              <w:spacing w:after="0"/>
              <w:rPr>
                <w:rFonts w:ascii="Arial" w:cs="Arial" w:eastAsia="Arial" w:hAnsi="Arial"/>
                <w:sz w:val="17"/>
                <w:szCs w:val="17"/>
                <w:color w:val="auto"/>
              </w:rPr>
            </w:pPr>
            <w:hyperlink w:anchor="page87">
              <w:r>
                <w:rPr>
                  <w:rFonts w:ascii="Arial" w:cs="Arial" w:eastAsia="Arial" w:hAnsi="Arial"/>
                  <w:sz w:val="17"/>
                  <w:szCs w:val="17"/>
                  <w:color w:val="auto"/>
                </w:rPr>
                <w:t>81</w:t>
              </w:r>
            </w:hyperlink>
          </w:p>
        </w:tc>
      </w:tr>
      <w:tr>
        <w:trPr>
          <w:trHeight w:val="244"/>
        </w:trPr>
        <w:tc>
          <w:tcPr>
            <w:tcW w:w="9680" w:type="dxa"/>
            <w:vAlign w:val="bottom"/>
          </w:tcPr>
          <w:p>
            <w:pPr>
              <w:ind w:left="160"/>
              <w:spacing w:after="0"/>
              <w:rPr>
                <w:rFonts w:ascii="Arial" w:cs="Arial" w:eastAsia="Arial" w:hAnsi="Arial"/>
                <w:sz w:val="17"/>
                <w:szCs w:val="17"/>
                <w:color w:val="auto"/>
              </w:rPr>
            </w:pPr>
            <w:hyperlink w:anchor="page87">
              <w:r>
                <w:rPr>
                  <w:rFonts w:ascii="Arial" w:cs="Arial" w:eastAsia="Arial" w:hAnsi="Arial"/>
                  <w:sz w:val="17"/>
                  <w:szCs w:val="17"/>
                  <w:color w:val="auto"/>
                </w:rPr>
                <w:t>Householding Information</w:t>
              </w:r>
            </w:hyperlink>
          </w:p>
        </w:tc>
        <w:tc>
          <w:tcPr>
            <w:tcW w:w="1740" w:type="dxa"/>
            <w:vAlign w:val="bottom"/>
          </w:tcPr>
          <w:p>
            <w:pPr>
              <w:jc w:val="right"/>
              <w:spacing w:after="0"/>
              <w:rPr>
                <w:rFonts w:ascii="Arial" w:cs="Arial" w:eastAsia="Arial" w:hAnsi="Arial"/>
                <w:sz w:val="17"/>
                <w:szCs w:val="17"/>
                <w:color w:val="auto"/>
              </w:rPr>
            </w:pPr>
            <w:hyperlink w:anchor="page87">
              <w:r>
                <w:rPr>
                  <w:rFonts w:ascii="Arial" w:cs="Arial" w:eastAsia="Arial" w:hAnsi="Arial"/>
                  <w:sz w:val="17"/>
                  <w:szCs w:val="17"/>
                  <w:color w:val="auto"/>
                </w:rPr>
                <w:t>81</w:t>
              </w:r>
            </w:hyperlink>
          </w:p>
        </w:tc>
      </w:tr>
      <w:tr>
        <w:trPr>
          <w:trHeight w:val="244"/>
        </w:trPr>
        <w:tc>
          <w:tcPr>
            <w:tcW w:w="9680" w:type="dxa"/>
            <w:vAlign w:val="bottom"/>
          </w:tcPr>
          <w:p>
            <w:pPr>
              <w:ind w:left="160"/>
              <w:spacing w:after="0"/>
              <w:rPr>
                <w:rFonts w:ascii="Arial" w:cs="Arial" w:eastAsia="Arial" w:hAnsi="Arial"/>
                <w:sz w:val="17"/>
                <w:szCs w:val="17"/>
                <w:color w:val="auto"/>
              </w:rPr>
            </w:pPr>
            <w:hyperlink w:anchor="page88">
              <w:r>
                <w:rPr>
                  <w:rFonts w:ascii="Arial" w:cs="Arial" w:eastAsia="Arial" w:hAnsi="Arial"/>
                  <w:sz w:val="17"/>
                  <w:szCs w:val="17"/>
                  <w:color w:val="auto"/>
                </w:rPr>
                <w:t>Cost of Soliciting Proxies</w:t>
              </w:r>
            </w:hyperlink>
          </w:p>
        </w:tc>
        <w:tc>
          <w:tcPr>
            <w:tcW w:w="1740" w:type="dxa"/>
            <w:vAlign w:val="bottom"/>
          </w:tcPr>
          <w:p>
            <w:pPr>
              <w:jc w:val="right"/>
              <w:spacing w:after="0"/>
              <w:rPr>
                <w:rFonts w:ascii="Arial" w:cs="Arial" w:eastAsia="Arial" w:hAnsi="Arial"/>
                <w:sz w:val="17"/>
                <w:szCs w:val="17"/>
                <w:color w:val="auto"/>
              </w:rPr>
            </w:pPr>
            <w:hyperlink w:anchor="page88">
              <w:r>
                <w:rPr>
                  <w:rFonts w:ascii="Arial" w:cs="Arial" w:eastAsia="Arial" w:hAnsi="Arial"/>
                  <w:sz w:val="17"/>
                  <w:szCs w:val="17"/>
                  <w:color w:val="auto"/>
                </w:rPr>
                <w:t>82</w:t>
              </w:r>
            </w:hyperlink>
          </w:p>
        </w:tc>
      </w:tr>
      <w:tr>
        <w:trPr>
          <w:trHeight w:val="244"/>
        </w:trPr>
        <w:tc>
          <w:tcPr>
            <w:tcW w:w="9680" w:type="dxa"/>
            <w:vAlign w:val="bottom"/>
          </w:tcPr>
          <w:p>
            <w:pPr>
              <w:ind w:left="160"/>
              <w:spacing w:after="0"/>
              <w:rPr>
                <w:sz w:val="20"/>
                <w:szCs w:val="20"/>
                <w:color w:val="auto"/>
              </w:rPr>
            </w:pPr>
            <w:r>
              <w:rPr>
                <w:rFonts w:ascii="Arial" w:cs="Arial" w:eastAsia="Arial" w:hAnsi="Arial"/>
                <w:sz w:val="17"/>
                <w:szCs w:val="17"/>
                <w:color w:val="auto"/>
              </w:rPr>
              <w:t>Available Information</w:t>
            </w:r>
          </w:p>
        </w:tc>
        <w:tc>
          <w:tcPr>
            <w:tcW w:w="1740" w:type="dxa"/>
            <w:vAlign w:val="bottom"/>
          </w:tcPr>
          <w:p>
            <w:pPr>
              <w:jc w:val="right"/>
              <w:spacing w:after="0"/>
              <w:rPr>
                <w:rFonts w:ascii="Arial" w:cs="Arial" w:eastAsia="Arial" w:hAnsi="Arial"/>
                <w:sz w:val="17"/>
                <w:szCs w:val="17"/>
                <w:color w:val="auto"/>
              </w:rPr>
            </w:pPr>
            <w:hyperlink w:anchor="page88">
              <w:r>
                <w:rPr>
                  <w:rFonts w:ascii="Arial" w:cs="Arial" w:eastAsia="Arial" w:hAnsi="Arial"/>
                  <w:sz w:val="17"/>
                  <w:szCs w:val="17"/>
                  <w:color w:val="auto"/>
                </w:rPr>
                <w:t>82</w:t>
              </w:r>
            </w:hyperlink>
          </w:p>
        </w:tc>
      </w:tr>
      <w:tr>
        <w:trPr>
          <w:trHeight w:val="244"/>
        </w:trPr>
        <w:tc>
          <w:tcPr>
            <w:tcW w:w="9680" w:type="dxa"/>
            <w:vAlign w:val="bottom"/>
          </w:tcPr>
          <w:p>
            <w:pPr>
              <w:ind w:left="160"/>
              <w:spacing w:after="0"/>
              <w:rPr>
                <w:sz w:val="20"/>
                <w:szCs w:val="20"/>
                <w:color w:val="auto"/>
              </w:rPr>
            </w:pPr>
            <w:r>
              <w:rPr>
                <w:rFonts w:ascii="Arial" w:cs="Arial" w:eastAsia="Arial" w:hAnsi="Arial"/>
                <w:sz w:val="17"/>
                <w:szCs w:val="17"/>
                <w:color w:val="auto"/>
              </w:rPr>
              <w:t>Incorporation by Reference</w:t>
            </w:r>
          </w:p>
        </w:tc>
        <w:tc>
          <w:tcPr>
            <w:tcW w:w="1740" w:type="dxa"/>
            <w:vAlign w:val="bottom"/>
          </w:tcPr>
          <w:p>
            <w:pPr>
              <w:jc w:val="right"/>
              <w:spacing w:after="0"/>
              <w:rPr>
                <w:rFonts w:ascii="Arial" w:cs="Arial" w:eastAsia="Arial" w:hAnsi="Arial"/>
                <w:sz w:val="17"/>
                <w:szCs w:val="17"/>
                <w:color w:val="auto"/>
              </w:rPr>
            </w:pPr>
            <w:hyperlink w:anchor="page88">
              <w:r>
                <w:rPr>
                  <w:rFonts w:ascii="Arial" w:cs="Arial" w:eastAsia="Arial" w:hAnsi="Arial"/>
                  <w:sz w:val="17"/>
                  <w:szCs w:val="17"/>
                  <w:color w:val="auto"/>
                </w:rPr>
                <w:t>82</w:t>
              </w:r>
            </w:hyperlink>
          </w:p>
        </w:tc>
      </w:tr>
      <w:tr>
        <w:trPr>
          <w:trHeight w:val="244"/>
        </w:trPr>
        <w:tc>
          <w:tcPr>
            <w:tcW w:w="9680" w:type="dxa"/>
            <w:vAlign w:val="bottom"/>
          </w:tcPr>
          <w:p>
            <w:pPr>
              <w:ind w:left="160"/>
              <w:spacing w:after="0"/>
              <w:rPr>
                <w:sz w:val="20"/>
                <w:szCs w:val="20"/>
                <w:color w:val="auto"/>
              </w:rPr>
            </w:pPr>
            <w:r>
              <w:rPr>
                <w:rFonts w:ascii="Arial" w:cs="Arial" w:eastAsia="Arial" w:hAnsi="Arial"/>
                <w:sz w:val="17"/>
                <w:szCs w:val="17"/>
                <w:color w:val="auto"/>
              </w:rPr>
              <w:t>Annual Report</w:t>
            </w:r>
          </w:p>
        </w:tc>
        <w:tc>
          <w:tcPr>
            <w:tcW w:w="1740" w:type="dxa"/>
            <w:vAlign w:val="bottom"/>
          </w:tcPr>
          <w:p>
            <w:pPr>
              <w:jc w:val="right"/>
              <w:spacing w:after="0"/>
              <w:rPr>
                <w:rFonts w:ascii="Arial" w:cs="Arial" w:eastAsia="Arial" w:hAnsi="Arial"/>
                <w:sz w:val="17"/>
                <w:szCs w:val="17"/>
                <w:color w:val="auto"/>
              </w:rPr>
            </w:pPr>
            <w:hyperlink w:anchor="page88">
              <w:r>
                <w:rPr>
                  <w:rFonts w:ascii="Arial" w:cs="Arial" w:eastAsia="Arial" w:hAnsi="Arial"/>
                  <w:sz w:val="17"/>
                  <w:szCs w:val="17"/>
                  <w:color w:val="auto"/>
                </w:rPr>
                <w:t>82</w:t>
              </w:r>
            </w:hyperlink>
          </w:p>
        </w:tc>
      </w:tr>
      <w:tr>
        <w:trPr>
          <w:trHeight w:val="597"/>
        </w:trPr>
        <w:tc>
          <w:tcPr>
            <w:tcW w:w="9680" w:type="dxa"/>
            <w:vAlign w:val="bottom"/>
            <w:tcBorders>
              <w:bottom w:val="single" w:sz="8" w:color="auto"/>
            </w:tcBorders>
          </w:tcPr>
          <w:p>
            <w:pPr>
              <w:ind w:left="20"/>
              <w:spacing w:after="0"/>
              <w:rPr>
                <w:sz w:val="20"/>
                <w:szCs w:val="20"/>
                <w:color w:val="auto"/>
              </w:rPr>
            </w:pPr>
            <w:r>
              <w:rPr>
                <w:rFonts w:ascii="Arial" w:cs="Arial" w:eastAsia="Arial" w:hAnsi="Arial"/>
                <w:sz w:val="21"/>
                <w:szCs w:val="21"/>
                <w:b w:val="1"/>
                <w:bCs w:val="1"/>
                <w:color w:val="34657F"/>
              </w:rPr>
              <w:t>APPENDIX A - USE OF NON-GAAP FINANCIAL MEASURES</w:t>
            </w:r>
          </w:p>
        </w:tc>
        <w:tc>
          <w:tcPr>
            <w:tcW w:w="1740" w:type="dxa"/>
            <w:vAlign w:val="bottom"/>
            <w:tcBorders>
              <w:bottom w:val="single" w:sz="8" w:color="auto"/>
            </w:tcBorders>
          </w:tcPr>
          <w:p>
            <w:pPr>
              <w:jc w:val="right"/>
              <w:spacing w:after="0"/>
              <w:rPr>
                <w:rFonts w:ascii="Arial" w:cs="Arial" w:eastAsia="Arial" w:hAnsi="Arial"/>
                <w:sz w:val="17"/>
                <w:szCs w:val="17"/>
                <w:color w:val="auto"/>
              </w:rPr>
            </w:pPr>
            <w:hyperlink w:anchor="page89">
              <w:r>
                <w:rPr>
                  <w:rFonts w:ascii="Arial" w:cs="Arial" w:eastAsia="Arial" w:hAnsi="Arial"/>
                  <w:sz w:val="17"/>
                  <w:szCs w:val="17"/>
                  <w:color w:val="auto"/>
                </w:rPr>
                <w:t>A-1</w:t>
              </w:r>
            </w:hyperlink>
          </w:p>
        </w:tc>
      </w:tr>
    </w:tbl>
    <w:p>
      <w:pPr>
        <w:spacing w:after="0" w:line="200" w:lineRule="exact"/>
        <w:rPr>
          <w:sz w:val="20"/>
          <w:szCs w:val="20"/>
          <w:color w:val="auto"/>
        </w:rPr>
      </w:pPr>
    </w:p>
    <w:p>
      <w:pPr>
        <w:sectPr>
          <w:pgSz w:w="11900" w:h="16838" w:orient="portrait"/>
          <w:cols w:equalWidth="0" w:num="1">
            <w:col w:w="11420"/>
          </w:cols>
          <w:pgMar w:left="240" w:top="67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20" w:hanging="117"/>
        <w:spacing w:after="0"/>
        <w:tabs>
          <w:tab w:leader="none" w:pos="120" w:val="left"/>
        </w:tabs>
        <w:numPr>
          <w:ilvl w:val="0"/>
          <w:numId w:val="4"/>
        </w:numPr>
        <w:rPr>
          <w:rFonts w:ascii="Arial" w:cs="Arial" w:eastAsia="Arial" w:hAnsi="Arial"/>
          <w:sz w:val="16"/>
          <w:szCs w:val="16"/>
          <w:color w:val="auto"/>
        </w:rPr>
      </w:pPr>
      <w:r>
        <w:rPr>
          <w:rFonts w:ascii="Arial" w:cs="Arial" w:eastAsia="Arial" w:hAnsi="Arial"/>
          <w:sz w:val="13"/>
          <w:szCs w:val="13"/>
          <w:color w:val="auto"/>
        </w:rPr>
        <w:t xml:space="preserve">I </w:t>
      </w:r>
      <w:r>
        <w:rPr>
          <w:rFonts w:ascii="Arial" w:cs="Arial" w:eastAsia="Arial" w:hAnsi="Arial"/>
          <w:sz w:val="13"/>
          <w:szCs w:val="13"/>
          <w:color w:val="34657F"/>
        </w:rPr>
        <w:t>NOTICE OF 2019 ANNUAL MEETING OF SHAREHOLDERS AND PROXY STATEMENT</w:t>
      </w:r>
    </w:p>
    <w:p>
      <w:pPr>
        <w:sectPr>
          <w:pgSz w:w="11900" w:h="16838" w:orient="portrait"/>
          <w:cols w:equalWidth="0" w:num="1">
            <w:col w:w="11420"/>
          </w:cols>
          <w:pgMar w:left="240" w:top="671" w:right="239" w:bottom="1440" w:gutter="0" w:footer="0" w:header="0"/>
          <w:type w:val="continuous"/>
        </w:sectPr>
      </w:pPr>
    </w:p>
    <w:bookmarkStart w:id="6" w:name="page7"/>
    <w:bookmarkEnd w:id="6"/>
    <w:p>
      <w:pPr>
        <w:ind w:left="20"/>
        <w:spacing w:after="0"/>
        <w:rPr>
          <w:sz w:val="20"/>
          <w:szCs w:val="20"/>
          <w:color w:val="auto"/>
        </w:rPr>
      </w:pPr>
      <w:r>
        <w:rPr>
          <w:rFonts w:ascii="Arial" w:cs="Arial" w:eastAsia="Arial" w:hAnsi="Arial"/>
          <w:sz w:val="21"/>
          <w:szCs w:val="21"/>
          <w:b w:val="1"/>
          <w:bCs w:val="1"/>
          <w:color w:val="FFFFFF"/>
        </w:rPr>
        <w:drawing>
          <wp:anchor simplePos="0" relativeHeight="251657728" behindDoc="1" locked="0" layoutInCell="0" allowOverlap="1">
            <wp:simplePos x="0" y="0"/>
            <wp:positionH relativeFrom="page">
              <wp:posOffset>154305</wp:posOffset>
            </wp:positionH>
            <wp:positionV relativeFrom="page">
              <wp:posOffset>365760</wp:posOffset>
            </wp:positionV>
            <wp:extent cx="7253605" cy="5861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3605" cy="586105"/>
                    </a:xfrm>
                    <a:prstGeom prst="rect">
                      <a:avLst/>
                    </a:prstGeom>
                    <a:noFill/>
                  </pic:spPr>
                </pic:pic>
              </a:graphicData>
            </a:graphic>
          </wp:anchor>
        </w:drawing>
        <w:t>PROXY STATEMENT SUMMARY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160"/>
        <w:spacing w:after="0" w:line="253" w:lineRule="auto"/>
        <w:rPr>
          <w:sz w:val="20"/>
          <w:szCs w:val="20"/>
          <w:color w:val="auto"/>
        </w:rPr>
      </w:pPr>
      <w:r>
        <w:rPr>
          <w:rFonts w:ascii="Arial" w:cs="Arial" w:eastAsia="Arial" w:hAnsi="Arial"/>
          <w:sz w:val="17"/>
          <w:szCs w:val="17"/>
          <w:color w:val="auto"/>
        </w:rPr>
        <w:t>This summary highlights information contained elsewhere in this Proxy Statement, reflecting business, compensation and corporate governance highlights. For additional information about these topics, please refer to the discussions contained in this Proxy Statement and in our Annual Report on Form 10-K for the year ended December 31, 2018 (2018 Form 10-K) filed with the United States (U.S.) Securities and Exchange Commission (SEC) on January 31, 2019. This Proxy Statement contains certain non-GAAP (accounting principles generally accepted in the United States of America) financial measures, which are identified with asterisks. For more information, including definitions, reconciliations to the most directly comparable GAAP measure and why we believe these measures may be useful to investors, see "Appendix A - Use of Non-GAAP Financial Measures." We intend to mail a Notice of Internet Availability of Proxy Materials to shareholders of record and to make this Proxy Statement and accompanying materials available on the internet on or about March 29, 2019.</w:t>
      </w:r>
    </w:p>
    <w:p>
      <w:pPr>
        <w:spacing w:after="0" w:line="196" w:lineRule="exact"/>
        <w:rPr>
          <w:sz w:val="20"/>
          <w:szCs w:val="20"/>
          <w:color w:val="auto"/>
        </w:rPr>
      </w:pPr>
    </w:p>
    <w:p>
      <w:pPr>
        <w:ind w:left="20"/>
        <w:spacing w:after="0"/>
        <w:rPr>
          <w:sz w:val="20"/>
          <w:szCs w:val="20"/>
          <w:color w:val="auto"/>
        </w:rPr>
      </w:pPr>
      <w:r>
        <w:rPr>
          <w:rFonts w:ascii="Arial" w:cs="Arial" w:eastAsia="Arial" w:hAnsi="Arial"/>
          <w:sz w:val="24"/>
          <w:szCs w:val="24"/>
          <w:b w:val="1"/>
          <w:bCs w:val="1"/>
          <w:color w:val="auto"/>
        </w:rPr>
        <w:t>2018 Performance Highlights (page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38100</wp:posOffset>
            </wp:positionV>
            <wp:extent cx="7253605" cy="165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pacing w:after="0" w:line="142" w:lineRule="exact"/>
        <w:rPr>
          <w:sz w:val="20"/>
          <w:szCs w:val="20"/>
          <w:color w:val="auto"/>
        </w:rPr>
      </w:pPr>
    </w:p>
    <w:p>
      <w:pPr>
        <w:ind w:right="180"/>
        <w:spacing w:after="0" w:line="263" w:lineRule="auto"/>
        <w:rPr>
          <w:sz w:val="20"/>
          <w:szCs w:val="20"/>
          <w:color w:val="auto"/>
        </w:rPr>
      </w:pPr>
      <w:r>
        <w:rPr>
          <w:rFonts w:ascii="Arial" w:cs="Arial" w:eastAsia="Arial" w:hAnsi="Arial"/>
          <w:sz w:val="17"/>
          <w:szCs w:val="17"/>
          <w:color w:val="auto"/>
        </w:rPr>
        <w:t>Our focus on performance, portfolio and capital deployment continues to strengthen our foundation for long-term profitable growth and create value for our shareholders, customers and employees.</w:t>
      </w:r>
    </w:p>
    <w:p>
      <w:pPr>
        <w:spacing w:after="0" w:line="59" w:lineRule="exact"/>
        <w:rPr>
          <w:sz w:val="20"/>
          <w:szCs w:val="20"/>
          <w:color w:val="auto"/>
        </w:rPr>
      </w:pPr>
    </w:p>
    <w:p>
      <w:pPr>
        <w:ind w:right="120"/>
        <w:spacing w:after="0" w:line="253" w:lineRule="auto"/>
        <w:rPr>
          <w:sz w:val="20"/>
          <w:szCs w:val="20"/>
          <w:color w:val="auto"/>
        </w:rPr>
      </w:pPr>
      <w:r>
        <w:rPr>
          <w:rFonts w:ascii="Arial" w:cs="Arial" w:eastAsia="Arial" w:hAnsi="Arial"/>
          <w:sz w:val="17"/>
          <w:szCs w:val="17"/>
          <w:color w:val="auto"/>
        </w:rPr>
        <w:t>2018 was another year of strong performance for our Company. We strengthened our alignment with critical national security missions with the acquisition of Orbital ATK in June. This added a new, fourth business sector, Innovation Systems. Strong performance from our three legacy Northrop Grumman sectors, along with the contribution of our new sector, drove a 16% sales increase, a 17% increase in operating income, and a 19% increase in segment operating income*. 2018 diluted earnings per share increased to $18.49. We also announced the adoption of the mark-to-market (MTM) method of accounting for our pension and other postretirement benefit plans. Beginning with our fourth quarter 2018 financial results, we are presenting MTM-adjusted earnings* and MTM-adjusted diluted earnings per share* as a supplemental financial measure for measuring the Company's underlying financial performance. MTM-adjusted earnings per share* increased more than 50% to $21.33.</w:t>
      </w:r>
    </w:p>
    <w:p>
      <w:pPr>
        <w:spacing w:after="0" w:line="70" w:lineRule="exact"/>
        <w:rPr>
          <w:sz w:val="20"/>
          <w:szCs w:val="20"/>
          <w:color w:val="auto"/>
        </w:rPr>
      </w:pPr>
    </w:p>
    <w:p>
      <w:pPr>
        <w:ind w:right="140"/>
        <w:spacing w:after="0" w:line="255" w:lineRule="auto"/>
        <w:rPr>
          <w:sz w:val="20"/>
          <w:szCs w:val="20"/>
          <w:color w:val="auto"/>
        </w:rPr>
      </w:pPr>
      <w:r>
        <w:rPr>
          <w:rFonts w:ascii="Arial" w:cs="Arial" w:eastAsia="Arial" w:hAnsi="Arial"/>
          <w:sz w:val="17"/>
          <w:szCs w:val="17"/>
          <w:color w:val="auto"/>
        </w:rPr>
        <w:t>Our operations continued to generate strong cash flow. Cash provided by operations increased $1.2 billion to more than $3.8 billion, and free cash flow* increased by approximately $900 million to $2.6 billion. Our strong cash generation enabled us to continue deploying cash for the benefit of our customers, shareholders and employees. In 2018, our capital expenditures totaled $1.2 billion and we invested $764 million in R&amp;D. Our capital expenditures continue to be elevated as we invest to strengthen the foundation for long-term profitable growth and drive affordability for our customers.</w:t>
      </w:r>
    </w:p>
    <w:p>
      <w:pPr>
        <w:spacing w:after="0" w:line="67" w:lineRule="exact"/>
        <w:rPr>
          <w:sz w:val="20"/>
          <w:szCs w:val="20"/>
          <w:color w:val="auto"/>
        </w:rPr>
      </w:pPr>
    </w:p>
    <w:p>
      <w:pPr>
        <w:jc w:val="both"/>
        <w:ind w:right="120"/>
        <w:spacing w:after="0" w:line="257" w:lineRule="auto"/>
        <w:rPr>
          <w:sz w:val="20"/>
          <w:szCs w:val="20"/>
          <w:color w:val="auto"/>
        </w:rPr>
      </w:pPr>
      <w:r>
        <w:rPr>
          <w:rFonts w:ascii="Arial" w:cs="Arial" w:eastAsia="Arial" w:hAnsi="Arial"/>
          <w:sz w:val="17"/>
          <w:szCs w:val="17"/>
          <w:color w:val="auto"/>
        </w:rPr>
        <w:t>We continued to return cash to shareholders. In October 2018, we commenced a $1 billion accelerated share repurchase (ASR), which was completed in January 2019. This transaction retired 3.84 million shares of our stock at an average price of approximately $260 per share. 2018 share repurchases totaled $1.3 billion. We also announced two dividend increases, which in total increased our quarterly dividend by 20% to $1.20 per share.</w:t>
      </w:r>
    </w:p>
    <w:p>
      <w:pPr>
        <w:spacing w:after="0" w:line="64" w:lineRule="exact"/>
        <w:rPr>
          <w:sz w:val="20"/>
          <w:szCs w:val="20"/>
          <w:color w:val="auto"/>
        </w:rPr>
      </w:pPr>
    </w:p>
    <w:p>
      <w:pPr>
        <w:jc w:val="both"/>
        <w:ind w:right="120"/>
        <w:spacing w:after="0" w:line="257" w:lineRule="auto"/>
        <w:rPr>
          <w:sz w:val="20"/>
          <w:szCs w:val="20"/>
          <w:color w:val="auto"/>
        </w:rPr>
      </w:pPr>
      <w:r>
        <w:rPr>
          <w:rFonts w:ascii="Arial" w:cs="Arial" w:eastAsia="Arial" w:hAnsi="Arial"/>
          <w:sz w:val="17"/>
          <w:szCs w:val="17"/>
          <w:color w:val="auto"/>
        </w:rPr>
        <w:t>In July 2018, after robust and extended succession planning, the Board of Directors elected Kathy Warden to our Board and announced that she would succeed Wesley Bush as CEO, beginning on January 1, 2019. After serving nine years in the CEO role, Mr. Bush remains Chair of the Board until July 31, 2019.</w:t>
      </w:r>
    </w:p>
    <w:p>
      <w:pPr>
        <w:spacing w:after="0" w:line="296" w:lineRule="exact"/>
        <w:rPr>
          <w:sz w:val="20"/>
          <w:szCs w:val="20"/>
          <w:color w:val="auto"/>
        </w:rPr>
      </w:pPr>
    </w:p>
    <w:tbl>
      <w:tblPr>
        <w:tblLayout w:type="fixed"/>
        <w:tblInd w:w="60" w:type="dxa"/>
        <w:tblCellMar>
          <w:top w:w="0" w:type="dxa"/>
          <w:left w:w="0" w:type="dxa"/>
          <w:bottom w:w="0" w:type="dxa"/>
          <w:right w:w="0" w:type="dxa"/>
        </w:tblCellMar>
      </w:tblPr>
      <w:tr>
        <w:trPr>
          <w:trHeight w:val="417"/>
        </w:trPr>
        <w:tc>
          <w:tcPr>
            <w:tcW w:w="1260" w:type="dxa"/>
            <w:vAlign w:val="bottom"/>
            <w:shd w:val="clear" w:color="auto" w:fill="D1DDE6"/>
          </w:tcPr>
          <w:p>
            <w:pPr>
              <w:spacing w:after="0"/>
              <w:rPr>
                <w:sz w:val="24"/>
                <w:szCs w:val="24"/>
                <w:color w:val="auto"/>
              </w:rPr>
            </w:pPr>
          </w:p>
        </w:tc>
        <w:tc>
          <w:tcPr>
            <w:tcW w:w="100" w:type="dxa"/>
            <w:vAlign w:val="bottom"/>
          </w:tcPr>
          <w:p>
            <w:pPr>
              <w:spacing w:after="0"/>
              <w:rPr>
                <w:sz w:val="24"/>
                <w:szCs w:val="24"/>
                <w:color w:val="auto"/>
              </w:rPr>
            </w:pPr>
          </w:p>
        </w:tc>
        <w:tc>
          <w:tcPr>
            <w:tcW w:w="2200" w:type="dxa"/>
            <w:vAlign w:val="bottom"/>
            <w:shd w:val="clear" w:color="auto" w:fill="D1DDE6"/>
          </w:tcPr>
          <w:p>
            <w:pPr>
              <w:spacing w:after="0"/>
              <w:rPr>
                <w:sz w:val="24"/>
                <w:szCs w:val="24"/>
                <w:color w:val="auto"/>
              </w:rPr>
            </w:pPr>
          </w:p>
        </w:tc>
        <w:tc>
          <w:tcPr>
            <w:tcW w:w="100" w:type="dxa"/>
            <w:vAlign w:val="bottom"/>
          </w:tcPr>
          <w:p>
            <w:pPr>
              <w:spacing w:after="0"/>
              <w:rPr>
                <w:sz w:val="24"/>
                <w:szCs w:val="24"/>
                <w:color w:val="auto"/>
              </w:rPr>
            </w:pPr>
          </w:p>
        </w:tc>
        <w:tc>
          <w:tcPr>
            <w:tcW w:w="1840" w:type="dxa"/>
            <w:vAlign w:val="bottom"/>
            <w:shd w:val="clear" w:color="auto" w:fill="D1DDE6"/>
          </w:tcPr>
          <w:p>
            <w:pPr>
              <w:jc w:val="center"/>
              <w:spacing w:after="0"/>
              <w:rPr>
                <w:sz w:val="20"/>
                <w:szCs w:val="20"/>
                <w:color w:val="auto"/>
              </w:rPr>
            </w:pPr>
            <w:r>
              <w:rPr>
                <w:rFonts w:ascii="Arial" w:cs="Arial" w:eastAsia="Arial" w:hAnsi="Arial"/>
                <w:sz w:val="21"/>
                <w:szCs w:val="21"/>
                <w:b w:val="1"/>
                <w:bCs w:val="1"/>
                <w:color w:val="34657F"/>
                <w:w w:val="96"/>
              </w:rPr>
              <w:t>$821 million in</w:t>
            </w:r>
          </w:p>
        </w:tc>
        <w:tc>
          <w:tcPr>
            <w:tcW w:w="100" w:type="dxa"/>
            <w:vAlign w:val="bottom"/>
          </w:tcPr>
          <w:p>
            <w:pPr>
              <w:spacing w:after="0"/>
              <w:rPr>
                <w:sz w:val="24"/>
                <w:szCs w:val="24"/>
                <w:color w:val="auto"/>
              </w:rPr>
            </w:pPr>
          </w:p>
        </w:tc>
        <w:tc>
          <w:tcPr>
            <w:tcW w:w="3240" w:type="dxa"/>
            <w:vAlign w:val="bottom"/>
            <w:shd w:val="clear" w:color="auto" w:fill="D1DDE6"/>
          </w:tcPr>
          <w:p>
            <w:pPr>
              <w:spacing w:after="0"/>
              <w:rPr>
                <w:sz w:val="24"/>
                <w:szCs w:val="24"/>
                <w:color w:val="auto"/>
              </w:rPr>
            </w:pPr>
          </w:p>
        </w:tc>
        <w:tc>
          <w:tcPr>
            <w:tcW w:w="100" w:type="dxa"/>
            <w:vAlign w:val="bottom"/>
          </w:tcPr>
          <w:p>
            <w:pPr>
              <w:spacing w:after="0"/>
              <w:rPr>
                <w:sz w:val="24"/>
                <w:szCs w:val="24"/>
                <w:color w:val="auto"/>
              </w:rPr>
            </w:pPr>
          </w:p>
        </w:tc>
        <w:tc>
          <w:tcPr>
            <w:tcW w:w="2520" w:type="dxa"/>
            <w:vAlign w:val="bottom"/>
            <w:shd w:val="clear" w:color="auto" w:fill="D1DDE6"/>
          </w:tcPr>
          <w:p>
            <w:pPr>
              <w:spacing w:after="0"/>
              <w:rPr>
                <w:sz w:val="24"/>
                <w:szCs w:val="24"/>
                <w:color w:val="auto"/>
              </w:rPr>
            </w:pPr>
          </w:p>
        </w:tc>
      </w:tr>
      <w:tr>
        <w:trPr>
          <w:trHeight w:val="231"/>
        </w:trPr>
        <w:tc>
          <w:tcPr>
            <w:tcW w:w="1260" w:type="dxa"/>
            <w:vAlign w:val="bottom"/>
            <w:shd w:val="clear" w:color="auto" w:fill="D1DDE6"/>
          </w:tcPr>
          <w:p>
            <w:pPr>
              <w:jc w:val="center"/>
              <w:spacing w:after="0" w:line="231" w:lineRule="exact"/>
              <w:rPr>
                <w:sz w:val="20"/>
                <w:szCs w:val="20"/>
                <w:color w:val="auto"/>
              </w:rPr>
            </w:pPr>
            <w:r>
              <w:rPr>
                <w:rFonts w:ascii="Arial" w:cs="Arial" w:eastAsia="Arial" w:hAnsi="Arial"/>
                <w:sz w:val="21"/>
                <w:szCs w:val="21"/>
                <w:b w:val="1"/>
                <w:bCs w:val="1"/>
                <w:color w:val="34657F"/>
                <w:w w:val="98"/>
              </w:rPr>
              <w:t>40% 3-year</w:t>
            </w:r>
          </w:p>
        </w:tc>
        <w:tc>
          <w:tcPr>
            <w:tcW w:w="100" w:type="dxa"/>
            <w:vAlign w:val="bottom"/>
          </w:tcPr>
          <w:p>
            <w:pPr>
              <w:spacing w:after="0"/>
              <w:rPr>
                <w:sz w:val="20"/>
                <w:szCs w:val="20"/>
                <w:color w:val="auto"/>
              </w:rPr>
            </w:pPr>
          </w:p>
        </w:tc>
        <w:tc>
          <w:tcPr>
            <w:tcW w:w="2200" w:type="dxa"/>
            <w:vAlign w:val="bottom"/>
            <w:shd w:val="clear" w:color="auto" w:fill="D1DDE6"/>
          </w:tcPr>
          <w:p>
            <w:pPr>
              <w:jc w:val="center"/>
              <w:spacing w:after="0" w:line="231" w:lineRule="exact"/>
              <w:rPr>
                <w:sz w:val="20"/>
                <w:szCs w:val="20"/>
                <w:color w:val="auto"/>
              </w:rPr>
            </w:pPr>
            <w:r>
              <w:rPr>
                <w:rFonts w:ascii="Arial" w:cs="Arial" w:eastAsia="Arial" w:hAnsi="Arial"/>
                <w:sz w:val="21"/>
                <w:szCs w:val="21"/>
                <w:b w:val="1"/>
                <w:bCs w:val="1"/>
                <w:color w:val="34657F"/>
                <w:w w:val="97"/>
              </w:rPr>
              <w:t>16% Sales increase to</w:t>
            </w:r>
          </w:p>
        </w:tc>
        <w:tc>
          <w:tcPr>
            <w:tcW w:w="100" w:type="dxa"/>
            <w:vAlign w:val="bottom"/>
          </w:tcPr>
          <w:p>
            <w:pPr>
              <w:spacing w:after="0"/>
              <w:rPr>
                <w:sz w:val="20"/>
                <w:szCs w:val="20"/>
                <w:color w:val="auto"/>
              </w:rPr>
            </w:pPr>
          </w:p>
        </w:tc>
        <w:tc>
          <w:tcPr>
            <w:tcW w:w="1840" w:type="dxa"/>
            <w:vAlign w:val="bottom"/>
            <w:shd w:val="clear" w:color="auto" w:fill="D1DDE6"/>
          </w:tcPr>
          <w:p>
            <w:pPr>
              <w:ind w:left="140"/>
              <w:spacing w:after="0" w:line="231" w:lineRule="exact"/>
              <w:rPr>
                <w:sz w:val="20"/>
                <w:szCs w:val="20"/>
                <w:color w:val="auto"/>
              </w:rPr>
            </w:pPr>
            <w:r>
              <w:rPr>
                <w:rFonts w:ascii="Arial" w:cs="Arial" w:eastAsia="Arial" w:hAnsi="Arial"/>
                <w:sz w:val="21"/>
                <w:szCs w:val="21"/>
                <w:b w:val="1"/>
                <w:bCs w:val="1"/>
                <w:color w:val="34657F"/>
              </w:rPr>
              <w:t>dividends paid</w:t>
            </w:r>
          </w:p>
        </w:tc>
        <w:tc>
          <w:tcPr>
            <w:tcW w:w="100" w:type="dxa"/>
            <w:vAlign w:val="bottom"/>
          </w:tcPr>
          <w:p>
            <w:pPr>
              <w:spacing w:after="0"/>
              <w:rPr>
                <w:sz w:val="20"/>
                <w:szCs w:val="20"/>
                <w:color w:val="auto"/>
              </w:rPr>
            </w:pPr>
          </w:p>
        </w:tc>
        <w:tc>
          <w:tcPr>
            <w:tcW w:w="3240" w:type="dxa"/>
            <w:vAlign w:val="bottom"/>
            <w:shd w:val="clear" w:color="auto" w:fill="D1DDE6"/>
          </w:tcPr>
          <w:p>
            <w:pPr>
              <w:jc w:val="center"/>
              <w:spacing w:after="0" w:line="231" w:lineRule="exact"/>
              <w:rPr>
                <w:sz w:val="20"/>
                <w:szCs w:val="20"/>
                <w:color w:val="auto"/>
              </w:rPr>
            </w:pPr>
            <w:r>
              <w:rPr>
                <w:rFonts w:ascii="Arial" w:cs="Arial" w:eastAsia="Arial" w:hAnsi="Arial"/>
                <w:sz w:val="21"/>
                <w:szCs w:val="21"/>
                <w:b w:val="1"/>
                <w:bCs w:val="1"/>
                <w:color w:val="34657F"/>
                <w:w w:val="97"/>
              </w:rPr>
              <w:t>$1.3 billion in share repurchases</w:t>
            </w:r>
          </w:p>
        </w:tc>
        <w:tc>
          <w:tcPr>
            <w:tcW w:w="100" w:type="dxa"/>
            <w:vAlign w:val="bottom"/>
          </w:tcPr>
          <w:p>
            <w:pPr>
              <w:spacing w:after="0"/>
              <w:rPr>
                <w:sz w:val="20"/>
                <w:szCs w:val="20"/>
                <w:color w:val="auto"/>
              </w:rPr>
            </w:pPr>
          </w:p>
        </w:tc>
        <w:tc>
          <w:tcPr>
            <w:tcW w:w="2520" w:type="dxa"/>
            <w:vAlign w:val="bottom"/>
            <w:shd w:val="clear" w:color="auto" w:fill="D1DDE6"/>
          </w:tcPr>
          <w:p>
            <w:pPr>
              <w:jc w:val="center"/>
              <w:spacing w:after="0" w:line="231" w:lineRule="exact"/>
              <w:rPr>
                <w:sz w:val="20"/>
                <w:szCs w:val="20"/>
                <w:color w:val="auto"/>
              </w:rPr>
            </w:pPr>
            <w:r>
              <w:rPr>
                <w:rFonts w:ascii="Arial" w:cs="Arial" w:eastAsia="Arial" w:hAnsi="Arial"/>
                <w:sz w:val="21"/>
                <w:szCs w:val="21"/>
                <w:b w:val="1"/>
                <w:bCs w:val="1"/>
                <w:color w:val="34657F"/>
                <w:w w:val="96"/>
              </w:rPr>
              <w:t>Capital spending</w:t>
            </w:r>
          </w:p>
        </w:tc>
      </w:tr>
      <w:tr>
        <w:trPr>
          <w:trHeight w:val="231"/>
        </w:trPr>
        <w:tc>
          <w:tcPr>
            <w:tcW w:w="1260" w:type="dxa"/>
            <w:vAlign w:val="bottom"/>
            <w:shd w:val="clear" w:color="auto" w:fill="D1DDE6"/>
          </w:tcPr>
          <w:p>
            <w:pPr>
              <w:jc w:val="center"/>
              <w:spacing w:after="0" w:line="231" w:lineRule="exact"/>
              <w:rPr>
                <w:sz w:val="20"/>
                <w:szCs w:val="20"/>
                <w:color w:val="auto"/>
              </w:rPr>
            </w:pPr>
            <w:r>
              <w:rPr>
                <w:rFonts w:ascii="Arial" w:cs="Arial" w:eastAsia="Arial" w:hAnsi="Arial"/>
                <w:sz w:val="21"/>
                <w:szCs w:val="21"/>
                <w:b w:val="1"/>
                <w:bCs w:val="1"/>
                <w:color w:val="34657F"/>
                <w:w w:val="95"/>
              </w:rPr>
              <w:t>Total</w:t>
            </w:r>
          </w:p>
        </w:tc>
        <w:tc>
          <w:tcPr>
            <w:tcW w:w="100" w:type="dxa"/>
            <w:vAlign w:val="bottom"/>
          </w:tcPr>
          <w:p>
            <w:pPr>
              <w:spacing w:after="0"/>
              <w:rPr>
                <w:sz w:val="20"/>
                <w:szCs w:val="20"/>
                <w:color w:val="auto"/>
              </w:rPr>
            </w:pPr>
          </w:p>
        </w:tc>
        <w:tc>
          <w:tcPr>
            <w:tcW w:w="2200" w:type="dxa"/>
            <w:vAlign w:val="bottom"/>
            <w:shd w:val="clear" w:color="auto" w:fill="D1DDE6"/>
          </w:tcPr>
          <w:p>
            <w:pPr>
              <w:jc w:val="center"/>
              <w:spacing w:after="0" w:line="231" w:lineRule="exact"/>
              <w:rPr>
                <w:sz w:val="20"/>
                <w:szCs w:val="20"/>
                <w:color w:val="auto"/>
              </w:rPr>
            </w:pPr>
            <w:r>
              <w:rPr>
                <w:rFonts w:ascii="Arial" w:cs="Arial" w:eastAsia="Arial" w:hAnsi="Arial"/>
                <w:sz w:val="21"/>
                <w:szCs w:val="21"/>
                <w:b w:val="1"/>
                <w:bCs w:val="1"/>
                <w:color w:val="34657F"/>
                <w:w w:val="98"/>
              </w:rPr>
              <w:t>$30.1 billion</w:t>
            </w:r>
          </w:p>
        </w:tc>
        <w:tc>
          <w:tcPr>
            <w:tcW w:w="100" w:type="dxa"/>
            <w:vAlign w:val="bottom"/>
          </w:tcPr>
          <w:p>
            <w:pPr>
              <w:spacing w:after="0"/>
              <w:rPr>
                <w:sz w:val="20"/>
                <w:szCs w:val="20"/>
                <w:color w:val="auto"/>
              </w:rPr>
            </w:pPr>
          </w:p>
        </w:tc>
        <w:tc>
          <w:tcPr>
            <w:tcW w:w="1840" w:type="dxa"/>
            <w:vAlign w:val="bottom"/>
            <w:shd w:val="clear" w:color="auto" w:fill="D1DDE6"/>
          </w:tcPr>
          <w:p>
            <w:pPr>
              <w:spacing w:after="0"/>
              <w:rPr>
                <w:sz w:val="20"/>
                <w:szCs w:val="20"/>
                <w:color w:val="auto"/>
              </w:rPr>
            </w:pPr>
          </w:p>
        </w:tc>
        <w:tc>
          <w:tcPr>
            <w:tcW w:w="100" w:type="dxa"/>
            <w:vAlign w:val="bottom"/>
          </w:tcPr>
          <w:p>
            <w:pPr>
              <w:spacing w:after="0"/>
              <w:rPr>
                <w:sz w:val="20"/>
                <w:szCs w:val="20"/>
                <w:color w:val="auto"/>
              </w:rPr>
            </w:pPr>
          </w:p>
        </w:tc>
        <w:tc>
          <w:tcPr>
            <w:tcW w:w="3240" w:type="dxa"/>
            <w:vAlign w:val="bottom"/>
            <w:shd w:val="clear" w:color="auto" w:fill="D1DDE6"/>
          </w:tcPr>
          <w:p>
            <w:pPr>
              <w:spacing w:after="0"/>
              <w:rPr>
                <w:sz w:val="20"/>
                <w:szCs w:val="20"/>
                <w:color w:val="auto"/>
              </w:rPr>
            </w:pPr>
          </w:p>
        </w:tc>
        <w:tc>
          <w:tcPr>
            <w:tcW w:w="100" w:type="dxa"/>
            <w:vAlign w:val="bottom"/>
          </w:tcPr>
          <w:p>
            <w:pPr>
              <w:spacing w:after="0"/>
              <w:rPr>
                <w:sz w:val="20"/>
                <w:szCs w:val="20"/>
                <w:color w:val="auto"/>
              </w:rPr>
            </w:pPr>
          </w:p>
        </w:tc>
        <w:tc>
          <w:tcPr>
            <w:tcW w:w="2520" w:type="dxa"/>
            <w:vAlign w:val="bottom"/>
            <w:shd w:val="clear" w:color="auto" w:fill="D1DDE6"/>
          </w:tcPr>
          <w:p>
            <w:pPr>
              <w:ind w:left="600"/>
              <w:spacing w:after="0" w:line="231" w:lineRule="exact"/>
              <w:rPr>
                <w:sz w:val="20"/>
                <w:szCs w:val="20"/>
                <w:color w:val="auto"/>
              </w:rPr>
            </w:pPr>
            <w:r>
              <w:rPr>
                <w:rFonts w:ascii="Arial" w:cs="Arial" w:eastAsia="Arial" w:hAnsi="Arial"/>
                <w:sz w:val="21"/>
                <w:szCs w:val="21"/>
                <w:b w:val="1"/>
                <w:bCs w:val="1"/>
                <w:color w:val="34657F"/>
              </w:rPr>
              <w:t>of $1.2 billion</w:t>
            </w:r>
          </w:p>
        </w:tc>
      </w:tr>
      <w:tr>
        <w:trPr>
          <w:trHeight w:val="231"/>
        </w:trPr>
        <w:tc>
          <w:tcPr>
            <w:tcW w:w="1260" w:type="dxa"/>
            <w:vAlign w:val="bottom"/>
            <w:shd w:val="clear" w:color="auto" w:fill="D1DDE6"/>
          </w:tcPr>
          <w:p>
            <w:pPr>
              <w:jc w:val="center"/>
              <w:spacing w:after="0" w:line="231" w:lineRule="exact"/>
              <w:rPr>
                <w:sz w:val="20"/>
                <w:szCs w:val="20"/>
                <w:color w:val="auto"/>
              </w:rPr>
            </w:pPr>
            <w:r>
              <w:rPr>
                <w:rFonts w:ascii="Arial" w:cs="Arial" w:eastAsia="Arial" w:hAnsi="Arial"/>
                <w:sz w:val="21"/>
                <w:szCs w:val="21"/>
                <w:b w:val="1"/>
                <w:bCs w:val="1"/>
                <w:color w:val="34657F"/>
                <w:w w:val="97"/>
              </w:rPr>
              <w:t>Shareholder</w:t>
            </w:r>
          </w:p>
        </w:tc>
        <w:tc>
          <w:tcPr>
            <w:tcW w:w="100" w:type="dxa"/>
            <w:vAlign w:val="bottom"/>
          </w:tcPr>
          <w:p>
            <w:pPr>
              <w:spacing w:after="0"/>
              <w:rPr>
                <w:sz w:val="20"/>
                <w:szCs w:val="20"/>
                <w:color w:val="auto"/>
              </w:rPr>
            </w:pPr>
          </w:p>
        </w:tc>
        <w:tc>
          <w:tcPr>
            <w:tcW w:w="2200" w:type="dxa"/>
            <w:vAlign w:val="bottom"/>
            <w:shd w:val="clear" w:color="auto" w:fill="D1DDE6"/>
          </w:tcPr>
          <w:p>
            <w:pPr>
              <w:spacing w:after="0"/>
              <w:rPr>
                <w:sz w:val="20"/>
                <w:szCs w:val="20"/>
                <w:color w:val="auto"/>
              </w:rPr>
            </w:pPr>
          </w:p>
        </w:tc>
        <w:tc>
          <w:tcPr>
            <w:tcW w:w="100" w:type="dxa"/>
            <w:vAlign w:val="bottom"/>
          </w:tcPr>
          <w:p>
            <w:pPr>
              <w:spacing w:after="0"/>
              <w:rPr>
                <w:sz w:val="20"/>
                <w:szCs w:val="20"/>
                <w:color w:val="auto"/>
              </w:rPr>
            </w:pPr>
          </w:p>
        </w:tc>
        <w:tc>
          <w:tcPr>
            <w:tcW w:w="1840" w:type="dxa"/>
            <w:vAlign w:val="bottom"/>
            <w:shd w:val="clear" w:color="auto" w:fill="D1DDE6"/>
          </w:tcPr>
          <w:p>
            <w:pPr>
              <w:jc w:val="center"/>
              <w:spacing w:after="0" w:line="231" w:lineRule="exact"/>
              <w:rPr>
                <w:sz w:val="20"/>
                <w:szCs w:val="20"/>
                <w:color w:val="auto"/>
              </w:rPr>
            </w:pPr>
            <w:r>
              <w:rPr>
                <w:rFonts w:ascii="Arial" w:cs="Arial" w:eastAsia="Arial" w:hAnsi="Arial"/>
                <w:sz w:val="21"/>
                <w:szCs w:val="21"/>
                <w:b w:val="1"/>
                <w:bCs w:val="1"/>
                <w:color w:val="34657F"/>
                <w:w w:val="95"/>
              </w:rPr>
              <w:t>20%</w:t>
            </w:r>
          </w:p>
        </w:tc>
        <w:tc>
          <w:tcPr>
            <w:tcW w:w="100" w:type="dxa"/>
            <w:vAlign w:val="bottom"/>
          </w:tcPr>
          <w:p>
            <w:pPr>
              <w:spacing w:after="0"/>
              <w:rPr>
                <w:sz w:val="20"/>
                <w:szCs w:val="20"/>
                <w:color w:val="auto"/>
              </w:rPr>
            </w:pPr>
          </w:p>
        </w:tc>
        <w:tc>
          <w:tcPr>
            <w:tcW w:w="3240" w:type="dxa"/>
            <w:vAlign w:val="bottom"/>
            <w:shd w:val="clear" w:color="auto" w:fill="D1DDE6"/>
          </w:tcPr>
          <w:p>
            <w:pPr>
              <w:jc w:val="center"/>
              <w:spacing w:after="0" w:line="231" w:lineRule="exact"/>
              <w:rPr>
                <w:sz w:val="20"/>
                <w:szCs w:val="20"/>
                <w:color w:val="auto"/>
              </w:rPr>
            </w:pPr>
            <w:r>
              <w:rPr>
                <w:rFonts w:ascii="Arial" w:cs="Arial" w:eastAsia="Arial" w:hAnsi="Arial"/>
                <w:sz w:val="21"/>
                <w:szCs w:val="21"/>
                <w:b w:val="1"/>
                <w:bCs w:val="1"/>
                <w:color w:val="34657F"/>
                <w:w w:val="96"/>
              </w:rPr>
              <w:t>$1 billion accelerated share</w:t>
            </w:r>
          </w:p>
        </w:tc>
        <w:tc>
          <w:tcPr>
            <w:tcW w:w="100" w:type="dxa"/>
            <w:vAlign w:val="bottom"/>
          </w:tcPr>
          <w:p>
            <w:pPr>
              <w:spacing w:after="0"/>
              <w:rPr>
                <w:sz w:val="20"/>
                <w:szCs w:val="20"/>
                <w:color w:val="auto"/>
              </w:rPr>
            </w:pPr>
          </w:p>
        </w:tc>
        <w:tc>
          <w:tcPr>
            <w:tcW w:w="2520" w:type="dxa"/>
            <w:vAlign w:val="bottom"/>
            <w:shd w:val="clear" w:color="auto" w:fill="D1DDE6"/>
          </w:tcPr>
          <w:p>
            <w:pPr>
              <w:spacing w:after="0"/>
              <w:rPr>
                <w:sz w:val="20"/>
                <w:szCs w:val="20"/>
                <w:color w:val="auto"/>
              </w:rPr>
            </w:pPr>
          </w:p>
        </w:tc>
      </w:tr>
      <w:tr>
        <w:trPr>
          <w:trHeight w:val="231"/>
        </w:trPr>
        <w:tc>
          <w:tcPr>
            <w:tcW w:w="1260" w:type="dxa"/>
            <w:vAlign w:val="bottom"/>
            <w:shd w:val="clear" w:color="auto" w:fill="D1DDE6"/>
          </w:tcPr>
          <w:p>
            <w:pPr>
              <w:jc w:val="center"/>
              <w:spacing w:after="0" w:line="231" w:lineRule="exact"/>
              <w:rPr>
                <w:sz w:val="20"/>
                <w:szCs w:val="20"/>
                <w:color w:val="auto"/>
              </w:rPr>
            </w:pPr>
            <w:r>
              <w:rPr>
                <w:rFonts w:ascii="Arial" w:cs="Arial" w:eastAsia="Arial" w:hAnsi="Arial"/>
                <w:sz w:val="21"/>
                <w:szCs w:val="21"/>
                <w:b w:val="1"/>
                <w:bCs w:val="1"/>
                <w:color w:val="34657F"/>
                <w:w w:val="97"/>
              </w:rPr>
              <w:t>Return</w:t>
            </w:r>
          </w:p>
        </w:tc>
        <w:tc>
          <w:tcPr>
            <w:tcW w:w="100" w:type="dxa"/>
            <w:vAlign w:val="bottom"/>
          </w:tcPr>
          <w:p>
            <w:pPr>
              <w:spacing w:after="0"/>
              <w:rPr>
                <w:sz w:val="20"/>
                <w:szCs w:val="20"/>
                <w:color w:val="auto"/>
              </w:rPr>
            </w:pPr>
          </w:p>
        </w:tc>
        <w:tc>
          <w:tcPr>
            <w:tcW w:w="2200" w:type="dxa"/>
            <w:vAlign w:val="bottom"/>
            <w:shd w:val="clear" w:color="auto" w:fill="D1DDE6"/>
          </w:tcPr>
          <w:p>
            <w:pPr>
              <w:jc w:val="center"/>
              <w:spacing w:after="0" w:line="231" w:lineRule="exact"/>
              <w:rPr>
                <w:sz w:val="20"/>
                <w:szCs w:val="20"/>
                <w:color w:val="auto"/>
              </w:rPr>
            </w:pPr>
            <w:r>
              <w:rPr>
                <w:rFonts w:ascii="Arial" w:cs="Arial" w:eastAsia="Arial" w:hAnsi="Arial"/>
                <w:sz w:val="21"/>
                <w:szCs w:val="21"/>
                <w:b w:val="1"/>
                <w:bCs w:val="1"/>
                <w:color w:val="34657F"/>
                <w:w w:val="96"/>
              </w:rPr>
              <w:t>Total backlog of</w:t>
            </w:r>
          </w:p>
        </w:tc>
        <w:tc>
          <w:tcPr>
            <w:tcW w:w="100" w:type="dxa"/>
            <w:vAlign w:val="bottom"/>
          </w:tcPr>
          <w:p>
            <w:pPr>
              <w:spacing w:after="0"/>
              <w:rPr>
                <w:sz w:val="20"/>
                <w:szCs w:val="20"/>
                <w:color w:val="auto"/>
              </w:rPr>
            </w:pPr>
          </w:p>
        </w:tc>
        <w:tc>
          <w:tcPr>
            <w:tcW w:w="1840" w:type="dxa"/>
            <w:vAlign w:val="bottom"/>
            <w:shd w:val="clear" w:color="auto" w:fill="D1DDE6"/>
          </w:tcPr>
          <w:p>
            <w:pPr>
              <w:jc w:val="center"/>
              <w:spacing w:after="0" w:line="231" w:lineRule="exact"/>
              <w:rPr>
                <w:sz w:val="20"/>
                <w:szCs w:val="20"/>
                <w:color w:val="auto"/>
              </w:rPr>
            </w:pPr>
            <w:r>
              <w:rPr>
                <w:rFonts w:ascii="Arial" w:cs="Arial" w:eastAsia="Arial" w:hAnsi="Arial"/>
                <w:sz w:val="21"/>
                <w:szCs w:val="21"/>
                <w:b w:val="1"/>
                <w:bCs w:val="1"/>
                <w:color w:val="34657F"/>
                <w:w w:val="97"/>
              </w:rPr>
              <w:t>total increase in</w:t>
            </w:r>
          </w:p>
        </w:tc>
        <w:tc>
          <w:tcPr>
            <w:tcW w:w="100" w:type="dxa"/>
            <w:vAlign w:val="bottom"/>
          </w:tcPr>
          <w:p>
            <w:pPr>
              <w:spacing w:after="0"/>
              <w:rPr>
                <w:sz w:val="20"/>
                <w:szCs w:val="20"/>
                <w:color w:val="auto"/>
              </w:rPr>
            </w:pPr>
          </w:p>
        </w:tc>
        <w:tc>
          <w:tcPr>
            <w:tcW w:w="3240" w:type="dxa"/>
            <w:vAlign w:val="bottom"/>
            <w:shd w:val="clear" w:color="auto" w:fill="D1DDE6"/>
          </w:tcPr>
          <w:p>
            <w:pPr>
              <w:jc w:val="center"/>
              <w:spacing w:after="0" w:line="231" w:lineRule="exact"/>
              <w:rPr>
                <w:sz w:val="20"/>
                <w:szCs w:val="20"/>
                <w:color w:val="auto"/>
              </w:rPr>
            </w:pPr>
            <w:r>
              <w:rPr>
                <w:rFonts w:ascii="Arial" w:cs="Arial" w:eastAsia="Arial" w:hAnsi="Arial"/>
                <w:sz w:val="21"/>
                <w:szCs w:val="21"/>
                <w:b w:val="1"/>
                <w:bCs w:val="1"/>
                <w:color w:val="34657F"/>
                <w:w w:val="97"/>
              </w:rPr>
              <w:t>repurchase commenced in Oct</w:t>
            </w:r>
            <w:r>
              <w:rPr>
                <w:rFonts w:ascii="Arial" w:cs="Arial" w:eastAsia="Arial" w:hAnsi="Arial"/>
                <w:sz w:val="21"/>
                <w:szCs w:val="21"/>
                <w:color w:val="000000"/>
                <w:w w:val="97"/>
              </w:rPr>
              <w:t>.</w:t>
            </w:r>
          </w:p>
        </w:tc>
        <w:tc>
          <w:tcPr>
            <w:tcW w:w="100" w:type="dxa"/>
            <w:vAlign w:val="bottom"/>
          </w:tcPr>
          <w:p>
            <w:pPr>
              <w:spacing w:after="0"/>
              <w:rPr>
                <w:sz w:val="20"/>
                <w:szCs w:val="20"/>
                <w:color w:val="auto"/>
              </w:rPr>
            </w:pPr>
          </w:p>
        </w:tc>
        <w:tc>
          <w:tcPr>
            <w:tcW w:w="2520" w:type="dxa"/>
            <w:vAlign w:val="bottom"/>
            <w:shd w:val="clear" w:color="auto" w:fill="D1DDE6"/>
          </w:tcPr>
          <w:p>
            <w:pPr>
              <w:jc w:val="center"/>
              <w:spacing w:after="0" w:line="231" w:lineRule="exact"/>
              <w:rPr>
                <w:sz w:val="20"/>
                <w:szCs w:val="20"/>
                <w:color w:val="auto"/>
              </w:rPr>
            </w:pPr>
            <w:r>
              <w:rPr>
                <w:rFonts w:ascii="Arial" w:cs="Arial" w:eastAsia="Arial" w:hAnsi="Arial"/>
                <w:sz w:val="21"/>
                <w:szCs w:val="21"/>
                <w:b w:val="1"/>
                <w:bCs w:val="1"/>
                <w:color w:val="34657F"/>
                <w:w w:val="97"/>
              </w:rPr>
              <w:t>Internal R&amp;D spending of</w:t>
            </w:r>
          </w:p>
        </w:tc>
      </w:tr>
      <w:tr>
        <w:trPr>
          <w:trHeight w:val="231"/>
        </w:trPr>
        <w:tc>
          <w:tcPr>
            <w:tcW w:w="1260" w:type="dxa"/>
            <w:vAlign w:val="bottom"/>
            <w:shd w:val="clear" w:color="auto" w:fill="D1DDE6"/>
          </w:tcPr>
          <w:p>
            <w:pPr>
              <w:jc w:val="center"/>
              <w:spacing w:after="0" w:line="231" w:lineRule="exact"/>
              <w:rPr>
                <w:sz w:val="20"/>
                <w:szCs w:val="20"/>
                <w:color w:val="auto"/>
              </w:rPr>
            </w:pPr>
            <w:r>
              <w:rPr>
                <w:rFonts w:ascii="Arial" w:cs="Arial" w:eastAsia="Arial" w:hAnsi="Arial"/>
                <w:sz w:val="21"/>
                <w:szCs w:val="21"/>
                <w:b w:val="1"/>
                <w:bCs w:val="1"/>
                <w:color w:val="34657F"/>
                <w:w w:val="97"/>
              </w:rPr>
              <w:t>(2016-2018)</w:t>
            </w:r>
          </w:p>
        </w:tc>
        <w:tc>
          <w:tcPr>
            <w:tcW w:w="100" w:type="dxa"/>
            <w:vAlign w:val="bottom"/>
          </w:tcPr>
          <w:p>
            <w:pPr>
              <w:spacing w:after="0"/>
              <w:rPr>
                <w:sz w:val="20"/>
                <w:szCs w:val="20"/>
                <w:color w:val="auto"/>
              </w:rPr>
            </w:pPr>
          </w:p>
        </w:tc>
        <w:tc>
          <w:tcPr>
            <w:tcW w:w="2200" w:type="dxa"/>
            <w:vAlign w:val="bottom"/>
            <w:shd w:val="clear" w:color="auto" w:fill="D1DDE6"/>
          </w:tcPr>
          <w:p>
            <w:pPr>
              <w:jc w:val="center"/>
              <w:spacing w:after="0" w:line="231" w:lineRule="exact"/>
              <w:rPr>
                <w:sz w:val="20"/>
                <w:szCs w:val="20"/>
                <w:color w:val="auto"/>
              </w:rPr>
            </w:pPr>
            <w:r>
              <w:rPr>
                <w:rFonts w:ascii="Arial" w:cs="Arial" w:eastAsia="Arial" w:hAnsi="Arial"/>
                <w:sz w:val="21"/>
                <w:szCs w:val="21"/>
                <w:b w:val="1"/>
                <w:bCs w:val="1"/>
                <w:color w:val="34657F"/>
                <w:w w:val="98"/>
              </w:rPr>
              <w:t>$53.5 billion</w:t>
            </w:r>
          </w:p>
        </w:tc>
        <w:tc>
          <w:tcPr>
            <w:tcW w:w="100" w:type="dxa"/>
            <w:vAlign w:val="bottom"/>
          </w:tcPr>
          <w:p>
            <w:pPr>
              <w:spacing w:after="0"/>
              <w:rPr>
                <w:sz w:val="20"/>
                <w:szCs w:val="20"/>
                <w:color w:val="auto"/>
              </w:rPr>
            </w:pPr>
          </w:p>
        </w:tc>
        <w:tc>
          <w:tcPr>
            <w:tcW w:w="1840" w:type="dxa"/>
            <w:vAlign w:val="bottom"/>
            <w:shd w:val="clear" w:color="auto" w:fill="D1DDE6"/>
          </w:tcPr>
          <w:p>
            <w:pPr>
              <w:jc w:val="center"/>
              <w:spacing w:after="0" w:line="231" w:lineRule="exact"/>
              <w:rPr>
                <w:sz w:val="20"/>
                <w:szCs w:val="20"/>
                <w:color w:val="auto"/>
              </w:rPr>
            </w:pPr>
            <w:r>
              <w:rPr>
                <w:rFonts w:ascii="Arial" w:cs="Arial" w:eastAsia="Arial" w:hAnsi="Arial"/>
                <w:sz w:val="21"/>
                <w:szCs w:val="21"/>
                <w:b w:val="1"/>
                <w:bCs w:val="1"/>
                <w:color w:val="34657F"/>
                <w:w w:val="97"/>
              </w:rPr>
              <w:t>quarterly dividend</w:t>
            </w:r>
          </w:p>
        </w:tc>
        <w:tc>
          <w:tcPr>
            <w:tcW w:w="100" w:type="dxa"/>
            <w:vAlign w:val="bottom"/>
          </w:tcPr>
          <w:p>
            <w:pPr>
              <w:spacing w:after="0"/>
              <w:rPr>
                <w:sz w:val="20"/>
                <w:szCs w:val="20"/>
                <w:color w:val="auto"/>
              </w:rPr>
            </w:pPr>
          </w:p>
        </w:tc>
        <w:tc>
          <w:tcPr>
            <w:tcW w:w="3240" w:type="dxa"/>
            <w:vAlign w:val="bottom"/>
            <w:shd w:val="clear" w:color="auto" w:fill="D1DDE6"/>
          </w:tcPr>
          <w:p>
            <w:pPr>
              <w:jc w:val="center"/>
              <w:spacing w:after="0" w:line="231" w:lineRule="exact"/>
              <w:rPr>
                <w:sz w:val="20"/>
                <w:szCs w:val="20"/>
                <w:color w:val="auto"/>
              </w:rPr>
            </w:pPr>
            <w:r>
              <w:rPr>
                <w:rFonts w:ascii="Arial" w:cs="Arial" w:eastAsia="Arial" w:hAnsi="Arial"/>
                <w:sz w:val="21"/>
                <w:szCs w:val="21"/>
                <w:b w:val="1"/>
                <w:bCs w:val="1"/>
                <w:color w:val="34657F"/>
                <w:w w:val="94"/>
              </w:rPr>
              <w:t>2018</w:t>
            </w:r>
          </w:p>
        </w:tc>
        <w:tc>
          <w:tcPr>
            <w:tcW w:w="100" w:type="dxa"/>
            <w:vAlign w:val="bottom"/>
          </w:tcPr>
          <w:p>
            <w:pPr>
              <w:spacing w:after="0"/>
              <w:rPr>
                <w:sz w:val="20"/>
                <w:szCs w:val="20"/>
                <w:color w:val="auto"/>
              </w:rPr>
            </w:pPr>
          </w:p>
        </w:tc>
        <w:tc>
          <w:tcPr>
            <w:tcW w:w="2520" w:type="dxa"/>
            <w:vAlign w:val="bottom"/>
            <w:shd w:val="clear" w:color="auto" w:fill="D1DDE6"/>
          </w:tcPr>
          <w:p>
            <w:pPr>
              <w:jc w:val="center"/>
              <w:spacing w:after="0" w:line="231" w:lineRule="exact"/>
              <w:rPr>
                <w:sz w:val="20"/>
                <w:szCs w:val="20"/>
                <w:color w:val="auto"/>
              </w:rPr>
            </w:pPr>
            <w:r>
              <w:rPr>
                <w:rFonts w:ascii="Arial" w:cs="Arial" w:eastAsia="Arial" w:hAnsi="Arial"/>
                <w:sz w:val="21"/>
                <w:szCs w:val="21"/>
                <w:b w:val="1"/>
                <w:bCs w:val="1"/>
                <w:color w:val="34657F"/>
                <w:w w:val="98"/>
              </w:rPr>
              <w:t>$764 million</w:t>
            </w:r>
          </w:p>
        </w:tc>
      </w:tr>
      <w:tr>
        <w:trPr>
          <w:trHeight w:val="272"/>
        </w:trPr>
        <w:tc>
          <w:tcPr>
            <w:tcW w:w="1260" w:type="dxa"/>
            <w:vAlign w:val="bottom"/>
            <w:shd w:val="clear" w:color="auto" w:fill="D1DDE6"/>
          </w:tcPr>
          <w:p>
            <w:pPr>
              <w:spacing w:after="0"/>
              <w:rPr>
                <w:sz w:val="23"/>
                <w:szCs w:val="23"/>
                <w:color w:val="auto"/>
              </w:rPr>
            </w:pPr>
          </w:p>
        </w:tc>
        <w:tc>
          <w:tcPr>
            <w:tcW w:w="100" w:type="dxa"/>
            <w:vAlign w:val="bottom"/>
          </w:tcPr>
          <w:p>
            <w:pPr>
              <w:spacing w:after="0"/>
              <w:rPr>
                <w:sz w:val="23"/>
                <w:szCs w:val="23"/>
                <w:color w:val="auto"/>
              </w:rPr>
            </w:pPr>
          </w:p>
        </w:tc>
        <w:tc>
          <w:tcPr>
            <w:tcW w:w="2200" w:type="dxa"/>
            <w:vAlign w:val="bottom"/>
            <w:shd w:val="clear" w:color="auto" w:fill="D1DDE6"/>
          </w:tcPr>
          <w:p>
            <w:pPr>
              <w:spacing w:after="0"/>
              <w:rPr>
                <w:sz w:val="23"/>
                <w:szCs w:val="23"/>
                <w:color w:val="auto"/>
              </w:rPr>
            </w:pPr>
          </w:p>
        </w:tc>
        <w:tc>
          <w:tcPr>
            <w:tcW w:w="100" w:type="dxa"/>
            <w:vAlign w:val="bottom"/>
          </w:tcPr>
          <w:p>
            <w:pPr>
              <w:spacing w:after="0"/>
              <w:rPr>
                <w:sz w:val="23"/>
                <w:szCs w:val="23"/>
                <w:color w:val="auto"/>
              </w:rPr>
            </w:pPr>
          </w:p>
        </w:tc>
        <w:tc>
          <w:tcPr>
            <w:tcW w:w="1840" w:type="dxa"/>
            <w:vAlign w:val="bottom"/>
            <w:shd w:val="clear" w:color="auto" w:fill="D1DDE6"/>
          </w:tcPr>
          <w:p>
            <w:pPr>
              <w:jc w:val="center"/>
              <w:spacing w:after="0"/>
              <w:rPr>
                <w:sz w:val="20"/>
                <w:szCs w:val="20"/>
                <w:color w:val="auto"/>
              </w:rPr>
            </w:pPr>
            <w:r>
              <w:rPr>
                <w:rFonts w:ascii="Arial" w:cs="Arial" w:eastAsia="Arial" w:hAnsi="Arial"/>
                <w:sz w:val="21"/>
                <w:szCs w:val="21"/>
                <w:b w:val="1"/>
                <w:bCs w:val="1"/>
                <w:color w:val="34657F"/>
                <w:w w:val="97"/>
              </w:rPr>
              <w:t>per share</w:t>
            </w:r>
          </w:p>
        </w:tc>
        <w:tc>
          <w:tcPr>
            <w:tcW w:w="100" w:type="dxa"/>
            <w:vAlign w:val="bottom"/>
          </w:tcPr>
          <w:p>
            <w:pPr>
              <w:spacing w:after="0"/>
              <w:rPr>
                <w:sz w:val="23"/>
                <w:szCs w:val="23"/>
                <w:color w:val="auto"/>
              </w:rPr>
            </w:pPr>
          </w:p>
        </w:tc>
        <w:tc>
          <w:tcPr>
            <w:tcW w:w="3240" w:type="dxa"/>
            <w:vAlign w:val="bottom"/>
            <w:shd w:val="clear" w:color="auto" w:fill="D1DDE6"/>
          </w:tcPr>
          <w:p>
            <w:pPr>
              <w:spacing w:after="0"/>
              <w:rPr>
                <w:sz w:val="23"/>
                <w:szCs w:val="23"/>
                <w:color w:val="auto"/>
              </w:rPr>
            </w:pPr>
          </w:p>
        </w:tc>
        <w:tc>
          <w:tcPr>
            <w:tcW w:w="100" w:type="dxa"/>
            <w:vAlign w:val="bottom"/>
          </w:tcPr>
          <w:p>
            <w:pPr>
              <w:spacing w:after="0"/>
              <w:rPr>
                <w:sz w:val="23"/>
                <w:szCs w:val="23"/>
                <w:color w:val="auto"/>
              </w:rPr>
            </w:pPr>
          </w:p>
        </w:tc>
        <w:tc>
          <w:tcPr>
            <w:tcW w:w="2520" w:type="dxa"/>
            <w:vAlign w:val="bottom"/>
            <w:shd w:val="clear" w:color="auto" w:fill="D1DDE6"/>
          </w:tcPr>
          <w:p>
            <w:pPr>
              <w:spacing w:after="0"/>
              <w:rPr>
                <w:sz w:val="23"/>
                <w:szCs w:val="23"/>
                <w:color w:val="auto"/>
              </w:rPr>
            </w:pPr>
          </w:p>
        </w:tc>
      </w:tr>
      <w:tr>
        <w:trPr>
          <w:trHeight w:val="209"/>
        </w:trPr>
        <w:tc>
          <w:tcPr>
            <w:tcW w:w="1260" w:type="dxa"/>
            <w:vAlign w:val="bottom"/>
            <w:shd w:val="clear" w:color="auto" w:fill="D1DDE6"/>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shd w:val="clear" w:color="auto" w:fill="D1DDE6"/>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shd w:val="clear" w:color="auto" w:fill="D1DDE6"/>
          </w:tcPr>
          <w:p>
            <w:pPr>
              <w:spacing w:after="0"/>
              <w:rPr>
                <w:sz w:val="18"/>
                <w:szCs w:val="18"/>
                <w:color w:val="auto"/>
              </w:rPr>
            </w:pPr>
          </w:p>
        </w:tc>
        <w:tc>
          <w:tcPr>
            <w:tcW w:w="100" w:type="dxa"/>
            <w:vAlign w:val="bottom"/>
          </w:tcPr>
          <w:p>
            <w:pPr>
              <w:spacing w:after="0"/>
              <w:rPr>
                <w:sz w:val="18"/>
                <w:szCs w:val="18"/>
                <w:color w:val="auto"/>
              </w:rPr>
            </w:pPr>
          </w:p>
        </w:tc>
        <w:tc>
          <w:tcPr>
            <w:tcW w:w="3240" w:type="dxa"/>
            <w:vAlign w:val="bottom"/>
            <w:shd w:val="clear" w:color="auto" w:fill="D1DDE6"/>
          </w:tcPr>
          <w:p>
            <w:pPr>
              <w:spacing w:after="0"/>
              <w:rPr>
                <w:sz w:val="18"/>
                <w:szCs w:val="18"/>
                <w:color w:val="auto"/>
              </w:rPr>
            </w:pPr>
          </w:p>
        </w:tc>
        <w:tc>
          <w:tcPr>
            <w:tcW w:w="100" w:type="dxa"/>
            <w:vAlign w:val="bottom"/>
          </w:tcPr>
          <w:p>
            <w:pPr>
              <w:spacing w:after="0"/>
              <w:rPr>
                <w:sz w:val="18"/>
                <w:szCs w:val="18"/>
                <w:color w:val="auto"/>
              </w:rPr>
            </w:pPr>
          </w:p>
        </w:tc>
        <w:tc>
          <w:tcPr>
            <w:tcW w:w="2520" w:type="dxa"/>
            <w:vAlign w:val="bottom"/>
            <w:shd w:val="clear" w:color="auto" w:fill="D1DDE6"/>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right"/>
        <w:ind w:right="100"/>
        <w:spacing w:after="0"/>
        <w:rPr>
          <w:sz w:val="20"/>
          <w:szCs w:val="20"/>
          <w:color w:val="auto"/>
        </w:rPr>
      </w:pPr>
      <w:r>
        <w:rPr>
          <w:rFonts w:ascii="Arial" w:cs="Arial" w:eastAsia="Arial" w:hAnsi="Arial"/>
          <w:sz w:val="14"/>
          <w:szCs w:val="14"/>
          <w:color w:val="34657F"/>
        </w:rPr>
        <w:t xml:space="preserve">NOTICE OF 2019 ANNUAL MEETING OF SHAREHOLDERS AND PROXY STATEMENT </w:t>
      </w:r>
      <w:r>
        <w:rPr>
          <w:rFonts w:ascii="Arial" w:cs="Arial" w:eastAsia="Arial" w:hAnsi="Arial"/>
          <w:sz w:val="14"/>
          <w:szCs w:val="14"/>
          <w:color w:val="000000"/>
        </w:rPr>
        <w:t>I 1</w:t>
      </w:r>
    </w:p>
    <w:p>
      <w:pPr>
        <w:sectPr>
          <w:pgSz w:w="11900" w:h="16838" w:orient="portrait"/>
          <w:cols w:equalWidth="0" w:num="1">
            <w:col w:w="11520"/>
          </w:cols>
          <w:pgMar w:left="240" w:top="671" w:right="139" w:bottom="1440" w:gutter="0" w:footer="0" w:header="0"/>
        </w:sectPr>
      </w:pPr>
    </w:p>
    <w:bookmarkStart w:id="7" w:name="page8"/>
    <w:bookmarkEnd w:id="7"/>
    <w:p>
      <w:pPr>
        <w:ind w:left="20"/>
        <w:spacing w:after="0"/>
        <w:rPr>
          <w:sz w:val="20"/>
          <w:szCs w:val="20"/>
          <w:color w:val="auto"/>
        </w:rPr>
      </w:pPr>
      <w:r>
        <w:rPr>
          <w:rFonts w:ascii="Arial" w:cs="Arial" w:eastAsia="Arial" w:hAnsi="Arial"/>
          <w:sz w:val="21"/>
          <w:szCs w:val="21"/>
          <w:b w:val="1"/>
          <w:bCs w:val="1"/>
          <w:color w:val="FFFFFF"/>
        </w:rPr>
        <w:drawing>
          <wp:anchor simplePos="0" relativeHeight="251657728" behindDoc="1" locked="0" layoutInCell="0" allowOverlap="1">
            <wp:simplePos x="0" y="0"/>
            <wp:positionH relativeFrom="page">
              <wp:posOffset>154305</wp:posOffset>
            </wp:positionH>
            <wp:positionV relativeFrom="page">
              <wp:posOffset>365760</wp:posOffset>
            </wp:positionV>
            <wp:extent cx="7253605" cy="5861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3605" cy="586105"/>
                    </a:xfrm>
                    <a:prstGeom prst="rect">
                      <a:avLst/>
                    </a:prstGeom>
                    <a:noFill/>
                  </pic:spPr>
                </pic:pic>
              </a:graphicData>
            </a:graphic>
          </wp:anchor>
        </w:drawing>
        <w:t>PROXY STATEMENT SUMMARY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20"/>
        <w:spacing w:after="0"/>
        <w:rPr>
          <w:sz w:val="20"/>
          <w:szCs w:val="20"/>
          <w:color w:val="auto"/>
        </w:rPr>
      </w:pPr>
      <w:r>
        <w:rPr>
          <w:rFonts w:ascii="Arial" w:cs="Arial" w:eastAsia="Arial" w:hAnsi="Arial"/>
          <w:sz w:val="24"/>
          <w:szCs w:val="24"/>
          <w:b w:val="1"/>
          <w:bCs w:val="1"/>
          <w:color w:val="auto"/>
        </w:rPr>
        <w:t>2018 Executive Compensation Highlights (page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38100</wp:posOffset>
            </wp:positionV>
            <wp:extent cx="7253605" cy="165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pacing w:after="0" w:line="142" w:lineRule="exact"/>
        <w:rPr>
          <w:sz w:val="20"/>
          <w:szCs w:val="20"/>
          <w:color w:val="auto"/>
        </w:rPr>
      </w:pPr>
    </w:p>
    <w:p>
      <w:pPr>
        <w:ind w:right="20"/>
        <w:spacing w:after="0" w:line="263" w:lineRule="auto"/>
        <w:rPr>
          <w:sz w:val="20"/>
          <w:szCs w:val="20"/>
          <w:color w:val="auto"/>
        </w:rPr>
      </w:pPr>
      <w:r>
        <w:rPr>
          <w:rFonts w:ascii="Arial" w:cs="Arial" w:eastAsia="Arial" w:hAnsi="Arial"/>
          <w:sz w:val="17"/>
          <w:szCs w:val="17"/>
          <w:color w:val="auto"/>
        </w:rPr>
        <w:t>We are committed to performance-based executive compensation programs that align with shareholders' interests and our strategy of investing for and delivering long-term profitable growth.</w:t>
      </w:r>
    </w:p>
    <w:p>
      <w:pPr>
        <w:spacing w:after="0" w:line="59" w:lineRule="exact"/>
        <w:rPr>
          <w:sz w:val="20"/>
          <w:szCs w:val="20"/>
          <w:color w:val="auto"/>
        </w:rPr>
      </w:pPr>
    </w:p>
    <w:p>
      <w:pPr>
        <w:ind w:right="40"/>
        <w:spacing w:after="0" w:line="254" w:lineRule="auto"/>
        <w:rPr>
          <w:sz w:val="20"/>
          <w:szCs w:val="20"/>
          <w:color w:val="auto"/>
        </w:rPr>
      </w:pPr>
      <w:r>
        <w:rPr>
          <w:rFonts w:ascii="Arial" w:cs="Arial" w:eastAsia="Arial" w:hAnsi="Arial"/>
          <w:sz w:val="17"/>
          <w:szCs w:val="17"/>
          <w:color w:val="auto"/>
        </w:rPr>
        <w:t>Due to strong financial performance in 2018, our 2018 Annual Incentive Plan (AIP) payout increased to 160%, from 131% in 2017. Our Long-Term Incentive Plan (LTIP) payout is 115% compared to 150% in 2017 for named executive officers (NEOs). We ranked in the 45th percentile for three-year TSR performance relative to the 2016 Performance Peer Group identified on page 42, ranked in the 64th percentile for three-year TSR performance relative to the S&amp;P Industrials and exceeded our target for Cumulative Free Cash Flow* (Cumulative FCF*). Following are some governance principles of our 2018 executive compensation programs:</w:t>
      </w:r>
    </w:p>
    <w:p>
      <w:pPr>
        <w:spacing w:after="0" w:line="180" w:lineRule="exact"/>
        <w:rPr>
          <w:sz w:val="20"/>
          <w:szCs w:val="20"/>
          <w:color w:val="auto"/>
        </w:rPr>
      </w:pPr>
    </w:p>
    <w:tbl>
      <w:tblPr>
        <w:tblLayout w:type="fixed"/>
        <w:tblInd w:w="980" w:type="dxa"/>
        <w:tblCellMar>
          <w:top w:w="0" w:type="dxa"/>
          <w:left w:w="0" w:type="dxa"/>
          <w:bottom w:w="0" w:type="dxa"/>
          <w:right w:w="0" w:type="dxa"/>
        </w:tblCellMar>
      </w:tblPr>
      <w:tr>
        <w:trPr>
          <w:trHeight w:val="241"/>
        </w:trPr>
        <w:tc>
          <w:tcPr>
            <w:tcW w:w="1620" w:type="dxa"/>
            <w:vAlign w:val="bottom"/>
            <w:vMerge w:val="restart"/>
            <w:shd w:val="clear" w:color="auto" w:fill="D1DDE6"/>
          </w:tcPr>
          <w:p>
            <w:pPr>
              <w:jc w:val="center"/>
              <w:spacing w:after="0"/>
              <w:rPr>
                <w:sz w:val="20"/>
                <w:szCs w:val="20"/>
                <w:color w:val="auto"/>
              </w:rPr>
            </w:pPr>
            <w:r>
              <w:rPr>
                <w:rFonts w:ascii="Arial" w:cs="Arial" w:eastAsia="Arial" w:hAnsi="Arial"/>
                <w:sz w:val="21"/>
                <w:szCs w:val="21"/>
                <w:b w:val="1"/>
                <w:bCs w:val="1"/>
                <w:color w:val="34657F"/>
                <w:w w:val="98"/>
              </w:rPr>
              <w:t xml:space="preserve">70% </w:t>
            </w:r>
            <w:r>
              <w:rPr>
                <w:rFonts w:ascii="Arial" w:cs="Arial" w:eastAsia="Arial" w:hAnsi="Arial"/>
                <w:sz w:val="21"/>
                <w:szCs w:val="21"/>
                <w:color w:val="000000"/>
                <w:w w:val="98"/>
              </w:rPr>
              <w:t>of Annual</w:t>
            </w:r>
          </w:p>
        </w:tc>
        <w:tc>
          <w:tcPr>
            <w:tcW w:w="220" w:type="dxa"/>
            <w:vAlign w:val="bottom"/>
          </w:tcPr>
          <w:p>
            <w:pPr>
              <w:spacing w:after="0"/>
              <w:rPr>
                <w:sz w:val="21"/>
                <w:szCs w:val="21"/>
                <w:color w:val="auto"/>
              </w:rPr>
            </w:pPr>
          </w:p>
        </w:tc>
        <w:tc>
          <w:tcPr>
            <w:tcW w:w="2140" w:type="dxa"/>
            <w:vAlign w:val="bottom"/>
            <w:vMerge w:val="restart"/>
            <w:shd w:val="clear" w:color="auto" w:fill="D1DDE6"/>
          </w:tcPr>
          <w:p>
            <w:pPr>
              <w:jc w:val="center"/>
              <w:spacing w:after="0"/>
              <w:rPr>
                <w:sz w:val="20"/>
                <w:szCs w:val="20"/>
                <w:color w:val="auto"/>
              </w:rPr>
            </w:pPr>
            <w:r>
              <w:rPr>
                <w:rFonts w:ascii="Arial" w:cs="Arial" w:eastAsia="Arial" w:hAnsi="Arial"/>
                <w:sz w:val="21"/>
                <w:szCs w:val="21"/>
                <w:b w:val="1"/>
                <w:bCs w:val="1"/>
                <w:color w:val="34657F"/>
                <w:w w:val="97"/>
              </w:rPr>
              <w:t>Stock</w:t>
            </w:r>
          </w:p>
        </w:tc>
        <w:tc>
          <w:tcPr>
            <w:tcW w:w="240" w:type="dxa"/>
            <w:vAlign w:val="bottom"/>
          </w:tcPr>
          <w:p>
            <w:pPr>
              <w:spacing w:after="0"/>
              <w:rPr>
                <w:sz w:val="21"/>
                <w:szCs w:val="21"/>
                <w:color w:val="auto"/>
              </w:rPr>
            </w:pPr>
          </w:p>
        </w:tc>
        <w:tc>
          <w:tcPr>
            <w:tcW w:w="1540" w:type="dxa"/>
            <w:vAlign w:val="bottom"/>
            <w:shd w:val="clear" w:color="auto" w:fill="D1DDE6"/>
          </w:tcPr>
          <w:p>
            <w:pPr>
              <w:jc w:val="center"/>
              <w:spacing w:after="0"/>
              <w:rPr>
                <w:sz w:val="20"/>
                <w:szCs w:val="20"/>
                <w:color w:val="auto"/>
              </w:rPr>
            </w:pPr>
            <w:r>
              <w:rPr>
                <w:rFonts w:ascii="Arial" w:cs="Arial" w:eastAsia="Arial" w:hAnsi="Arial"/>
                <w:sz w:val="21"/>
                <w:szCs w:val="21"/>
                <w:b w:val="1"/>
                <w:bCs w:val="1"/>
                <w:color w:val="34657F"/>
                <w:w w:val="96"/>
              </w:rPr>
              <w:t>3-Year</w:t>
            </w:r>
          </w:p>
        </w:tc>
        <w:tc>
          <w:tcPr>
            <w:tcW w:w="220" w:type="dxa"/>
            <w:vAlign w:val="bottom"/>
          </w:tcPr>
          <w:p>
            <w:pPr>
              <w:spacing w:after="0"/>
              <w:rPr>
                <w:sz w:val="21"/>
                <w:szCs w:val="21"/>
                <w:color w:val="auto"/>
              </w:rPr>
            </w:pPr>
          </w:p>
        </w:tc>
        <w:tc>
          <w:tcPr>
            <w:tcW w:w="1540" w:type="dxa"/>
            <w:vAlign w:val="bottom"/>
            <w:shd w:val="clear" w:color="auto" w:fill="D1DDE6"/>
          </w:tcPr>
          <w:p>
            <w:pPr>
              <w:spacing w:after="0"/>
              <w:rPr>
                <w:sz w:val="21"/>
                <w:szCs w:val="21"/>
                <w:color w:val="auto"/>
              </w:rPr>
            </w:pPr>
          </w:p>
        </w:tc>
        <w:tc>
          <w:tcPr>
            <w:tcW w:w="240" w:type="dxa"/>
            <w:vAlign w:val="bottom"/>
          </w:tcPr>
          <w:p>
            <w:pPr>
              <w:spacing w:after="0"/>
              <w:rPr>
                <w:sz w:val="21"/>
                <w:szCs w:val="21"/>
                <w:color w:val="auto"/>
              </w:rPr>
            </w:pPr>
          </w:p>
        </w:tc>
        <w:tc>
          <w:tcPr>
            <w:tcW w:w="1940" w:type="dxa"/>
            <w:vAlign w:val="bottom"/>
            <w:shd w:val="clear" w:color="auto" w:fill="D1DDE6"/>
          </w:tcPr>
          <w:p>
            <w:pPr>
              <w:spacing w:after="0"/>
              <w:rPr>
                <w:sz w:val="21"/>
                <w:szCs w:val="21"/>
                <w:color w:val="auto"/>
              </w:rPr>
            </w:pPr>
          </w:p>
        </w:tc>
        <w:tc>
          <w:tcPr>
            <w:tcW w:w="0" w:type="dxa"/>
            <w:vAlign w:val="bottom"/>
          </w:tcPr>
          <w:p>
            <w:pPr>
              <w:spacing w:after="0"/>
              <w:rPr>
                <w:sz w:val="1"/>
                <w:szCs w:val="1"/>
                <w:color w:val="auto"/>
              </w:rPr>
            </w:pPr>
          </w:p>
        </w:tc>
      </w:tr>
      <w:tr>
        <w:trPr>
          <w:trHeight w:val="115"/>
        </w:trPr>
        <w:tc>
          <w:tcPr>
            <w:tcW w:w="1620" w:type="dxa"/>
            <w:vAlign w:val="bottom"/>
            <w:vMerge w:val="continue"/>
            <w:shd w:val="clear" w:color="auto" w:fill="D1DDE6"/>
          </w:tcPr>
          <w:p>
            <w:pPr>
              <w:spacing w:after="0"/>
              <w:rPr>
                <w:sz w:val="10"/>
                <w:szCs w:val="10"/>
                <w:color w:val="auto"/>
              </w:rPr>
            </w:pPr>
          </w:p>
        </w:tc>
        <w:tc>
          <w:tcPr>
            <w:tcW w:w="220" w:type="dxa"/>
            <w:vAlign w:val="bottom"/>
          </w:tcPr>
          <w:p>
            <w:pPr>
              <w:spacing w:after="0"/>
              <w:rPr>
                <w:sz w:val="10"/>
                <w:szCs w:val="10"/>
                <w:color w:val="auto"/>
              </w:rPr>
            </w:pPr>
          </w:p>
        </w:tc>
        <w:tc>
          <w:tcPr>
            <w:tcW w:w="2140" w:type="dxa"/>
            <w:vAlign w:val="bottom"/>
            <w:vMerge w:val="continue"/>
            <w:shd w:val="clear" w:color="auto" w:fill="D1DDE6"/>
          </w:tcPr>
          <w:p>
            <w:pPr>
              <w:spacing w:after="0"/>
              <w:rPr>
                <w:sz w:val="10"/>
                <w:szCs w:val="10"/>
                <w:color w:val="auto"/>
              </w:rPr>
            </w:pPr>
          </w:p>
        </w:tc>
        <w:tc>
          <w:tcPr>
            <w:tcW w:w="240" w:type="dxa"/>
            <w:vAlign w:val="bottom"/>
          </w:tcPr>
          <w:p>
            <w:pPr>
              <w:spacing w:after="0"/>
              <w:rPr>
                <w:sz w:val="10"/>
                <w:szCs w:val="10"/>
                <w:color w:val="auto"/>
              </w:rPr>
            </w:pPr>
          </w:p>
        </w:tc>
        <w:tc>
          <w:tcPr>
            <w:tcW w:w="1540" w:type="dxa"/>
            <w:vAlign w:val="bottom"/>
            <w:vMerge w:val="restart"/>
            <w:shd w:val="clear" w:color="auto" w:fill="D1DDE6"/>
          </w:tcPr>
          <w:p>
            <w:pPr>
              <w:jc w:val="center"/>
              <w:spacing w:after="0" w:line="231" w:lineRule="exact"/>
              <w:rPr>
                <w:sz w:val="20"/>
                <w:szCs w:val="20"/>
                <w:color w:val="auto"/>
              </w:rPr>
            </w:pPr>
            <w:r>
              <w:rPr>
                <w:rFonts w:ascii="Arial" w:cs="Arial" w:eastAsia="Arial" w:hAnsi="Arial"/>
                <w:sz w:val="21"/>
                <w:szCs w:val="21"/>
                <w:b w:val="1"/>
                <w:bCs w:val="1"/>
                <w:color w:val="34657F"/>
                <w:w w:val="97"/>
              </w:rPr>
              <w:t>Mandatory</w:t>
            </w:r>
          </w:p>
        </w:tc>
        <w:tc>
          <w:tcPr>
            <w:tcW w:w="220" w:type="dxa"/>
            <w:vAlign w:val="bottom"/>
          </w:tcPr>
          <w:p>
            <w:pPr>
              <w:spacing w:after="0"/>
              <w:rPr>
                <w:sz w:val="10"/>
                <w:szCs w:val="10"/>
                <w:color w:val="auto"/>
              </w:rPr>
            </w:pPr>
          </w:p>
        </w:tc>
        <w:tc>
          <w:tcPr>
            <w:tcW w:w="1540" w:type="dxa"/>
            <w:vAlign w:val="bottom"/>
            <w:vMerge w:val="restart"/>
            <w:shd w:val="clear" w:color="auto" w:fill="D1DDE6"/>
          </w:tcPr>
          <w:p>
            <w:pPr>
              <w:jc w:val="center"/>
              <w:spacing w:after="0" w:line="231" w:lineRule="exact"/>
              <w:rPr>
                <w:sz w:val="20"/>
                <w:szCs w:val="20"/>
                <w:color w:val="auto"/>
              </w:rPr>
            </w:pPr>
            <w:r>
              <w:rPr>
                <w:rFonts w:ascii="Arial" w:cs="Arial" w:eastAsia="Arial" w:hAnsi="Arial"/>
                <w:sz w:val="21"/>
                <w:szCs w:val="21"/>
                <w:b w:val="1"/>
                <w:bCs w:val="1"/>
                <w:color w:val="34657F"/>
                <w:w w:val="97"/>
              </w:rPr>
              <w:t>Recoupment</w:t>
            </w:r>
          </w:p>
        </w:tc>
        <w:tc>
          <w:tcPr>
            <w:tcW w:w="240" w:type="dxa"/>
            <w:vAlign w:val="bottom"/>
          </w:tcPr>
          <w:p>
            <w:pPr>
              <w:spacing w:after="0"/>
              <w:rPr>
                <w:sz w:val="10"/>
                <w:szCs w:val="10"/>
                <w:color w:val="auto"/>
              </w:rPr>
            </w:pPr>
          </w:p>
        </w:tc>
        <w:tc>
          <w:tcPr>
            <w:tcW w:w="1940" w:type="dxa"/>
            <w:vAlign w:val="bottom"/>
            <w:shd w:val="clear" w:color="auto" w:fill="D1DDE6"/>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620" w:type="dxa"/>
            <w:vAlign w:val="bottom"/>
            <w:vMerge w:val="restart"/>
            <w:shd w:val="clear" w:color="auto" w:fill="D1DDE6"/>
          </w:tcPr>
          <w:p>
            <w:pPr>
              <w:jc w:val="center"/>
              <w:spacing w:after="0" w:line="231" w:lineRule="exact"/>
              <w:rPr>
                <w:sz w:val="20"/>
                <w:szCs w:val="20"/>
                <w:color w:val="auto"/>
              </w:rPr>
            </w:pPr>
            <w:r>
              <w:rPr>
                <w:rFonts w:ascii="Arial" w:cs="Arial" w:eastAsia="Arial" w:hAnsi="Arial"/>
                <w:sz w:val="21"/>
                <w:szCs w:val="21"/>
                <w:color w:val="auto"/>
                <w:w w:val="97"/>
              </w:rPr>
              <w:t>LTIP Equity</w:t>
            </w:r>
          </w:p>
        </w:tc>
        <w:tc>
          <w:tcPr>
            <w:tcW w:w="220" w:type="dxa"/>
            <w:vAlign w:val="bottom"/>
          </w:tcPr>
          <w:p>
            <w:pPr>
              <w:spacing w:after="0"/>
              <w:rPr>
                <w:sz w:val="10"/>
                <w:szCs w:val="10"/>
                <w:color w:val="auto"/>
              </w:rPr>
            </w:pPr>
          </w:p>
        </w:tc>
        <w:tc>
          <w:tcPr>
            <w:tcW w:w="2140" w:type="dxa"/>
            <w:vAlign w:val="bottom"/>
            <w:vMerge w:val="restart"/>
            <w:shd w:val="clear" w:color="auto" w:fill="D1DDE6"/>
          </w:tcPr>
          <w:p>
            <w:pPr>
              <w:jc w:val="center"/>
              <w:spacing w:after="0" w:line="231" w:lineRule="exact"/>
              <w:rPr>
                <w:sz w:val="20"/>
                <w:szCs w:val="20"/>
                <w:color w:val="auto"/>
              </w:rPr>
            </w:pPr>
            <w:r>
              <w:rPr>
                <w:rFonts w:ascii="Arial" w:cs="Arial" w:eastAsia="Arial" w:hAnsi="Arial"/>
                <w:sz w:val="21"/>
                <w:szCs w:val="21"/>
                <w:b w:val="1"/>
                <w:bCs w:val="1"/>
                <w:color w:val="34657F"/>
                <w:w w:val="98"/>
              </w:rPr>
              <w:t xml:space="preserve">Ownership </w:t>
            </w:r>
            <w:r>
              <w:rPr>
                <w:rFonts w:ascii="Arial" w:cs="Arial" w:eastAsia="Arial" w:hAnsi="Arial"/>
                <w:sz w:val="21"/>
                <w:szCs w:val="21"/>
                <w:color w:val="000000"/>
                <w:w w:val="98"/>
              </w:rPr>
              <w:t>Guidelines</w:t>
            </w:r>
          </w:p>
        </w:tc>
        <w:tc>
          <w:tcPr>
            <w:tcW w:w="240" w:type="dxa"/>
            <w:vAlign w:val="bottom"/>
          </w:tcPr>
          <w:p>
            <w:pPr>
              <w:spacing w:after="0"/>
              <w:rPr>
                <w:sz w:val="10"/>
                <w:szCs w:val="10"/>
                <w:color w:val="auto"/>
              </w:rPr>
            </w:pPr>
          </w:p>
        </w:tc>
        <w:tc>
          <w:tcPr>
            <w:tcW w:w="1540" w:type="dxa"/>
            <w:vAlign w:val="bottom"/>
            <w:vMerge w:val="continue"/>
            <w:shd w:val="clear" w:color="auto" w:fill="D1DDE6"/>
          </w:tcPr>
          <w:p>
            <w:pPr>
              <w:spacing w:after="0"/>
              <w:rPr>
                <w:sz w:val="10"/>
                <w:szCs w:val="10"/>
                <w:color w:val="auto"/>
              </w:rPr>
            </w:pPr>
          </w:p>
        </w:tc>
        <w:tc>
          <w:tcPr>
            <w:tcW w:w="220" w:type="dxa"/>
            <w:vAlign w:val="bottom"/>
          </w:tcPr>
          <w:p>
            <w:pPr>
              <w:spacing w:after="0"/>
              <w:rPr>
                <w:sz w:val="10"/>
                <w:szCs w:val="10"/>
                <w:color w:val="auto"/>
              </w:rPr>
            </w:pPr>
          </w:p>
        </w:tc>
        <w:tc>
          <w:tcPr>
            <w:tcW w:w="1540" w:type="dxa"/>
            <w:vAlign w:val="bottom"/>
            <w:vMerge w:val="continue"/>
            <w:shd w:val="clear" w:color="auto" w:fill="D1DDE6"/>
          </w:tcPr>
          <w:p>
            <w:pPr>
              <w:spacing w:after="0"/>
              <w:rPr>
                <w:sz w:val="10"/>
                <w:szCs w:val="10"/>
                <w:color w:val="auto"/>
              </w:rPr>
            </w:pPr>
          </w:p>
        </w:tc>
        <w:tc>
          <w:tcPr>
            <w:tcW w:w="240" w:type="dxa"/>
            <w:vAlign w:val="bottom"/>
          </w:tcPr>
          <w:p>
            <w:pPr>
              <w:spacing w:after="0"/>
              <w:rPr>
                <w:sz w:val="10"/>
                <w:szCs w:val="10"/>
                <w:color w:val="auto"/>
              </w:rPr>
            </w:pPr>
          </w:p>
        </w:tc>
        <w:tc>
          <w:tcPr>
            <w:tcW w:w="1940" w:type="dxa"/>
            <w:vAlign w:val="bottom"/>
            <w:vMerge w:val="restart"/>
            <w:shd w:val="clear" w:color="auto" w:fill="D1DDE6"/>
          </w:tcPr>
          <w:p>
            <w:pPr>
              <w:jc w:val="center"/>
              <w:spacing w:after="0" w:line="231" w:lineRule="exact"/>
              <w:rPr>
                <w:sz w:val="20"/>
                <w:szCs w:val="20"/>
                <w:color w:val="auto"/>
              </w:rPr>
            </w:pPr>
            <w:r>
              <w:rPr>
                <w:rFonts w:ascii="Arial" w:cs="Arial" w:eastAsia="Arial" w:hAnsi="Arial"/>
                <w:sz w:val="21"/>
                <w:szCs w:val="21"/>
                <w:b w:val="1"/>
                <w:bCs w:val="1"/>
                <w:color w:val="34657F"/>
                <w:w w:val="97"/>
              </w:rPr>
              <w:t xml:space="preserve">No </w:t>
            </w:r>
            <w:r>
              <w:rPr>
                <w:rFonts w:ascii="Arial" w:cs="Arial" w:eastAsia="Arial" w:hAnsi="Arial"/>
                <w:sz w:val="21"/>
                <w:szCs w:val="21"/>
                <w:color w:val="000000"/>
                <w:w w:val="97"/>
              </w:rPr>
              <w:t>Individual</w:t>
            </w:r>
          </w:p>
        </w:tc>
        <w:tc>
          <w:tcPr>
            <w:tcW w:w="0" w:type="dxa"/>
            <w:vAlign w:val="bottom"/>
          </w:tcPr>
          <w:p>
            <w:pPr>
              <w:spacing w:after="0"/>
              <w:rPr>
                <w:sz w:val="1"/>
                <w:szCs w:val="1"/>
                <w:color w:val="auto"/>
              </w:rPr>
            </w:pPr>
          </w:p>
        </w:tc>
      </w:tr>
      <w:tr>
        <w:trPr>
          <w:trHeight w:val="115"/>
        </w:trPr>
        <w:tc>
          <w:tcPr>
            <w:tcW w:w="1620" w:type="dxa"/>
            <w:vAlign w:val="bottom"/>
            <w:vMerge w:val="continue"/>
            <w:shd w:val="clear" w:color="auto" w:fill="D1DDE6"/>
          </w:tcPr>
          <w:p>
            <w:pPr>
              <w:spacing w:after="0"/>
              <w:rPr>
                <w:sz w:val="10"/>
                <w:szCs w:val="10"/>
                <w:color w:val="auto"/>
              </w:rPr>
            </w:pPr>
          </w:p>
        </w:tc>
        <w:tc>
          <w:tcPr>
            <w:tcW w:w="220" w:type="dxa"/>
            <w:vAlign w:val="bottom"/>
          </w:tcPr>
          <w:p>
            <w:pPr>
              <w:spacing w:after="0"/>
              <w:rPr>
                <w:sz w:val="10"/>
                <w:szCs w:val="10"/>
                <w:color w:val="auto"/>
              </w:rPr>
            </w:pPr>
          </w:p>
        </w:tc>
        <w:tc>
          <w:tcPr>
            <w:tcW w:w="2140" w:type="dxa"/>
            <w:vAlign w:val="bottom"/>
            <w:vMerge w:val="continue"/>
            <w:shd w:val="clear" w:color="auto" w:fill="D1DDE6"/>
          </w:tcPr>
          <w:p>
            <w:pPr>
              <w:spacing w:after="0"/>
              <w:rPr>
                <w:sz w:val="10"/>
                <w:szCs w:val="10"/>
                <w:color w:val="auto"/>
              </w:rPr>
            </w:pPr>
          </w:p>
        </w:tc>
        <w:tc>
          <w:tcPr>
            <w:tcW w:w="240" w:type="dxa"/>
            <w:vAlign w:val="bottom"/>
          </w:tcPr>
          <w:p>
            <w:pPr>
              <w:spacing w:after="0"/>
              <w:rPr>
                <w:sz w:val="10"/>
                <w:szCs w:val="10"/>
                <w:color w:val="auto"/>
              </w:rPr>
            </w:pPr>
          </w:p>
        </w:tc>
        <w:tc>
          <w:tcPr>
            <w:tcW w:w="1540" w:type="dxa"/>
            <w:vAlign w:val="bottom"/>
            <w:vMerge w:val="restart"/>
            <w:shd w:val="clear" w:color="auto" w:fill="D1DDE6"/>
          </w:tcPr>
          <w:p>
            <w:pPr>
              <w:jc w:val="center"/>
              <w:spacing w:after="0" w:line="231" w:lineRule="exact"/>
              <w:rPr>
                <w:sz w:val="20"/>
                <w:szCs w:val="20"/>
                <w:color w:val="auto"/>
              </w:rPr>
            </w:pPr>
            <w:r>
              <w:rPr>
                <w:rFonts w:ascii="Arial" w:cs="Arial" w:eastAsia="Arial" w:hAnsi="Arial"/>
                <w:sz w:val="21"/>
                <w:szCs w:val="21"/>
                <w:b w:val="1"/>
                <w:bCs w:val="1"/>
                <w:color w:val="34657F"/>
                <w:w w:val="97"/>
              </w:rPr>
              <w:t>Holding</w:t>
            </w:r>
          </w:p>
        </w:tc>
        <w:tc>
          <w:tcPr>
            <w:tcW w:w="220" w:type="dxa"/>
            <w:vAlign w:val="bottom"/>
          </w:tcPr>
          <w:p>
            <w:pPr>
              <w:spacing w:after="0"/>
              <w:rPr>
                <w:sz w:val="10"/>
                <w:szCs w:val="10"/>
                <w:color w:val="auto"/>
              </w:rPr>
            </w:pPr>
          </w:p>
        </w:tc>
        <w:tc>
          <w:tcPr>
            <w:tcW w:w="1540" w:type="dxa"/>
            <w:vAlign w:val="bottom"/>
            <w:vMerge w:val="restart"/>
            <w:shd w:val="clear" w:color="auto" w:fill="D1DDE6"/>
          </w:tcPr>
          <w:p>
            <w:pPr>
              <w:jc w:val="center"/>
              <w:spacing w:after="0" w:line="231" w:lineRule="exact"/>
              <w:rPr>
                <w:sz w:val="20"/>
                <w:szCs w:val="20"/>
                <w:color w:val="auto"/>
              </w:rPr>
            </w:pPr>
            <w:r>
              <w:rPr>
                <w:rFonts w:ascii="Arial" w:cs="Arial" w:eastAsia="Arial" w:hAnsi="Arial"/>
                <w:sz w:val="21"/>
                <w:szCs w:val="21"/>
                <w:b w:val="1"/>
                <w:bCs w:val="1"/>
                <w:color w:val="34657F"/>
                <w:w w:val="96"/>
              </w:rPr>
              <w:t>Policy</w:t>
            </w:r>
          </w:p>
        </w:tc>
        <w:tc>
          <w:tcPr>
            <w:tcW w:w="240" w:type="dxa"/>
            <w:vAlign w:val="bottom"/>
          </w:tcPr>
          <w:p>
            <w:pPr>
              <w:spacing w:after="0"/>
              <w:rPr>
                <w:sz w:val="10"/>
                <w:szCs w:val="10"/>
                <w:color w:val="auto"/>
              </w:rPr>
            </w:pPr>
          </w:p>
        </w:tc>
        <w:tc>
          <w:tcPr>
            <w:tcW w:w="1940" w:type="dxa"/>
            <w:vAlign w:val="bottom"/>
            <w:vMerge w:val="continue"/>
            <w:shd w:val="clear" w:color="auto" w:fill="D1DDE6"/>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620" w:type="dxa"/>
            <w:vAlign w:val="bottom"/>
            <w:vMerge w:val="restart"/>
            <w:shd w:val="clear" w:color="auto" w:fill="D1DDE6"/>
          </w:tcPr>
          <w:p>
            <w:pPr>
              <w:jc w:val="center"/>
              <w:spacing w:after="0" w:line="231" w:lineRule="exact"/>
              <w:rPr>
                <w:sz w:val="20"/>
                <w:szCs w:val="20"/>
                <w:color w:val="auto"/>
              </w:rPr>
            </w:pPr>
            <w:r>
              <w:rPr>
                <w:rFonts w:ascii="Arial" w:cs="Arial" w:eastAsia="Arial" w:hAnsi="Arial"/>
                <w:sz w:val="21"/>
                <w:szCs w:val="21"/>
                <w:color w:val="auto"/>
                <w:w w:val="95"/>
              </w:rPr>
              <w:t>Grant</w:t>
            </w:r>
          </w:p>
        </w:tc>
        <w:tc>
          <w:tcPr>
            <w:tcW w:w="220" w:type="dxa"/>
            <w:vAlign w:val="bottom"/>
          </w:tcPr>
          <w:p>
            <w:pPr>
              <w:spacing w:after="0"/>
              <w:rPr>
                <w:sz w:val="10"/>
                <w:szCs w:val="10"/>
                <w:color w:val="auto"/>
              </w:rPr>
            </w:pPr>
          </w:p>
        </w:tc>
        <w:tc>
          <w:tcPr>
            <w:tcW w:w="2140" w:type="dxa"/>
            <w:vAlign w:val="bottom"/>
            <w:vMerge w:val="restart"/>
            <w:shd w:val="clear" w:color="auto" w:fill="D1DDE6"/>
          </w:tcPr>
          <w:p>
            <w:pPr>
              <w:jc w:val="center"/>
              <w:spacing w:after="0" w:line="231" w:lineRule="exact"/>
              <w:rPr>
                <w:sz w:val="20"/>
                <w:szCs w:val="20"/>
                <w:color w:val="auto"/>
              </w:rPr>
            </w:pPr>
            <w:r>
              <w:rPr>
                <w:rFonts w:ascii="Arial" w:cs="Arial" w:eastAsia="Arial" w:hAnsi="Arial"/>
                <w:sz w:val="21"/>
                <w:szCs w:val="21"/>
                <w:color w:val="auto"/>
                <w:w w:val="97"/>
              </w:rPr>
              <w:t>for All Officers:</w:t>
            </w:r>
          </w:p>
        </w:tc>
        <w:tc>
          <w:tcPr>
            <w:tcW w:w="240" w:type="dxa"/>
            <w:vAlign w:val="bottom"/>
          </w:tcPr>
          <w:p>
            <w:pPr>
              <w:spacing w:after="0"/>
              <w:rPr>
                <w:sz w:val="10"/>
                <w:szCs w:val="10"/>
                <w:color w:val="auto"/>
              </w:rPr>
            </w:pPr>
          </w:p>
        </w:tc>
        <w:tc>
          <w:tcPr>
            <w:tcW w:w="1540" w:type="dxa"/>
            <w:vAlign w:val="bottom"/>
            <w:vMerge w:val="continue"/>
            <w:shd w:val="clear" w:color="auto" w:fill="D1DDE6"/>
          </w:tcPr>
          <w:p>
            <w:pPr>
              <w:spacing w:after="0"/>
              <w:rPr>
                <w:sz w:val="10"/>
                <w:szCs w:val="10"/>
                <w:color w:val="auto"/>
              </w:rPr>
            </w:pPr>
          </w:p>
        </w:tc>
        <w:tc>
          <w:tcPr>
            <w:tcW w:w="220" w:type="dxa"/>
            <w:vAlign w:val="bottom"/>
          </w:tcPr>
          <w:p>
            <w:pPr>
              <w:spacing w:after="0"/>
              <w:rPr>
                <w:sz w:val="10"/>
                <w:szCs w:val="10"/>
                <w:color w:val="auto"/>
              </w:rPr>
            </w:pPr>
          </w:p>
        </w:tc>
        <w:tc>
          <w:tcPr>
            <w:tcW w:w="1540" w:type="dxa"/>
            <w:vAlign w:val="bottom"/>
            <w:vMerge w:val="continue"/>
            <w:shd w:val="clear" w:color="auto" w:fill="D1DDE6"/>
          </w:tcPr>
          <w:p>
            <w:pPr>
              <w:spacing w:after="0"/>
              <w:rPr>
                <w:sz w:val="10"/>
                <w:szCs w:val="10"/>
                <w:color w:val="auto"/>
              </w:rPr>
            </w:pPr>
          </w:p>
        </w:tc>
        <w:tc>
          <w:tcPr>
            <w:tcW w:w="240" w:type="dxa"/>
            <w:vAlign w:val="bottom"/>
          </w:tcPr>
          <w:p>
            <w:pPr>
              <w:spacing w:after="0"/>
              <w:rPr>
                <w:sz w:val="10"/>
                <w:szCs w:val="10"/>
                <w:color w:val="auto"/>
              </w:rPr>
            </w:pPr>
          </w:p>
        </w:tc>
        <w:tc>
          <w:tcPr>
            <w:tcW w:w="1940" w:type="dxa"/>
            <w:vAlign w:val="bottom"/>
            <w:vMerge w:val="restart"/>
            <w:shd w:val="clear" w:color="auto" w:fill="D1DDE6"/>
          </w:tcPr>
          <w:p>
            <w:pPr>
              <w:jc w:val="center"/>
              <w:spacing w:after="0" w:line="231" w:lineRule="exact"/>
              <w:rPr>
                <w:sz w:val="20"/>
                <w:szCs w:val="20"/>
                <w:color w:val="auto"/>
              </w:rPr>
            </w:pPr>
            <w:r>
              <w:rPr>
                <w:rFonts w:ascii="Arial" w:cs="Arial" w:eastAsia="Arial" w:hAnsi="Arial"/>
                <w:sz w:val="21"/>
                <w:szCs w:val="21"/>
                <w:b w:val="1"/>
                <w:bCs w:val="1"/>
                <w:color w:val="34657F"/>
                <w:w w:val="98"/>
              </w:rPr>
              <w:t>Change in</w:t>
            </w:r>
          </w:p>
        </w:tc>
        <w:tc>
          <w:tcPr>
            <w:tcW w:w="0" w:type="dxa"/>
            <w:vAlign w:val="bottom"/>
          </w:tcPr>
          <w:p>
            <w:pPr>
              <w:spacing w:after="0"/>
              <w:rPr>
                <w:sz w:val="1"/>
                <w:szCs w:val="1"/>
                <w:color w:val="auto"/>
              </w:rPr>
            </w:pPr>
          </w:p>
        </w:tc>
      </w:tr>
      <w:tr>
        <w:trPr>
          <w:trHeight w:val="115"/>
        </w:trPr>
        <w:tc>
          <w:tcPr>
            <w:tcW w:w="1620" w:type="dxa"/>
            <w:vAlign w:val="bottom"/>
            <w:vMerge w:val="continue"/>
            <w:shd w:val="clear" w:color="auto" w:fill="D1DDE6"/>
          </w:tcPr>
          <w:p>
            <w:pPr>
              <w:spacing w:after="0"/>
              <w:rPr>
                <w:sz w:val="10"/>
                <w:szCs w:val="10"/>
                <w:color w:val="auto"/>
              </w:rPr>
            </w:pPr>
          </w:p>
        </w:tc>
        <w:tc>
          <w:tcPr>
            <w:tcW w:w="220" w:type="dxa"/>
            <w:vAlign w:val="bottom"/>
          </w:tcPr>
          <w:p>
            <w:pPr>
              <w:spacing w:after="0"/>
              <w:rPr>
                <w:sz w:val="10"/>
                <w:szCs w:val="10"/>
                <w:color w:val="auto"/>
              </w:rPr>
            </w:pPr>
          </w:p>
        </w:tc>
        <w:tc>
          <w:tcPr>
            <w:tcW w:w="2140" w:type="dxa"/>
            <w:vAlign w:val="bottom"/>
            <w:vMerge w:val="continue"/>
            <w:shd w:val="clear" w:color="auto" w:fill="D1DDE6"/>
          </w:tcPr>
          <w:p>
            <w:pPr>
              <w:spacing w:after="0"/>
              <w:rPr>
                <w:sz w:val="10"/>
                <w:szCs w:val="10"/>
                <w:color w:val="auto"/>
              </w:rPr>
            </w:pPr>
          </w:p>
        </w:tc>
        <w:tc>
          <w:tcPr>
            <w:tcW w:w="240" w:type="dxa"/>
            <w:vAlign w:val="bottom"/>
          </w:tcPr>
          <w:p>
            <w:pPr>
              <w:spacing w:after="0"/>
              <w:rPr>
                <w:sz w:val="10"/>
                <w:szCs w:val="10"/>
                <w:color w:val="auto"/>
              </w:rPr>
            </w:pPr>
          </w:p>
        </w:tc>
        <w:tc>
          <w:tcPr>
            <w:tcW w:w="1540" w:type="dxa"/>
            <w:vAlign w:val="bottom"/>
            <w:vMerge w:val="restart"/>
            <w:shd w:val="clear" w:color="auto" w:fill="D1DDE6"/>
          </w:tcPr>
          <w:p>
            <w:pPr>
              <w:jc w:val="center"/>
              <w:spacing w:after="0"/>
              <w:rPr>
                <w:sz w:val="20"/>
                <w:szCs w:val="20"/>
                <w:color w:val="auto"/>
              </w:rPr>
            </w:pPr>
            <w:r>
              <w:rPr>
                <w:rFonts w:ascii="Arial" w:cs="Arial" w:eastAsia="Arial" w:hAnsi="Arial"/>
                <w:sz w:val="21"/>
                <w:szCs w:val="21"/>
                <w:b w:val="1"/>
                <w:bCs w:val="1"/>
                <w:color w:val="34657F"/>
                <w:w w:val="97"/>
              </w:rPr>
              <w:t xml:space="preserve">Period </w:t>
            </w:r>
            <w:r>
              <w:rPr>
                <w:rFonts w:ascii="Arial" w:cs="Arial" w:eastAsia="Arial" w:hAnsi="Arial"/>
                <w:sz w:val="21"/>
                <w:szCs w:val="21"/>
                <w:color w:val="000000"/>
                <w:w w:val="97"/>
              </w:rPr>
              <w:t>for 50%</w:t>
            </w:r>
          </w:p>
        </w:tc>
        <w:tc>
          <w:tcPr>
            <w:tcW w:w="220" w:type="dxa"/>
            <w:vAlign w:val="bottom"/>
          </w:tcPr>
          <w:p>
            <w:pPr>
              <w:spacing w:after="0"/>
              <w:rPr>
                <w:sz w:val="10"/>
                <w:szCs w:val="10"/>
                <w:color w:val="auto"/>
              </w:rPr>
            </w:pPr>
          </w:p>
        </w:tc>
        <w:tc>
          <w:tcPr>
            <w:tcW w:w="1540" w:type="dxa"/>
            <w:vAlign w:val="bottom"/>
            <w:vMerge w:val="restart"/>
            <w:shd w:val="clear" w:color="auto" w:fill="D1DDE6"/>
          </w:tcPr>
          <w:p>
            <w:pPr>
              <w:jc w:val="center"/>
              <w:spacing w:after="0"/>
              <w:rPr>
                <w:sz w:val="20"/>
                <w:szCs w:val="20"/>
                <w:color w:val="auto"/>
              </w:rPr>
            </w:pPr>
            <w:r>
              <w:rPr>
                <w:rFonts w:ascii="Arial" w:cs="Arial" w:eastAsia="Arial" w:hAnsi="Arial"/>
                <w:sz w:val="21"/>
                <w:szCs w:val="21"/>
                <w:color w:val="auto"/>
                <w:w w:val="97"/>
              </w:rPr>
              <w:t>on Incentive</w:t>
            </w:r>
          </w:p>
        </w:tc>
        <w:tc>
          <w:tcPr>
            <w:tcW w:w="240" w:type="dxa"/>
            <w:vAlign w:val="bottom"/>
          </w:tcPr>
          <w:p>
            <w:pPr>
              <w:spacing w:after="0"/>
              <w:rPr>
                <w:sz w:val="10"/>
                <w:szCs w:val="10"/>
                <w:color w:val="auto"/>
              </w:rPr>
            </w:pPr>
          </w:p>
        </w:tc>
        <w:tc>
          <w:tcPr>
            <w:tcW w:w="1940" w:type="dxa"/>
            <w:vAlign w:val="bottom"/>
            <w:vMerge w:val="continue"/>
            <w:shd w:val="clear" w:color="auto" w:fill="D1DDE6"/>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1620" w:type="dxa"/>
            <w:vAlign w:val="bottom"/>
            <w:vMerge w:val="restart"/>
            <w:shd w:val="clear" w:color="auto" w:fill="D1DDE6"/>
          </w:tcPr>
          <w:p>
            <w:pPr>
              <w:jc w:val="center"/>
              <w:spacing w:after="0" w:line="231" w:lineRule="exact"/>
              <w:rPr>
                <w:sz w:val="20"/>
                <w:szCs w:val="20"/>
                <w:color w:val="auto"/>
              </w:rPr>
            </w:pPr>
            <w:r>
              <w:rPr>
                <w:rFonts w:ascii="Arial" w:cs="Arial" w:eastAsia="Arial" w:hAnsi="Arial"/>
                <w:sz w:val="21"/>
                <w:szCs w:val="21"/>
                <w:b w:val="1"/>
                <w:bCs w:val="1"/>
                <w:color w:val="34657F"/>
                <w:w w:val="98"/>
              </w:rPr>
              <w:t>Performance-</w:t>
            </w:r>
          </w:p>
        </w:tc>
        <w:tc>
          <w:tcPr>
            <w:tcW w:w="220" w:type="dxa"/>
            <w:vAlign w:val="bottom"/>
          </w:tcPr>
          <w:p>
            <w:pPr>
              <w:spacing w:after="0"/>
              <w:rPr>
                <w:sz w:val="12"/>
                <w:szCs w:val="12"/>
                <w:color w:val="auto"/>
              </w:rPr>
            </w:pPr>
          </w:p>
        </w:tc>
        <w:tc>
          <w:tcPr>
            <w:tcW w:w="2140" w:type="dxa"/>
            <w:vAlign w:val="bottom"/>
            <w:vMerge w:val="restart"/>
            <w:shd w:val="clear" w:color="auto" w:fill="D1DDE6"/>
          </w:tcPr>
          <w:p>
            <w:pPr>
              <w:jc w:val="center"/>
              <w:spacing w:after="0" w:line="231" w:lineRule="exact"/>
              <w:rPr>
                <w:sz w:val="20"/>
                <w:szCs w:val="20"/>
                <w:color w:val="auto"/>
              </w:rPr>
            </w:pPr>
            <w:r>
              <w:rPr>
                <w:rFonts w:ascii="Arial" w:cs="Arial" w:eastAsia="Arial" w:hAnsi="Arial"/>
                <w:sz w:val="21"/>
                <w:szCs w:val="21"/>
                <w:b w:val="1"/>
                <w:bCs w:val="1"/>
                <w:color w:val="34657F"/>
                <w:w w:val="99"/>
              </w:rPr>
              <w:t>CEO 7x</w:t>
            </w:r>
          </w:p>
        </w:tc>
        <w:tc>
          <w:tcPr>
            <w:tcW w:w="240" w:type="dxa"/>
            <w:vAlign w:val="bottom"/>
          </w:tcPr>
          <w:p>
            <w:pPr>
              <w:spacing w:after="0"/>
              <w:rPr>
                <w:sz w:val="12"/>
                <w:szCs w:val="12"/>
                <w:color w:val="auto"/>
              </w:rPr>
            </w:pPr>
          </w:p>
        </w:tc>
        <w:tc>
          <w:tcPr>
            <w:tcW w:w="1540" w:type="dxa"/>
            <w:vAlign w:val="bottom"/>
            <w:vMerge w:val="continue"/>
            <w:shd w:val="clear" w:color="auto" w:fill="D1DDE6"/>
          </w:tcPr>
          <w:p>
            <w:pPr>
              <w:spacing w:after="0"/>
              <w:rPr>
                <w:sz w:val="12"/>
                <w:szCs w:val="12"/>
                <w:color w:val="auto"/>
              </w:rPr>
            </w:pPr>
          </w:p>
        </w:tc>
        <w:tc>
          <w:tcPr>
            <w:tcW w:w="220" w:type="dxa"/>
            <w:vAlign w:val="bottom"/>
          </w:tcPr>
          <w:p>
            <w:pPr>
              <w:spacing w:after="0"/>
              <w:rPr>
                <w:sz w:val="12"/>
                <w:szCs w:val="12"/>
                <w:color w:val="auto"/>
              </w:rPr>
            </w:pPr>
          </w:p>
        </w:tc>
        <w:tc>
          <w:tcPr>
            <w:tcW w:w="1540" w:type="dxa"/>
            <w:vAlign w:val="bottom"/>
            <w:vMerge w:val="continue"/>
            <w:shd w:val="clear" w:color="auto" w:fill="D1DDE6"/>
          </w:tcPr>
          <w:p>
            <w:pPr>
              <w:spacing w:after="0"/>
              <w:rPr>
                <w:sz w:val="12"/>
                <w:szCs w:val="12"/>
                <w:color w:val="auto"/>
              </w:rPr>
            </w:pPr>
          </w:p>
        </w:tc>
        <w:tc>
          <w:tcPr>
            <w:tcW w:w="240" w:type="dxa"/>
            <w:vAlign w:val="bottom"/>
          </w:tcPr>
          <w:p>
            <w:pPr>
              <w:spacing w:after="0"/>
              <w:rPr>
                <w:sz w:val="12"/>
                <w:szCs w:val="12"/>
                <w:color w:val="auto"/>
              </w:rPr>
            </w:pPr>
          </w:p>
        </w:tc>
        <w:tc>
          <w:tcPr>
            <w:tcW w:w="1940" w:type="dxa"/>
            <w:vAlign w:val="bottom"/>
            <w:vMerge w:val="restart"/>
            <w:shd w:val="clear" w:color="auto" w:fill="D1DDE6"/>
          </w:tcPr>
          <w:p>
            <w:pPr>
              <w:jc w:val="center"/>
              <w:spacing w:after="0" w:line="231" w:lineRule="exact"/>
              <w:rPr>
                <w:sz w:val="20"/>
                <w:szCs w:val="20"/>
                <w:color w:val="auto"/>
              </w:rPr>
            </w:pPr>
            <w:r>
              <w:rPr>
                <w:rFonts w:ascii="Arial" w:cs="Arial" w:eastAsia="Arial" w:hAnsi="Arial"/>
                <w:sz w:val="21"/>
                <w:szCs w:val="21"/>
                <w:b w:val="1"/>
                <w:bCs w:val="1"/>
                <w:color w:val="34657F"/>
                <w:w w:val="97"/>
              </w:rPr>
              <w:t xml:space="preserve">Control </w:t>
            </w:r>
            <w:r>
              <w:rPr>
                <w:rFonts w:ascii="Arial" w:cs="Arial" w:eastAsia="Arial" w:hAnsi="Arial"/>
                <w:sz w:val="21"/>
                <w:szCs w:val="21"/>
                <w:color w:val="000000"/>
                <w:w w:val="97"/>
              </w:rPr>
              <w:t>Agreements</w:t>
            </w:r>
          </w:p>
        </w:tc>
        <w:tc>
          <w:tcPr>
            <w:tcW w:w="0" w:type="dxa"/>
            <w:vAlign w:val="bottom"/>
          </w:tcPr>
          <w:p>
            <w:pPr>
              <w:spacing w:after="0"/>
              <w:rPr>
                <w:sz w:val="1"/>
                <w:szCs w:val="1"/>
                <w:color w:val="auto"/>
              </w:rPr>
            </w:pPr>
          </w:p>
        </w:tc>
      </w:tr>
      <w:tr>
        <w:trPr>
          <w:trHeight w:val="89"/>
        </w:trPr>
        <w:tc>
          <w:tcPr>
            <w:tcW w:w="1620" w:type="dxa"/>
            <w:vAlign w:val="bottom"/>
            <w:vMerge w:val="continue"/>
            <w:shd w:val="clear" w:color="auto" w:fill="D1DDE6"/>
          </w:tcPr>
          <w:p>
            <w:pPr>
              <w:spacing w:after="0"/>
              <w:rPr>
                <w:sz w:val="7"/>
                <w:szCs w:val="7"/>
                <w:color w:val="auto"/>
              </w:rPr>
            </w:pPr>
          </w:p>
        </w:tc>
        <w:tc>
          <w:tcPr>
            <w:tcW w:w="220" w:type="dxa"/>
            <w:vAlign w:val="bottom"/>
          </w:tcPr>
          <w:p>
            <w:pPr>
              <w:spacing w:after="0"/>
              <w:rPr>
                <w:sz w:val="7"/>
                <w:szCs w:val="7"/>
                <w:color w:val="auto"/>
              </w:rPr>
            </w:pPr>
          </w:p>
        </w:tc>
        <w:tc>
          <w:tcPr>
            <w:tcW w:w="2140" w:type="dxa"/>
            <w:vAlign w:val="bottom"/>
            <w:vMerge w:val="continue"/>
            <w:shd w:val="clear" w:color="auto" w:fill="D1DDE6"/>
          </w:tcPr>
          <w:p>
            <w:pPr>
              <w:spacing w:after="0"/>
              <w:rPr>
                <w:sz w:val="7"/>
                <w:szCs w:val="7"/>
                <w:color w:val="auto"/>
              </w:rPr>
            </w:pPr>
          </w:p>
        </w:tc>
        <w:tc>
          <w:tcPr>
            <w:tcW w:w="240" w:type="dxa"/>
            <w:vAlign w:val="bottom"/>
          </w:tcPr>
          <w:p>
            <w:pPr>
              <w:spacing w:after="0"/>
              <w:rPr>
                <w:sz w:val="7"/>
                <w:szCs w:val="7"/>
                <w:color w:val="auto"/>
              </w:rPr>
            </w:pPr>
          </w:p>
        </w:tc>
        <w:tc>
          <w:tcPr>
            <w:tcW w:w="1540" w:type="dxa"/>
            <w:vAlign w:val="bottom"/>
            <w:vMerge w:val="restart"/>
            <w:shd w:val="clear" w:color="auto" w:fill="D1DDE6"/>
          </w:tcPr>
          <w:p>
            <w:pPr>
              <w:jc w:val="center"/>
              <w:spacing w:after="0" w:line="231" w:lineRule="exact"/>
              <w:rPr>
                <w:sz w:val="20"/>
                <w:szCs w:val="20"/>
                <w:color w:val="auto"/>
              </w:rPr>
            </w:pPr>
            <w:r>
              <w:rPr>
                <w:rFonts w:ascii="Arial" w:cs="Arial" w:eastAsia="Arial" w:hAnsi="Arial"/>
                <w:sz w:val="21"/>
                <w:szCs w:val="21"/>
                <w:color w:val="auto"/>
                <w:w w:val="94"/>
              </w:rPr>
              <w:t>of Vested</w:t>
            </w:r>
          </w:p>
        </w:tc>
        <w:tc>
          <w:tcPr>
            <w:tcW w:w="220" w:type="dxa"/>
            <w:vAlign w:val="bottom"/>
          </w:tcPr>
          <w:p>
            <w:pPr>
              <w:spacing w:after="0"/>
              <w:rPr>
                <w:sz w:val="7"/>
                <w:szCs w:val="7"/>
                <w:color w:val="auto"/>
              </w:rPr>
            </w:pPr>
          </w:p>
        </w:tc>
        <w:tc>
          <w:tcPr>
            <w:tcW w:w="1540" w:type="dxa"/>
            <w:vAlign w:val="bottom"/>
            <w:vMerge w:val="restart"/>
            <w:shd w:val="clear" w:color="auto" w:fill="D1DDE6"/>
          </w:tcPr>
          <w:p>
            <w:pPr>
              <w:jc w:val="center"/>
              <w:spacing w:after="0" w:line="231" w:lineRule="exact"/>
              <w:rPr>
                <w:sz w:val="20"/>
                <w:szCs w:val="20"/>
                <w:color w:val="auto"/>
              </w:rPr>
            </w:pPr>
            <w:r>
              <w:rPr>
                <w:rFonts w:ascii="Arial" w:cs="Arial" w:eastAsia="Arial" w:hAnsi="Arial"/>
                <w:sz w:val="21"/>
                <w:szCs w:val="21"/>
                <w:color w:val="auto"/>
                <w:w w:val="97"/>
              </w:rPr>
              <w:t>Payouts</w:t>
            </w:r>
          </w:p>
        </w:tc>
        <w:tc>
          <w:tcPr>
            <w:tcW w:w="240" w:type="dxa"/>
            <w:vAlign w:val="bottom"/>
          </w:tcPr>
          <w:p>
            <w:pPr>
              <w:spacing w:after="0"/>
              <w:rPr>
                <w:sz w:val="7"/>
                <w:szCs w:val="7"/>
                <w:color w:val="auto"/>
              </w:rPr>
            </w:pPr>
          </w:p>
        </w:tc>
        <w:tc>
          <w:tcPr>
            <w:tcW w:w="1940" w:type="dxa"/>
            <w:vAlign w:val="bottom"/>
            <w:vMerge w:val="continue"/>
            <w:shd w:val="clear" w:color="auto" w:fill="D1DDE6"/>
          </w:tcPr>
          <w:p>
            <w:pPr>
              <w:spacing w:after="0"/>
              <w:rPr>
                <w:sz w:val="7"/>
                <w:szCs w:val="7"/>
                <w:color w:val="auto"/>
              </w:rPr>
            </w:pPr>
          </w:p>
        </w:tc>
        <w:tc>
          <w:tcPr>
            <w:tcW w:w="0" w:type="dxa"/>
            <w:vAlign w:val="bottom"/>
          </w:tcPr>
          <w:p>
            <w:pPr>
              <w:spacing w:after="0"/>
              <w:rPr>
                <w:sz w:val="1"/>
                <w:szCs w:val="1"/>
                <w:color w:val="auto"/>
              </w:rPr>
            </w:pPr>
          </w:p>
        </w:tc>
      </w:tr>
      <w:tr>
        <w:trPr>
          <w:trHeight w:val="141"/>
        </w:trPr>
        <w:tc>
          <w:tcPr>
            <w:tcW w:w="1620" w:type="dxa"/>
            <w:vAlign w:val="bottom"/>
            <w:vMerge w:val="restart"/>
            <w:shd w:val="clear" w:color="auto" w:fill="D1DDE6"/>
          </w:tcPr>
          <w:p>
            <w:pPr>
              <w:jc w:val="center"/>
              <w:spacing w:after="0"/>
              <w:rPr>
                <w:sz w:val="20"/>
                <w:szCs w:val="20"/>
                <w:color w:val="auto"/>
              </w:rPr>
            </w:pPr>
            <w:r>
              <w:rPr>
                <w:rFonts w:ascii="Arial" w:cs="Arial" w:eastAsia="Arial" w:hAnsi="Arial"/>
                <w:sz w:val="21"/>
                <w:szCs w:val="21"/>
                <w:b w:val="1"/>
                <w:bCs w:val="1"/>
                <w:color w:val="34657F"/>
                <w:w w:val="98"/>
              </w:rPr>
              <w:t>Based</w:t>
            </w:r>
          </w:p>
        </w:tc>
        <w:tc>
          <w:tcPr>
            <w:tcW w:w="220" w:type="dxa"/>
            <w:vAlign w:val="bottom"/>
          </w:tcPr>
          <w:p>
            <w:pPr>
              <w:spacing w:after="0"/>
              <w:rPr>
                <w:sz w:val="12"/>
                <w:szCs w:val="12"/>
                <w:color w:val="auto"/>
              </w:rPr>
            </w:pPr>
          </w:p>
        </w:tc>
        <w:tc>
          <w:tcPr>
            <w:tcW w:w="2140" w:type="dxa"/>
            <w:vAlign w:val="bottom"/>
            <w:vMerge w:val="restart"/>
            <w:shd w:val="clear" w:color="auto" w:fill="D1DDE6"/>
          </w:tcPr>
          <w:p>
            <w:pPr>
              <w:jc w:val="center"/>
              <w:spacing w:after="0"/>
              <w:rPr>
                <w:sz w:val="20"/>
                <w:szCs w:val="20"/>
                <w:color w:val="auto"/>
              </w:rPr>
            </w:pPr>
            <w:r>
              <w:rPr>
                <w:rFonts w:ascii="Arial" w:cs="Arial" w:eastAsia="Arial" w:hAnsi="Arial"/>
                <w:sz w:val="21"/>
                <w:szCs w:val="21"/>
                <w:b w:val="1"/>
                <w:bCs w:val="1"/>
                <w:color w:val="34657F"/>
                <w:w w:val="98"/>
              </w:rPr>
              <w:t>Other NEOs 3x</w:t>
            </w:r>
          </w:p>
        </w:tc>
        <w:tc>
          <w:tcPr>
            <w:tcW w:w="240" w:type="dxa"/>
            <w:vAlign w:val="bottom"/>
          </w:tcPr>
          <w:p>
            <w:pPr>
              <w:spacing w:after="0"/>
              <w:rPr>
                <w:sz w:val="12"/>
                <w:szCs w:val="12"/>
                <w:color w:val="auto"/>
              </w:rPr>
            </w:pPr>
          </w:p>
        </w:tc>
        <w:tc>
          <w:tcPr>
            <w:tcW w:w="1540" w:type="dxa"/>
            <w:vAlign w:val="bottom"/>
            <w:vMerge w:val="continue"/>
            <w:shd w:val="clear" w:color="auto" w:fill="D1DDE6"/>
          </w:tcPr>
          <w:p>
            <w:pPr>
              <w:spacing w:after="0"/>
              <w:rPr>
                <w:sz w:val="12"/>
                <w:szCs w:val="12"/>
                <w:color w:val="auto"/>
              </w:rPr>
            </w:pPr>
          </w:p>
        </w:tc>
        <w:tc>
          <w:tcPr>
            <w:tcW w:w="220" w:type="dxa"/>
            <w:vAlign w:val="bottom"/>
          </w:tcPr>
          <w:p>
            <w:pPr>
              <w:spacing w:after="0"/>
              <w:rPr>
                <w:sz w:val="12"/>
                <w:szCs w:val="12"/>
                <w:color w:val="auto"/>
              </w:rPr>
            </w:pPr>
          </w:p>
        </w:tc>
        <w:tc>
          <w:tcPr>
            <w:tcW w:w="1540" w:type="dxa"/>
            <w:vAlign w:val="bottom"/>
            <w:vMerge w:val="continue"/>
            <w:shd w:val="clear" w:color="auto" w:fill="D1DDE6"/>
          </w:tcPr>
          <w:p>
            <w:pPr>
              <w:spacing w:after="0"/>
              <w:rPr>
                <w:sz w:val="12"/>
                <w:szCs w:val="12"/>
                <w:color w:val="auto"/>
              </w:rPr>
            </w:pPr>
          </w:p>
        </w:tc>
        <w:tc>
          <w:tcPr>
            <w:tcW w:w="240" w:type="dxa"/>
            <w:vAlign w:val="bottom"/>
          </w:tcPr>
          <w:p>
            <w:pPr>
              <w:spacing w:after="0"/>
              <w:rPr>
                <w:sz w:val="12"/>
                <w:szCs w:val="12"/>
                <w:color w:val="auto"/>
              </w:rPr>
            </w:pPr>
          </w:p>
        </w:tc>
        <w:tc>
          <w:tcPr>
            <w:tcW w:w="1940" w:type="dxa"/>
            <w:vAlign w:val="bottom"/>
            <w:shd w:val="clear" w:color="auto" w:fill="D1DDE6"/>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620" w:type="dxa"/>
            <w:vAlign w:val="bottom"/>
            <w:vMerge w:val="continue"/>
            <w:shd w:val="clear" w:color="auto" w:fill="D1DDE6"/>
          </w:tcPr>
          <w:p>
            <w:pPr>
              <w:spacing w:after="0"/>
              <w:rPr>
                <w:sz w:val="11"/>
                <w:szCs w:val="11"/>
                <w:color w:val="auto"/>
              </w:rPr>
            </w:pPr>
          </w:p>
        </w:tc>
        <w:tc>
          <w:tcPr>
            <w:tcW w:w="220" w:type="dxa"/>
            <w:vAlign w:val="bottom"/>
          </w:tcPr>
          <w:p>
            <w:pPr>
              <w:spacing w:after="0"/>
              <w:rPr>
                <w:sz w:val="11"/>
                <w:szCs w:val="11"/>
                <w:color w:val="auto"/>
              </w:rPr>
            </w:pPr>
          </w:p>
        </w:tc>
        <w:tc>
          <w:tcPr>
            <w:tcW w:w="2140" w:type="dxa"/>
            <w:vAlign w:val="bottom"/>
            <w:vMerge w:val="continue"/>
            <w:shd w:val="clear" w:color="auto" w:fill="D1DDE6"/>
          </w:tcPr>
          <w:p>
            <w:pPr>
              <w:spacing w:after="0"/>
              <w:rPr>
                <w:sz w:val="11"/>
                <w:szCs w:val="11"/>
                <w:color w:val="auto"/>
              </w:rPr>
            </w:pPr>
          </w:p>
        </w:tc>
        <w:tc>
          <w:tcPr>
            <w:tcW w:w="240" w:type="dxa"/>
            <w:vAlign w:val="bottom"/>
          </w:tcPr>
          <w:p>
            <w:pPr>
              <w:spacing w:after="0"/>
              <w:rPr>
                <w:sz w:val="11"/>
                <w:szCs w:val="11"/>
                <w:color w:val="auto"/>
              </w:rPr>
            </w:pPr>
          </w:p>
        </w:tc>
        <w:tc>
          <w:tcPr>
            <w:tcW w:w="1540" w:type="dxa"/>
            <w:vAlign w:val="bottom"/>
            <w:vMerge w:val="restart"/>
            <w:shd w:val="clear" w:color="auto" w:fill="D1DDE6"/>
          </w:tcPr>
          <w:p>
            <w:pPr>
              <w:jc w:val="center"/>
              <w:spacing w:after="0"/>
              <w:rPr>
                <w:sz w:val="20"/>
                <w:szCs w:val="20"/>
                <w:color w:val="auto"/>
              </w:rPr>
            </w:pPr>
            <w:r>
              <w:rPr>
                <w:rFonts w:ascii="Arial" w:cs="Arial" w:eastAsia="Arial" w:hAnsi="Arial"/>
                <w:sz w:val="21"/>
                <w:szCs w:val="21"/>
                <w:color w:val="auto"/>
                <w:w w:val="96"/>
              </w:rPr>
              <w:t>Shares</w:t>
            </w:r>
          </w:p>
        </w:tc>
        <w:tc>
          <w:tcPr>
            <w:tcW w:w="220" w:type="dxa"/>
            <w:vAlign w:val="bottom"/>
          </w:tcPr>
          <w:p>
            <w:pPr>
              <w:spacing w:after="0"/>
              <w:rPr>
                <w:sz w:val="11"/>
                <w:szCs w:val="11"/>
                <w:color w:val="auto"/>
              </w:rPr>
            </w:pPr>
          </w:p>
        </w:tc>
        <w:tc>
          <w:tcPr>
            <w:tcW w:w="1540" w:type="dxa"/>
            <w:vAlign w:val="bottom"/>
            <w:shd w:val="clear" w:color="auto" w:fill="D1DDE6"/>
          </w:tcPr>
          <w:p>
            <w:pPr>
              <w:spacing w:after="0"/>
              <w:rPr>
                <w:sz w:val="11"/>
                <w:szCs w:val="11"/>
                <w:color w:val="auto"/>
              </w:rPr>
            </w:pPr>
          </w:p>
        </w:tc>
        <w:tc>
          <w:tcPr>
            <w:tcW w:w="240" w:type="dxa"/>
            <w:vAlign w:val="bottom"/>
          </w:tcPr>
          <w:p>
            <w:pPr>
              <w:spacing w:after="0"/>
              <w:rPr>
                <w:sz w:val="11"/>
                <w:szCs w:val="11"/>
                <w:color w:val="auto"/>
              </w:rPr>
            </w:pPr>
          </w:p>
        </w:tc>
        <w:tc>
          <w:tcPr>
            <w:tcW w:w="1940" w:type="dxa"/>
            <w:vAlign w:val="bottom"/>
            <w:shd w:val="clear" w:color="auto" w:fill="D1DDE6"/>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1620" w:type="dxa"/>
            <w:vAlign w:val="bottom"/>
            <w:shd w:val="clear" w:color="auto" w:fill="D1DDE6"/>
          </w:tcPr>
          <w:p>
            <w:pPr>
              <w:spacing w:after="0"/>
              <w:rPr>
                <w:sz w:val="11"/>
                <w:szCs w:val="11"/>
                <w:color w:val="auto"/>
              </w:rPr>
            </w:pPr>
          </w:p>
        </w:tc>
        <w:tc>
          <w:tcPr>
            <w:tcW w:w="220" w:type="dxa"/>
            <w:vAlign w:val="bottom"/>
          </w:tcPr>
          <w:p>
            <w:pPr>
              <w:spacing w:after="0"/>
              <w:rPr>
                <w:sz w:val="11"/>
                <w:szCs w:val="11"/>
                <w:color w:val="auto"/>
              </w:rPr>
            </w:pPr>
          </w:p>
        </w:tc>
        <w:tc>
          <w:tcPr>
            <w:tcW w:w="2140" w:type="dxa"/>
            <w:vAlign w:val="bottom"/>
            <w:shd w:val="clear" w:color="auto" w:fill="D1DDE6"/>
          </w:tcPr>
          <w:p>
            <w:pPr>
              <w:spacing w:after="0"/>
              <w:rPr>
                <w:sz w:val="11"/>
                <w:szCs w:val="11"/>
                <w:color w:val="auto"/>
              </w:rPr>
            </w:pPr>
          </w:p>
        </w:tc>
        <w:tc>
          <w:tcPr>
            <w:tcW w:w="240" w:type="dxa"/>
            <w:vAlign w:val="bottom"/>
          </w:tcPr>
          <w:p>
            <w:pPr>
              <w:spacing w:after="0"/>
              <w:rPr>
                <w:sz w:val="11"/>
                <w:szCs w:val="11"/>
                <w:color w:val="auto"/>
              </w:rPr>
            </w:pPr>
          </w:p>
        </w:tc>
        <w:tc>
          <w:tcPr>
            <w:tcW w:w="1540" w:type="dxa"/>
            <w:vAlign w:val="bottom"/>
            <w:vMerge w:val="continue"/>
            <w:shd w:val="clear" w:color="auto" w:fill="D1DDE6"/>
          </w:tcPr>
          <w:p>
            <w:pPr>
              <w:spacing w:after="0"/>
              <w:rPr>
                <w:sz w:val="11"/>
                <w:szCs w:val="11"/>
                <w:color w:val="auto"/>
              </w:rPr>
            </w:pPr>
          </w:p>
        </w:tc>
        <w:tc>
          <w:tcPr>
            <w:tcW w:w="220" w:type="dxa"/>
            <w:vAlign w:val="bottom"/>
          </w:tcPr>
          <w:p>
            <w:pPr>
              <w:spacing w:after="0"/>
              <w:rPr>
                <w:sz w:val="11"/>
                <w:szCs w:val="11"/>
                <w:color w:val="auto"/>
              </w:rPr>
            </w:pPr>
          </w:p>
        </w:tc>
        <w:tc>
          <w:tcPr>
            <w:tcW w:w="1540" w:type="dxa"/>
            <w:vAlign w:val="bottom"/>
            <w:shd w:val="clear" w:color="auto" w:fill="D1DDE6"/>
          </w:tcPr>
          <w:p>
            <w:pPr>
              <w:spacing w:after="0"/>
              <w:rPr>
                <w:sz w:val="11"/>
                <w:szCs w:val="11"/>
                <w:color w:val="auto"/>
              </w:rPr>
            </w:pPr>
          </w:p>
        </w:tc>
        <w:tc>
          <w:tcPr>
            <w:tcW w:w="240" w:type="dxa"/>
            <w:vAlign w:val="bottom"/>
          </w:tcPr>
          <w:p>
            <w:pPr>
              <w:spacing w:after="0"/>
              <w:rPr>
                <w:sz w:val="11"/>
                <w:szCs w:val="11"/>
                <w:color w:val="auto"/>
              </w:rPr>
            </w:pPr>
          </w:p>
        </w:tc>
        <w:tc>
          <w:tcPr>
            <w:tcW w:w="1940" w:type="dxa"/>
            <w:vAlign w:val="bottom"/>
            <w:shd w:val="clear" w:color="auto" w:fill="D1DDE6"/>
          </w:tcPr>
          <w:p>
            <w:pPr>
              <w:spacing w:after="0"/>
              <w:rPr>
                <w:sz w:val="11"/>
                <w:szCs w:val="11"/>
                <w:color w:val="auto"/>
              </w:rPr>
            </w:pPr>
          </w:p>
        </w:tc>
        <w:tc>
          <w:tcPr>
            <w:tcW w:w="0" w:type="dxa"/>
            <w:vAlign w:val="bottom"/>
          </w:tcPr>
          <w:p>
            <w:pPr>
              <w:spacing w:after="0"/>
              <w:rPr>
                <w:sz w:val="1"/>
                <w:szCs w:val="1"/>
                <w:color w:val="auto"/>
              </w:rPr>
            </w:pPr>
          </w:p>
        </w:tc>
      </w:tr>
    </w:tbl>
    <w:p>
      <w:pPr>
        <w:spacing w:after="0" w:line="330" w:lineRule="exact"/>
        <w:rPr>
          <w:sz w:val="20"/>
          <w:szCs w:val="20"/>
          <w:color w:val="auto"/>
        </w:rPr>
      </w:pPr>
    </w:p>
    <w:p>
      <w:pPr>
        <w:ind w:left="20"/>
        <w:spacing w:after="0"/>
        <w:rPr>
          <w:sz w:val="20"/>
          <w:szCs w:val="20"/>
          <w:color w:val="auto"/>
        </w:rPr>
      </w:pPr>
      <w:r>
        <w:rPr>
          <w:rFonts w:ascii="Arial" w:cs="Arial" w:eastAsia="Arial" w:hAnsi="Arial"/>
          <w:sz w:val="24"/>
          <w:szCs w:val="24"/>
          <w:b w:val="1"/>
          <w:bCs w:val="1"/>
          <w:color w:val="auto"/>
        </w:rPr>
        <w:t>Board Nominees (pages 6-12)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38100</wp:posOffset>
            </wp:positionV>
            <wp:extent cx="7253605" cy="165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pacing w:after="0" w:line="174" w:lineRule="exact"/>
        <w:rPr>
          <w:sz w:val="20"/>
          <w:szCs w:val="20"/>
          <w:color w:val="auto"/>
        </w:rPr>
      </w:pPr>
    </w:p>
    <w:tbl>
      <w:tblPr>
        <w:tblLayout w:type="fixed"/>
        <w:tblInd w:w="70" w:type="dxa"/>
        <w:tblCellMar>
          <w:top w:w="0" w:type="dxa"/>
          <w:left w:w="0" w:type="dxa"/>
          <w:bottom w:w="0" w:type="dxa"/>
          <w:right w:w="0" w:type="dxa"/>
        </w:tblCellMar>
      </w:tblPr>
      <w:tr>
        <w:trPr>
          <w:trHeight w:val="202"/>
        </w:trPr>
        <w:tc>
          <w:tcPr>
            <w:tcW w:w="1740" w:type="dxa"/>
            <w:vAlign w:val="bottom"/>
            <w:tcBorders>
              <w:top w:val="single" w:sz="8" w:color="auto"/>
              <w:left w:val="single" w:sz="8" w:color="auto"/>
            </w:tcBorders>
            <w:shd w:val="clear" w:color="auto" w:fill="34657F"/>
          </w:tcPr>
          <w:p>
            <w:pPr>
              <w:spacing w:after="0"/>
              <w:rPr>
                <w:sz w:val="17"/>
                <w:szCs w:val="17"/>
                <w:color w:val="auto"/>
              </w:rPr>
            </w:pPr>
          </w:p>
        </w:tc>
        <w:tc>
          <w:tcPr>
            <w:tcW w:w="820" w:type="dxa"/>
            <w:vAlign w:val="bottom"/>
            <w:tcBorders>
              <w:top w:val="single" w:sz="8" w:color="auto"/>
            </w:tcBorders>
            <w:shd w:val="clear" w:color="auto" w:fill="34657F"/>
          </w:tcPr>
          <w:p>
            <w:pPr>
              <w:spacing w:after="0"/>
              <w:rPr>
                <w:sz w:val="17"/>
                <w:szCs w:val="17"/>
                <w:color w:val="auto"/>
              </w:rPr>
            </w:pPr>
          </w:p>
        </w:tc>
        <w:tc>
          <w:tcPr>
            <w:tcW w:w="780" w:type="dxa"/>
            <w:vAlign w:val="bottom"/>
            <w:tcBorders>
              <w:top w:val="single" w:sz="8" w:color="auto"/>
            </w:tcBorders>
            <w:shd w:val="clear" w:color="auto" w:fill="34657F"/>
          </w:tcPr>
          <w:p>
            <w:pPr>
              <w:spacing w:after="0"/>
              <w:rPr>
                <w:sz w:val="17"/>
                <w:szCs w:val="17"/>
                <w:color w:val="auto"/>
              </w:rPr>
            </w:pPr>
          </w:p>
        </w:tc>
        <w:tc>
          <w:tcPr>
            <w:tcW w:w="3820" w:type="dxa"/>
            <w:vAlign w:val="bottom"/>
            <w:tcBorders>
              <w:top w:val="single" w:sz="8" w:color="auto"/>
            </w:tcBorders>
            <w:shd w:val="clear" w:color="auto" w:fill="34657F"/>
          </w:tcPr>
          <w:p>
            <w:pPr>
              <w:spacing w:after="0"/>
              <w:rPr>
                <w:sz w:val="17"/>
                <w:szCs w:val="17"/>
                <w:color w:val="auto"/>
              </w:rPr>
            </w:pPr>
          </w:p>
        </w:tc>
        <w:tc>
          <w:tcPr>
            <w:tcW w:w="600" w:type="dxa"/>
            <w:vAlign w:val="bottom"/>
            <w:tcBorders>
              <w:top w:val="single" w:sz="8" w:color="auto"/>
            </w:tcBorders>
            <w:shd w:val="clear" w:color="auto" w:fill="34657F"/>
          </w:tcPr>
          <w:p>
            <w:pPr>
              <w:spacing w:after="0"/>
              <w:rPr>
                <w:sz w:val="17"/>
                <w:szCs w:val="17"/>
                <w:color w:val="auto"/>
              </w:rPr>
            </w:pPr>
          </w:p>
        </w:tc>
        <w:tc>
          <w:tcPr>
            <w:tcW w:w="2280" w:type="dxa"/>
            <w:vAlign w:val="bottom"/>
            <w:tcBorders>
              <w:top w:val="single" w:sz="8" w:color="auto"/>
            </w:tcBorders>
            <w:gridSpan w:val="3"/>
            <w:vMerge w:val="restart"/>
            <w:shd w:val="clear" w:color="auto" w:fill="34657F"/>
          </w:tcPr>
          <w:p>
            <w:pPr>
              <w:ind w:left="60"/>
              <w:spacing w:after="0"/>
              <w:rPr>
                <w:sz w:val="20"/>
                <w:szCs w:val="20"/>
                <w:color w:val="auto"/>
              </w:rPr>
            </w:pPr>
            <w:r>
              <w:rPr>
                <w:rFonts w:ascii="Arial" w:cs="Arial" w:eastAsia="Arial" w:hAnsi="Arial"/>
                <w:sz w:val="15"/>
                <w:szCs w:val="15"/>
                <w:b w:val="1"/>
                <w:bCs w:val="1"/>
                <w:color w:val="FFFFFF"/>
              </w:rPr>
              <w:t>Committee Memberships</w:t>
            </w:r>
          </w:p>
        </w:tc>
        <w:tc>
          <w:tcPr>
            <w:tcW w:w="1300" w:type="dxa"/>
            <w:vAlign w:val="bottom"/>
            <w:tcBorders>
              <w:top w:val="single" w:sz="8" w:color="auto"/>
              <w:right w:val="single" w:sz="8" w:color="auto"/>
            </w:tcBorders>
            <w:shd w:val="clear" w:color="auto" w:fill="34657F"/>
          </w:tcPr>
          <w:p>
            <w:pPr>
              <w:jc w:val="center"/>
              <w:spacing w:after="0"/>
              <w:rPr>
                <w:sz w:val="20"/>
                <w:szCs w:val="20"/>
                <w:color w:val="auto"/>
              </w:rPr>
            </w:pPr>
            <w:r>
              <w:rPr>
                <w:rFonts w:ascii="Arial" w:cs="Arial" w:eastAsia="Arial" w:hAnsi="Arial"/>
                <w:sz w:val="15"/>
                <w:szCs w:val="15"/>
                <w:b w:val="1"/>
                <w:bCs w:val="1"/>
                <w:color w:val="FFFFFF"/>
              </w:rPr>
              <w:t>Other Public</w:t>
            </w:r>
          </w:p>
        </w:tc>
        <w:tc>
          <w:tcPr>
            <w:tcW w:w="0" w:type="dxa"/>
            <w:vAlign w:val="bottom"/>
          </w:tcPr>
          <w:p>
            <w:pPr>
              <w:spacing w:after="0"/>
              <w:rPr>
                <w:sz w:val="1"/>
                <w:szCs w:val="1"/>
                <w:color w:val="auto"/>
              </w:rPr>
            </w:pPr>
          </w:p>
        </w:tc>
      </w:tr>
      <w:tr>
        <w:trPr>
          <w:trHeight w:val="88"/>
        </w:trPr>
        <w:tc>
          <w:tcPr>
            <w:tcW w:w="1740" w:type="dxa"/>
            <w:vAlign w:val="bottom"/>
            <w:tcBorders>
              <w:left w:val="single" w:sz="8" w:color="auto"/>
            </w:tcBorders>
            <w:shd w:val="clear" w:color="auto" w:fill="34657F"/>
          </w:tcPr>
          <w:p>
            <w:pPr>
              <w:spacing w:after="0"/>
              <w:rPr>
                <w:sz w:val="7"/>
                <w:szCs w:val="7"/>
                <w:color w:val="auto"/>
              </w:rPr>
            </w:pPr>
          </w:p>
        </w:tc>
        <w:tc>
          <w:tcPr>
            <w:tcW w:w="820" w:type="dxa"/>
            <w:vAlign w:val="bottom"/>
            <w:shd w:val="clear" w:color="auto" w:fill="34657F"/>
          </w:tcPr>
          <w:p>
            <w:pPr>
              <w:spacing w:after="0"/>
              <w:rPr>
                <w:sz w:val="7"/>
                <w:szCs w:val="7"/>
                <w:color w:val="auto"/>
              </w:rPr>
            </w:pPr>
          </w:p>
        </w:tc>
        <w:tc>
          <w:tcPr>
            <w:tcW w:w="780" w:type="dxa"/>
            <w:vAlign w:val="bottom"/>
            <w:vMerge w:val="restart"/>
            <w:shd w:val="clear" w:color="auto" w:fill="34657F"/>
          </w:tcPr>
          <w:p>
            <w:pPr>
              <w:ind w:left="80"/>
              <w:spacing w:after="0"/>
              <w:rPr>
                <w:sz w:val="20"/>
                <w:szCs w:val="20"/>
                <w:color w:val="auto"/>
              </w:rPr>
            </w:pPr>
            <w:r>
              <w:rPr>
                <w:rFonts w:ascii="Arial" w:cs="Arial" w:eastAsia="Arial" w:hAnsi="Arial"/>
                <w:sz w:val="15"/>
                <w:szCs w:val="15"/>
                <w:b w:val="1"/>
                <w:bCs w:val="1"/>
                <w:color w:val="FFFFFF"/>
              </w:rPr>
              <w:t>Director</w:t>
            </w:r>
          </w:p>
        </w:tc>
        <w:tc>
          <w:tcPr>
            <w:tcW w:w="3820" w:type="dxa"/>
            <w:vAlign w:val="bottom"/>
            <w:shd w:val="clear" w:color="auto" w:fill="34657F"/>
          </w:tcPr>
          <w:p>
            <w:pPr>
              <w:spacing w:after="0"/>
              <w:rPr>
                <w:sz w:val="7"/>
                <w:szCs w:val="7"/>
                <w:color w:val="auto"/>
              </w:rPr>
            </w:pPr>
          </w:p>
        </w:tc>
        <w:tc>
          <w:tcPr>
            <w:tcW w:w="600" w:type="dxa"/>
            <w:vAlign w:val="bottom"/>
            <w:shd w:val="clear" w:color="auto" w:fill="34657F"/>
          </w:tcPr>
          <w:p>
            <w:pPr>
              <w:spacing w:after="0"/>
              <w:rPr>
                <w:sz w:val="7"/>
                <w:szCs w:val="7"/>
                <w:color w:val="auto"/>
              </w:rPr>
            </w:pPr>
          </w:p>
        </w:tc>
        <w:tc>
          <w:tcPr>
            <w:tcW w:w="2280" w:type="dxa"/>
            <w:vAlign w:val="bottom"/>
            <w:gridSpan w:val="3"/>
            <w:vMerge w:val="continue"/>
            <w:shd w:val="clear" w:color="auto" w:fill="34657F"/>
          </w:tcPr>
          <w:p>
            <w:pPr>
              <w:spacing w:after="0"/>
              <w:rPr>
                <w:sz w:val="7"/>
                <w:szCs w:val="7"/>
                <w:color w:val="auto"/>
              </w:rPr>
            </w:pPr>
          </w:p>
        </w:tc>
        <w:tc>
          <w:tcPr>
            <w:tcW w:w="1300" w:type="dxa"/>
            <w:vAlign w:val="bottom"/>
            <w:tcBorders>
              <w:right w:val="single" w:sz="8" w:color="auto"/>
            </w:tcBorders>
            <w:vMerge w:val="restart"/>
            <w:shd w:val="clear" w:color="auto" w:fill="34657F"/>
          </w:tcPr>
          <w:p>
            <w:pPr>
              <w:jc w:val="center"/>
              <w:spacing w:after="0"/>
              <w:rPr>
                <w:sz w:val="20"/>
                <w:szCs w:val="20"/>
                <w:color w:val="auto"/>
              </w:rPr>
            </w:pPr>
            <w:r>
              <w:rPr>
                <w:rFonts w:ascii="Arial" w:cs="Arial" w:eastAsia="Arial" w:hAnsi="Arial"/>
                <w:sz w:val="15"/>
                <w:szCs w:val="15"/>
                <w:b w:val="1"/>
                <w:bCs w:val="1"/>
                <w:color w:val="FFFFFF"/>
              </w:rPr>
              <w:t>Company</w:t>
            </w:r>
          </w:p>
        </w:tc>
        <w:tc>
          <w:tcPr>
            <w:tcW w:w="0" w:type="dxa"/>
            <w:vAlign w:val="bottom"/>
          </w:tcPr>
          <w:p>
            <w:pPr>
              <w:spacing w:after="0"/>
              <w:rPr>
                <w:sz w:val="1"/>
                <w:szCs w:val="1"/>
                <w:color w:val="auto"/>
              </w:rPr>
            </w:pPr>
          </w:p>
        </w:tc>
      </w:tr>
      <w:tr>
        <w:trPr>
          <w:trHeight w:val="92"/>
        </w:trPr>
        <w:tc>
          <w:tcPr>
            <w:tcW w:w="1740" w:type="dxa"/>
            <w:vAlign w:val="bottom"/>
            <w:tcBorders>
              <w:left w:val="single" w:sz="8" w:color="auto"/>
            </w:tcBorders>
            <w:shd w:val="clear" w:color="auto" w:fill="34657F"/>
          </w:tcPr>
          <w:p>
            <w:pPr>
              <w:spacing w:after="0"/>
              <w:rPr>
                <w:sz w:val="7"/>
                <w:szCs w:val="7"/>
                <w:color w:val="auto"/>
              </w:rPr>
            </w:pPr>
          </w:p>
        </w:tc>
        <w:tc>
          <w:tcPr>
            <w:tcW w:w="820" w:type="dxa"/>
            <w:vAlign w:val="bottom"/>
            <w:shd w:val="clear" w:color="auto" w:fill="34657F"/>
          </w:tcPr>
          <w:p>
            <w:pPr>
              <w:spacing w:after="0"/>
              <w:rPr>
                <w:sz w:val="7"/>
                <w:szCs w:val="7"/>
                <w:color w:val="auto"/>
              </w:rPr>
            </w:pPr>
          </w:p>
        </w:tc>
        <w:tc>
          <w:tcPr>
            <w:tcW w:w="780" w:type="dxa"/>
            <w:vAlign w:val="bottom"/>
            <w:vMerge w:val="continue"/>
            <w:shd w:val="clear" w:color="auto" w:fill="34657F"/>
          </w:tcPr>
          <w:p>
            <w:pPr>
              <w:spacing w:after="0"/>
              <w:rPr>
                <w:sz w:val="7"/>
                <w:szCs w:val="7"/>
                <w:color w:val="auto"/>
              </w:rPr>
            </w:pPr>
          </w:p>
        </w:tc>
        <w:tc>
          <w:tcPr>
            <w:tcW w:w="3820" w:type="dxa"/>
            <w:vAlign w:val="bottom"/>
            <w:shd w:val="clear" w:color="auto" w:fill="34657F"/>
          </w:tcPr>
          <w:p>
            <w:pPr>
              <w:spacing w:after="0"/>
              <w:rPr>
                <w:sz w:val="7"/>
                <w:szCs w:val="7"/>
                <w:color w:val="auto"/>
              </w:rPr>
            </w:pPr>
          </w:p>
        </w:tc>
        <w:tc>
          <w:tcPr>
            <w:tcW w:w="600" w:type="dxa"/>
            <w:vAlign w:val="bottom"/>
            <w:shd w:val="clear" w:color="auto" w:fill="34657F"/>
          </w:tcPr>
          <w:p>
            <w:pPr>
              <w:spacing w:after="0"/>
              <w:rPr>
                <w:sz w:val="7"/>
                <w:szCs w:val="7"/>
                <w:color w:val="auto"/>
              </w:rPr>
            </w:pPr>
          </w:p>
        </w:tc>
        <w:tc>
          <w:tcPr>
            <w:tcW w:w="780" w:type="dxa"/>
            <w:vAlign w:val="bottom"/>
            <w:shd w:val="clear" w:color="auto" w:fill="34657F"/>
          </w:tcPr>
          <w:p>
            <w:pPr>
              <w:spacing w:after="0"/>
              <w:rPr>
                <w:sz w:val="7"/>
                <w:szCs w:val="7"/>
                <w:color w:val="auto"/>
              </w:rPr>
            </w:pPr>
          </w:p>
        </w:tc>
        <w:tc>
          <w:tcPr>
            <w:tcW w:w="660" w:type="dxa"/>
            <w:vAlign w:val="bottom"/>
            <w:shd w:val="clear" w:color="auto" w:fill="34657F"/>
          </w:tcPr>
          <w:p>
            <w:pPr>
              <w:spacing w:after="0"/>
              <w:rPr>
                <w:sz w:val="7"/>
                <w:szCs w:val="7"/>
                <w:color w:val="auto"/>
              </w:rPr>
            </w:pPr>
          </w:p>
        </w:tc>
        <w:tc>
          <w:tcPr>
            <w:tcW w:w="840" w:type="dxa"/>
            <w:vAlign w:val="bottom"/>
            <w:shd w:val="clear" w:color="auto" w:fill="34657F"/>
          </w:tcPr>
          <w:p>
            <w:pPr>
              <w:spacing w:after="0"/>
              <w:rPr>
                <w:sz w:val="7"/>
                <w:szCs w:val="7"/>
                <w:color w:val="auto"/>
              </w:rPr>
            </w:pPr>
          </w:p>
        </w:tc>
        <w:tc>
          <w:tcPr>
            <w:tcW w:w="1300" w:type="dxa"/>
            <w:vAlign w:val="bottom"/>
            <w:tcBorders>
              <w:right w:val="single" w:sz="8" w:color="auto"/>
            </w:tcBorders>
            <w:vMerge w:val="continue"/>
            <w:shd w:val="clear" w:color="auto" w:fill="34657F"/>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1740" w:type="dxa"/>
            <w:vAlign w:val="bottom"/>
            <w:tcBorders>
              <w:left w:val="single" w:sz="8" w:color="auto"/>
            </w:tcBorders>
            <w:shd w:val="clear" w:color="auto" w:fill="34657F"/>
          </w:tcPr>
          <w:p>
            <w:pPr>
              <w:ind w:left="20"/>
              <w:spacing w:after="0"/>
              <w:rPr>
                <w:sz w:val="20"/>
                <w:szCs w:val="20"/>
                <w:color w:val="auto"/>
              </w:rPr>
            </w:pPr>
            <w:r>
              <w:rPr>
                <w:rFonts w:ascii="Arial" w:cs="Arial" w:eastAsia="Arial" w:hAnsi="Arial"/>
                <w:sz w:val="15"/>
                <w:szCs w:val="15"/>
                <w:b w:val="1"/>
                <w:bCs w:val="1"/>
                <w:color w:val="FFFFFF"/>
              </w:rPr>
              <w:t>Name</w:t>
            </w:r>
          </w:p>
        </w:tc>
        <w:tc>
          <w:tcPr>
            <w:tcW w:w="820" w:type="dxa"/>
            <w:vAlign w:val="bottom"/>
            <w:shd w:val="clear" w:color="auto" w:fill="34657F"/>
          </w:tcPr>
          <w:p>
            <w:pPr>
              <w:ind w:left="200"/>
              <w:spacing w:after="0"/>
              <w:rPr>
                <w:sz w:val="20"/>
                <w:szCs w:val="20"/>
                <w:color w:val="auto"/>
              </w:rPr>
            </w:pPr>
            <w:r>
              <w:rPr>
                <w:rFonts w:ascii="Arial" w:cs="Arial" w:eastAsia="Arial" w:hAnsi="Arial"/>
                <w:sz w:val="15"/>
                <w:szCs w:val="15"/>
                <w:b w:val="1"/>
                <w:bCs w:val="1"/>
                <w:color w:val="FFFFFF"/>
              </w:rPr>
              <w:t>Age (1)</w:t>
            </w:r>
          </w:p>
        </w:tc>
        <w:tc>
          <w:tcPr>
            <w:tcW w:w="780" w:type="dxa"/>
            <w:vAlign w:val="bottom"/>
            <w:shd w:val="clear" w:color="auto" w:fill="34657F"/>
          </w:tcPr>
          <w:p>
            <w:pPr>
              <w:ind w:left="80"/>
              <w:spacing w:after="0"/>
              <w:rPr>
                <w:sz w:val="20"/>
                <w:szCs w:val="20"/>
                <w:color w:val="auto"/>
              </w:rPr>
            </w:pPr>
            <w:r>
              <w:rPr>
                <w:rFonts w:ascii="Arial" w:cs="Arial" w:eastAsia="Arial" w:hAnsi="Arial"/>
                <w:sz w:val="15"/>
                <w:szCs w:val="15"/>
                <w:b w:val="1"/>
                <w:bCs w:val="1"/>
                <w:color w:val="FFFFFF"/>
              </w:rPr>
              <w:t>since</w:t>
            </w:r>
          </w:p>
        </w:tc>
        <w:tc>
          <w:tcPr>
            <w:tcW w:w="3820" w:type="dxa"/>
            <w:vAlign w:val="bottom"/>
            <w:shd w:val="clear" w:color="auto" w:fill="34657F"/>
          </w:tcPr>
          <w:p>
            <w:pPr>
              <w:ind w:left="100"/>
              <w:spacing w:after="0"/>
              <w:rPr>
                <w:sz w:val="20"/>
                <w:szCs w:val="20"/>
                <w:color w:val="auto"/>
              </w:rPr>
            </w:pPr>
            <w:r>
              <w:rPr>
                <w:rFonts w:ascii="Arial" w:cs="Arial" w:eastAsia="Arial" w:hAnsi="Arial"/>
                <w:sz w:val="15"/>
                <w:szCs w:val="15"/>
                <w:b w:val="1"/>
                <w:bCs w:val="1"/>
                <w:color w:val="FFFFFF"/>
              </w:rPr>
              <w:t>Professional Background</w:t>
            </w:r>
          </w:p>
        </w:tc>
        <w:tc>
          <w:tcPr>
            <w:tcW w:w="600" w:type="dxa"/>
            <w:vAlign w:val="bottom"/>
            <w:shd w:val="clear" w:color="auto" w:fill="34657F"/>
          </w:tcPr>
          <w:p>
            <w:pPr>
              <w:jc w:val="center"/>
              <w:spacing w:after="0"/>
              <w:rPr>
                <w:sz w:val="20"/>
                <w:szCs w:val="20"/>
                <w:color w:val="auto"/>
              </w:rPr>
            </w:pPr>
            <w:r>
              <w:rPr>
                <w:rFonts w:ascii="Arial" w:cs="Arial" w:eastAsia="Arial" w:hAnsi="Arial"/>
                <w:sz w:val="15"/>
                <w:szCs w:val="15"/>
                <w:b w:val="1"/>
                <w:bCs w:val="1"/>
                <w:color w:val="FFFFFF"/>
              </w:rPr>
              <w:t>Audit</w:t>
            </w:r>
          </w:p>
        </w:tc>
        <w:tc>
          <w:tcPr>
            <w:tcW w:w="780" w:type="dxa"/>
            <w:vAlign w:val="bottom"/>
            <w:shd w:val="clear" w:color="auto" w:fill="34657F"/>
          </w:tcPr>
          <w:p>
            <w:pPr>
              <w:jc w:val="center"/>
              <w:spacing w:after="0"/>
              <w:rPr>
                <w:sz w:val="20"/>
                <w:szCs w:val="20"/>
                <w:color w:val="auto"/>
              </w:rPr>
            </w:pPr>
            <w:r>
              <w:rPr>
                <w:rFonts w:ascii="Arial" w:cs="Arial" w:eastAsia="Arial" w:hAnsi="Arial"/>
                <w:sz w:val="15"/>
                <w:szCs w:val="15"/>
                <w:b w:val="1"/>
                <w:bCs w:val="1"/>
                <w:color w:val="FFFFFF"/>
              </w:rPr>
              <w:t>Comp</w:t>
            </w:r>
          </w:p>
        </w:tc>
        <w:tc>
          <w:tcPr>
            <w:tcW w:w="660" w:type="dxa"/>
            <w:vAlign w:val="bottom"/>
            <w:shd w:val="clear" w:color="auto" w:fill="34657F"/>
          </w:tcPr>
          <w:p>
            <w:pPr>
              <w:jc w:val="center"/>
              <w:spacing w:after="0"/>
              <w:rPr>
                <w:sz w:val="20"/>
                <w:szCs w:val="20"/>
                <w:color w:val="auto"/>
              </w:rPr>
            </w:pPr>
            <w:r>
              <w:rPr>
                <w:rFonts w:ascii="Arial" w:cs="Arial" w:eastAsia="Arial" w:hAnsi="Arial"/>
                <w:sz w:val="15"/>
                <w:szCs w:val="15"/>
                <w:b w:val="1"/>
                <w:bCs w:val="1"/>
                <w:color w:val="FFFFFF"/>
                <w:w w:val="95"/>
              </w:rPr>
              <w:t>Gov</w:t>
            </w:r>
          </w:p>
        </w:tc>
        <w:tc>
          <w:tcPr>
            <w:tcW w:w="840" w:type="dxa"/>
            <w:vAlign w:val="bottom"/>
            <w:shd w:val="clear" w:color="auto" w:fill="34657F"/>
          </w:tcPr>
          <w:p>
            <w:pPr>
              <w:jc w:val="center"/>
              <w:spacing w:after="0"/>
              <w:rPr>
                <w:sz w:val="20"/>
                <w:szCs w:val="20"/>
                <w:color w:val="auto"/>
              </w:rPr>
            </w:pPr>
            <w:r>
              <w:rPr>
                <w:rFonts w:ascii="Arial" w:cs="Arial" w:eastAsia="Arial" w:hAnsi="Arial"/>
                <w:sz w:val="15"/>
                <w:szCs w:val="15"/>
                <w:b w:val="1"/>
                <w:bCs w:val="1"/>
                <w:color w:val="FFFFFF"/>
              </w:rPr>
              <w:t>Policy</w:t>
            </w:r>
          </w:p>
        </w:tc>
        <w:tc>
          <w:tcPr>
            <w:tcW w:w="1300" w:type="dxa"/>
            <w:vAlign w:val="bottom"/>
            <w:tcBorders>
              <w:right w:val="single" w:sz="8" w:color="auto"/>
            </w:tcBorders>
            <w:shd w:val="clear" w:color="auto" w:fill="34657F"/>
          </w:tcPr>
          <w:p>
            <w:pPr>
              <w:jc w:val="center"/>
              <w:spacing w:after="0"/>
              <w:rPr>
                <w:sz w:val="20"/>
                <w:szCs w:val="20"/>
                <w:color w:val="auto"/>
              </w:rPr>
            </w:pPr>
            <w:r>
              <w:rPr>
                <w:rFonts w:ascii="Arial" w:cs="Arial" w:eastAsia="Arial" w:hAnsi="Arial"/>
                <w:sz w:val="15"/>
                <w:szCs w:val="15"/>
                <w:b w:val="1"/>
                <w:bCs w:val="1"/>
                <w:color w:val="FFFFFF"/>
              </w:rPr>
              <w:t>Boards</w:t>
            </w:r>
          </w:p>
        </w:tc>
        <w:tc>
          <w:tcPr>
            <w:tcW w:w="0" w:type="dxa"/>
            <w:vAlign w:val="bottom"/>
          </w:tcPr>
          <w:p>
            <w:pPr>
              <w:spacing w:after="0"/>
              <w:rPr>
                <w:sz w:val="1"/>
                <w:szCs w:val="1"/>
                <w:color w:val="auto"/>
              </w:rPr>
            </w:pPr>
          </w:p>
        </w:tc>
      </w:tr>
      <w:tr>
        <w:trPr>
          <w:trHeight w:val="213"/>
        </w:trPr>
        <w:tc>
          <w:tcPr>
            <w:tcW w:w="1740" w:type="dxa"/>
            <w:vAlign w:val="bottom"/>
            <w:tcBorders>
              <w:left w:val="single" w:sz="8" w:color="auto"/>
            </w:tcBorders>
          </w:tcPr>
          <w:p>
            <w:pPr>
              <w:ind w:left="20"/>
              <w:spacing w:after="0"/>
              <w:rPr>
                <w:sz w:val="20"/>
                <w:szCs w:val="20"/>
                <w:color w:val="auto"/>
              </w:rPr>
            </w:pPr>
            <w:r>
              <w:rPr>
                <w:rFonts w:ascii="Arial" w:cs="Arial" w:eastAsia="Arial" w:hAnsi="Arial"/>
                <w:sz w:val="15"/>
                <w:szCs w:val="15"/>
                <w:color w:val="auto"/>
              </w:rPr>
              <w:t>Wesley G. Bush</w:t>
            </w:r>
          </w:p>
        </w:tc>
        <w:tc>
          <w:tcPr>
            <w:tcW w:w="820" w:type="dxa"/>
            <w:vAlign w:val="bottom"/>
          </w:tcPr>
          <w:p>
            <w:pPr>
              <w:ind w:left="200"/>
              <w:spacing w:after="0"/>
              <w:rPr>
                <w:sz w:val="20"/>
                <w:szCs w:val="20"/>
                <w:color w:val="auto"/>
              </w:rPr>
            </w:pPr>
            <w:r>
              <w:rPr>
                <w:rFonts w:ascii="Arial" w:cs="Arial" w:eastAsia="Arial" w:hAnsi="Arial"/>
                <w:sz w:val="15"/>
                <w:szCs w:val="15"/>
                <w:color w:val="auto"/>
              </w:rPr>
              <w:t>57</w:t>
            </w:r>
          </w:p>
        </w:tc>
        <w:tc>
          <w:tcPr>
            <w:tcW w:w="780" w:type="dxa"/>
            <w:vAlign w:val="bottom"/>
          </w:tcPr>
          <w:p>
            <w:pPr>
              <w:ind w:left="80"/>
              <w:spacing w:after="0"/>
              <w:rPr>
                <w:sz w:val="20"/>
                <w:szCs w:val="20"/>
                <w:color w:val="auto"/>
              </w:rPr>
            </w:pPr>
            <w:r>
              <w:rPr>
                <w:rFonts w:ascii="Arial" w:cs="Arial" w:eastAsia="Arial" w:hAnsi="Arial"/>
                <w:sz w:val="15"/>
                <w:szCs w:val="15"/>
                <w:color w:val="auto"/>
              </w:rPr>
              <w:t>09/2009</w:t>
            </w:r>
          </w:p>
        </w:tc>
        <w:tc>
          <w:tcPr>
            <w:tcW w:w="3820" w:type="dxa"/>
            <w:vAlign w:val="bottom"/>
          </w:tcPr>
          <w:p>
            <w:pPr>
              <w:ind w:left="100"/>
              <w:spacing w:after="0"/>
              <w:rPr>
                <w:sz w:val="20"/>
                <w:szCs w:val="20"/>
                <w:color w:val="auto"/>
              </w:rPr>
            </w:pPr>
            <w:r>
              <w:rPr>
                <w:rFonts w:ascii="Arial" w:cs="Arial" w:eastAsia="Arial" w:hAnsi="Arial"/>
                <w:sz w:val="15"/>
                <w:szCs w:val="15"/>
                <w:color w:val="auto"/>
              </w:rPr>
              <w:t>Chairman, Northrop Grumman Corporation</w:t>
            </w:r>
          </w:p>
        </w:tc>
        <w:tc>
          <w:tcPr>
            <w:tcW w:w="600" w:type="dxa"/>
            <w:vAlign w:val="bottom"/>
          </w:tcPr>
          <w:p>
            <w:pPr>
              <w:jc w:val="center"/>
              <w:spacing w:after="0"/>
              <w:rPr>
                <w:sz w:val="20"/>
                <w:szCs w:val="20"/>
                <w:color w:val="auto"/>
              </w:rPr>
            </w:pPr>
            <w:r>
              <w:rPr>
                <w:rFonts w:ascii="Arial" w:cs="Arial" w:eastAsia="Arial" w:hAnsi="Arial"/>
                <w:sz w:val="15"/>
                <w:szCs w:val="15"/>
                <w:color w:val="auto"/>
              </w:rPr>
              <w:t>—</w:t>
            </w:r>
          </w:p>
        </w:tc>
        <w:tc>
          <w:tcPr>
            <w:tcW w:w="780" w:type="dxa"/>
            <w:vAlign w:val="bottom"/>
          </w:tcPr>
          <w:p>
            <w:pPr>
              <w:jc w:val="center"/>
              <w:spacing w:after="0"/>
              <w:rPr>
                <w:sz w:val="20"/>
                <w:szCs w:val="20"/>
                <w:color w:val="auto"/>
              </w:rPr>
            </w:pPr>
            <w:r>
              <w:rPr>
                <w:rFonts w:ascii="Arial" w:cs="Arial" w:eastAsia="Arial" w:hAnsi="Arial"/>
                <w:sz w:val="15"/>
                <w:szCs w:val="15"/>
                <w:color w:val="auto"/>
              </w:rPr>
              <w:t>—</w:t>
            </w:r>
          </w:p>
        </w:tc>
        <w:tc>
          <w:tcPr>
            <w:tcW w:w="660" w:type="dxa"/>
            <w:vAlign w:val="bottom"/>
          </w:tcPr>
          <w:p>
            <w:pPr>
              <w:jc w:val="center"/>
              <w:spacing w:after="0"/>
              <w:rPr>
                <w:sz w:val="20"/>
                <w:szCs w:val="20"/>
                <w:color w:val="auto"/>
              </w:rPr>
            </w:pPr>
            <w:r>
              <w:rPr>
                <w:rFonts w:ascii="Arial" w:cs="Arial" w:eastAsia="Arial" w:hAnsi="Arial"/>
                <w:sz w:val="15"/>
                <w:szCs w:val="15"/>
                <w:color w:val="auto"/>
              </w:rPr>
              <w:t>—</w:t>
            </w:r>
          </w:p>
        </w:tc>
        <w:tc>
          <w:tcPr>
            <w:tcW w:w="840" w:type="dxa"/>
            <w:vAlign w:val="bottom"/>
          </w:tcPr>
          <w:p>
            <w:pPr>
              <w:jc w:val="center"/>
              <w:spacing w:after="0"/>
              <w:rPr>
                <w:sz w:val="20"/>
                <w:szCs w:val="20"/>
                <w:color w:val="auto"/>
              </w:rPr>
            </w:pPr>
            <w:r>
              <w:rPr>
                <w:rFonts w:ascii="Arial" w:cs="Arial" w:eastAsia="Arial" w:hAnsi="Arial"/>
                <w:sz w:val="15"/>
                <w:szCs w:val="15"/>
                <w:color w:val="auto"/>
                <w:w w:val="93"/>
              </w:rPr>
              <w:t>—</w:t>
            </w:r>
          </w:p>
        </w:tc>
        <w:tc>
          <w:tcPr>
            <w:tcW w:w="13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95"/>
              </w:rPr>
              <w:t>1</w:t>
            </w:r>
          </w:p>
        </w:tc>
        <w:tc>
          <w:tcPr>
            <w:tcW w:w="0" w:type="dxa"/>
            <w:vAlign w:val="bottom"/>
          </w:tcPr>
          <w:p>
            <w:pPr>
              <w:spacing w:after="0"/>
              <w:rPr>
                <w:sz w:val="1"/>
                <w:szCs w:val="1"/>
                <w:color w:val="auto"/>
              </w:rPr>
            </w:pPr>
          </w:p>
        </w:tc>
      </w:tr>
      <w:tr>
        <w:trPr>
          <w:trHeight w:val="31"/>
        </w:trPr>
        <w:tc>
          <w:tcPr>
            <w:tcW w:w="1740" w:type="dxa"/>
            <w:vAlign w:val="bottom"/>
            <w:tcBorders>
              <w:left w:val="single" w:sz="8" w:color="auto"/>
            </w:tcBorders>
          </w:tcPr>
          <w:p>
            <w:pPr>
              <w:spacing w:after="0"/>
              <w:rPr>
                <w:sz w:val="2"/>
                <w:szCs w:val="2"/>
                <w:color w:val="auto"/>
              </w:rPr>
            </w:pPr>
          </w:p>
        </w:tc>
        <w:tc>
          <w:tcPr>
            <w:tcW w:w="820" w:type="dxa"/>
            <w:vAlign w:val="bottom"/>
          </w:tcPr>
          <w:p>
            <w:pPr>
              <w:spacing w:after="0"/>
              <w:rPr>
                <w:sz w:val="2"/>
                <w:szCs w:val="2"/>
                <w:color w:val="auto"/>
              </w:rPr>
            </w:pPr>
          </w:p>
        </w:tc>
        <w:tc>
          <w:tcPr>
            <w:tcW w:w="780" w:type="dxa"/>
            <w:vAlign w:val="bottom"/>
          </w:tcPr>
          <w:p>
            <w:pPr>
              <w:spacing w:after="0"/>
              <w:rPr>
                <w:sz w:val="2"/>
                <w:szCs w:val="2"/>
                <w:color w:val="auto"/>
              </w:rPr>
            </w:pPr>
          </w:p>
        </w:tc>
        <w:tc>
          <w:tcPr>
            <w:tcW w:w="3820" w:type="dxa"/>
            <w:vAlign w:val="bottom"/>
          </w:tcPr>
          <w:p>
            <w:pPr>
              <w:spacing w:after="0"/>
              <w:rPr>
                <w:sz w:val="2"/>
                <w:szCs w:val="2"/>
                <w:color w:val="auto"/>
              </w:rPr>
            </w:pPr>
          </w:p>
        </w:tc>
        <w:tc>
          <w:tcPr>
            <w:tcW w:w="600" w:type="dxa"/>
            <w:vAlign w:val="bottom"/>
          </w:tcPr>
          <w:p>
            <w:pPr>
              <w:spacing w:after="0"/>
              <w:rPr>
                <w:sz w:val="2"/>
                <w:szCs w:val="2"/>
                <w:color w:val="auto"/>
              </w:rPr>
            </w:pPr>
          </w:p>
        </w:tc>
        <w:tc>
          <w:tcPr>
            <w:tcW w:w="7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30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7"/>
        </w:trPr>
        <w:tc>
          <w:tcPr>
            <w:tcW w:w="1740" w:type="dxa"/>
            <w:vAlign w:val="bottom"/>
            <w:tcBorders>
              <w:left w:val="single" w:sz="8" w:color="auto"/>
            </w:tcBorders>
            <w:shd w:val="clear" w:color="auto" w:fill="D1DDE6"/>
          </w:tcPr>
          <w:p>
            <w:pPr>
              <w:ind w:left="20"/>
              <w:spacing w:after="0"/>
              <w:rPr>
                <w:sz w:val="20"/>
                <w:szCs w:val="20"/>
                <w:color w:val="auto"/>
              </w:rPr>
            </w:pPr>
            <w:r>
              <w:rPr>
                <w:rFonts w:ascii="Arial" w:cs="Arial" w:eastAsia="Arial" w:hAnsi="Arial"/>
                <w:sz w:val="15"/>
                <w:szCs w:val="15"/>
                <w:color w:val="auto"/>
              </w:rPr>
              <w:t>Marianne C. Brown</w:t>
            </w:r>
          </w:p>
        </w:tc>
        <w:tc>
          <w:tcPr>
            <w:tcW w:w="820" w:type="dxa"/>
            <w:vAlign w:val="bottom"/>
            <w:shd w:val="clear" w:color="auto" w:fill="D1DDE6"/>
          </w:tcPr>
          <w:p>
            <w:pPr>
              <w:ind w:left="200"/>
              <w:spacing w:after="0"/>
              <w:rPr>
                <w:sz w:val="20"/>
                <w:szCs w:val="20"/>
                <w:color w:val="auto"/>
              </w:rPr>
            </w:pPr>
            <w:r>
              <w:rPr>
                <w:rFonts w:ascii="Arial" w:cs="Arial" w:eastAsia="Arial" w:hAnsi="Arial"/>
                <w:sz w:val="15"/>
                <w:szCs w:val="15"/>
                <w:color w:val="auto"/>
              </w:rPr>
              <w:t>60</w:t>
            </w:r>
          </w:p>
        </w:tc>
        <w:tc>
          <w:tcPr>
            <w:tcW w:w="780" w:type="dxa"/>
            <w:vAlign w:val="bottom"/>
            <w:shd w:val="clear" w:color="auto" w:fill="D1DDE6"/>
          </w:tcPr>
          <w:p>
            <w:pPr>
              <w:ind w:left="80"/>
              <w:spacing w:after="0"/>
              <w:rPr>
                <w:sz w:val="20"/>
                <w:szCs w:val="20"/>
                <w:color w:val="auto"/>
              </w:rPr>
            </w:pPr>
            <w:r>
              <w:rPr>
                <w:rFonts w:ascii="Arial" w:cs="Arial" w:eastAsia="Arial" w:hAnsi="Arial"/>
                <w:sz w:val="15"/>
                <w:szCs w:val="15"/>
                <w:color w:val="auto"/>
              </w:rPr>
              <w:t>03/2015</w:t>
            </w:r>
          </w:p>
        </w:tc>
        <w:tc>
          <w:tcPr>
            <w:tcW w:w="3820" w:type="dxa"/>
            <w:vAlign w:val="bottom"/>
            <w:shd w:val="clear" w:color="auto" w:fill="D1DDE6"/>
          </w:tcPr>
          <w:p>
            <w:pPr>
              <w:ind w:left="100"/>
              <w:spacing w:after="0"/>
              <w:rPr>
                <w:sz w:val="20"/>
                <w:szCs w:val="20"/>
                <w:color w:val="auto"/>
              </w:rPr>
            </w:pPr>
            <w:r>
              <w:rPr>
                <w:rFonts w:ascii="Arial" w:cs="Arial" w:eastAsia="Arial" w:hAnsi="Arial"/>
                <w:sz w:val="15"/>
                <w:szCs w:val="15"/>
                <w:color w:val="auto"/>
              </w:rPr>
              <w:t>Co-Chief Operating Officer, Global Financial</w:t>
            </w:r>
          </w:p>
        </w:tc>
        <w:tc>
          <w:tcPr>
            <w:tcW w:w="600" w:type="dxa"/>
            <w:vAlign w:val="bottom"/>
            <w:shd w:val="clear" w:color="auto" w:fill="D1DDE6"/>
          </w:tcPr>
          <w:p>
            <w:pPr>
              <w:spacing w:after="0"/>
              <w:rPr>
                <w:sz w:val="17"/>
                <w:szCs w:val="17"/>
                <w:color w:val="auto"/>
              </w:rPr>
            </w:pPr>
          </w:p>
        </w:tc>
        <w:tc>
          <w:tcPr>
            <w:tcW w:w="780" w:type="dxa"/>
            <w:vAlign w:val="bottom"/>
            <w:shd w:val="clear" w:color="auto" w:fill="D1DDE6"/>
          </w:tcPr>
          <w:p>
            <w:pPr>
              <w:spacing w:after="0"/>
              <w:rPr>
                <w:sz w:val="17"/>
                <w:szCs w:val="17"/>
                <w:color w:val="auto"/>
              </w:rPr>
            </w:pPr>
          </w:p>
        </w:tc>
        <w:tc>
          <w:tcPr>
            <w:tcW w:w="660" w:type="dxa"/>
            <w:vAlign w:val="bottom"/>
            <w:shd w:val="clear" w:color="auto" w:fill="D1DDE6"/>
          </w:tcPr>
          <w:p>
            <w:pPr>
              <w:spacing w:after="0"/>
              <w:rPr>
                <w:sz w:val="17"/>
                <w:szCs w:val="17"/>
                <w:color w:val="auto"/>
              </w:rPr>
            </w:pPr>
          </w:p>
        </w:tc>
        <w:tc>
          <w:tcPr>
            <w:tcW w:w="840" w:type="dxa"/>
            <w:vAlign w:val="bottom"/>
            <w:shd w:val="clear" w:color="auto" w:fill="D1DDE6"/>
          </w:tcPr>
          <w:p>
            <w:pPr>
              <w:spacing w:after="0"/>
              <w:rPr>
                <w:sz w:val="17"/>
                <w:szCs w:val="17"/>
                <w:color w:val="auto"/>
              </w:rPr>
            </w:pPr>
          </w:p>
        </w:tc>
        <w:tc>
          <w:tcPr>
            <w:tcW w:w="1300" w:type="dxa"/>
            <w:vAlign w:val="bottom"/>
            <w:tcBorders>
              <w:right w:val="single" w:sz="8" w:color="auto"/>
            </w:tcBorders>
            <w:shd w:val="clear" w:color="auto" w:fill="D1DDE6"/>
          </w:tcPr>
          <w:p>
            <w:pPr>
              <w:jc w:val="center"/>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3"/>
        </w:trPr>
        <w:tc>
          <w:tcPr>
            <w:tcW w:w="1740" w:type="dxa"/>
            <w:vAlign w:val="bottom"/>
            <w:tcBorders>
              <w:left w:val="single" w:sz="8" w:color="auto"/>
            </w:tcBorders>
            <w:shd w:val="clear" w:color="auto" w:fill="D1DDE6"/>
          </w:tcPr>
          <w:p>
            <w:pPr>
              <w:spacing w:after="0"/>
              <w:rPr>
                <w:sz w:val="17"/>
                <w:szCs w:val="17"/>
                <w:color w:val="auto"/>
              </w:rPr>
            </w:pPr>
          </w:p>
        </w:tc>
        <w:tc>
          <w:tcPr>
            <w:tcW w:w="820" w:type="dxa"/>
            <w:vAlign w:val="bottom"/>
            <w:shd w:val="clear" w:color="auto" w:fill="D1DDE6"/>
          </w:tcPr>
          <w:p>
            <w:pPr>
              <w:spacing w:after="0"/>
              <w:rPr>
                <w:sz w:val="17"/>
                <w:szCs w:val="17"/>
                <w:color w:val="auto"/>
              </w:rPr>
            </w:pPr>
          </w:p>
        </w:tc>
        <w:tc>
          <w:tcPr>
            <w:tcW w:w="780" w:type="dxa"/>
            <w:vAlign w:val="bottom"/>
            <w:shd w:val="clear" w:color="auto" w:fill="D1DDE6"/>
          </w:tcPr>
          <w:p>
            <w:pPr>
              <w:spacing w:after="0"/>
              <w:rPr>
                <w:sz w:val="17"/>
                <w:szCs w:val="17"/>
                <w:color w:val="auto"/>
              </w:rPr>
            </w:pPr>
          </w:p>
        </w:tc>
        <w:tc>
          <w:tcPr>
            <w:tcW w:w="3820" w:type="dxa"/>
            <w:vAlign w:val="bottom"/>
            <w:shd w:val="clear" w:color="auto" w:fill="D1DDE6"/>
          </w:tcPr>
          <w:p>
            <w:pPr>
              <w:ind w:left="100"/>
              <w:spacing w:after="0"/>
              <w:rPr>
                <w:sz w:val="20"/>
                <w:szCs w:val="20"/>
                <w:color w:val="auto"/>
              </w:rPr>
            </w:pPr>
            <w:r>
              <w:rPr>
                <w:rFonts w:ascii="Arial" w:cs="Arial" w:eastAsia="Arial" w:hAnsi="Arial"/>
                <w:sz w:val="15"/>
                <w:szCs w:val="15"/>
                <w:color w:val="auto"/>
              </w:rPr>
              <w:t>Solutions, Fidelity National Information Services, Inc.</w:t>
            </w:r>
          </w:p>
        </w:tc>
        <w:tc>
          <w:tcPr>
            <w:tcW w:w="600" w:type="dxa"/>
            <w:vAlign w:val="bottom"/>
            <w:shd w:val="clear" w:color="auto" w:fill="D1DDE6"/>
          </w:tcPr>
          <w:p>
            <w:pPr>
              <w:spacing w:after="0"/>
              <w:rPr>
                <w:sz w:val="17"/>
                <w:szCs w:val="17"/>
                <w:color w:val="auto"/>
              </w:rPr>
            </w:pPr>
          </w:p>
        </w:tc>
        <w:tc>
          <w:tcPr>
            <w:tcW w:w="780" w:type="dxa"/>
            <w:vAlign w:val="bottom"/>
            <w:shd w:val="clear" w:color="auto" w:fill="D1DDE6"/>
          </w:tcPr>
          <w:p>
            <w:pPr>
              <w:spacing w:after="0"/>
              <w:rPr>
                <w:sz w:val="17"/>
                <w:szCs w:val="17"/>
                <w:color w:val="auto"/>
              </w:rPr>
            </w:pPr>
          </w:p>
        </w:tc>
        <w:tc>
          <w:tcPr>
            <w:tcW w:w="660" w:type="dxa"/>
            <w:vAlign w:val="bottom"/>
            <w:shd w:val="clear" w:color="auto" w:fill="D1DDE6"/>
          </w:tcPr>
          <w:p>
            <w:pPr>
              <w:spacing w:after="0"/>
              <w:rPr>
                <w:sz w:val="17"/>
                <w:szCs w:val="17"/>
                <w:color w:val="auto"/>
              </w:rPr>
            </w:pPr>
          </w:p>
        </w:tc>
        <w:tc>
          <w:tcPr>
            <w:tcW w:w="840" w:type="dxa"/>
            <w:vAlign w:val="bottom"/>
            <w:shd w:val="clear" w:color="auto" w:fill="D1DDE6"/>
          </w:tcPr>
          <w:p>
            <w:pPr>
              <w:spacing w:after="0"/>
              <w:rPr>
                <w:sz w:val="17"/>
                <w:szCs w:val="17"/>
                <w:color w:val="auto"/>
              </w:rPr>
            </w:pPr>
          </w:p>
        </w:tc>
        <w:tc>
          <w:tcPr>
            <w:tcW w:w="1300" w:type="dxa"/>
            <w:vAlign w:val="bottom"/>
            <w:tcBorders>
              <w:right w:val="single" w:sz="8" w:color="auto"/>
            </w:tcBorders>
            <w:shd w:val="clear" w:color="auto" w:fill="D1DDE6"/>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1740" w:type="dxa"/>
            <w:vAlign w:val="bottom"/>
            <w:tcBorders>
              <w:left w:val="single" w:sz="8" w:color="auto"/>
            </w:tcBorders>
          </w:tcPr>
          <w:p>
            <w:pPr>
              <w:ind w:left="20"/>
              <w:spacing w:after="0"/>
              <w:rPr>
                <w:sz w:val="20"/>
                <w:szCs w:val="20"/>
                <w:color w:val="auto"/>
              </w:rPr>
            </w:pPr>
            <w:r>
              <w:rPr>
                <w:rFonts w:ascii="Arial" w:cs="Arial" w:eastAsia="Arial" w:hAnsi="Arial"/>
                <w:sz w:val="15"/>
                <w:szCs w:val="15"/>
                <w:color w:val="auto"/>
              </w:rPr>
              <w:t>Donald E. Felsinger</w:t>
            </w:r>
          </w:p>
        </w:tc>
        <w:tc>
          <w:tcPr>
            <w:tcW w:w="820" w:type="dxa"/>
            <w:vAlign w:val="bottom"/>
          </w:tcPr>
          <w:p>
            <w:pPr>
              <w:ind w:left="200"/>
              <w:spacing w:after="0"/>
              <w:rPr>
                <w:sz w:val="20"/>
                <w:szCs w:val="20"/>
                <w:color w:val="auto"/>
              </w:rPr>
            </w:pPr>
            <w:r>
              <w:rPr>
                <w:rFonts w:ascii="Arial" w:cs="Arial" w:eastAsia="Arial" w:hAnsi="Arial"/>
                <w:sz w:val="15"/>
                <w:szCs w:val="15"/>
                <w:color w:val="auto"/>
              </w:rPr>
              <w:t>71</w:t>
            </w:r>
          </w:p>
        </w:tc>
        <w:tc>
          <w:tcPr>
            <w:tcW w:w="780" w:type="dxa"/>
            <w:vAlign w:val="bottom"/>
          </w:tcPr>
          <w:p>
            <w:pPr>
              <w:ind w:left="80"/>
              <w:spacing w:after="0"/>
              <w:rPr>
                <w:sz w:val="20"/>
                <w:szCs w:val="20"/>
                <w:color w:val="auto"/>
              </w:rPr>
            </w:pPr>
            <w:r>
              <w:rPr>
                <w:rFonts w:ascii="Arial" w:cs="Arial" w:eastAsia="Arial" w:hAnsi="Arial"/>
                <w:sz w:val="15"/>
                <w:szCs w:val="15"/>
                <w:color w:val="auto"/>
              </w:rPr>
              <w:t>02/2007</w:t>
            </w:r>
          </w:p>
        </w:tc>
        <w:tc>
          <w:tcPr>
            <w:tcW w:w="3820" w:type="dxa"/>
            <w:vAlign w:val="bottom"/>
          </w:tcPr>
          <w:p>
            <w:pPr>
              <w:ind w:left="100"/>
              <w:spacing w:after="0"/>
              <w:rPr>
                <w:sz w:val="20"/>
                <w:szCs w:val="20"/>
                <w:color w:val="auto"/>
              </w:rPr>
            </w:pPr>
            <w:r>
              <w:rPr>
                <w:rFonts w:ascii="Arial" w:cs="Arial" w:eastAsia="Arial" w:hAnsi="Arial"/>
                <w:sz w:val="15"/>
                <w:szCs w:val="15"/>
                <w:color w:val="auto"/>
              </w:rPr>
              <w:t>Lead Independent Director, Northrop Grumman</w:t>
            </w:r>
          </w:p>
        </w:tc>
        <w:tc>
          <w:tcPr>
            <w:tcW w:w="6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3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95"/>
              </w:rPr>
              <w:t>2</w:t>
            </w:r>
          </w:p>
        </w:tc>
        <w:tc>
          <w:tcPr>
            <w:tcW w:w="0" w:type="dxa"/>
            <w:vAlign w:val="bottom"/>
          </w:tcPr>
          <w:p>
            <w:pPr>
              <w:spacing w:after="0"/>
              <w:rPr>
                <w:sz w:val="1"/>
                <w:szCs w:val="1"/>
                <w:color w:val="auto"/>
              </w:rPr>
            </w:pPr>
          </w:p>
        </w:tc>
      </w:tr>
      <w:tr>
        <w:trPr>
          <w:trHeight w:val="179"/>
        </w:trPr>
        <w:tc>
          <w:tcPr>
            <w:tcW w:w="1740" w:type="dxa"/>
            <w:vAlign w:val="bottom"/>
            <w:tcBorders>
              <w:left w:val="single" w:sz="8" w:color="auto"/>
            </w:tcBorders>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820" w:type="dxa"/>
            <w:vAlign w:val="bottom"/>
          </w:tcPr>
          <w:p>
            <w:pPr>
              <w:ind w:left="100"/>
              <w:spacing w:after="0"/>
              <w:rPr>
                <w:sz w:val="20"/>
                <w:szCs w:val="20"/>
                <w:color w:val="auto"/>
              </w:rPr>
            </w:pPr>
            <w:r>
              <w:rPr>
                <w:rFonts w:ascii="Arial" w:cs="Arial" w:eastAsia="Arial" w:hAnsi="Arial"/>
                <w:sz w:val="15"/>
                <w:szCs w:val="15"/>
                <w:color w:val="auto"/>
              </w:rPr>
              <w:t>Corporation; Former Chairman and CEO, Sempra</w:t>
            </w:r>
          </w:p>
        </w:tc>
        <w:tc>
          <w:tcPr>
            <w:tcW w:w="6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1740" w:type="dxa"/>
            <w:vAlign w:val="bottom"/>
            <w:tcBorders>
              <w:left w:val="single" w:sz="8" w:color="auto"/>
            </w:tcBorders>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820" w:type="dxa"/>
            <w:vAlign w:val="bottom"/>
          </w:tcPr>
          <w:p>
            <w:pPr>
              <w:ind w:left="100"/>
              <w:spacing w:after="0"/>
              <w:rPr>
                <w:sz w:val="20"/>
                <w:szCs w:val="20"/>
                <w:color w:val="auto"/>
              </w:rPr>
            </w:pPr>
            <w:r>
              <w:rPr>
                <w:rFonts w:ascii="Arial" w:cs="Arial" w:eastAsia="Arial" w:hAnsi="Arial"/>
                <w:sz w:val="15"/>
                <w:szCs w:val="15"/>
                <w:color w:val="auto"/>
              </w:rPr>
              <w:t>Energy</w:t>
            </w:r>
          </w:p>
        </w:tc>
        <w:tc>
          <w:tcPr>
            <w:tcW w:w="6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3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740" w:type="dxa"/>
            <w:vAlign w:val="bottom"/>
            <w:tcBorders>
              <w:left w:val="single" w:sz="8" w:color="auto"/>
            </w:tcBorders>
            <w:shd w:val="clear" w:color="auto" w:fill="D1DDE6"/>
          </w:tcPr>
          <w:p>
            <w:pPr>
              <w:ind w:left="20"/>
              <w:spacing w:after="0"/>
              <w:rPr>
                <w:sz w:val="20"/>
                <w:szCs w:val="20"/>
                <w:color w:val="auto"/>
              </w:rPr>
            </w:pPr>
            <w:r>
              <w:rPr>
                <w:rFonts w:ascii="Arial" w:cs="Arial" w:eastAsia="Arial" w:hAnsi="Arial"/>
                <w:sz w:val="15"/>
                <w:szCs w:val="15"/>
                <w:color w:val="auto"/>
              </w:rPr>
              <w:t>Ann M. Fudge</w:t>
            </w:r>
          </w:p>
        </w:tc>
        <w:tc>
          <w:tcPr>
            <w:tcW w:w="820" w:type="dxa"/>
            <w:vAlign w:val="bottom"/>
            <w:shd w:val="clear" w:color="auto" w:fill="D1DDE6"/>
          </w:tcPr>
          <w:p>
            <w:pPr>
              <w:ind w:left="200"/>
              <w:spacing w:after="0"/>
              <w:rPr>
                <w:sz w:val="20"/>
                <w:szCs w:val="20"/>
                <w:color w:val="auto"/>
              </w:rPr>
            </w:pPr>
            <w:r>
              <w:rPr>
                <w:rFonts w:ascii="Arial" w:cs="Arial" w:eastAsia="Arial" w:hAnsi="Arial"/>
                <w:sz w:val="15"/>
                <w:szCs w:val="15"/>
                <w:color w:val="auto"/>
              </w:rPr>
              <w:t>67</w:t>
            </w:r>
          </w:p>
        </w:tc>
        <w:tc>
          <w:tcPr>
            <w:tcW w:w="780" w:type="dxa"/>
            <w:vAlign w:val="bottom"/>
            <w:shd w:val="clear" w:color="auto" w:fill="D1DDE6"/>
          </w:tcPr>
          <w:p>
            <w:pPr>
              <w:ind w:left="80"/>
              <w:spacing w:after="0"/>
              <w:rPr>
                <w:sz w:val="20"/>
                <w:szCs w:val="20"/>
                <w:color w:val="auto"/>
              </w:rPr>
            </w:pPr>
            <w:r>
              <w:rPr>
                <w:rFonts w:ascii="Arial" w:cs="Arial" w:eastAsia="Arial" w:hAnsi="Arial"/>
                <w:sz w:val="15"/>
                <w:szCs w:val="15"/>
                <w:color w:val="auto"/>
              </w:rPr>
              <w:t>03/2016</w:t>
            </w:r>
          </w:p>
        </w:tc>
        <w:tc>
          <w:tcPr>
            <w:tcW w:w="3820" w:type="dxa"/>
            <w:vAlign w:val="bottom"/>
            <w:shd w:val="clear" w:color="auto" w:fill="D1DDE6"/>
          </w:tcPr>
          <w:p>
            <w:pPr>
              <w:ind w:left="100"/>
              <w:spacing w:after="0"/>
              <w:rPr>
                <w:sz w:val="20"/>
                <w:szCs w:val="20"/>
                <w:color w:val="auto"/>
              </w:rPr>
            </w:pPr>
            <w:r>
              <w:rPr>
                <w:rFonts w:ascii="Arial" w:cs="Arial" w:eastAsia="Arial" w:hAnsi="Arial"/>
                <w:sz w:val="15"/>
                <w:szCs w:val="15"/>
                <w:color w:val="auto"/>
              </w:rPr>
              <w:t>Former Chairman and Chief Executive Officer, Young</w:t>
            </w:r>
          </w:p>
        </w:tc>
        <w:tc>
          <w:tcPr>
            <w:tcW w:w="600" w:type="dxa"/>
            <w:vAlign w:val="bottom"/>
            <w:shd w:val="clear" w:color="auto" w:fill="D1DDE6"/>
          </w:tcPr>
          <w:p>
            <w:pPr>
              <w:spacing w:after="0"/>
              <w:rPr>
                <w:sz w:val="18"/>
                <w:szCs w:val="18"/>
                <w:color w:val="auto"/>
              </w:rPr>
            </w:pPr>
          </w:p>
        </w:tc>
        <w:tc>
          <w:tcPr>
            <w:tcW w:w="780" w:type="dxa"/>
            <w:vAlign w:val="bottom"/>
            <w:shd w:val="clear" w:color="auto" w:fill="D1DDE6"/>
          </w:tcPr>
          <w:p>
            <w:pPr>
              <w:spacing w:after="0"/>
              <w:rPr>
                <w:sz w:val="18"/>
                <w:szCs w:val="18"/>
                <w:color w:val="auto"/>
              </w:rPr>
            </w:pPr>
          </w:p>
        </w:tc>
        <w:tc>
          <w:tcPr>
            <w:tcW w:w="660" w:type="dxa"/>
            <w:vAlign w:val="bottom"/>
            <w:shd w:val="clear" w:color="auto" w:fill="D1DDE6"/>
          </w:tcPr>
          <w:p>
            <w:pPr>
              <w:spacing w:after="0"/>
              <w:rPr>
                <w:sz w:val="18"/>
                <w:szCs w:val="18"/>
                <w:color w:val="auto"/>
              </w:rPr>
            </w:pPr>
          </w:p>
        </w:tc>
        <w:tc>
          <w:tcPr>
            <w:tcW w:w="840" w:type="dxa"/>
            <w:vAlign w:val="bottom"/>
            <w:shd w:val="clear" w:color="auto" w:fill="D1DDE6"/>
          </w:tcPr>
          <w:p>
            <w:pPr>
              <w:spacing w:after="0"/>
              <w:rPr>
                <w:sz w:val="18"/>
                <w:szCs w:val="18"/>
                <w:color w:val="auto"/>
              </w:rPr>
            </w:pPr>
          </w:p>
        </w:tc>
        <w:tc>
          <w:tcPr>
            <w:tcW w:w="1300" w:type="dxa"/>
            <w:vAlign w:val="bottom"/>
            <w:tcBorders>
              <w:right w:val="single" w:sz="8" w:color="auto"/>
            </w:tcBorders>
            <w:shd w:val="clear" w:color="auto" w:fill="D1DDE6"/>
          </w:tcPr>
          <w:p>
            <w:pPr>
              <w:jc w:val="center"/>
              <w:spacing w:after="0"/>
              <w:rPr>
                <w:sz w:val="20"/>
                <w:szCs w:val="20"/>
                <w:color w:val="auto"/>
              </w:rPr>
            </w:pPr>
            <w:r>
              <w:rPr>
                <w:rFonts w:ascii="Arial" w:cs="Arial" w:eastAsia="Arial" w:hAnsi="Arial"/>
                <w:sz w:val="15"/>
                <w:szCs w:val="15"/>
                <w:color w:val="auto"/>
                <w:w w:val="95"/>
              </w:rPr>
              <w:t>1</w:t>
            </w:r>
          </w:p>
        </w:tc>
        <w:tc>
          <w:tcPr>
            <w:tcW w:w="0" w:type="dxa"/>
            <w:vAlign w:val="bottom"/>
          </w:tcPr>
          <w:p>
            <w:pPr>
              <w:spacing w:after="0"/>
              <w:rPr>
                <w:sz w:val="1"/>
                <w:szCs w:val="1"/>
                <w:color w:val="auto"/>
              </w:rPr>
            </w:pPr>
          </w:p>
        </w:tc>
      </w:tr>
      <w:tr>
        <w:trPr>
          <w:trHeight w:val="203"/>
        </w:trPr>
        <w:tc>
          <w:tcPr>
            <w:tcW w:w="1740" w:type="dxa"/>
            <w:vAlign w:val="bottom"/>
            <w:tcBorders>
              <w:left w:val="single" w:sz="8" w:color="auto"/>
            </w:tcBorders>
            <w:shd w:val="clear" w:color="auto" w:fill="D1DDE6"/>
          </w:tcPr>
          <w:p>
            <w:pPr>
              <w:spacing w:after="0"/>
              <w:rPr>
                <w:sz w:val="17"/>
                <w:szCs w:val="17"/>
                <w:color w:val="auto"/>
              </w:rPr>
            </w:pPr>
          </w:p>
        </w:tc>
        <w:tc>
          <w:tcPr>
            <w:tcW w:w="820" w:type="dxa"/>
            <w:vAlign w:val="bottom"/>
            <w:shd w:val="clear" w:color="auto" w:fill="D1DDE6"/>
          </w:tcPr>
          <w:p>
            <w:pPr>
              <w:spacing w:after="0"/>
              <w:rPr>
                <w:sz w:val="17"/>
                <w:szCs w:val="17"/>
                <w:color w:val="auto"/>
              </w:rPr>
            </w:pPr>
          </w:p>
        </w:tc>
        <w:tc>
          <w:tcPr>
            <w:tcW w:w="780" w:type="dxa"/>
            <w:vAlign w:val="bottom"/>
            <w:shd w:val="clear" w:color="auto" w:fill="D1DDE6"/>
          </w:tcPr>
          <w:p>
            <w:pPr>
              <w:spacing w:after="0"/>
              <w:rPr>
                <w:sz w:val="17"/>
                <w:szCs w:val="17"/>
                <w:color w:val="auto"/>
              </w:rPr>
            </w:pPr>
          </w:p>
        </w:tc>
        <w:tc>
          <w:tcPr>
            <w:tcW w:w="3820" w:type="dxa"/>
            <w:vAlign w:val="bottom"/>
            <w:shd w:val="clear" w:color="auto" w:fill="D1DDE6"/>
          </w:tcPr>
          <w:p>
            <w:pPr>
              <w:ind w:left="100"/>
              <w:spacing w:after="0"/>
              <w:rPr>
                <w:sz w:val="20"/>
                <w:szCs w:val="20"/>
                <w:color w:val="auto"/>
              </w:rPr>
            </w:pPr>
            <w:r>
              <w:rPr>
                <w:rFonts w:ascii="Arial" w:cs="Arial" w:eastAsia="Arial" w:hAnsi="Arial"/>
                <w:sz w:val="15"/>
                <w:szCs w:val="15"/>
                <w:color w:val="auto"/>
              </w:rPr>
              <w:t>&amp; Rubicam Brands</w:t>
            </w:r>
          </w:p>
        </w:tc>
        <w:tc>
          <w:tcPr>
            <w:tcW w:w="600" w:type="dxa"/>
            <w:vAlign w:val="bottom"/>
            <w:shd w:val="clear" w:color="auto" w:fill="D1DDE6"/>
          </w:tcPr>
          <w:p>
            <w:pPr>
              <w:spacing w:after="0"/>
              <w:rPr>
                <w:sz w:val="17"/>
                <w:szCs w:val="17"/>
                <w:color w:val="auto"/>
              </w:rPr>
            </w:pPr>
          </w:p>
        </w:tc>
        <w:tc>
          <w:tcPr>
            <w:tcW w:w="780" w:type="dxa"/>
            <w:vAlign w:val="bottom"/>
            <w:shd w:val="clear" w:color="auto" w:fill="D1DDE6"/>
          </w:tcPr>
          <w:p>
            <w:pPr>
              <w:spacing w:after="0"/>
              <w:rPr>
                <w:sz w:val="17"/>
                <w:szCs w:val="17"/>
                <w:color w:val="auto"/>
              </w:rPr>
            </w:pPr>
          </w:p>
        </w:tc>
        <w:tc>
          <w:tcPr>
            <w:tcW w:w="660" w:type="dxa"/>
            <w:vAlign w:val="bottom"/>
            <w:shd w:val="clear" w:color="auto" w:fill="D1DDE6"/>
          </w:tcPr>
          <w:p>
            <w:pPr>
              <w:spacing w:after="0"/>
              <w:rPr>
                <w:sz w:val="17"/>
                <w:szCs w:val="17"/>
                <w:color w:val="auto"/>
              </w:rPr>
            </w:pPr>
          </w:p>
        </w:tc>
        <w:tc>
          <w:tcPr>
            <w:tcW w:w="840" w:type="dxa"/>
            <w:vAlign w:val="bottom"/>
            <w:shd w:val="clear" w:color="auto" w:fill="D1DDE6"/>
          </w:tcPr>
          <w:p>
            <w:pPr>
              <w:spacing w:after="0"/>
              <w:rPr>
                <w:sz w:val="17"/>
                <w:szCs w:val="17"/>
                <w:color w:val="auto"/>
              </w:rPr>
            </w:pPr>
          </w:p>
        </w:tc>
        <w:tc>
          <w:tcPr>
            <w:tcW w:w="1300" w:type="dxa"/>
            <w:vAlign w:val="bottom"/>
            <w:tcBorders>
              <w:right w:val="single" w:sz="8" w:color="auto"/>
            </w:tcBorders>
            <w:shd w:val="clear" w:color="auto" w:fill="D1DDE6"/>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1740" w:type="dxa"/>
            <w:vAlign w:val="bottom"/>
            <w:tcBorders>
              <w:left w:val="single" w:sz="8" w:color="auto"/>
            </w:tcBorders>
          </w:tcPr>
          <w:p>
            <w:pPr>
              <w:ind w:left="20"/>
              <w:spacing w:after="0"/>
              <w:rPr>
                <w:sz w:val="20"/>
                <w:szCs w:val="20"/>
                <w:color w:val="auto"/>
              </w:rPr>
            </w:pPr>
            <w:r>
              <w:rPr>
                <w:rFonts w:ascii="Arial" w:cs="Arial" w:eastAsia="Arial" w:hAnsi="Arial"/>
                <w:sz w:val="15"/>
                <w:szCs w:val="15"/>
                <w:color w:val="auto"/>
              </w:rPr>
              <w:t>Bruce S. Gordon</w:t>
            </w:r>
          </w:p>
        </w:tc>
        <w:tc>
          <w:tcPr>
            <w:tcW w:w="820" w:type="dxa"/>
            <w:vAlign w:val="bottom"/>
          </w:tcPr>
          <w:p>
            <w:pPr>
              <w:ind w:left="200"/>
              <w:spacing w:after="0"/>
              <w:rPr>
                <w:sz w:val="20"/>
                <w:szCs w:val="20"/>
                <w:color w:val="auto"/>
              </w:rPr>
            </w:pPr>
            <w:r>
              <w:rPr>
                <w:rFonts w:ascii="Arial" w:cs="Arial" w:eastAsia="Arial" w:hAnsi="Arial"/>
                <w:sz w:val="15"/>
                <w:szCs w:val="15"/>
                <w:color w:val="auto"/>
              </w:rPr>
              <w:t>73</w:t>
            </w:r>
          </w:p>
        </w:tc>
        <w:tc>
          <w:tcPr>
            <w:tcW w:w="780" w:type="dxa"/>
            <w:vAlign w:val="bottom"/>
          </w:tcPr>
          <w:p>
            <w:pPr>
              <w:ind w:left="80"/>
              <w:spacing w:after="0"/>
              <w:rPr>
                <w:sz w:val="20"/>
                <w:szCs w:val="20"/>
                <w:color w:val="auto"/>
              </w:rPr>
            </w:pPr>
            <w:r>
              <w:rPr>
                <w:rFonts w:ascii="Arial" w:cs="Arial" w:eastAsia="Arial" w:hAnsi="Arial"/>
                <w:sz w:val="15"/>
                <w:szCs w:val="15"/>
                <w:color w:val="auto"/>
              </w:rPr>
              <w:t>10/2008</w:t>
            </w:r>
          </w:p>
        </w:tc>
        <w:tc>
          <w:tcPr>
            <w:tcW w:w="3820" w:type="dxa"/>
            <w:vAlign w:val="bottom"/>
          </w:tcPr>
          <w:p>
            <w:pPr>
              <w:ind w:left="100"/>
              <w:spacing w:after="0"/>
              <w:rPr>
                <w:sz w:val="20"/>
                <w:szCs w:val="20"/>
                <w:color w:val="auto"/>
              </w:rPr>
            </w:pPr>
            <w:r>
              <w:rPr>
                <w:rFonts w:ascii="Arial" w:cs="Arial" w:eastAsia="Arial" w:hAnsi="Arial"/>
                <w:sz w:val="15"/>
                <w:szCs w:val="15"/>
                <w:color w:val="auto"/>
              </w:rPr>
              <w:t>Former President, Retail Markets Group, Verizon</w:t>
            </w:r>
          </w:p>
        </w:tc>
        <w:tc>
          <w:tcPr>
            <w:tcW w:w="6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3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9"/>
        </w:trPr>
        <w:tc>
          <w:tcPr>
            <w:tcW w:w="1740" w:type="dxa"/>
            <w:vAlign w:val="bottom"/>
            <w:tcBorders>
              <w:left w:val="single" w:sz="8" w:color="auto"/>
            </w:tcBorders>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820" w:type="dxa"/>
            <w:vAlign w:val="bottom"/>
          </w:tcPr>
          <w:p>
            <w:pPr>
              <w:ind w:left="100"/>
              <w:spacing w:after="0"/>
              <w:rPr>
                <w:sz w:val="20"/>
                <w:szCs w:val="20"/>
                <w:color w:val="auto"/>
              </w:rPr>
            </w:pPr>
            <w:r>
              <w:rPr>
                <w:rFonts w:ascii="Arial" w:cs="Arial" w:eastAsia="Arial" w:hAnsi="Arial"/>
                <w:sz w:val="15"/>
                <w:szCs w:val="15"/>
                <w:color w:val="auto"/>
              </w:rPr>
              <w:t>Communications Inc.; Former President and CEO,</w:t>
            </w:r>
          </w:p>
        </w:tc>
        <w:tc>
          <w:tcPr>
            <w:tcW w:w="6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1740" w:type="dxa"/>
            <w:vAlign w:val="bottom"/>
            <w:tcBorders>
              <w:left w:val="single" w:sz="8" w:color="auto"/>
            </w:tcBorders>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820" w:type="dxa"/>
            <w:vAlign w:val="bottom"/>
          </w:tcPr>
          <w:p>
            <w:pPr>
              <w:ind w:left="100"/>
              <w:spacing w:after="0"/>
              <w:rPr>
                <w:sz w:val="20"/>
                <w:szCs w:val="20"/>
                <w:color w:val="auto"/>
              </w:rPr>
            </w:pPr>
            <w:r>
              <w:rPr>
                <w:rFonts w:ascii="Arial" w:cs="Arial" w:eastAsia="Arial" w:hAnsi="Arial"/>
                <w:sz w:val="15"/>
                <w:szCs w:val="15"/>
                <w:color w:val="auto"/>
              </w:rPr>
              <w:t>NAACP</w:t>
            </w:r>
          </w:p>
        </w:tc>
        <w:tc>
          <w:tcPr>
            <w:tcW w:w="6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3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740" w:type="dxa"/>
            <w:vAlign w:val="bottom"/>
            <w:tcBorders>
              <w:left w:val="single" w:sz="8" w:color="auto"/>
            </w:tcBorders>
            <w:shd w:val="clear" w:color="auto" w:fill="D1DDE6"/>
          </w:tcPr>
          <w:p>
            <w:pPr>
              <w:ind w:left="20"/>
              <w:spacing w:after="0"/>
              <w:rPr>
                <w:sz w:val="20"/>
                <w:szCs w:val="20"/>
                <w:color w:val="auto"/>
              </w:rPr>
            </w:pPr>
            <w:r>
              <w:rPr>
                <w:rFonts w:ascii="Arial" w:cs="Arial" w:eastAsia="Arial" w:hAnsi="Arial"/>
                <w:sz w:val="15"/>
                <w:szCs w:val="15"/>
                <w:color w:val="auto"/>
              </w:rPr>
              <w:t>William H. Hernandez</w:t>
            </w:r>
          </w:p>
        </w:tc>
        <w:tc>
          <w:tcPr>
            <w:tcW w:w="820" w:type="dxa"/>
            <w:vAlign w:val="bottom"/>
            <w:shd w:val="clear" w:color="auto" w:fill="D1DDE6"/>
          </w:tcPr>
          <w:p>
            <w:pPr>
              <w:ind w:left="200"/>
              <w:spacing w:after="0"/>
              <w:rPr>
                <w:sz w:val="20"/>
                <w:szCs w:val="20"/>
                <w:color w:val="auto"/>
              </w:rPr>
            </w:pPr>
            <w:r>
              <w:rPr>
                <w:rFonts w:ascii="Arial" w:cs="Arial" w:eastAsia="Arial" w:hAnsi="Arial"/>
                <w:sz w:val="15"/>
                <w:szCs w:val="15"/>
                <w:color w:val="auto"/>
              </w:rPr>
              <w:t>70</w:t>
            </w:r>
          </w:p>
        </w:tc>
        <w:tc>
          <w:tcPr>
            <w:tcW w:w="780" w:type="dxa"/>
            <w:vAlign w:val="bottom"/>
            <w:shd w:val="clear" w:color="auto" w:fill="D1DDE6"/>
          </w:tcPr>
          <w:p>
            <w:pPr>
              <w:ind w:left="80"/>
              <w:spacing w:after="0"/>
              <w:rPr>
                <w:sz w:val="20"/>
                <w:szCs w:val="20"/>
                <w:color w:val="auto"/>
              </w:rPr>
            </w:pPr>
            <w:r>
              <w:rPr>
                <w:rFonts w:ascii="Arial" w:cs="Arial" w:eastAsia="Arial" w:hAnsi="Arial"/>
                <w:sz w:val="15"/>
                <w:szCs w:val="15"/>
                <w:color w:val="auto"/>
              </w:rPr>
              <w:t>09/2013</w:t>
            </w:r>
          </w:p>
        </w:tc>
        <w:tc>
          <w:tcPr>
            <w:tcW w:w="3820" w:type="dxa"/>
            <w:vAlign w:val="bottom"/>
            <w:shd w:val="clear" w:color="auto" w:fill="D1DDE6"/>
          </w:tcPr>
          <w:p>
            <w:pPr>
              <w:ind w:left="100"/>
              <w:spacing w:after="0"/>
              <w:rPr>
                <w:sz w:val="20"/>
                <w:szCs w:val="20"/>
                <w:color w:val="auto"/>
              </w:rPr>
            </w:pPr>
            <w:r>
              <w:rPr>
                <w:rFonts w:ascii="Arial" w:cs="Arial" w:eastAsia="Arial" w:hAnsi="Arial"/>
                <w:sz w:val="15"/>
                <w:szCs w:val="15"/>
                <w:color w:val="auto"/>
              </w:rPr>
              <w:t>Former Senior Vice President and CFO, PPG</w:t>
            </w:r>
          </w:p>
        </w:tc>
        <w:tc>
          <w:tcPr>
            <w:tcW w:w="600" w:type="dxa"/>
            <w:vAlign w:val="bottom"/>
            <w:shd w:val="clear" w:color="auto" w:fill="D1DDE6"/>
          </w:tcPr>
          <w:p>
            <w:pPr>
              <w:spacing w:after="0"/>
              <w:rPr>
                <w:sz w:val="18"/>
                <w:szCs w:val="18"/>
                <w:color w:val="auto"/>
              </w:rPr>
            </w:pPr>
          </w:p>
        </w:tc>
        <w:tc>
          <w:tcPr>
            <w:tcW w:w="780" w:type="dxa"/>
            <w:vAlign w:val="bottom"/>
            <w:shd w:val="clear" w:color="auto" w:fill="D1DDE6"/>
          </w:tcPr>
          <w:p>
            <w:pPr>
              <w:spacing w:after="0"/>
              <w:rPr>
                <w:sz w:val="18"/>
                <w:szCs w:val="18"/>
                <w:color w:val="auto"/>
              </w:rPr>
            </w:pPr>
          </w:p>
        </w:tc>
        <w:tc>
          <w:tcPr>
            <w:tcW w:w="660" w:type="dxa"/>
            <w:vAlign w:val="bottom"/>
            <w:shd w:val="clear" w:color="auto" w:fill="D1DDE6"/>
          </w:tcPr>
          <w:p>
            <w:pPr>
              <w:spacing w:after="0"/>
              <w:rPr>
                <w:sz w:val="18"/>
                <w:szCs w:val="18"/>
                <w:color w:val="auto"/>
              </w:rPr>
            </w:pPr>
          </w:p>
        </w:tc>
        <w:tc>
          <w:tcPr>
            <w:tcW w:w="840" w:type="dxa"/>
            <w:vAlign w:val="bottom"/>
            <w:shd w:val="clear" w:color="auto" w:fill="D1DDE6"/>
          </w:tcPr>
          <w:p>
            <w:pPr>
              <w:spacing w:after="0"/>
              <w:rPr>
                <w:sz w:val="18"/>
                <w:szCs w:val="18"/>
                <w:color w:val="auto"/>
              </w:rPr>
            </w:pPr>
          </w:p>
        </w:tc>
        <w:tc>
          <w:tcPr>
            <w:tcW w:w="1300" w:type="dxa"/>
            <w:vAlign w:val="bottom"/>
            <w:tcBorders>
              <w:right w:val="single" w:sz="8" w:color="auto"/>
            </w:tcBorders>
            <w:shd w:val="clear" w:color="auto" w:fill="D1DDE6"/>
          </w:tcPr>
          <w:p>
            <w:pPr>
              <w:jc w:val="center"/>
              <w:spacing w:after="0"/>
              <w:rPr>
                <w:sz w:val="20"/>
                <w:szCs w:val="20"/>
                <w:color w:val="auto"/>
              </w:rPr>
            </w:pPr>
            <w:r>
              <w:rPr>
                <w:rFonts w:ascii="Arial" w:cs="Arial" w:eastAsia="Arial" w:hAnsi="Arial"/>
                <w:sz w:val="15"/>
                <w:szCs w:val="15"/>
                <w:color w:val="auto"/>
                <w:w w:val="95"/>
              </w:rPr>
              <w:t>2</w:t>
            </w:r>
          </w:p>
        </w:tc>
        <w:tc>
          <w:tcPr>
            <w:tcW w:w="0" w:type="dxa"/>
            <w:vAlign w:val="bottom"/>
          </w:tcPr>
          <w:p>
            <w:pPr>
              <w:spacing w:after="0"/>
              <w:rPr>
                <w:sz w:val="1"/>
                <w:szCs w:val="1"/>
                <w:color w:val="auto"/>
              </w:rPr>
            </w:pPr>
          </w:p>
        </w:tc>
      </w:tr>
      <w:tr>
        <w:trPr>
          <w:trHeight w:val="203"/>
        </w:trPr>
        <w:tc>
          <w:tcPr>
            <w:tcW w:w="1740" w:type="dxa"/>
            <w:vAlign w:val="bottom"/>
            <w:tcBorders>
              <w:left w:val="single" w:sz="8" w:color="auto"/>
            </w:tcBorders>
            <w:shd w:val="clear" w:color="auto" w:fill="D1DDE6"/>
          </w:tcPr>
          <w:p>
            <w:pPr>
              <w:spacing w:after="0"/>
              <w:rPr>
                <w:sz w:val="17"/>
                <w:szCs w:val="17"/>
                <w:color w:val="auto"/>
              </w:rPr>
            </w:pPr>
          </w:p>
        </w:tc>
        <w:tc>
          <w:tcPr>
            <w:tcW w:w="820" w:type="dxa"/>
            <w:vAlign w:val="bottom"/>
            <w:shd w:val="clear" w:color="auto" w:fill="D1DDE6"/>
          </w:tcPr>
          <w:p>
            <w:pPr>
              <w:spacing w:after="0"/>
              <w:rPr>
                <w:sz w:val="17"/>
                <w:szCs w:val="17"/>
                <w:color w:val="auto"/>
              </w:rPr>
            </w:pPr>
          </w:p>
        </w:tc>
        <w:tc>
          <w:tcPr>
            <w:tcW w:w="780" w:type="dxa"/>
            <w:vAlign w:val="bottom"/>
            <w:shd w:val="clear" w:color="auto" w:fill="D1DDE6"/>
          </w:tcPr>
          <w:p>
            <w:pPr>
              <w:spacing w:after="0"/>
              <w:rPr>
                <w:sz w:val="17"/>
                <w:szCs w:val="17"/>
                <w:color w:val="auto"/>
              </w:rPr>
            </w:pPr>
          </w:p>
        </w:tc>
        <w:tc>
          <w:tcPr>
            <w:tcW w:w="3820" w:type="dxa"/>
            <w:vAlign w:val="bottom"/>
            <w:shd w:val="clear" w:color="auto" w:fill="D1DDE6"/>
          </w:tcPr>
          <w:p>
            <w:pPr>
              <w:ind w:left="100"/>
              <w:spacing w:after="0"/>
              <w:rPr>
                <w:sz w:val="20"/>
                <w:szCs w:val="20"/>
                <w:color w:val="auto"/>
              </w:rPr>
            </w:pPr>
            <w:r>
              <w:rPr>
                <w:rFonts w:ascii="Arial" w:cs="Arial" w:eastAsia="Arial" w:hAnsi="Arial"/>
                <w:sz w:val="15"/>
                <w:szCs w:val="15"/>
                <w:color w:val="auto"/>
              </w:rPr>
              <w:t>Industries, Inc.</w:t>
            </w:r>
          </w:p>
        </w:tc>
        <w:tc>
          <w:tcPr>
            <w:tcW w:w="600" w:type="dxa"/>
            <w:vAlign w:val="bottom"/>
            <w:shd w:val="clear" w:color="auto" w:fill="D1DDE6"/>
          </w:tcPr>
          <w:p>
            <w:pPr>
              <w:spacing w:after="0"/>
              <w:rPr>
                <w:sz w:val="17"/>
                <w:szCs w:val="17"/>
                <w:color w:val="auto"/>
              </w:rPr>
            </w:pPr>
          </w:p>
        </w:tc>
        <w:tc>
          <w:tcPr>
            <w:tcW w:w="780" w:type="dxa"/>
            <w:vAlign w:val="bottom"/>
            <w:shd w:val="clear" w:color="auto" w:fill="D1DDE6"/>
          </w:tcPr>
          <w:p>
            <w:pPr>
              <w:spacing w:after="0"/>
              <w:rPr>
                <w:sz w:val="17"/>
                <w:szCs w:val="17"/>
                <w:color w:val="auto"/>
              </w:rPr>
            </w:pPr>
          </w:p>
        </w:tc>
        <w:tc>
          <w:tcPr>
            <w:tcW w:w="660" w:type="dxa"/>
            <w:vAlign w:val="bottom"/>
            <w:shd w:val="clear" w:color="auto" w:fill="D1DDE6"/>
          </w:tcPr>
          <w:p>
            <w:pPr>
              <w:spacing w:after="0"/>
              <w:rPr>
                <w:sz w:val="17"/>
                <w:szCs w:val="17"/>
                <w:color w:val="auto"/>
              </w:rPr>
            </w:pPr>
          </w:p>
        </w:tc>
        <w:tc>
          <w:tcPr>
            <w:tcW w:w="840" w:type="dxa"/>
            <w:vAlign w:val="bottom"/>
            <w:shd w:val="clear" w:color="auto" w:fill="D1DDE6"/>
          </w:tcPr>
          <w:p>
            <w:pPr>
              <w:spacing w:after="0"/>
              <w:rPr>
                <w:sz w:val="17"/>
                <w:szCs w:val="17"/>
                <w:color w:val="auto"/>
              </w:rPr>
            </w:pPr>
          </w:p>
        </w:tc>
        <w:tc>
          <w:tcPr>
            <w:tcW w:w="1300" w:type="dxa"/>
            <w:vAlign w:val="bottom"/>
            <w:tcBorders>
              <w:right w:val="single" w:sz="8" w:color="auto"/>
            </w:tcBorders>
            <w:shd w:val="clear" w:color="auto" w:fill="D1DDE6"/>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1740" w:type="dxa"/>
            <w:vAlign w:val="bottom"/>
            <w:tcBorders>
              <w:left w:val="single" w:sz="8" w:color="auto"/>
            </w:tcBorders>
          </w:tcPr>
          <w:p>
            <w:pPr>
              <w:ind w:left="20"/>
              <w:spacing w:after="0"/>
              <w:rPr>
                <w:sz w:val="20"/>
                <w:szCs w:val="20"/>
                <w:color w:val="auto"/>
              </w:rPr>
            </w:pPr>
            <w:r>
              <w:rPr>
                <w:rFonts w:ascii="Arial" w:cs="Arial" w:eastAsia="Arial" w:hAnsi="Arial"/>
                <w:sz w:val="15"/>
                <w:szCs w:val="15"/>
                <w:color w:val="auto"/>
              </w:rPr>
              <w:t>Madeleine A. Kleiner</w:t>
            </w:r>
          </w:p>
        </w:tc>
        <w:tc>
          <w:tcPr>
            <w:tcW w:w="820" w:type="dxa"/>
            <w:vAlign w:val="bottom"/>
          </w:tcPr>
          <w:p>
            <w:pPr>
              <w:ind w:left="200"/>
              <w:spacing w:after="0"/>
              <w:rPr>
                <w:sz w:val="20"/>
                <w:szCs w:val="20"/>
                <w:color w:val="auto"/>
              </w:rPr>
            </w:pPr>
            <w:r>
              <w:rPr>
                <w:rFonts w:ascii="Arial" w:cs="Arial" w:eastAsia="Arial" w:hAnsi="Arial"/>
                <w:sz w:val="15"/>
                <w:szCs w:val="15"/>
                <w:color w:val="auto"/>
              </w:rPr>
              <w:t>67</w:t>
            </w:r>
          </w:p>
        </w:tc>
        <w:tc>
          <w:tcPr>
            <w:tcW w:w="780" w:type="dxa"/>
            <w:vAlign w:val="bottom"/>
          </w:tcPr>
          <w:p>
            <w:pPr>
              <w:ind w:left="80"/>
              <w:spacing w:after="0"/>
              <w:rPr>
                <w:sz w:val="20"/>
                <w:szCs w:val="20"/>
                <w:color w:val="auto"/>
              </w:rPr>
            </w:pPr>
            <w:r>
              <w:rPr>
                <w:rFonts w:ascii="Arial" w:cs="Arial" w:eastAsia="Arial" w:hAnsi="Arial"/>
                <w:sz w:val="15"/>
                <w:szCs w:val="15"/>
                <w:color w:val="auto"/>
              </w:rPr>
              <w:t>10/2008</w:t>
            </w:r>
          </w:p>
        </w:tc>
        <w:tc>
          <w:tcPr>
            <w:tcW w:w="3820" w:type="dxa"/>
            <w:vAlign w:val="bottom"/>
          </w:tcPr>
          <w:p>
            <w:pPr>
              <w:ind w:left="100"/>
              <w:spacing w:after="0"/>
              <w:rPr>
                <w:sz w:val="20"/>
                <w:szCs w:val="20"/>
                <w:color w:val="auto"/>
              </w:rPr>
            </w:pPr>
            <w:r>
              <w:rPr>
                <w:rFonts w:ascii="Arial" w:cs="Arial" w:eastAsia="Arial" w:hAnsi="Arial"/>
                <w:sz w:val="15"/>
                <w:szCs w:val="15"/>
                <w:color w:val="auto"/>
              </w:rPr>
              <w:t>Former Executive Vice President and General</w:t>
            </w:r>
          </w:p>
        </w:tc>
        <w:tc>
          <w:tcPr>
            <w:tcW w:w="6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3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95"/>
              </w:rPr>
              <w:t>1</w:t>
            </w:r>
          </w:p>
        </w:tc>
        <w:tc>
          <w:tcPr>
            <w:tcW w:w="0" w:type="dxa"/>
            <w:vAlign w:val="bottom"/>
          </w:tcPr>
          <w:p>
            <w:pPr>
              <w:spacing w:after="0"/>
              <w:rPr>
                <w:sz w:val="1"/>
                <w:szCs w:val="1"/>
                <w:color w:val="auto"/>
              </w:rPr>
            </w:pPr>
          </w:p>
        </w:tc>
      </w:tr>
      <w:tr>
        <w:trPr>
          <w:trHeight w:val="194"/>
        </w:trPr>
        <w:tc>
          <w:tcPr>
            <w:tcW w:w="1740" w:type="dxa"/>
            <w:vAlign w:val="bottom"/>
            <w:tcBorders>
              <w:left w:val="single" w:sz="8" w:color="auto"/>
            </w:tcBorders>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820" w:type="dxa"/>
            <w:vAlign w:val="bottom"/>
          </w:tcPr>
          <w:p>
            <w:pPr>
              <w:ind w:left="100"/>
              <w:spacing w:after="0"/>
              <w:rPr>
                <w:sz w:val="20"/>
                <w:szCs w:val="20"/>
                <w:color w:val="auto"/>
              </w:rPr>
            </w:pPr>
            <w:r>
              <w:rPr>
                <w:rFonts w:ascii="Arial" w:cs="Arial" w:eastAsia="Arial" w:hAnsi="Arial"/>
                <w:sz w:val="15"/>
                <w:szCs w:val="15"/>
                <w:color w:val="auto"/>
              </w:rPr>
              <w:t>Counsel, Hilton Hotels Corporation</w:t>
            </w:r>
          </w:p>
        </w:tc>
        <w:tc>
          <w:tcPr>
            <w:tcW w:w="6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3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740" w:type="dxa"/>
            <w:vAlign w:val="bottom"/>
            <w:tcBorders>
              <w:left w:val="single" w:sz="8" w:color="auto"/>
            </w:tcBorders>
            <w:shd w:val="clear" w:color="auto" w:fill="D1DDE6"/>
          </w:tcPr>
          <w:p>
            <w:pPr>
              <w:ind w:left="20"/>
              <w:spacing w:after="0"/>
              <w:rPr>
                <w:sz w:val="20"/>
                <w:szCs w:val="20"/>
                <w:color w:val="auto"/>
              </w:rPr>
            </w:pPr>
            <w:r>
              <w:rPr>
                <w:rFonts w:ascii="Arial" w:cs="Arial" w:eastAsia="Arial" w:hAnsi="Arial"/>
                <w:sz w:val="15"/>
                <w:szCs w:val="15"/>
                <w:color w:val="auto"/>
              </w:rPr>
              <w:t>Karl J. Krapek</w:t>
            </w:r>
          </w:p>
        </w:tc>
        <w:tc>
          <w:tcPr>
            <w:tcW w:w="820" w:type="dxa"/>
            <w:vAlign w:val="bottom"/>
            <w:shd w:val="clear" w:color="auto" w:fill="D1DDE6"/>
          </w:tcPr>
          <w:p>
            <w:pPr>
              <w:ind w:left="200"/>
              <w:spacing w:after="0"/>
              <w:rPr>
                <w:sz w:val="20"/>
                <w:szCs w:val="20"/>
                <w:color w:val="auto"/>
              </w:rPr>
            </w:pPr>
            <w:r>
              <w:rPr>
                <w:rFonts w:ascii="Arial" w:cs="Arial" w:eastAsia="Arial" w:hAnsi="Arial"/>
                <w:sz w:val="15"/>
                <w:szCs w:val="15"/>
                <w:color w:val="auto"/>
              </w:rPr>
              <w:t>70</w:t>
            </w:r>
          </w:p>
        </w:tc>
        <w:tc>
          <w:tcPr>
            <w:tcW w:w="780" w:type="dxa"/>
            <w:vAlign w:val="bottom"/>
            <w:shd w:val="clear" w:color="auto" w:fill="D1DDE6"/>
          </w:tcPr>
          <w:p>
            <w:pPr>
              <w:ind w:left="80"/>
              <w:spacing w:after="0"/>
              <w:rPr>
                <w:sz w:val="20"/>
                <w:szCs w:val="20"/>
                <w:color w:val="auto"/>
              </w:rPr>
            </w:pPr>
            <w:r>
              <w:rPr>
                <w:rFonts w:ascii="Arial" w:cs="Arial" w:eastAsia="Arial" w:hAnsi="Arial"/>
                <w:sz w:val="15"/>
                <w:szCs w:val="15"/>
                <w:color w:val="auto"/>
              </w:rPr>
              <w:t>09/2008</w:t>
            </w:r>
          </w:p>
        </w:tc>
        <w:tc>
          <w:tcPr>
            <w:tcW w:w="3820" w:type="dxa"/>
            <w:vAlign w:val="bottom"/>
            <w:shd w:val="clear" w:color="auto" w:fill="D1DDE6"/>
          </w:tcPr>
          <w:p>
            <w:pPr>
              <w:ind w:left="100"/>
              <w:spacing w:after="0"/>
              <w:rPr>
                <w:sz w:val="20"/>
                <w:szCs w:val="20"/>
                <w:color w:val="auto"/>
              </w:rPr>
            </w:pPr>
            <w:r>
              <w:rPr>
                <w:rFonts w:ascii="Arial" w:cs="Arial" w:eastAsia="Arial" w:hAnsi="Arial"/>
                <w:sz w:val="15"/>
                <w:szCs w:val="15"/>
                <w:color w:val="auto"/>
              </w:rPr>
              <w:t>Former President and COO, United Technologies</w:t>
            </w:r>
          </w:p>
        </w:tc>
        <w:tc>
          <w:tcPr>
            <w:tcW w:w="600" w:type="dxa"/>
            <w:vAlign w:val="bottom"/>
            <w:shd w:val="clear" w:color="auto" w:fill="D1DDE6"/>
          </w:tcPr>
          <w:p>
            <w:pPr>
              <w:spacing w:after="0"/>
              <w:rPr>
                <w:sz w:val="18"/>
                <w:szCs w:val="18"/>
                <w:color w:val="auto"/>
              </w:rPr>
            </w:pPr>
          </w:p>
        </w:tc>
        <w:tc>
          <w:tcPr>
            <w:tcW w:w="780" w:type="dxa"/>
            <w:vAlign w:val="bottom"/>
            <w:shd w:val="clear" w:color="auto" w:fill="D1DDE6"/>
          </w:tcPr>
          <w:p>
            <w:pPr>
              <w:spacing w:after="0"/>
              <w:rPr>
                <w:sz w:val="18"/>
                <w:szCs w:val="18"/>
                <w:color w:val="auto"/>
              </w:rPr>
            </w:pPr>
          </w:p>
        </w:tc>
        <w:tc>
          <w:tcPr>
            <w:tcW w:w="660" w:type="dxa"/>
            <w:vAlign w:val="bottom"/>
            <w:shd w:val="clear" w:color="auto" w:fill="D1DDE6"/>
          </w:tcPr>
          <w:p>
            <w:pPr>
              <w:spacing w:after="0"/>
              <w:rPr>
                <w:sz w:val="18"/>
                <w:szCs w:val="18"/>
                <w:color w:val="auto"/>
              </w:rPr>
            </w:pPr>
          </w:p>
        </w:tc>
        <w:tc>
          <w:tcPr>
            <w:tcW w:w="840" w:type="dxa"/>
            <w:vAlign w:val="bottom"/>
            <w:shd w:val="clear" w:color="auto" w:fill="D1DDE6"/>
          </w:tcPr>
          <w:p>
            <w:pPr>
              <w:spacing w:after="0"/>
              <w:rPr>
                <w:sz w:val="18"/>
                <w:szCs w:val="18"/>
                <w:color w:val="auto"/>
              </w:rPr>
            </w:pPr>
          </w:p>
        </w:tc>
        <w:tc>
          <w:tcPr>
            <w:tcW w:w="1300" w:type="dxa"/>
            <w:vAlign w:val="bottom"/>
            <w:tcBorders>
              <w:right w:val="single" w:sz="8" w:color="auto"/>
            </w:tcBorders>
            <w:shd w:val="clear" w:color="auto" w:fill="D1DDE6"/>
          </w:tcPr>
          <w:p>
            <w:pPr>
              <w:jc w:val="center"/>
              <w:spacing w:after="0"/>
              <w:rPr>
                <w:sz w:val="20"/>
                <w:szCs w:val="20"/>
                <w:color w:val="auto"/>
              </w:rPr>
            </w:pPr>
            <w:r>
              <w:rPr>
                <w:rFonts w:ascii="Arial" w:cs="Arial" w:eastAsia="Arial" w:hAnsi="Arial"/>
                <w:sz w:val="15"/>
                <w:szCs w:val="15"/>
                <w:color w:val="auto"/>
                <w:w w:val="95"/>
              </w:rPr>
              <w:t>2</w:t>
            </w:r>
          </w:p>
        </w:tc>
        <w:tc>
          <w:tcPr>
            <w:tcW w:w="0" w:type="dxa"/>
            <w:vAlign w:val="bottom"/>
          </w:tcPr>
          <w:p>
            <w:pPr>
              <w:spacing w:after="0"/>
              <w:rPr>
                <w:sz w:val="1"/>
                <w:szCs w:val="1"/>
                <w:color w:val="auto"/>
              </w:rPr>
            </w:pPr>
          </w:p>
        </w:tc>
      </w:tr>
      <w:tr>
        <w:trPr>
          <w:trHeight w:val="203"/>
        </w:trPr>
        <w:tc>
          <w:tcPr>
            <w:tcW w:w="1740" w:type="dxa"/>
            <w:vAlign w:val="bottom"/>
            <w:tcBorders>
              <w:left w:val="single" w:sz="8" w:color="auto"/>
            </w:tcBorders>
            <w:shd w:val="clear" w:color="auto" w:fill="D1DDE6"/>
          </w:tcPr>
          <w:p>
            <w:pPr>
              <w:spacing w:after="0"/>
              <w:rPr>
                <w:sz w:val="17"/>
                <w:szCs w:val="17"/>
                <w:color w:val="auto"/>
              </w:rPr>
            </w:pPr>
          </w:p>
        </w:tc>
        <w:tc>
          <w:tcPr>
            <w:tcW w:w="820" w:type="dxa"/>
            <w:vAlign w:val="bottom"/>
            <w:shd w:val="clear" w:color="auto" w:fill="D1DDE6"/>
          </w:tcPr>
          <w:p>
            <w:pPr>
              <w:spacing w:after="0"/>
              <w:rPr>
                <w:sz w:val="17"/>
                <w:szCs w:val="17"/>
                <w:color w:val="auto"/>
              </w:rPr>
            </w:pPr>
          </w:p>
        </w:tc>
        <w:tc>
          <w:tcPr>
            <w:tcW w:w="780" w:type="dxa"/>
            <w:vAlign w:val="bottom"/>
            <w:shd w:val="clear" w:color="auto" w:fill="D1DDE6"/>
          </w:tcPr>
          <w:p>
            <w:pPr>
              <w:spacing w:after="0"/>
              <w:rPr>
                <w:sz w:val="17"/>
                <w:szCs w:val="17"/>
                <w:color w:val="auto"/>
              </w:rPr>
            </w:pPr>
          </w:p>
        </w:tc>
        <w:tc>
          <w:tcPr>
            <w:tcW w:w="3820" w:type="dxa"/>
            <w:vAlign w:val="bottom"/>
            <w:shd w:val="clear" w:color="auto" w:fill="D1DDE6"/>
          </w:tcPr>
          <w:p>
            <w:pPr>
              <w:ind w:left="100"/>
              <w:spacing w:after="0"/>
              <w:rPr>
                <w:sz w:val="20"/>
                <w:szCs w:val="20"/>
                <w:color w:val="auto"/>
              </w:rPr>
            </w:pPr>
            <w:r>
              <w:rPr>
                <w:rFonts w:ascii="Arial" w:cs="Arial" w:eastAsia="Arial" w:hAnsi="Arial"/>
                <w:sz w:val="15"/>
                <w:szCs w:val="15"/>
                <w:color w:val="auto"/>
              </w:rPr>
              <w:t>Corporation</w:t>
            </w:r>
          </w:p>
        </w:tc>
        <w:tc>
          <w:tcPr>
            <w:tcW w:w="600" w:type="dxa"/>
            <w:vAlign w:val="bottom"/>
            <w:shd w:val="clear" w:color="auto" w:fill="D1DDE6"/>
          </w:tcPr>
          <w:p>
            <w:pPr>
              <w:spacing w:after="0"/>
              <w:rPr>
                <w:sz w:val="17"/>
                <w:szCs w:val="17"/>
                <w:color w:val="auto"/>
              </w:rPr>
            </w:pPr>
          </w:p>
        </w:tc>
        <w:tc>
          <w:tcPr>
            <w:tcW w:w="780" w:type="dxa"/>
            <w:vAlign w:val="bottom"/>
            <w:shd w:val="clear" w:color="auto" w:fill="D1DDE6"/>
          </w:tcPr>
          <w:p>
            <w:pPr>
              <w:spacing w:after="0"/>
              <w:rPr>
                <w:sz w:val="17"/>
                <w:szCs w:val="17"/>
                <w:color w:val="auto"/>
              </w:rPr>
            </w:pPr>
          </w:p>
        </w:tc>
        <w:tc>
          <w:tcPr>
            <w:tcW w:w="660" w:type="dxa"/>
            <w:vAlign w:val="bottom"/>
            <w:shd w:val="clear" w:color="auto" w:fill="D1DDE6"/>
          </w:tcPr>
          <w:p>
            <w:pPr>
              <w:spacing w:after="0"/>
              <w:rPr>
                <w:sz w:val="17"/>
                <w:szCs w:val="17"/>
                <w:color w:val="auto"/>
              </w:rPr>
            </w:pPr>
          </w:p>
        </w:tc>
        <w:tc>
          <w:tcPr>
            <w:tcW w:w="840" w:type="dxa"/>
            <w:vAlign w:val="bottom"/>
            <w:shd w:val="clear" w:color="auto" w:fill="D1DDE6"/>
          </w:tcPr>
          <w:p>
            <w:pPr>
              <w:spacing w:after="0"/>
              <w:rPr>
                <w:sz w:val="17"/>
                <w:szCs w:val="17"/>
                <w:color w:val="auto"/>
              </w:rPr>
            </w:pPr>
          </w:p>
        </w:tc>
        <w:tc>
          <w:tcPr>
            <w:tcW w:w="1300" w:type="dxa"/>
            <w:vAlign w:val="bottom"/>
            <w:tcBorders>
              <w:right w:val="single" w:sz="8" w:color="auto"/>
            </w:tcBorders>
            <w:shd w:val="clear" w:color="auto" w:fill="D1DDE6"/>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1740" w:type="dxa"/>
            <w:vAlign w:val="bottom"/>
            <w:tcBorders>
              <w:left w:val="single" w:sz="8" w:color="auto"/>
            </w:tcBorders>
          </w:tcPr>
          <w:p>
            <w:pPr>
              <w:ind w:left="20"/>
              <w:spacing w:after="0"/>
              <w:rPr>
                <w:sz w:val="20"/>
                <w:szCs w:val="20"/>
                <w:color w:val="auto"/>
              </w:rPr>
            </w:pPr>
            <w:r>
              <w:rPr>
                <w:rFonts w:ascii="Arial" w:cs="Arial" w:eastAsia="Arial" w:hAnsi="Arial"/>
                <w:sz w:val="15"/>
                <w:szCs w:val="15"/>
                <w:color w:val="auto"/>
              </w:rPr>
              <w:t>Gary Roughead</w:t>
            </w:r>
          </w:p>
        </w:tc>
        <w:tc>
          <w:tcPr>
            <w:tcW w:w="820" w:type="dxa"/>
            <w:vAlign w:val="bottom"/>
          </w:tcPr>
          <w:p>
            <w:pPr>
              <w:ind w:left="200"/>
              <w:spacing w:after="0"/>
              <w:rPr>
                <w:sz w:val="20"/>
                <w:szCs w:val="20"/>
                <w:color w:val="auto"/>
              </w:rPr>
            </w:pPr>
            <w:r>
              <w:rPr>
                <w:rFonts w:ascii="Arial" w:cs="Arial" w:eastAsia="Arial" w:hAnsi="Arial"/>
                <w:sz w:val="15"/>
                <w:szCs w:val="15"/>
                <w:color w:val="auto"/>
              </w:rPr>
              <w:t>67</w:t>
            </w:r>
          </w:p>
        </w:tc>
        <w:tc>
          <w:tcPr>
            <w:tcW w:w="780" w:type="dxa"/>
            <w:vAlign w:val="bottom"/>
          </w:tcPr>
          <w:p>
            <w:pPr>
              <w:ind w:left="80"/>
              <w:spacing w:after="0"/>
              <w:rPr>
                <w:sz w:val="20"/>
                <w:szCs w:val="20"/>
                <w:color w:val="auto"/>
              </w:rPr>
            </w:pPr>
            <w:r>
              <w:rPr>
                <w:rFonts w:ascii="Arial" w:cs="Arial" w:eastAsia="Arial" w:hAnsi="Arial"/>
                <w:sz w:val="15"/>
                <w:szCs w:val="15"/>
                <w:color w:val="auto"/>
              </w:rPr>
              <w:t>02/2012</w:t>
            </w:r>
          </w:p>
        </w:tc>
        <w:tc>
          <w:tcPr>
            <w:tcW w:w="3820" w:type="dxa"/>
            <w:vAlign w:val="bottom"/>
          </w:tcPr>
          <w:p>
            <w:pPr>
              <w:ind w:left="100"/>
              <w:spacing w:after="0"/>
              <w:rPr>
                <w:sz w:val="20"/>
                <w:szCs w:val="20"/>
                <w:color w:val="auto"/>
              </w:rPr>
            </w:pPr>
            <w:r>
              <w:rPr>
                <w:rFonts w:ascii="Arial" w:cs="Arial" w:eastAsia="Arial" w:hAnsi="Arial"/>
                <w:sz w:val="15"/>
                <w:szCs w:val="15"/>
                <w:color w:val="auto"/>
              </w:rPr>
              <w:t>Retired Admiral, United States Navy and Former</w:t>
            </w:r>
          </w:p>
        </w:tc>
        <w:tc>
          <w:tcPr>
            <w:tcW w:w="6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3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4"/>
        </w:trPr>
        <w:tc>
          <w:tcPr>
            <w:tcW w:w="1740" w:type="dxa"/>
            <w:vAlign w:val="bottom"/>
            <w:tcBorders>
              <w:left w:val="single" w:sz="8" w:color="auto"/>
            </w:tcBorders>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820" w:type="dxa"/>
            <w:vAlign w:val="bottom"/>
          </w:tcPr>
          <w:p>
            <w:pPr>
              <w:ind w:left="100"/>
              <w:spacing w:after="0"/>
              <w:rPr>
                <w:sz w:val="20"/>
                <w:szCs w:val="20"/>
                <w:color w:val="auto"/>
              </w:rPr>
            </w:pPr>
            <w:r>
              <w:rPr>
                <w:rFonts w:ascii="Arial" w:cs="Arial" w:eastAsia="Arial" w:hAnsi="Arial"/>
                <w:sz w:val="15"/>
                <w:szCs w:val="15"/>
                <w:color w:val="auto"/>
              </w:rPr>
              <w:t>Chief of Naval Operations</w:t>
            </w:r>
          </w:p>
        </w:tc>
        <w:tc>
          <w:tcPr>
            <w:tcW w:w="6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3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740" w:type="dxa"/>
            <w:vAlign w:val="bottom"/>
            <w:tcBorders>
              <w:left w:val="single" w:sz="8" w:color="auto"/>
            </w:tcBorders>
            <w:shd w:val="clear" w:color="auto" w:fill="D1DDE6"/>
          </w:tcPr>
          <w:p>
            <w:pPr>
              <w:ind w:left="20"/>
              <w:spacing w:after="0"/>
              <w:rPr>
                <w:sz w:val="20"/>
                <w:szCs w:val="20"/>
                <w:color w:val="auto"/>
              </w:rPr>
            </w:pPr>
            <w:r>
              <w:rPr>
                <w:rFonts w:ascii="Arial" w:cs="Arial" w:eastAsia="Arial" w:hAnsi="Arial"/>
                <w:sz w:val="15"/>
                <w:szCs w:val="15"/>
                <w:color w:val="auto"/>
              </w:rPr>
              <w:t>Thomas M. Schoewe</w:t>
            </w:r>
          </w:p>
        </w:tc>
        <w:tc>
          <w:tcPr>
            <w:tcW w:w="820" w:type="dxa"/>
            <w:vAlign w:val="bottom"/>
            <w:shd w:val="clear" w:color="auto" w:fill="D1DDE6"/>
          </w:tcPr>
          <w:p>
            <w:pPr>
              <w:ind w:left="200"/>
              <w:spacing w:after="0"/>
              <w:rPr>
                <w:sz w:val="20"/>
                <w:szCs w:val="20"/>
                <w:color w:val="auto"/>
              </w:rPr>
            </w:pPr>
            <w:r>
              <w:rPr>
                <w:rFonts w:ascii="Arial" w:cs="Arial" w:eastAsia="Arial" w:hAnsi="Arial"/>
                <w:sz w:val="15"/>
                <w:szCs w:val="15"/>
                <w:color w:val="auto"/>
              </w:rPr>
              <w:t>66</w:t>
            </w:r>
          </w:p>
        </w:tc>
        <w:tc>
          <w:tcPr>
            <w:tcW w:w="780" w:type="dxa"/>
            <w:vAlign w:val="bottom"/>
            <w:shd w:val="clear" w:color="auto" w:fill="D1DDE6"/>
          </w:tcPr>
          <w:p>
            <w:pPr>
              <w:ind w:left="80"/>
              <w:spacing w:after="0"/>
              <w:rPr>
                <w:sz w:val="20"/>
                <w:szCs w:val="20"/>
                <w:color w:val="auto"/>
              </w:rPr>
            </w:pPr>
            <w:r>
              <w:rPr>
                <w:rFonts w:ascii="Arial" w:cs="Arial" w:eastAsia="Arial" w:hAnsi="Arial"/>
                <w:sz w:val="15"/>
                <w:szCs w:val="15"/>
                <w:color w:val="auto"/>
              </w:rPr>
              <w:t>08/2011</w:t>
            </w:r>
          </w:p>
        </w:tc>
        <w:tc>
          <w:tcPr>
            <w:tcW w:w="3820" w:type="dxa"/>
            <w:vAlign w:val="bottom"/>
            <w:shd w:val="clear" w:color="auto" w:fill="D1DDE6"/>
          </w:tcPr>
          <w:p>
            <w:pPr>
              <w:ind w:left="100"/>
              <w:spacing w:after="0"/>
              <w:rPr>
                <w:sz w:val="20"/>
                <w:szCs w:val="20"/>
                <w:color w:val="auto"/>
              </w:rPr>
            </w:pPr>
            <w:r>
              <w:rPr>
                <w:rFonts w:ascii="Arial" w:cs="Arial" w:eastAsia="Arial" w:hAnsi="Arial"/>
                <w:sz w:val="15"/>
                <w:szCs w:val="15"/>
                <w:color w:val="auto"/>
              </w:rPr>
              <w:t>Former Executive Vice President and CFO, Wal-Mart</w:t>
            </w:r>
          </w:p>
        </w:tc>
        <w:tc>
          <w:tcPr>
            <w:tcW w:w="600" w:type="dxa"/>
            <w:vAlign w:val="bottom"/>
            <w:shd w:val="clear" w:color="auto" w:fill="D1DDE6"/>
          </w:tcPr>
          <w:p>
            <w:pPr>
              <w:spacing w:after="0"/>
              <w:rPr>
                <w:sz w:val="18"/>
                <w:szCs w:val="18"/>
                <w:color w:val="auto"/>
              </w:rPr>
            </w:pPr>
          </w:p>
        </w:tc>
        <w:tc>
          <w:tcPr>
            <w:tcW w:w="780" w:type="dxa"/>
            <w:vAlign w:val="bottom"/>
            <w:shd w:val="clear" w:color="auto" w:fill="D1DDE6"/>
          </w:tcPr>
          <w:p>
            <w:pPr>
              <w:spacing w:after="0"/>
              <w:rPr>
                <w:sz w:val="18"/>
                <w:szCs w:val="18"/>
                <w:color w:val="auto"/>
              </w:rPr>
            </w:pPr>
          </w:p>
        </w:tc>
        <w:tc>
          <w:tcPr>
            <w:tcW w:w="660" w:type="dxa"/>
            <w:vAlign w:val="bottom"/>
            <w:shd w:val="clear" w:color="auto" w:fill="D1DDE6"/>
          </w:tcPr>
          <w:p>
            <w:pPr>
              <w:spacing w:after="0"/>
              <w:rPr>
                <w:sz w:val="18"/>
                <w:szCs w:val="18"/>
                <w:color w:val="auto"/>
              </w:rPr>
            </w:pPr>
          </w:p>
        </w:tc>
        <w:tc>
          <w:tcPr>
            <w:tcW w:w="840" w:type="dxa"/>
            <w:vAlign w:val="bottom"/>
            <w:shd w:val="clear" w:color="auto" w:fill="D1DDE6"/>
          </w:tcPr>
          <w:p>
            <w:pPr>
              <w:spacing w:after="0"/>
              <w:rPr>
                <w:sz w:val="18"/>
                <w:szCs w:val="18"/>
                <w:color w:val="auto"/>
              </w:rPr>
            </w:pPr>
          </w:p>
        </w:tc>
        <w:tc>
          <w:tcPr>
            <w:tcW w:w="1300" w:type="dxa"/>
            <w:vAlign w:val="bottom"/>
            <w:tcBorders>
              <w:right w:val="single" w:sz="8" w:color="auto"/>
            </w:tcBorders>
            <w:shd w:val="clear" w:color="auto" w:fill="D1DDE6"/>
          </w:tcPr>
          <w:p>
            <w:pPr>
              <w:jc w:val="center"/>
              <w:spacing w:after="0"/>
              <w:rPr>
                <w:sz w:val="20"/>
                <w:szCs w:val="20"/>
                <w:color w:val="auto"/>
              </w:rPr>
            </w:pPr>
            <w:r>
              <w:rPr>
                <w:rFonts w:ascii="Arial" w:cs="Arial" w:eastAsia="Arial" w:hAnsi="Arial"/>
                <w:sz w:val="15"/>
                <w:szCs w:val="15"/>
                <w:color w:val="auto"/>
                <w:w w:val="95"/>
              </w:rPr>
              <w:t>2</w:t>
            </w:r>
          </w:p>
        </w:tc>
        <w:tc>
          <w:tcPr>
            <w:tcW w:w="0" w:type="dxa"/>
            <w:vAlign w:val="bottom"/>
          </w:tcPr>
          <w:p>
            <w:pPr>
              <w:spacing w:after="0"/>
              <w:rPr>
                <w:sz w:val="1"/>
                <w:szCs w:val="1"/>
                <w:color w:val="auto"/>
              </w:rPr>
            </w:pPr>
          </w:p>
        </w:tc>
      </w:tr>
      <w:tr>
        <w:trPr>
          <w:trHeight w:val="203"/>
        </w:trPr>
        <w:tc>
          <w:tcPr>
            <w:tcW w:w="1740" w:type="dxa"/>
            <w:vAlign w:val="bottom"/>
            <w:tcBorders>
              <w:left w:val="single" w:sz="8" w:color="auto"/>
            </w:tcBorders>
            <w:shd w:val="clear" w:color="auto" w:fill="D1DDE6"/>
          </w:tcPr>
          <w:p>
            <w:pPr>
              <w:spacing w:after="0"/>
              <w:rPr>
                <w:sz w:val="17"/>
                <w:szCs w:val="17"/>
                <w:color w:val="auto"/>
              </w:rPr>
            </w:pPr>
          </w:p>
        </w:tc>
        <w:tc>
          <w:tcPr>
            <w:tcW w:w="820" w:type="dxa"/>
            <w:vAlign w:val="bottom"/>
            <w:shd w:val="clear" w:color="auto" w:fill="D1DDE6"/>
          </w:tcPr>
          <w:p>
            <w:pPr>
              <w:spacing w:after="0"/>
              <w:rPr>
                <w:sz w:val="17"/>
                <w:szCs w:val="17"/>
                <w:color w:val="auto"/>
              </w:rPr>
            </w:pPr>
          </w:p>
        </w:tc>
        <w:tc>
          <w:tcPr>
            <w:tcW w:w="780" w:type="dxa"/>
            <w:vAlign w:val="bottom"/>
            <w:shd w:val="clear" w:color="auto" w:fill="D1DDE6"/>
          </w:tcPr>
          <w:p>
            <w:pPr>
              <w:spacing w:after="0"/>
              <w:rPr>
                <w:sz w:val="17"/>
                <w:szCs w:val="17"/>
                <w:color w:val="auto"/>
              </w:rPr>
            </w:pPr>
          </w:p>
        </w:tc>
        <w:tc>
          <w:tcPr>
            <w:tcW w:w="3820" w:type="dxa"/>
            <w:vAlign w:val="bottom"/>
            <w:shd w:val="clear" w:color="auto" w:fill="D1DDE6"/>
          </w:tcPr>
          <w:p>
            <w:pPr>
              <w:ind w:left="100"/>
              <w:spacing w:after="0"/>
              <w:rPr>
                <w:sz w:val="20"/>
                <w:szCs w:val="20"/>
                <w:color w:val="auto"/>
              </w:rPr>
            </w:pPr>
            <w:r>
              <w:rPr>
                <w:rFonts w:ascii="Arial" w:cs="Arial" w:eastAsia="Arial" w:hAnsi="Arial"/>
                <w:sz w:val="15"/>
                <w:szCs w:val="15"/>
                <w:color w:val="auto"/>
              </w:rPr>
              <w:t>Stores, Inc.</w:t>
            </w:r>
          </w:p>
        </w:tc>
        <w:tc>
          <w:tcPr>
            <w:tcW w:w="600" w:type="dxa"/>
            <w:vAlign w:val="bottom"/>
            <w:shd w:val="clear" w:color="auto" w:fill="D1DDE6"/>
          </w:tcPr>
          <w:p>
            <w:pPr>
              <w:spacing w:after="0"/>
              <w:rPr>
                <w:sz w:val="17"/>
                <w:szCs w:val="17"/>
                <w:color w:val="auto"/>
              </w:rPr>
            </w:pPr>
          </w:p>
        </w:tc>
        <w:tc>
          <w:tcPr>
            <w:tcW w:w="780" w:type="dxa"/>
            <w:vAlign w:val="bottom"/>
            <w:shd w:val="clear" w:color="auto" w:fill="D1DDE6"/>
          </w:tcPr>
          <w:p>
            <w:pPr>
              <w:spacing w:after="0"/>
              <w:rPr>
                <w:sz w:val="17"/>
                <w:szCs w:val="17"/>
                <w:color w:val="auto"/>
              </w:rPr>
            </w:pPr>
          </w:p>
        </w:tc>
        <w:tc>
          <w:tcPr>
            <w:tcW w:w="660" w:type="dxa"/>
            <w:vAlign w:val="bottom"/>
            <w:shd w:val="clear" w:color="auto" w:fill="D1DDE6"/>
          </w:tcPr>
          <w:p>
            <w:pPr>
              <w:spacing w:after="0"/>
              <w:rPr>
                <w:sz w:val="17"/>
                <w:szCs w:val="17"/>
                <w:color w:val="auto"/>
              </w:rPr>
            </w:pPr>
          </w:p>
        </w:tc>
        <w:tc>
          <w:tcPr>
            <w:tcW w:w="840" w:type="dxa"/>
            <w:vAlign w:val="bottom"/>
            <w:shd w:val="clear" w:color="auto" w:fill="D1DDE6"/>
          </w:tcPr>
          <w:p>
            <w:pPr>
              <w:spacing w:after="0"/>
              <w:rPr>
                <w:sz w:val="17"/>
                <w:szCs w:val="17"/>
                <w:color w:val="auto"/>
              </w:rPr>
            </w:pPr>
          </w:p>
        </w:tc>
        <w:tc>
          <w:tcPr>
            <w:tcW w:w="1300" w:type="dxa"/>
            <w:vAlign w:val="bottom"/>
            <w:tcBorders>
              <w:right w:val="single" w:sz="8" w:color="auto"/>
            </w:tcBorders>
            <w:shd w:val="clear" w:color="auto" w:fill="D1DDE6"/>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1740" w:type="dxa"/>
            <w:vAlign w:val="bottom"/>
            <w:tcBorders>
              <w:left w:val="single" w:sz="8" w:color="auto"/>
            </w:tcBorders>
          </w:tcPr>
          <w:p>
            <w:pPr>
              <w:ind w:left="20"/>
              <w:spacing w:after="0"/>
              <w:rPr>
                <w:sz w:val="20"/>
                <w:szCs w:val="20"/>
                <w:color w:val="auto"/>
              </w:rPr>
            </w:pPr>
            <w:r>
              <w:rPr>
                <w:rFonts w:ascii="Arial" w:cs="Arial" w:eastAsia="Arial" w:hAnsi="Arial"/>
                <w:sz w:val="15"/>
                <w:szCs w:val="15"/>
                <w:color w:val="auto"/>
              </w:rPr>
              <w:t>James S. Turley</w:t>
            </w:r>
          </w:p>
        </w:tc>
        <w:tc>
          <w:tcPr>
            <w:tcW w:w="820" w:type="dxa"/>
            <w:vAlign w:val="bottom"/>
          </w:tcPr>
          <w:p>
            <w:pPr>
              <w:ind w:left="200"/>
              <w:spacing w:after="0"/>
              <w:rPr>
                <w:sz w:val="20"/>
                <w:szCs w:val="20"/>
                <w:color w:val="auto"/>
              </w:rPr>
            </w:pPr>
            <w:r>
              <w:rPr>
                <w:rFonts w:ascii="Arial" w:cs="Arial" w:eastAsia="Arial" w:hAnsi="Arial"/>
                <w:sz w:val="15"/>
                <w:szCs w:val="15"/>
                <w:color w:val="auto"/>
              </w:rPr>
              <w:t>63</w:t>
            </w:r>
          </w:p>
        </w:tc>
        <w:tc>
          <w:tcPr>
            <w:tcW w:w="780" w:type="dxa"/>
            <w:vAlign w:val="bottom"/>
          </w:tcPr>
          <w:p>
            <w:pPr>
              <w:ind w:left="80"/>
              <w:spacing w:after="0"/>
              <w:rPr>
                <w:sz w:val="20"/>
                <w:szCs w:val="20"/>
                <w:color w:val="auto"/>
              </w:rPr>
            </w:pPr>
            <w:r>
              <w:rPr>
                <w:rFonts w:ascii="Arial" w:cs="Arial" w:eastAsia="Arial" w:hAnsi="Arial"/>
                <w:sz w:val="15"/>
                <w:szCs w:val="15"/>
                <w:color w:val="auto"/>
              </w:rPr>
              <w:t>02/2015</w:t>
            </w:r>
          </w:p>
        </w:tc>
        <w:tc>
          <w:tcPr>
            <w:tcW w:w="3820" w:type="dxa"/>
            <w:vAlign w:val="bottom"/>
          </w:tcPr>
          <w:p>
            <w:pPr>
              <w:ind w:left="100"/>
              <w:spacing w:after="0"/>
              <w:rPr>
                <w:sz w:val="20"/>
                <w:szCs w:val="20"/>
                <w:color w:val="auto"/>
              </w:rPr>
            </w:pPr>
            <w:r>
              <w:rPr>
                <w:rFonts w:ascii="Arial" w:cs="Arial" w:eastAsia="Arial" w:hAnsi="Arial"/>
                <w:sz w:val="15"/>
                <w:szCs w:val="15"/>
                <w:color w:val="auto"/>
              </w:rPr>
              <w:t>Former Chairman and Chief Executive Officer, Ernst</w:t>
            </w:r>
          </w:p>
        </w:tc>
        <w:tc>
          <w:tcPr>
            <w:tcW w:w="6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3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95"/>
              </w:rPr>
              <w:t>3</w:t>
            </w:r>
          </w:p>
        </w:tc>
        <w:tc>
          <w:tcPr>
            <w:tcW w:w="0" w:type="dxa"/>
            <w:vAlign w:val="bottom"/>
          </w:tcPr>
          <w:p>
            <w:pPr>
              <w:spacing w:after="0"/>
              <w:rPr>
                <w:sz w:val="1"/>
                <w:szCs w:val="1"/>
                <w:color w:val="auto"/>
              </w:rPr>
            </w:pPr>
          </w:p>
        </w:tc>
      </w:tr>
      <w:tr>
        <w:trPr>
          <w:trHeight w:val="194"/>
        </w:trPr>
        <w:tc>
          <w:tcPr>
            <w:tcW w:w="1740" w:type="dxa"/>
            <w:vAlign w:val="bottom"/>
            <w:tcBorders>
              <w:left w:val="single" w:sz="8" w:color="auto"/>
            </w:tcBorders>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820" w:type="dxa"/>
            <w:vAlign w:val="bottom"/>
          </w:tcPr>
          <w:p>
            <w:pPr>
              <w:ind w:left="100"/>
              <w:spacing w:after="0"/>
              <w:rPr>
                <w:sz w:val="20"/>
                <w:szCs w:val="20"/>
                <w:color w:val="auto"/>
              </w:rPr>
            </w:pPr>
            <w:r>
              <w:rPr>
                <w:rFonts w:ascii="Arial" w:cs="Arial" w:eastAsia="Arial" w:hAnsi="Arial"/>
                <w:sz w:val="15"/>
                <w:szCs w:val="15"/>
                <w:color w:val="auto"/>
              </w:rPr>
              <w:t>&amp; Young</w:t>
            </w:r>
          </w:p>
        </w:tc>
        <w:tc>
          <w:tcPr>
            <w:tcW w:w="6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3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740" w:type="dxa"/>
            <w:vAlign w:val="bottom"/>
            <w:tcBorders>
              <w:left w:val="single" w:sz="8" w:color="auto"/>
            </w:tcBorders>
            <w:shd w:val="clear" w:color="auto" w:fill="D1DDE6"/>
          </w:tcPr>
          <w:p>
            <w:pPr>
              <w:ind w:left="20"/>
              <w:spacing w:after="0"/>
              <w:rPr>
                <w:sz w:val="20"/>
                <w:szCs w:val="20"/>
                <w:color w:val="auto"/>
              </w:rPr>
            </w:pPr>
            <w:r>
              <w:rPr>
                <w:rFonts w:ascii="Arial" w:cs="Arial" w:eastAsia="Arial" w:hAnsi="Arial"/>
                <w:sz w:val="15"/>
                <w:szCs w:val="15"/>
                <w:color w:val="auto"/>
              </w:rPr>
              <w:t>Kathy J. Warden</w:t>
            </w:r>
          </w:p>
        </w:tc>
        <w:tc>
          <w:tcPr>
            <w:tcW w:w="820" w:type="dxa"/>
            <w:vAlign w:val="bottom"/>
            <w:shd w:val="clear" w:color="auto" w:fill="D1DDE6"/>
          </w:tcPr>
          <w:p>
            <w:pPr>
              <w:ind w:left="200"/>
              <w:spacing w:after="0"/>
              <w:rPr>
                <w:sz w:val="20"/>
                <w:szCs w:val="20"/>
                <w:color w:val="auto"/>
              </w:rPr>
            </w:pPr>
            <w:r>
              <w:rPr>
                <w:rFonts w:ascii="Arial" w:cs="Arial" w:eastAsia="Arial" w:hAnsi="Arial"/>
                <w:sz w:val="15"/>
                <w:szCs w:val="15"/>
                <w:color w:val="auto"/>
              </w:rPr>
              <w:t>47</w:t>
            </w:r>
          </w:p>
        </w:tc>
        <w:tc>
          <w:tcPr>
            <w:tcW w:w="780" w:type="dxa"/>
            <w:vAlign w:val="bottom"/>
            <w:shd w:val="clear" w:color="auto" w:fill="D1DDE6"/>
          </w:tcPr>
          <w:p>
            <w:pPr>
              <w:ind w:left="80"/>
              <w:spacing w:after="0"/>
              <w:rPr>
                <w:sz w:val="20"/>
                <w:szCs w:val="20"/>
                <w:color w:val="auto"/>
              </w:rPr>
            </w:pPr>
            <w:r>
              <w:rPr>
                <w:rFonts w:ascii="Arial" w:cs="Arial" w:eastAsia="Arial" w:hAnsi="Arial"/>
                <w:sz w:val="15"/>
                <w:szCs w:val="15"/>
                <w:color w:val="auto"/>
              </w:rPr>
              <w:t>07/2018</w:t>
            </w:r>
          </w:p>
        </w:tc>
        <w:tc>
          <w:tcPr>
            <w:tcW w:w="3820" w:type="dxa"/>
            <w:vAlign w:val="bottom"/>
            <w:shd w:val="clear" w:color="auto" w:fill="D1DDE6"/>
          </w:tcPr>
          <w:p>
            <w:pPr>
              <w:ind w:left="100"/>
              <w:spacing w:after="0"/>
              <w:rPr>
                <w:sz w:val="20"/>
                <w:szCs w:val="20"/>
                <w:color w:val="auto"/>
              </w:rPr>
            </w:pPr>
            <w:r>
              <w:rPr>
                <w:rFonts w:ascii="Arial" w:cs="Arial" w:eastAsia="Arial" w:hAnsi="Arial"/>
                <w:sz w:val="15"/>
                <w:szCs w:val="15"/>
                <w:color w:val="auto"/>
              </w:rPr>
              <w:t>Chief Executive Officer and President, Northrop</w:t>
            </w:r>
          </w:p>
        </w:tc>
        <w:tc>
          <w:tcPr>
            <w:tcW w:w="600" w:type="dxa"/>
            <w:vAlign w:val="bottom"/>
            <w:shd w:val="clear" w:color="auto" w:fill="D1DDE6"/>
          </w:tcPr>
          <w:p>
            <w:pPr>
              <w:jc w:val="center"/>
              <w:spacing w:after="0"/>
              <w:rPr>
                <w:sz w:val="20"/>
                <w:szCs w:val="20"/>
                <w:color w:val="auto"/>
              </w:rPr>
            </w:pPr>
            <w:r>
              <w:rPr>
                <w:rFonts w:ascii="Arial" w:cs="Arial" w:eastAsia="Arial" w:hAnsi="Arial"/>
                <w:sz w:val="15"/>
                <w:szCs w:val="15"/>
                <w:color w:val="auto"/>
              </w:rPr>
              <w:t>—</w:t>
            </w:r>
          </w:p>
        </w:tc>
        <w:tc>
          <w:tcPr>
            <w:tcW w:w="780" w:type="dxa"/>
            <w:vAlign w:val="bottom"/>
            <w:shd w:val="clear" w:color="auto" w:fill="D1DDE6"/>
          </w:tcPr>
          <w:p>
            <w:pPr>
              <w:jc w:val="center"/>
              <w:spacing w:after="0"/>
              <w:rPr>
                <w:sz w:val="20"/>
                <w:szCs w:val="20"/>
                <w:color w:val="auto"/>
              </w:rPr>
            </w:pPr>
            <w:r>
              <w:rPr>
                <w:rFonts w:ascii="Arial" w:cs="Arial" w:eastAsia="Arial" w:hAnsi="Arial"/>
                <w:sz w:val="15"/>
                <w:szCs w:val="15"/>
                <w:color w:val="auto"/>
              </w:rPr>
              <w:t>—</w:t>
            </w:r>
          </w:p>
        </w:tc>
        <w:tc>
          <w:tcPr>
            <w:tcW w:w="660" w:type="dxa"/>
            <w:vAlign w:val="bottom"/>
            <w:shd w:val="clear" w:color="auto" w:fill="D1DDE6"/>
          </w:tcPr>
          <w:p>
            <w:pPr>
              <w:jc w:val="center"/>
              <w:spacing w:after="0"/>
              <w:rPr>
                <w:sz w:val="20"/>
                <w:szCs w:val="20"/>
                <w:color w:val="auto"/>
              </w:rPr>
            </w:pPr>
            <w:r>
              <w:rPr>
                <w:rFonts w:ascii="Arial" w:cs="Arial" w:eastAsia="Arial" w:hAnsi="Arial"/>
                <w:sz w:val="15"/>
                <w:szCs w:val="15"/>
                <w:color w:val="auto"/>
              </w:rPr>
              <w:t>—</w:t>
            </w:r>
          </w:p>
        </w:tc>
        <w:tc>
          <w:tcPr>
            <w:tcW w:w="840" w:type="dxa"/>
            <w:vAlign w:val="bottom"/>
            <w:shd w:val="clear" w:color="auto" w:fill="D1DDE6"/>
          </w:tcPr>
          <w:p>
            <w:pPr>
              <w:jc w:val="center"/>
              <w:spacing w:after="0"/>
              <w:rPr>
                <w:sz w:val="20"/>
                <w:szCs w:val="20"/>
                <w:color w:val="auto"/>
              </w:rPr>
            </w:pPr>
            <w:r>
              <w:rPr>
                <w:rFonts w:ascii="Arial" w:cs="Arial" w:eastAsia="Arial" w:hAnsi="Arial"/>
                <w:sz w:val="15"/>
                <w:szCs w:val="15"/>
                <w:color w:val="auto"/>
                <w:w w:val="93"/>
              </w:rPr>
              <w:t>—</w:t>
            </w:r>
          </w:p>
        </w:tc>
        <w:tc>
          <w:tcPr>
            <w:tcW w:w="1300" w:type="dxa"/>
            <w:vAlign w:val="bottom"/>
            <w:tcBorders>
              <w:right w:val="single" w:sz="8" w:color="auto"/>
            </w:tcBorders>
            <w:shd w:val="clear" w:color="auto" w:fill="D1DDE6"/>
          </w:tcPr>
          <w:p>
            <w:pPr>
              <w:jc w:val="center"/>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3"/>
        </w:trPr>
        <w:tc>
          <w:tcPr>
            <w:tcW w:w="1740" w:type="dxa"/>
            <w:vAlign w:val="bottom"/>
            <w:tcBorders>
              <w:left w:val="single" w:sz="8" w:color="auto"/>
            </w:tcBorders>
            <w:shd w:val="clear" w:color="auto" w:fill="D1DDE6"/>
          </w:tcPr>
          <w:p>
            <w:pPr>
              <w:spacing w:after="0"/>
              <w:rPr>
                <w:sz w:val="17"/>
                <w:szCs w:val="17"/>
                <w:color w:val="auto"/>
              </w:rPr>
            </w:pPr>
          </w:p>
        </w:tc>
        <w:tc>
          <w:tcPr>
            <w:tcW w:w="820" w:type="dxa"/>
            <w:vAlign w:val="bottom"/>
            <w:shd w:val="clear" w:color="auto" w:fill="D1DDE6"/>
          </w:tcPr>
          <w:p>
            <w:pPr>
              <w:spacing w:after="0"/>
              <w:rPr>
                <w:sz w:val="17"/>
                <w:szCs w:val="17"/>
                <w:color w:val="auto"/>
              </w:rPr>
            </w:pPr>
          </w:p>
        </w:tc>
        <w:tc>
          <w:tcPr>
            <w:tcW w:w="780" w:type="dxa"/>
            <w:vAlign w:val="bottom"/>
            <w:shd w:val="clear" w:color="auto" w:fill="D1DDE6"/>
          </w:tcPr>
          <w:p>
            <w:pPr>
              <w:spacing w:after="0"/>
              <w:rPr>
                <w:sz w:val="17"/>
                <w:szCs w:val="17"/>
                <w:color w:val="auto"/>
              </w:rPr>
            </w:pPr>
          </w:p>
        </w:tc>
        <w:tc>
          <w:tcPr>
            <w:tcW w:w="3820" w:type="dxa"/>
            <w:vAlign w:val="bottom"/>
            <w:shd w:val="clear" w:color="auto" w:fill="D1DDE6"/>
          </w:tcPr>
          <w:p>
            <w:pPr>
              <w:ind w:left="100"/>
              <w:spacing w:after="0"/>
              <w:rPr>
                <w:sz w:val="20"/>
                <w:szCs w:val="20"/>
                <w:color w:val="auto"/>
              </w:rPr>
            </w:pPr>
            <w:r>
              <w:rPr>
                <w:rFonts w:ascii="Arial" w:cs="Arial" w:eastAsia="Arial" w:hAnsi="Arial"/>
                <w:sz w:val="15"/>
                <w:szCs w:val="15"/>
                <w:color w:val="auto"/>
              </w:rPr>
              <w:t>Grumman Corporation</w:t>
            </w:r>
          </w:p>
        </w:tc>
        <w:tc>
          <w:tcPr>
            <w:tcW w:w="600" w:type="dxa"/>
            <w:vAlign w:val="bottom"/>
            <w:shd w:val="clear" w:color="auto" w:fill="D1DDE6"/>
          </w:tcPr>
          <w:p>
            <w:pPr>
              <w:spacing w:after="0"/>
              <w:rPr>
                <w:sz w:val="17"/>
                <w:szCs w:val="17"/>
                <w:color w:val="auto"/>
              </w:rPr>
            </w:pPr>
          </w:p>
        </w:tc>
        <w:tc>
          <w:tcPr>
            <w:tcW w:w="780" w:type="dxa"/>
            <w:vAlign w:val="bottom"/>
            <w:shd w:val="clear" w:color="auto" w:fill="D1DDE6"/>
          </w:tcPr>
          <w:p>
            <w:pPr>
              <w:spacing w:after="0"/>
              <w:rPr>
                <w:sz w:val="17"/>
                <w:szCs w:val="17"/>
                <w:color w:val="auto"/>
              </w:rPr>
            </w:pPr>
          </w:p>
        </w:tc>
        <w:tc>
          <w:tcPr>
            <w:tcW w:w="660" w:type="dxa"/>
            <w:vAlign w:val="bottom"/>
            <w:shd w:val="clear" w:color="auto" w:fill="D1DDE6"/>
          </w:tcPr>
          <w:p>
            <w:pPr>
              <w:spacing w:after="0"/>
              <w:rPr>
                <w:sz w:val="17"/>
                <w:szCs w:val="17"/>
                <w:color w:val="auto"/>
              </w:rPr>
            </w:pPr>
          </w:p>
        </w:tc>
        <w:tc>
          <w:tcPr>
            <w:tcW w:w="840" w:type="dxa"/>
            <w:vAlign w:val="bottom"/>
            <w:shd w:val="clear" w:color="auto" w:fill="D1DDE6"/>
          </w:tcPr>
          <w:p>
            <w:pPr>
              <w:spacing w:after="0"/>
              <w:rPr>
                <w:sz w:val="17"/>
                <w:szCs w:val="17"/>
                <w:color w:val="auto"/>
              </w:rPr>
            </w:pPr>
          </w:p>
        </w:tc>
        <w:tc>
          <w:tcPr>
            <w:tcW w:w="1300" w:type="dxa"/>
            <w:vAlign w:val="bottom"/>
            <w:tcBorders>
              <w:right w:val="single" w:sz="8" w:color="auto"/>
            </w:tcBorders>
            <w:shd w:val="clear" w:color="auto" w:fill="D1DDE6"/>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1740" w:type="dxa"/>
            <w:vAlign w:val="bottom"/>
            <w:tcBorders>
              <w:left w:val="single" w:sz="8" w:color="auto"/>
            </w:tcBorders>
          </w:tcPr>
          <w:p>
            <w:pPr>
              <w:ind w:left="20"/>
              <w:spacing w:after="0"/>
              <w:rPr>
                <w:sz w:val="20"/>
                <w:szCs w:val="20"/>
                <w:color w:val="auto"/>
              </w:rPr>
            </w:pPr>
            <w:r>
              <w:rPr>
                <w:rFonts w:ascii="Arial" w:cs="Arial" w:eastAsia="Arial" w:hAnsi="Arial"/>
                <w:sz w:val="15"/>
                <w:szCs w:val="15"/>
                <w:color w:val="auto"/>
              </w:rPr>
              <w:t>Mark A. Welsh III</w:t>
            </w:r>
          </w:p>
        </w:tc>
        <w:tc>
          <w:tcPr>
            <w:tcW w:w="820" w:type="dxa"/>
            <w:vAlign w:val="bottom"/>
          </w:tcPr>
          <w:p>
            <w:pPr>
              <w:ind w:left="200"/>
              <w:spacing w:after="0"/>
              <w:rPr>
                <w:sz w:val="20"/>
                <w:szCs w:val="20"/>
                <w:color w:val="auto"/>
              </w:rPr>
            </w:pPr>
            <w:r>
              <w:rPr>
                <w:rFonts w:ascii="Arial" w:cs="Arial" w:eastAsia="Arial" w:hAnsi="Arial"/>
                <w:sz w:val="15"/>
                <w:szCs w:val="15"/>
                <w:color w:val="auto"/>
              </w:rPr>
              <w:t>65</w:t>
            </w:r>
          </w:p>
        </w:tc>
        <w:tc>
          <w:tcPr>
            <w:tcW w:w="780" w:type="dxa"/>
            <w:vAlign w:val="bottom"/>
          </w:tcPr>
          <w:p>
            <w:pPr>
              <w:ind w:left="80"/>
              <w:spacing w:after="0"/>
              <w:rPr>
                <w:sz w:val="20"/>
                <w:szCs w:val="20"/>
                <w:color w:val="auto"/>
              </w:rPr>
            </w:pPr>
            <w:r>
              <w:rPr>
                <w:rFonts w:ascii="Arial" w:cs="Arial" w:eastAsia="Arial" w:hAnsi="Arial"/>
                <w:sz w:val="15"/>
                <w:szCs w:val="15"/>
                <w:color w:val="auto"/>
              </w:rPr>
              <w:t>12/2016</w:t>
            </w:r>
          </w:p>
        </w:tc>
        <w:tc>
          <w:tcPr>
            <w:tcW w:w="3820" w:type="dxa"/>
            <w:vAlign w:val="bottom"/>
          </w:tcPr>
          <w:p>
            <w:pPr>
              <w:ind w:left="100"/>
              <w:spacing w:after="0"/>
              <w:rPr>
                <w:sz w:val="20"/>
                <w:szCs w:val="20"/>
                <w:color w:val="auto"/>
              </w:rPr>
            </w:pPr>
            <w:r>
              <w:rPr>
                <w:rFonts w:ascii="Arial" w:cs="Arial" w:eastAsia="Arial" w:hAnsi="Arial"/>
                <w:sz w:val="15"/>
                <w:szCs w:val="15"/>
                <w:color w:val="auto"/>
              </w:rPr>
              <w:t>Dean of the Bush School of Government and Public</w:t>
            </w:r>
          </w:p>
        </w:tc>
        <w:tc>
          <w:tcPr>
            <w:tcW w:w="6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3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9"/>
        </w:trPr>
        <w:tc>
          <w:tcPr>
            <w:tcW w:w="1740" w:type="dxa"/>
            <w:vAlign w:val="bottom"/>
            <w:tcBorders>
              <w:left w:val="single" w:sz="8" w:color="auto"/>
            </w:tcBorders>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820" w:type="dxa"/>
            <w:vAlign w:val="bottom"/>
          </w:tcPr>
          <w:p>
            <w:pPr>
              <w:ind w:left="100"/>
              <w:spacing w:after="0"/>
              <w:rPr>
                <w:sz w:val="20"/>
                <w:szCs w:val="20"/>
                <w:color w:val="auto"/>
              </w:rPr>
            </w:pPr>
            <w:r>
              <w:rPr>
                <w:rFonts w:ascii="Arial" w:cs="Arial" w:eastAsia="Arial" w:hAnsi="Arial"/>
                <w:sz w:val="15"/>
                <w:szCs w:val="15"/>
                <w:color w:val="auto"/>
              </w:rPr>
              <w:t>Service, Texas A&amp;M University; Retired General,</w:t>
            </w:r>
          </w:p>
        </w:tc>
        <w:tc>
          <w:tcPr>
            <w:tcW w:w="6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740" w:type="dxa"/>
            <w:vAlign w:val="bottom"/>
            <w:tcBorders>
              <w:left w:val="single" w:sz="8" w:color="auto"/>
            </w:tcBorders>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820" w:type="dxa"/>
            <w:vAlign w:val="bottom"/>
          </w:tcPr>
          <w:p>
            <w:pPr>
              <w:ind w:left="100"/>
              <w:spacing w:after="0"/>
              <w:rPr>
                <w:sz w:val="20"/>
                <w:szCs w:val="20"/>
                <w:color w:val="auto"/>
              </w:rPr>
            </w:pPr>
            <w:r>
              <w:rPr>
                <w:rFonts w:ascii="Arial" w:cs="Arial" w:eastAsia="Arial" w:hAnsi="Arial"/>
                <w:sz w:val="15"/>
                <w:szCs w:val="15"/>
                <w:color w:val="auto"/>
              </w:rPr>
              <w:t>United States Air Force and Former Chief of Staff,</w:t>
            </w:r>
          </w:p>
        </w:tc>
        <w:tc>
          <w:tcPr>
            <w:tcW w:w="6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740" w:type="dxa"/>
            <w:vAlign w:val="bottom"/>
            <w:tcBorders>
              <w:left w:val="single" w:sz="8" w:color="auto"/>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3820" w:type="dxa"/>
            <w:vAlign w:val="bottom"/>
            <w:tcBorders>
              <w:bottom w:val="single" w:sz="8" w:color="auto"/>
            </w:tcBorders>
          </w:tcPr>
          <w:p>
            <w:pPr>
              <w:ind w:left="100"/>
              <w:spacing w:after="0"/>
              <w:rPr>
                <w:sz w:val="20"/>
                <w:szCs w:val="20"/>
                <w:color w:val="auto"/>
              </w:rPr>
            </w:pPr>
            <w:r>
              <w:rPr>
                <w:rFonts w:ascii="Arial" w:cs="Arial" w:eastAsia="Arial" w:hAnsi="Arial"/>
                <w:sz w:val="15"/>
                <w:szCs w:val="15"/>
                <w:color w:val="auto"/>
              </w:rPr>
              <w:t>United States Air Force</w:t>
            </w:r>
          </w:p>
        </w:tc>
        <w:tc>
          <w:tcPr>
            <w:tcW w:w="6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30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5146675</wp:posOffset>
            </wp:positionH>
            <wp:positionV relativeFrom="paragraph">
              <wp:posOffset>-3573145</wp:posOffset>
            </wp:positionV>
            <wp:extent cx="146685" cy="1708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46685" cy="17081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-3573145</wp:posOffset>
            </wp:positionV>
            <wp:extent cx="146685" cy="1708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46685" cy="170815"/>
                    </a:xfrm>
                    <a:prstGeom prst="rect">
                      <a:avLst/>
                    </a:prstGeom>
                    <a:noFill/>
                  </pic:spPr>
                </pic:pic>
              </a:graphicData>
            </a:graphic>
          </wp:anchor>
        </w:drawing>
        <w:drawing>
          <wp:anchor simplePos="0" relativeHeight="251657728" behindDoc="1" locked="0" layoutInCell="0" allowOverlap="1">
            <wp:simplePos x="0" y="0"/>
            <wp:positionH relativeFrom="column">
              <wp:posOffset>5146675</wp:posOffset>
            </wp:positionH>
            <wp:positionV relativeFrom="paragraph">
              <wp:posOffset>-3312795</wp:posOffset>
            </wp:positionV>
            <wp:extent cx="146685" cy="1708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46685" cy="170815"/>
                    </a:xfrm>
                    <a:prstGeom prst="rect">
                      <a:avLst/>
                    </a:prstGeom>
                    <a:noFill/>
                  </pic:spPr>
                </pic:pic>
              </a:graphicData>
            </a:graphic>
          </wp:anchor>
        </w:drawing>
        <w:drawing>
          <wp:anchor simplePos="0" relativeHeight="251657728" behindDoc="1" locked="0" layoutInCell="0" allowOverlap="1">
            <wp:simplePos x="0" y="0"/>
            <wp:positionH relativeFrom="column">
              <wp:posOffset>5577840</wp:posOffset>
            </wp:positionH>
            <wp:positionV relativeFrom="paragraph">
              <wp:posOffset>-3312795</wp:posOffset>
            </wp:positionV>
            <wp:extent cx="146685" cy="1708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46685" cy="170815"/>
                    </a:xfrm>
                    <a:prstGeom prst="rect">
                      <a:avLst/>
                    </a:prstGeom>
                    <a:noFill/>
                  </pic:spPr>
                </pic:pic>
              </a:graphicData>
            </a:graphic>
          </wp:anchor>
        </w:drawing>
        <w:drawing>
          <wp:anchor simplePos="0" relativeHeight="251657728" behindDoc="1" locked="0" layoutInCell="0" allowOverlap="1">
            <wp:simplePos x="0" y="0"/>
            <wp:positionH relativeFrom="column">
              <wp:posOffset>4715510</wp:posOffset>
            </wp:positionH>
            <wp:positionV relativeFrom="paragraph">
              <wp:posOffset>-2938145</wp:posOffset>
            </wp:positionV>
            <wp:extent cx="146685" cy="1708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46685" cy="170815"/>
                    </a:xfrm>
                    <a:prstGeom prst="rect">
                      <a:avLst/>
                    </a:prstGeom>
                    <a:noFill/>
                  </pic:spPr>
                </pic:pic>
              </a:graphicData>
            </a:graphic>
          </wp:anchor>
        </w:drawing>
        <w:drawing>
          <wp:anchor simplePos="0" relativeHeight="251657728" behindDoc="1" locked="0" layoutInCell="0" allowOverlap="1">
            <wp:simplePos x="0" y="0"/>
            <wp:positionH relativeFrom="column">
              <wp:posOffset>5577840</wp:posOffset>
            </wp:positionH>
            <wp:positionV relativeFrom="paragraph">
              <wp:posOffset>-2938145</wp:posOffset>
            </wp:positionV>
            <wp:extent cx="146685" cy="1708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46685" cy="170815"/>
                    </a:xfrm>
                    <a:prstGeom prst="rect">
                      <a:avLst/>
                    </a:prstGeom>
                    <a:noFill/>
                  </pic:spPr>
                </pic:pic>
              </a:graphicData>
            </a:graphic>
          </wp:anchor>
        </w:drawing>
        <w:drawing>
          <wp:anchor simplePos="0" relativeHeight="251657728" behindDoc="1" locked="0" layoutInCell="0" allowOverlap="1">
            <wp:simplePos x="0" y="0"/>
            <wp:positionH relativeFrom="column">
              <wp:posOffset>5146675</wp:posOffset>
            </wp:positionH>
            <wp:positionV relativeFrom="paragraph">
              <wp:posOffset>-2677795</wp:posOffset>
            </wp:positionV>
            <wp:extent cx="146685" cy="1708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46685" cy="17081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-2677795</wp:posOffset>
            </wp:positionV>
            <wp:extent cx="146685" cy="1708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46685" cy="170815"/>
                    </a:xfrm>
                    <a:prstGeom prst="rect">
                      <a:avLst/>
                    </a:prstGeom>
                    <a:noFill/>
                  </pic:spPr>
                </pic:pic>
              </a:graphicData>
            </a:graphic>
          </wp:anchor>
        </w:drawing>
        <w:drawing>
          <wp:anchor simplePos="0" relativeHeight="251657728" behindDoc="1" locked="0" layoutInCell="0" allowOverlap="1">
            <wp:simplePos x="0" y="0"/>
            <wp:positionH relativeFrom="column">
              <wp:posOffset>4715510</wp:posOffset>
            </wp:positionH>
            <wp:positionV relativeFrom="paragraph">
              <wp:posOffset>-2303145</wp:posOffset>
            </wp:positionV>
            <wp:extent cx="146685" cy="1708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46685" cy="170815"/>
                    </a:xfrm>
                    <a:prstGeom prst="rect">
                      <a:avLst/>
                    </a:prstGeom>
                    <a:noFill/>
                  </pic:spPr>
                </pic:pic>
              </a:graphicData>
            </a:graphic>
          </wp:anchor>
        </w:drawing>
        <w:drawing>
          <wp:anchor simplePos="0" relativeHeight="251657728" behindDoc="1" locked="0" layoutInCell="0" allowOverlap="1">
            <wp:simplePos x="0" y="0"/>
            <wp:positionH relativeFrom="column">
              <wp:posOffset>5577840</wp:posOffset>
            </wp:positionH>
            <wp:positionV relativeFrom="paragraph">
              <wp:posOffset>-2303145</wp:posOffset>
            </wp:positionV>
            <wp:extent cx="146685" cy="1708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46685" cy="170815"/>
                    </a:xfrm>
                    <a:prstGeom prst="rect">
                      <a:avLst/>
                    </a:prstGeom>
                    <a:noFill/>
                  </pic:spPr>
                </pic:pic>
              </a:graphicData>
            </a:graphic>
          </wp:anchor>
        </w:drawing>
        <w:drawing>
          <wp:anchor simplePos="0" relativeHeight="251657728" behindDoc="1" locked="0" layoutInCell="0" allowOverlap="1">
            <wp:simplePos x="0" y="0"/>
            <wp:positionH relativeFrom="column">
              <wp:posOffset>4715510</wp:posOffset>
            </wp:positionH>
            <wp:positionV relativeFrom="paragraph">
              <wp:posOffset>-2042795</wp:posOffset>
            </wp:positionV>
            <wp:extent cx="146685" cy="1708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46685" cy="170815"/>
                    </a:xfrm>
                    <a:prstGeom prst="rect">
                      <a:avLst/>
                    </a:prstGeom>
                    <a:noFill/>
                  </pic:spPr>
                </pic:pic>
              </a:graphicData>
            </a:graphic>
          </wp:anchor>
        </w:drawing>
        <w:drawing>
          <wp:anchor simplePos="0" relativeHeight="251657728" behindDoc="1" locked="0" layoutInCell="0" allowOverlap="1">
            <wp:simplePos x="0" y="0"/>
            <wp:positionH relativeFrom="column">
              <wp:posOffset>5577840</wp:posOffset>
            </wp:positionH>
            <wp:positionV relativeFrom="paragraph">
              <wp:posOffset>-2042795</wp:posOffset>
            </wp:positionV>
            <wp:extent cx="146685" cy="1708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46685" cy="170815"/>
                    </a:xfrm>
                    <a:prstGeom prst="rect">
                      <a:avLst/>
                    </a:prstGeom>
                    <a:noFill/>
                  </pic:spPr>
                </pic:pic>
              </a:graphicData>
            </a:graphic>
          </wp:anchor>
        </w:drawing>
        <w:drawing>
          <wp:anchor simplePos="0" relativeHeight="251657728" behindDoc="1" locked="0" layoutInCell="0" allowOverlap="1">
            <wp:simplePos x="0" y="0"/>
            <wp:positionH relativeFrom="column">
              <wp:posOffset>5146675</wp:posOffset>
            </wp:positionH>
            <wp:positionV relativeFrom="paragraph">
              <wp:posOffset>-1782445</wp:posOffset>
            </wp:positionV>
            <wp:extent cx="146685" cy="1708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46685" cy="170815"/>
                    </a:xfrm>
                    <a:prstGeom prst="rect">
                      <a:avLst/>
                    </a:prstGeom>
                    <a:noFill/>
                  </pic:spPr>
                </pic:pic>
              </a:graphicData>
            </a:graphic>
          </wp:anchor>
        </w:drawing>
        <w:drawing>
          <wp:anchor simplePos="0" relativeHeight="251657728" behindDoc="1" locked="0" layoutInCell="0" allowOverlap="1">
            <wp:simplePos x="0" y="0"/>
            <wp:positionH relativeFrom="column">
              <wp:posOffset>5577840</wp:posOffset>
            </wp:positionH>
            <wp:positionV relativeFrom="paragraph">
              <wp:posOffset>-1782445</wp:posOffset>
            </wp:positionV>
            <wp:extent cx="146685" cy="1708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46685" cy="170815"/>
                    </a:xfrm>
                    <a:prstGeom prst="rect">
                      <a:avLst/>
                    </a:prstGeom>
                    <a:noFill/>
                  </pic:spPr>
                </pic:pic>
              </a:graphicData>
            </a:graphic>
          </wp:anchor>
        </w:drawing>
        <w:drawing>
          <wp:anchor simplePos="0" relativeHeight="251657728" behindDoc="1" locked="0" layoutInCell="0" allowOverlap="1">
            <wp:simplePos x="0" y="0"/>
            <wp:positionH relativeFrom="column">
              <wp:posOffset>5146675</wp:posOffset>
            </wp:positionH>
            <wp:positionV relativeFrom="paragraph">
              <wp:posOffset>-1521460</wp:posOffset>
            </wp:positionV>
            <wp:extent cx="146685" cy="1708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46685" cy="17081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-1521460</wp:posOffset>
            </wp:positionV>
            <wp:extent cx="146685" cy="1708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46685" cy="170815"/>
                    </a:xfrm>
                    <a:prstGeom prst="rect">
                      <a:avLst/>
                    </a:prstGeom>
                    <a:noFill/>
                  </pic:spPr>
                </pic:pic>
              </a:graphicData>
            </a:graphic>
          </wp:anchor>
        </w:drawing>
        <w:drawing>
          <wp:anchor simplePos="0" relativeHeight="251657728" behindDoc="1" locked="0" layoutInCell="0" allowOverlap="1">
            <wp:simplePos x="0" y="0"/>
            <wp:positionH relativeFrom="column">
              <wp:posOffset>5146675</wp:posOffset>
            </wp:positionH>
            <wp:positionV relativeFrom="paragraph">
              <wp:posOffset>-1261110</wp:posOffset>
            </wp:positionV>
            <wp:extent cx="146685" cy="1708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46685" cy="17081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-1261110</wp:posOffset>
            </wp:positionV>
            <wp:extent cx="146685" cy="1708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46685" cy="170815"/>
                    </a:xfrm>
                    <a:prstGeom prst="rect">
                      <a:avLst/>
                    </a:prstGeom>
                    <a:noFill/>
                  </pic:spPr>
                </pic:pic>
              </a:graphicData>
            </a:graphic>
          </wp:anchor>
        </w:drawing>
        <w:drawing>
          <wp:anchor simplePos="0" relativeHeight="251657728" behindDoc="1" locked="0" layoutInCell="0" allowOverlap="1">
            <wp:simplePos x="0" y="0"/>
            <wp:positionH relativeFrom="column">
              <wp:posOffset>4715510</wp:posOffset>
            </wp:positionH>
            <wp:positionV relativeFrom="paragraph">
              <wp:posOffset>-1000760</wp:posOffset>
            </wp:positionV>
            <wp:extent cx="146685" cy="1708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46685" cy="170815"/>
                    </a:xfrm>
                    <a:prstGeom prst="rect">
                      <a:avLst/>
                    </a:prstGeom>
                    <a:noFill/>
                  </pic:spPr>
                </pic:pic>
              </a:graphicData>
            </a:graphic>
          </wp:anchor>
        </w:drawing>
        <w:drawing>
          <wp:anchor simplePos="0" relativeHeight="251657728" behindDoc="1" locked="0" layoutInCell="0" allowOverlap="1">
            <wp:simplePos x="0" y="0"/>
            <wp:positionH relativeFrom="column">
              <wp:posOffset>5577840</wp:posOffset>
            </wp:positionH>
            <wp:positionV relativeFrom="paragraph">
              <wp:posOffset>-1000760</wp:posOffset>
            </wp:positionV>
            <wp:extent cx="146685" cy="1708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46685" cy="170815"/>
                    </a:xfrm>
                    <a:prstGeom prst="rect">
                      <a:avLst/>
                    </a:prstGeom>
                    <a:noFill/>
                  </pic:spPr>
                </pic:pic>
              </a:graphicData>
            </a:graphic>
          </wp:anchor>
        </w:drawing>
        <w:drawing>
          <wp:anchor simplePos="0" relativeHeight="251657728" behindDoc="1" locked="0" layoutInCell="0" allowOverlap="1">
            <wp:simplePos x="0" y="0"/>
            <wp:positionH relativeFrom="column">
              <wp:posOffset>4715510</wp:posOffset>
            </wp:positionH>
            <wp:positionV relativeFrom="paragraph">
              <wp:posOffset>-479425</wp:posOffset>
            </wp:positionV>
            <wp:extent cx="146685" cy="1708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46685" cy="17081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-479425</wp:posOffset>
            </wp:positionV>
            <wp:extent cx="146685" cy="1708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46685" cy="170815"/>
                    </a:xfrm>
                    <a:prstGeom prst="rect">
                      <a:avLst/>
                    </a:prstGeom>
                    <a:noFill/>
                  </pic:spPr>
                </pic:pic>
              </a:graphicData>
            </a:graphic>
          </wp:anchor>
        </w:drawing>
      </w:r>
    </w:p>
    <w:p>
      <w:pPr>
        <w:ind w:left="380" w:hanging="377"/>
        <w:spacing w:after="0" w:line="186" w:lineRule="auto"/>
        <w:tabs>
          <w:tab w:leader="none" w:pos="380" w:val="left"/>
        </w:tabs>
        <w:numPr>
          <w:ilvl w:val="0"/>
          <w:numId w:val="5"/>
        </w:numPr>
        <w:rPr>
          <w:rFonts w:ascii="Arial" w:cs="Arial" w:eastAsia="Arial" w:hAnsi="Arial"/>
          <w:sz w:val="31"/>
          <w:szCs w:val="31"/>
          <w:color w:val="auto"/>
          <w:vertAlign w:val="superscript"/>
        </w:rPr>
      </w:pPr>
      <w:r>
        <w:rPr>
          <w:rFonts w:ascii="Arial" w:cs="Arial" w:eastAsia="Arial" w:hAnsi="Arial"/>
          <w:sz w:val="15"/>
          <w:szCs w:val="15"/>
          <w:color w:val="auto"/>
        </w:rPr>
        <w:t xml:space="preserve">Age as of March 29, 2019. </w:t>
      </w:r>
      <w:r>
        <w:rPr>
          <w:sz w:val="1"/>
          <w:szCs w:val="1"/>
          <w:color w:val="auto"/>
        </w:rPr>
        <w:drawing>
          <wp:inline distT="0" distB="0" distL="0" distR="0">
            <wp:extent cx="106045" cy="113665"/>
            <wp:effectExtent l="0" t="0" r="0"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06045" cy="113665"/>
                    </a:xfrm>
                    <a:prstGeom prst="rect">
                      <a:avLst/>
                    </a:prstGeom>
                    <a:noFill/>
                    <a:ln>
                      <a:noFill/>
                    </a:ln>
                  </pic:spPr>
                </pic:pic>
              </a:graphicData>
            </a:graphic>
          </wp:inline>
        </w:drawing>
      </w:r>
      <w:r>
        <w:rPr>
          <w:rFonts w:ascii="Arial" w:cs="Arial" w:eastAsia="Arial" w:hAnsi="Arial"/>
          <w:sz w:val="15"/>
          <w:szCs w:val="15"/>
          <w:color w:val="auto"/>
        </w:rPr>
        <w:t xml:space="preserve"> = Chair </w:t>
      </w:r>
      <w:r>
        <w:rPr>
          <w:sz w:val="1"/>
          <w:szCs w:val="1"/>
          <w:color w:val="auto"/>
        </w:rPr>
        <w:drawing>
          <wp:inline distT="0" distB="0" distL="0" distR="0">
            <wp:extent cx="106045" cy="113665"/>
            <wp:effectExtent l="0" t="0" r="0"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06045" cy="113665"/>
                    </a:xfrm>
                    <a:prstGeom prst="rect">
                      <a:avLst/>
                    </a:prstGeom>
                    <a:noFill/>
                    <a:ln>
                      <a:noFill/>
                    </a:ln>
                  </pic:spPr>
                </pic:pic>
              </a:graphicData>
            </a:graphic>
          </wp:inline>
        </w:drawing>
      </w:r>
      <w:r>
        <w:rPr>
          <w:rFonts w:ascii="Arial" w:cs="Arial" w:eastAsia="Arial" w:hAnsi="Arial"/>
          <w:sz w:val="15"/>
          <w:szCs w:val="15"/>
          <w:color w:val="auto"/>
        </w:rPr>
        <w:t xml:space="preserve"> = Member</w:t>
      </w:r>
    </w:p>
    <w:p>
      <w:pPr>
        <w:sectPr>
          <w:pgSz w:w="11900" w:h="16838" w:orient="portrait"/>
          <w:cols w:equalWidth="0" w:num="1">
            <w:col w:w="11400"/>
          </w:cols>
          <w:pgMar w:left="240" w:top="671" w:right="259" w:bottom="1440" w:gutter="0" w:footer="0" w:header="0"/>
        </w:sectPr>
      </w:pP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2 </w:t>
      </w:r>
      <w:r>
        <w:rPr>
          <w:rFonts w:ascii="Arial" w:cs="Arial" w:eastAsia="Arial" w:hAnsi="Arial"/>
          <w:sz w:val="13"/>
          <w:szCs w:val="13"/>
          <w:color w:val="auto"/>
        </w:rPr>
        <w:t>I</w:t>
      </w:r>
      <w:r>
        <w:rPr>
          <w:rFonts w:ascii="Arial" w:cs="Arial" w:eastAsia="Arial" w:hAnsi="Arial"/>
          <w:sz w:val="17"/>
          <w:szCs w:val="17"/>
          <w:color w:val="auto"/>
        </w:rPr>
        <w:t xml:space="preserve"> </w:t>
      </w:r>
      <w:r>
        <w:rPr>
          <w:rFonts w:ascii="Arial" w:cs="Arial" w:eastAsia="Arial" w:hAnsi="Arial"/>
          <w:sz w:val="13"/>
          <w:szCs w:val="13"/>
          <w:color w:val="34657F"/>
        </w:rPr>
        <w:t>NOTICE OF 2019 ANNUAL MEETING OF SHAREHOLDERS AND PROXY STATEMENT</w:t>
      </w:r>
    </w:p>
    <w:p>
      <w:pPr>
        <w:sectPr>
          <w:pgSz w:w="11900" w:h="16838" w:orient="portrait"/>
          <w:cols w:equalWidth="0" w:num="1">
            <w:col w:w="11400"/>
          </w:cols>
          <w:pgMar w:left="240" w:top="671" w:right="259" w:bottom="1440" w:gutter="0" w:footer="0" w:header="0"/>
          <w:type w:val="continuous"/>
        </w:sectPr>
      </w:pPr>
    </w:p>
    <w:bookmarkStart w:id="8" w:name="page9"/>
    <w:bookmarkEnd w:id="8"/>
    <w:p>
      <w:pPr>
        <w:ind w:left="20"/>
        <w:spacing w:after="0"/>
        <w:rPr>
          <w:sz w:val="20"/>
          <w:szCs w:val="20"/>
          <w:color w:val="auto"/>
        </w:rPr>
      </w:pPr>
      <w:r>
        <w:rPr>
          <w:rFonts w:ascii="Arial" w:cs="Arial" w:eastAsia="Arial" w:hAnsi="Arial"/>
          <w:sz w:val="21"/>
          <w:szCs w:val="21"/>
          <w:b w:val="1"/>
          <w:bCs w:val="1"/>
          <w:color w:val="FFFFFF"/>
        </w:rPr>
        <w:drawing>
          <wp:anchor simplePos="0" relativeHeight="251657728" behindDoc="1" locked="0" layoutInCell="0" allowOverlap="1">
            <wp:simplePos x="0" y="0"/>
            <wp:positionH relativeFrom="page">
              <wp:posOffset>154305</wp:posOffset>
            </wp:positionH>
            <wp:positionV relativeFrom="page">
              <wp:posOffset>365760</wp:posOffset>
            </wp:positionV>
            <wp:extent cx="7253605" cy="58610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3605" cy="586105"/>
                    </a:xfrm>
                    <a:prstGeom prst="rect">
                      <a:avLst/>
                    </a:prstGeom>
                    <a:noFill/>
                  </pic:spPr>
                </pic:pic>
              </a:graphicData>
            </a:graphic>
          </wp:anchor>
        </w:drawing>
        <w:t>PROXY STATEMENT SUMMARY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20"/>
        <w:spacing w:after="0"/>
        <w:rPr>
          <w:sz w:val="20"/>
          <w:szCs w:val="20"/>
          <w:color w:val="auto"/>
        </w:rPr>
      </w:pPr>
      <w:r>
        <w:rPr>
          <w:rFonts w:ascii="Arial" w:cs="Arial" w:eastAsia="Arial" w:hAnsi="Arial"/>
          <w:sz w:val="24"/>
          <w:szCs w:val="24"/>
          <w:b w:val="1"/>
          <w:bCs w:val="1"/>
          <w:color w:val="auto"/>
        </w:rPr>
        <w:t>Board Nominee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38100</wp:posOffset>
            </wp:positionV>
            <wp:extent cx="7253605" cy="165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color w:val="auto"/>
        </w:rPr>
        <w:t>The charts below reflect the tenure, independence and broad experience of our board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701675</wp:posOffset>
            </wp:positionH>
            <wp:positionV relativeFrom="paragraph">
              <wp:posOffset>55245</wp:posOffset>
            </wp:positionV>
            <wp:extent cx="5861685" cy="651256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861685" cy="6512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right"/>
        <w:spacing w:after="0"/>
        <w:rPr>
          <w:sz w:val="20"/>
          <w:szCs w:val="20"/>
          <w:color w:val="auto"/>
        </w:rPr>
      </w:pPr>
      <w:r>
        <w:rPr>
          <w:rFonts w:ascii="Arial" w:cs="Arial" w:eastAsia="Arial" w:hAnsi="Arial"/>
          <w:sz w:val="14"/>
          <w:szCs w:val="14"/>
          <w:color w:val="34657F"/>
        </w:rPr>
        <w:t xml:space="preserve">NOTICE OF 2019 ANNUAL MEETING OF SHAREHOLDERS AND PROXY STATEMENT </w:t>
      </w:r>
      <w:r>
        <w:rPr>
          <w:rFonts w:ascii="Arial" w:cs="Arial" w:eastAsia="Arial" w:hAnsi="Arial"/>
          <w:sz w:val="14"/>
          <w:szCs w:val="14"/>
          <w:color w:val="000000"/>
        </w:rPr>
        <w:t>I 3</w:t>
      </w:r>
    </w:p>
    <w:p>
      <w:pPr>
        <w:sectPr>
          <w:pgSz w:w="11900" w:h="16838" w:orient="portrait"/>
          <w:cols w:equalWidth="0" w:num="1">
            <w:col w:w="11420"/>
          </w:cols>
          <w:pgMar w:left="240" w:top="671" w:right="239" w:bottom="1440" w:gutter="0" w:footer="0" w:header="0"/>
        </w:sectPr>
      </w:pPr>
    </w:p>
    <w:bookmarkStart w:id="9" w:name="page10"/>
    <w:bookmarkEnd w:id="9"/>
    <w:p>
      <w:pPr>
        <w:ind w:left="20"/>
        <w:spacing w:after="0"/>
        <w:rPr>
          <w:sz w:val="20"/>
          <w:szCs w:val="20"/>
          <w:color w:val="auto"/>
        </w:rPr>
      </w:pPr>
      <w:r>
        <w:rPr>
          <w:rFonts w:ascii="Arial" w:cs="Arial" w:eastAsia="Arial" w:hAnsi="Arial"/>
          <w:sz w:val="21"/>
          <w:szCs w:val="21"/>
          <w:b w:val="1"/>
          <w:bCs w:val="1"/>
          <w:color w:val="FFFFFF"/>
        </w:rPr>
        <w:drawing>
          <wp:anchor simplePos="0" relativeHeight="251657728" behindDoc="1" locked="0" layoutInCell="0" allowOverlap="1">
            <wp:simplePos x="0" y="0"/>
            <wp:positionH relativeFrom="page">
              <wp:posOffset>154305</wp:posOffset>
            </wp:positionH>
            <wp:positionV relativeFrom="page">
              <wp:posOffset>365760</wp:posOffset>
            </wp:positionV>
            <wp:extent cx="7253605" cy="58610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3605" cy="586105"/>
                    </a:xfrm>
                    <a:prstGeom prst="rect">
                      <a:avLst/>
                    </a:prstGeom>
                    <a:noFill/>
                  </pic:spPr>
                </pic:pic>
              </a:graphicData>
            </a:graphic>
          </wp:anchor>
        </w:drawing>
        <w:t>PROXY STATEMENT SUMMARY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20"/>
        <w:spacing w:after="0"/>
        <w:rPr>
          <w:sz w:val="20"/>
          <w:szCs w:val="20"/>
          <w:color w:val="auto"/>
        </w:rPr>
      </w:pPr>
      <w:r>
        <w:rPr>
          <w:rFonts w:ascii="Arial" w:cs="Arial" w:eastAsia="Arial" w:hAnsi="Arial"/>
          <w:sz w:val="24"/>
          <w:szCs w:val="24"/>
          <w:b w:val="1"/>
          <w:bCs w:val="1"/>
          <w:color w:val="auto"/>
        </w:rPr>
        <w:t>Governance Highlights (pages 14-24)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38100</wp:posOffset>
            </wp:positionV>
            <wp:extent cx="7253605" cy="165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pacing w:after="0" w:line="142" w:lineRule="exact"/>
        <w:rPr>
          <w:sz w:val="20"/>
          <w:szCs w:val="20"/>
          <w:color w:val="auto"/>
        </w:rPr>
      </w:pPr>
    </w:p>
    <w:p>
      <w:pPr>
        <w:ind w:right="300"/>
        <w:spacing w:after="0" w:line="310" w:lineRule="auto"/>
        <w:rPr>
          <w:sz w:val="20"/>
          <w:szCs w:val="20"/>
          <w:color w:val="auto"/>
        </w:rPr>
      </w:pPr>
      <w:r>
        <w:rPr>
          <w:rFonts w:ascii="Arial" w:cs="Arial" w:eastAsia="Arial" w:hAnsi="Arial"/>
          <w:sz w:val="17"/>
          <w:szCs w:val="17"/>
          <w:color w:val="auto"/>
        </w:rPr>
        <w:t>We are committed to high standards of corporate governance and have a robust corporate governance program intended to promote the long-term success of our Company. Some highlights of our corporate governance practices are listed below.</w:t>
      </w:r>
    </w:p>
    <w:p>
      <w:pPr>
        <w:sectPr>
          <w:pgSz w:w="11900" w:h="16838" w:orient="portrait"/>
          <w:cols w:equalWidth="0" w:num="1">
            <w:col w:w="11380"/>
          </w:cols>
          <w:pgMar w:left="240" w:top="671" w:right="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60" w:firstLine="23"/>
        <w:spacing w:after="0" w:line="311" w:lineRule="auto"/>
        <w:rPr>
          <w:sz w:val="20"/>
          <w:szCs w:val="20"/>
          <w:color w:val="auto"/>
        </w:rPr>
      </w:pPr>
      <w:r>
        <w:rPr>
          <w:rFonts w:ascii="Arial" w:cs="Arial" w:eastAsia="Arial" w:hAnsi="Arial"/>
          <w:sz w:val="19"/>
          <w:szCs w:val="19"/>
          <w:b w:val="1"/>
          <w:bCs w:val="1"/>
          <w:color w:val="FFFFFF"/>
        </w:rPr>
        <w:t>Board Structure and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-1730375</wp:posOffset>
            </wp:positionV>
            <wp:extent cx="1099185" cy="38671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099185" cy="3867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left="60"/>
        <w:spacing w:after="0"/>
        <w:rPr>
          <w:sz w:val="20"/>
          <w:szCs w:val="20"/>
          <w:color w:val="auto"/>
        </w:rPr>
      </w:pPr>
      <w:r>
        <w:rPr>
          <w:rFonts w:ascii="Arial" w:cs="Arial" w:eastAsia="Arial" w:hAnsi="Arial"/>
          <w:sz w:val="21"/>
          <w:szCs w:val="21"/>
          <w:b w:val="1"/>
          <w:bCs w:val="1"/>
          <w:color w:val="FFFFFF"/>
        </w:rPr>
        <w:t>Shareholder</w:t>
      </w:r>
    </w:p>
    <w:p>
      <w:pPr>
        <w:spacing w:after="0" w:line="15" w:lineRule="exact"/>
        <w:rPr>
          <w:sz w:val="20"/>
          <w:szCs w:val="20"/>
          <w:color w:val="auto"/>
        </w:rPr>
      </w:pPr>
    </w:p>
    <w:p>
      <w:pPr>
        <w:jc w:val="center"/>
        <w:ind w:left="60"/>
        <w:spacing w:after="0"/>
        <w:rPr>
          <w:sz w:val="20"/>
          <w:szCs w:val="20"/>
          <w:color w:val="auto"/>
        </w:rPr>
      </w:pPr>
      <w:r>
        <w:rPr>
          <w:rFonts w:ascii="Arial" w:cs="Arial" w:eastAsia="Arial" w:hAnsi="Arial"/>
          <w:sz w:val="21"/>
          <w:szCs w:val="21"/>
          <w:b w:val="1"/>
          <w:bCs w:val="1"/>
          <w:color w:val="FFFFFF"/>
        </w:rPr>
        <w:t>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298450</wp:posOffset>
            </wp:positionV>
            <wp:extent cx="1099185" cy="15709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099185" cy="1570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left="60"/>
        <w:spacing w:after="0"/>
        <w:rPr>
          <w:sz w:val="20"/>
          <w:szCs w:val="20"/>
          <w:color w:val="auto"/>
        </w:rPr>
      </w:pPr>
      <w:r>
        <w:rPr>
          <w:rFonts w:ascii="Arial" w:cs="Arial" w:eastAsia="Arial" w:hAnsi="Arial"/>
          <w:sz w:val="21"/>
          <w:szCs w:val="21"/>
          <w:b w:val="1"/>
          <w:bCs w:val="1"/>
          <w:color w:val="FFFFFF"/>
        </w:rPr>
        <w:t>Corporate</w:t>
      </w:r>
    </w:p>
    <w:p>
      <w:pPr>
        <w:spacing w:after="0" w:line="5" w:lineRule="exact"/>
        <w:rPr>
          <w:sz w:val="20"/>
          <w:szCs w:val="20"/>
          <w:color w:val="auto"/>
        </w:rPr>
      </w:pPr>
    </w:p>
    <w:p>
      <w:pPr>
        <w:jc w:val="center"/>
        <w:ind w:left="60"/>
        <w:spacing w:after="0"/>
        <w:rPr>
          <w:sz w:val="20"/>
          <w:szCs w:val="20"/>
          <w:color w:val="auto"/>
        </w:rPr>
      </w:pPr>
      <w:r>
        <w:rPr>
          <w:rFonts w:ascii="Arial" w:cs="Arial" w:eastAsia="Arial" w:hAnsi="Arial"/>
          <w:sz w:val="21"/>
          <w:szCs w:val="21"/>
          <w:b w:val="1"/>
          <w:bCs w:val="1"/>
          <w:color w:val="FFFFFF"/>
        </w:rPr>
        <w:t>Responsibility</w:t>
      </w:r>
    </w:p>
    <w:p>
      <w:pPr>
        <w:jc w:val="center"/>
        <w:ind w:left="60"/>
        <w:spacing w:after="0" w:line="229" w:lineRule="auto"/>
        <w:rPr>
          <w:sz w:val="20"/>
          <w:szCs w:val="20"/>
          <w:color w:val="auto"/>
        </w:rPr>
      </w:pPr>
      <w:r>
        <w:rPr>
          <w:rFonts w:ascii="Arial" w:cs="Arial" w:eastAsia="Arial" w:hAnsi="Arial"/>
          <w:sz w:val="21"/>
          <w:szCs w:val="21"/>
          <w:b w:val="1"/>
          <w:bCs w:val="1"/>
          <w:color w:val="FFFFFF"/>
        </w:rPr>
        <w:t>and</w:t>
      </w:r>
    </w:p>
    <w:p>
      <w:pPr>
        <w:jc w:val="center"/>
        <w:ind w:left="60"/>
        <w:spacing w:after="0"/>
        <w:rPr>
          <w:sz w:val="20"/>
          <w:szCs w:val="20"/>
          <w:color w:val="auto"/>
        </w:rPr>
      </w:pPr>
      <w:r>
        <w:rPr>
          <w:rFonts w:ascii="Arial" w:cs="Arial" w:eastAsia="Arial" w:hAnsi="Arial"/>
          <w:sz w:val="21"/>
          <w:szCs w:val="21"/>
          <w:b w:val="1"/>
          <w:bCs w:val="1"/>
          <w:color w:val="FFFFFF"/>
        </w:rPr>
        <w:t>Sustainability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599440</wp:posOffset>
            </wp:positionV>
            <wp:extent cx="1099185" cy="6184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099185" cy="618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left="60"/>
        <w:spacing w:after="0"/>
        <w:rPr>
          <w:sz w:val="20"/>
          <w:szCs w:val="20"/>
          <w:color w:val="auto"/>
        </w:rPr>
      </w:pPr>
      <w:r>
        <w:rPr>
          <w:rFonts w:ascii="Arial" w:cs="Arial" w:eastAsia="Arial" w:hAnsi="Arial"/>
          <w:sz w:val="21"/>
          <w:szCs w:val="21"/>
          <w:b w:val="1"/>
          <w:bCs w:val="1"/>
          <w:color w:val="FFFFFF"/>
        </w:rPr>
        <w:t>Stock</w:t>
      </w:r>
    </w:p>
    <w:p>
      <w:pPr>
        <w:spacing w:after="0" w:line="15" w:lineRule="exact"/>
        <w:rPr>
          <w:sz w:val="20"/>
          <w:szCs w:val="20"/>
          <w:color w:val="auto"/>
        </w:rPr>
      </w:pPr>
    </w:p>
    <w:p>
      <w:pPr>
        <w:jc w:val="center"/>
        <w:ind w:left="60"/>
        <w:spacing w:after="0"/>
        <w:rPr>
          <w:sz w:val="20"/>
          <w:szCs w:val="20"/>
          <w:color w:val="auto"/>
        </w:rPr>
      </w:pPr>
      <w:r>
        <w:rPr>
          <w:rFonts w:ascii="Arial" w:cs="Arial" w:eastAsia="Arial" w:hAnsi="Arial"/>
          <w:sz w:val="21"/>
          <w:szCs w:val="21"/>
          <w:b w:val="1"/>
          <w:bCs w:val="1"/>
          <w:color w:val="FFFFFF"/>
        </w:rPr>
        <w:t>Ownership</w:t>
      </w:r>
    </w:p>
    <w:p>
      <w:pPr>
        <w:spacing w:after="0" w:line="20" w:lineRule="exact"/>
        <w:rPr>
          <w:sz w:val="20"/>
          <w:szCs w:val="20"/>
          <w:color w:val="auto"/>
        </w:rPr>
      </w:pPr>
      <w:r>
        <w:rPr>
          <w:sz w:val="20"/>
          <w:szCs w:val="20"/>
          <w:color w:val="auto"/>
        </w:rPr>
        <w:br w:type="column"/>
      </w:r>
    </w:p>
    <w:p>
      <w:pPr>
        <w:spacing w:after="0" w:line="83" w:lineRule="exact"/>
        <w:rPr>
          <w:sz w:val="20"/>
          <w:szCs w:val="20"/>
          <w:color w:val="auto"/>
        </w:rPr>
      </w:pPr>
    </w:p>
    <w:p>
      <w:pPr>
        <w:ind w:left="313" w:hanging="313"/>
        <w:spacing w:after="0"/>
        <w:tabs>
          <w:tab w:leader="none" w:pos="313" w:val="left"/>
        </w:tabs>
        <w:numPr>
          <w:ilvl w:val="0"/>
          <w:numId w:val="6"/>
        </w:numPr>
        <w:rPr>
          <w:rFonts w:ascii="MS PGothic" w:cs="MS PGothic" w:eastAsia="MS PGothic" w:hAnsi="MS PGothic"/>
          <w:sz w:val="19"/>
          <w:szCs w:val="19"/>
          <w:color w:val="auto"/>
        </w:rPr>
      </w:pPr>
      <w:r>
        <w:rPr>
          <w:rFonts w:ascii="Arial" w:cs="Arial" w:eastAsia="Arial" w:hAnsi="Arial"/>
          <w:sz w:val="17"/>
          <w:szCs w:val="17"/>
          <w:color w:val="auto"/>
        </w:rPr>
        <w:t xml:space="preserve">The Board is approximately </w:t>
      </w:r>
      <w:r>
        <w:rPr>
          <w:rFonts w:ascii="Arial" w:cs="Arial" w:eastAsia="Arial" w:hAnsi="Arial"/>
          <w:sz w:val="17"/>
          <w:szCs w:val="17"/>
          <w:b w:val="1"/>
          <w:bCs w:val="1"/>
          <w:color w:val="auto"/>
        </w:rPr>
        <w:t>85% independent</w:t>
      </w:r>
      <w:r>
        <w:rPr>
          <w:rFonts w:ascii="Arial" w:cs="Arial" w:eastAsia="Arial" w:hAnsi="Arial"/>
          <w:sz w:val="17"/>
          <w:szCs w:val="17"/>
          <w:color w:val="auto"/>
        </w:rPr>
        <w:t>.</w:t>
      </w:r>
    </w:p>
    <w:p>
      <w:pPr>
        <w:spacing w:after="0" w:line="82" w:lineRule="exact"/>
        <w:rPr>
          <w:rFonts w:ascii="MS PGothic" w:cs="MS PGothic" w:eastAsia="MS PGothic" w:hAnsi="MS PGothic"/>
          <w:sz w:val="19"/>
          <w:szCs w:val="19"/>
          <w:color w:val="auto"/>
        </w:rPr>
      </w:pPr>
    </w:p>
    <w:p>
      <w:pPr>
        <w:ind w:left="313" w:right="760" w:hanging="313"/>
        <w:spacing w:after="0" w:line="253" w:lineRule="auto"/>
        <w:tabs>
          <w:tab w:leader="none" w:pos="313" w:val="left"/>
        </w:tabs>
        <w:numPr>
          <w:ilvl w:val="0"/>
          <w:numId w:val="6"/>
        </w:numPr>
        <w:rPr>
          <w:rFonts w:ascii="MS PGothic" w:cs="MS PGothic" w:eastAsia="MS PGothic" w:hAnsi="MS PGothic"/>
          <w:sz w:val="19"/>
          <w:szCs w:val="19"/>
          <w:color w:val="auto"/>
        </w:rPr>
      </w:pPr>
      <w:r>
        <w:rPr>
          <w:rFonts w:ascii="Arial" w:cs="Arial" w:eastAsia="Arial" w:hAnsi="Arial"/>
          <w:sz w:val="17"/>
          <w:szCs w:val="17"/>
          <w:color w:val="auto"/>
        </w:rPr>
        <w:t xml:space="preserve">Each of the Audit, Compensation, Governance and Policy </w:t>
      </w:r>
      <w:r>
        <w:rPr>
          <w:rFonts w:ascii="Arial" w:cs="Arial" w:eastAsia="Arial" w:hAnsi="Arial"/>
          <w:sz w:val="17"/>
          <w:szCs w:val="17"/>
          <w:b w:val="1"/>
          <w:bCs w:val="1"/>
          <w:color w:val="auto"/>
        </w:rPr>
        <w:t>Committees is comprised entirely of independent</w:t>
      </w:r>
      <w:r>
        <w:rPr>
          <w:rFonts w:ascii="Arial" w:cs="Arial" w:eastAsia="Arial" w:hAnsi="Arial"/>
          <w:sz w:val="17"/>
          <w:szCs w:val="17"/>
          <w:color w:val="auto"/>
        </w:rPr>
        <w:t xml:space="preserve"> </w:t>
      </w:r>
      <w:r>
        <w:rPr>
          <w:rFonts w:ascii="Arial" w:cs="Arial" w:eastAsia="Arial" w:hAnsi="Arial"/>
          <w:sz w:val="17"/>
          <w:szCs w:val="17"/>
          <w:b w:val="1"/>
          <w:bCs w:val="1"/>
          <w:color w:val="auto"/>
        </w:rPr>
        <w:t>directors</w:t>
      </w:r>
      <w:r>
        <w:rPr>
          <w:rFonts w:ascii="Arial" w:cs="Arial" w:eastAsia="Arial" w:hAnsi="Arial"/>
          <w:sz w:val="17"/>
          <w:szCs w:val="17"/>
          <w:color w:val="auto"/>
        </w:rPr>
        <w:t>.</w:t>
      </w:r>
    </w:p>
    <w:p>
      <w:pPr>
        <w:spacing w:after="0" w:line="19" w:lineRule="exact"/>
        <w:rPr>
          <w:rFonts w:ascii="MS PGothic" w:cs="MS PGothic" w:eastAsia="MS PGothic" w:hAnsi="MS PGothic"/>
          <w:sz w:val="19"/>
          <w:szCs w:val="19"/>
          <w:color w:val="auto"/>
        </w:rPr>
      </w:pPr>
    </w:p>
    <w:p>
      <w:pPr>
        <w:ind w:left="313" w:right="140" w:hanging="313"/>
        <w:spacing w:after="0" w:line="253" w:lineRule="auto"/>
        <w:tabs>
          <w:tab w:leader="none" w:pos="313" w:val="left"/>
        </w:tabs>
        <w:numPr>
          <w:ilvl w:val="0"/>
          <w:numId w:val="6"/>
        </w:numPr>
        <w:rPr>
          <w:rFonts w:ascii="MS PGothic" w:cs="MS PGothic" w:eastAsia="MS PGothic" w:hAnsi="MS PGothic"/>
          <w:sz w:val="19"/>
          <w:szCs w:val="19"/>
          <w:color w:val="auto"/>
        </w:rPr>
      </w:pPr>
      <w:r>
        <w:rPr>
          <w:rFonts w:ascii="Arial" w:cs="Arial" w:eastAsia="Arial" w:hAnsi="Arial"/>
          <w:sz w:val="17"/>
          <w:szCs w:val="17"/>
          <w:color w:val="auto"/>
        </w:rPr>
        <w:t xml:space="preserve">Our policy </w:t>
      </w:r>
      <w:r>
        <w:rPr>
          <w:rFonts w:ascii="Arial" w:cs="Arial" w:eastAsia="Arial" w:hAnsi="Arial"/>
          <w:sz w:val="17"/>
          <w:szCs w:val="17"/>
          <w:b w:val="1"/>
          <w:bCs w:val="1"/>
          <w:color w:val="auto"/>
        </w:rPr>
        <w:t>limits the number of boards</w:t>
      </w:r>
      <w:r>
        <w:rPr>
          <w:rFonts w:ascii="Arial" w:cs="Arial" w:eastAsia="Arial" w:hAnsi="Arial"/>
          <w:sz w:val="17"/>
          <w:szCs w:val="17"/>
          <w:color w:val="auto"/>
        </w:rPr>
        <w:t xml:space="preserve"> on which our directors serve (no more than three other public company boards without special approval) to </w:t>
      </w:r>
      <w:r>
        <w:rPr>
          <w:rFonts w:ascii="Arial" w:cs="Arial" w:eastAsia="Arial" w:hAnsi="Arial"/>
          <w:sz w:val="17"/>
          <w:szCs w:val="17"/>
          <w:b w:val="1"/>
          <w:bCs w:val="1"/>
          <w:color w:val="auto"/>
        </w:rPr>
        <w:t>avoid overboarding</w:t>
      </w:r>
      <w:r>
        <w:rPr>
          <w:rFonts w:ascii="Arial" w:cs="Arial" w:eastAsia="Arial" w:hAnsi="Arial"/>
          <w:sz w:val="17"/>
          <w:szCs w:val="17"/>
          <w:color w:val="auto"/>
        </w:rPr>
        <w:t>.</w:t>
      </w:r>
    </w:p>
    <w:p>
      <w:pPr>
        <w:spacing w:after="0" w:line="19" w:lineRule="exact"/>
        <w:rPr>
          <w:rFonts w:ascii="MS PGothic" w:cs="MS PGothic" w:eastAsia="MS PGothic" w:hAnsi="MS PGothic"/>
          <w:sz w:val="19"/>
          <w:szCs w:val="19"/>
          <w:color w:val="auto"/>
        </w:rPr>
      </w:pPr>
    </w:p>
    <w:p>
      <w:pPr>
        <w:ind w:left="313" w:right="20" w:hanging="313"/>
        <w:spacing w:after="0" w:line="253" w:lineRule="auto"/>
        <w:tabs>
          <w:tab w:leader="none" w:pos="313" w:val="left"/>
        </w:tabs>
        <w:numPr>
          <w:ilvl w:val="0"/>
          <w:numId w:val="6"/>
        </w:numPr>
        <w:rPr>
          <w:rFonts w:ascii="MS PGothic" w:cs="MS PGothic" w:eastAsia="MS PGothic" w:hAnsi="MS PGothic"/>
          <w:sz w:val="19"/>
          <w:szCs w:val="19"/>
          <w:color w:val="auto"/>
        </w:rPr>
      </w:pPr>
      <w:r>
        <w:rPr>
          <w:rFonts w:ascii="Arial" w:cs="Arial" w:eastAsia="Arial" w:hAnsi="Arial"/>
          <w:sz w:val="17"/>
          <w:szCs w:val="17"/>
          <w:color w:val="auto"/>
        </w:rPr>
        <w:t xml:space="preserve">The independent directors </w:t>
      </w:r>
      <w:r>
        <w:rPr>
          <w:rFonts w:ascii="Arial" w:cs="Arial" w:eastAsia="Arial" w:hAnsi="Arial"/>
          <w:sz w:val="17"/>
          <w:szCs w:val="17"/>
          <w:b w:val="1"/>
          <w:bCs w:val="1"/>
          <w:color w:val="auto"/>
        </w:rPr>
        <w:t>regularly hold both executive sessions</w:t>
      </w:r>
      <w:r>
        <w:rPr>
          <w:rFonts w:ascii="Arial" w:cs="Arial" w:eastAsia="Arial" w:hAnsi="Arial"/>
          <w:sz w:val="17"/>
          <w:szCs w:val="17"/>
          <w:color w:val="auto"/>
        </w:rPr>
        <w:t xml:space="preserve"> led by our Chairperson </w:t>
      </w:r>
      <w:r>
        <w:rPr>
          <w:rFonts w:ascii="Arial" w:cs="Arial" w:eastAsia="Arial" w:hAnsi="Arial"/>
          <w:sz w:val="17"/>
          <w:szCs w:val="17"/>
          <w:b w:val="1"/>
          <w:bCs w:val="1"/>
          <w:color w:val="auto"/>
        </w:rPr>
        <w:t>and independent sessions</w:t>
      </w:r>
      <w:r>
        <w:rPr>
          <w:rFonts w:ascii="Arial" w:cs="Arial" w:eastAsia="Arial" w:hAnsi="Arial"/>
          <w:sz w:val="17"/>
          <w:szCs w:val="17"/>
          <w:color w:val="auto"/>
        </w:rPr>
        <w:t xml:space="preserve"> led by our Lead Independent Director.</w:t>
      </w:r>
    </w:p>
    <w:p>
      <w:pPr>
        <w:spacing w:after="0" w:line="19" w:lineRule="exact"/>
        <w:rPr>
          <w:rFonts w:ascii="MS PGothic" w:cs="MS PGothic" w:eastAsia="MS PGothic" w:hAnsi="MS PGothic"/>
          <w:sz w:val="19"/>
          <w:szCs w:val="19"/>
          <w:color w:val="auto"/>
        </w:rPr>
      </w:pPr>
    </w:p>
    <w:p>
      <w:pPr>
        <w:ind w:left="313" w:right="180" w:hanging="313"/>
        <w:spacing w:after="0" w:line="253" w:lineRule="auto"/>
        <w:tabs>
          <w:tab w:leader="none" w:pos="313" w:val="left"/>
        </w:tabs>
        <w:numPr>
          <w:ilvl w:val="0"/>
          <w:numId w:val="6"/>
        </w:numPr>
        <w:rPr>
          <w:rFonts w:ascii="MS PGothic" w:cs="MS PGothic" w:eastAsia="MS PGothic" w:hAnsi="MS PGothic"/>
          <w:sz w:val="19"/>
          <w:szCs w:val="19"/>
          <w:color w:val="auto"/>
        </w:rPr>
      </w:pPr>
      <w:r>
        <w:rPr>
          <w:rFonts w:ascii="Arial" w:cs="Arial" w:eastAsia="Arial" w:hAnsi="Arial"/>
          <w:sz w:val="17"/>
          <w:szCs w:val="17"/>
          <w:color w:val="auto"/>
        </w:rPr>
        <w:t xml:space="preserve">Our </w:t>
      </w:r>
      <w:r>
        <w:rPr>
          <w:rFonts w:ascii="Arial" w:cs="Arial" w:eastAsia="Arial" w:hAnsi="Arial"/>
          <w:sz w:val="17"/>
          <w:szCs w:val="17"/>
          <w:b w:val="1"/>
          <w:bCs w:val="1"/>
          <w:color w:val="auto"/>
        </w:rPr>
        <w:t>Lead Independent Director</w:t>
      </w:r>
      <w:r>
        <w:rPr>
          <w:rFonts w:ascii="Arial" w:cs="Arial" w:eastAsia="Arial" w:hAnsi="Arial"/>
          <w:sz w:val="17"/>
          <w:szCs w:val="17"/>
          <w:color w:val="auto"/>
        </w:rPr>
        <w:t xml:space="preserve">, appointed annually by the independent directors, is empowered </w:t>
      </w:r>
      <w:r>
        <w:rPr>
          <w:rFonts w:ascii="Arial" w:cs="Arial" w:eastAsia="Arial" w:hAnsi="Arial"/>
          <w:sz w:val="17"/>
          <w:szCs w:val="17"/>
          <w:b w:val="1"/>
          <w:bCs w:val="1"/>
          <w:color w:val="auto"/>
        </w:rPr>
        <w:t>with a robust set of</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responsibilities </w:t>
      </w:r>
      <w:r>
        <w:rPr>
          <w:rFonts w:ascii="Arial" w:cs="Arial" w:eastAsia="Arial" w:hAnsi="Arial"/>
          <w:sz w:val="17"/>
          <w:szCs w:val="17"/>
          <w:color w:val="auto"/>
        </w:rPr>
        <w:t>and provides additional independent oversight of senior management and Board leadership.</w:t>
      </w:r>
    </w:p>
    <w:p>
      <w:pPr>
        <w:spacing w:after="0" w:line="19" w:lineRule="exact"/>
        <w:rPr>
          <w:rFonts w:ascii="MS PGothic" w:cs="MS PGothic" w:eastAsia="MS PGothic" w:hAnsi="MS PGothic"/>
          <w:sz w:val="19"/>
          <w:szCs w:val="19"/>
          <w:color w:val="auto"/>
        </w:rPr>
      </w:pPr>
    </w:p>
    <w:p>
      <w:pPr>
        <w:ind w:left="313" w:right="560" w:hanging="313"/>
        <w:spacing w:after="0" w:line="253" w:lineRule="auto"/>
        <w:tabs>
          <w:tab w:leader="none" w:pos="313" w:val="left"/>
        </w:tabs>
        <w:numPr>
          <w:ilvl w:val="0"/>
          <w:numId w:val="6"/>
        </w:numPr>
        <w:rPr>
          <w:rFonts w:ascii="MS PGothic" w:cs="MS PGothic" w:eastAsia="MS PGothic" w:hAnsi="MS PGothic"/>
          <w:sz w:val="19"/>
          <w:szCs w:val="19"/>
          <w:color w:val="auto"/>
        </w:rPr>
      </w:pPr>
      <w:r>
        <w:rPr>
          <w:rFonts w:ascii="Arial" w:cs="Arial" w:eastAsia="Arial" w:hAnsi="Arial"/>
          <w:sz w:val="17"/>
          <w:szCs w:val="17"/>
          <w:color w:val="auto"/>
        </w:rPr>
        <w:t xml:space="preserve">All directors are </w:t>
      </w:r>
      <w:r>
        <w:rPr>
          <w:rFonts w:ascii="Arial" w:cs="Arial" w:eastAsia="Arial" w:hAnsi="Arial"/>
          <w:sz w:val="17"/>
          <w:szCs w:val="17"/>
          <w:b w:val="1"/>
          <w:bCs w:val="1"/>
          <w:color w:val="auto"/>
        </w:rPr>
        <w:t>elected annually</w:t>
      </w:r>
      <w:r>
        <w:rPr>
          <w:rFonts w:ascii="Arial" w:cs="Arial" w:eastAsia="Arial" w:hAnsi="Arial"/>
          <w:sz w:val="17"/>
          <w:szCs w:val="17"/>
          <w:color w:val="auto"/>
        </w:rPr>
        <w:t xml:space="preserve"> based on a </w:t>
      </w:r>
      <w:r>
        <w:rPr>
          <w:rFonts w:ascii="Arial" w:cs="Arial" w:eastAsia="Arial" w:hAnsi="Arial"/>
          <w:sz w:val="17"/>
          <w:szCs w:val="17"/>
          <w:b w:val="1"/>
          <w:bCs w:val="1"/>
          <w:color w:val="auto"/>
        </w:rPr>
        <w:t>majority voting standard</w:t>
      </w:r>
      <w:r>
        <w:rPr>
          <w:rFonts w:ascii="Arial" w:cs="Arial" w:eastAsia="Arial" w:hAnsi="Arial"/>
          <w:sz w:val="17"/>
          <w:szCs w:val="17"/>
          <w:color w:val="auto"/>
        </w:rPr>
        <w:t xml:space="preserve"> in uncontested elections, with a </w:t>
      </w:r>
      <w:r>
        <w:rPr>
          <w:rFonts w:ascii="Arial" w:cs="Arial" w:eastAsia="Arial" w:hAnsi="Arial"/>
          <w:sz w:val="17"/>
          <w:szCs w:val="17"/>
          <w:b w:val="1"/>
          <w:bCs w:val="1"/>
          <w:color w:val="auto"/>
        </w:rPr>
        <w:t>director</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resignation policy </w:t>
      </w:r>
      <w:r>
        <w:rPr>
          <w:rFonts w:ascii="Arial" w:cs="Arial" w:eastAsia="Arial" w:hAnsi="Arial"/>
          <w:sz w:val="17"/>
          <w:szCs w:val="17"/>
          <w:color w:val="auto"/>
        </w:rPr>
        <w:t>if a director fails to receive a majority of votes cast "for" his or her election.</w:t>
      </w:r>
    </w:p>
    <w:p>
      <w:pPr>
        <w:spacing w:after="0" w:line="39" w:lineRule="exact"/>
        <w:rPr>
          <w:rFonts w:ascii="MS PGothic" w:cs="MS PGothic" w:eastAsia="MS PGothic" w:hAnsi="MS PGothic"/>
          <w:sz w:val="19"/>
          <w:szCs w:val="19"/>
          <w:color w:val="auto"/>
        </w:rPr>
      </w:pPr>
    </w:p>
    <w:p>
      <w:pPr>
        <w:ind w:left="313" w:right="440" w:hanging="313"/>
        <w:spacing w:after="0" w:line="241" w:lineRule="auto"/>
        <w:tabs>
          <w:tab w:leader="none" w:pos="313" w:val="left"/>
        </w:tabs>
        <w:numPr>
          <w:ilvl w:val="0"/>
          <w:numId w:val="6"/>
        </w:numPr>
        <w:rPr>
          <w:rFonts w:ascii="MS PGothic" w:cs="MS PGothic" w:eastAsia="MS PGothic" w:hAnsi="MS PGothic"/>
          <w:sz w:val="19"/>
          <w:szCs w:val="19"/>
          <w:color w:val="auto"/>
        </w:rPr>
      </w:pPr>
      <w:r>
        <w:rPr>
          <w:rFonts w:ascii="Arial" w:cs="Arial" w:eastAsia="Arial" w:hAnsi="Arial"/>
          <w:sz w:val="17"/>
          <w:szCs w:val="17"/>
          <w:color w:val="auto"/>
        </w:rPr>
        <w:t xml:space="preserve">The Board nominees reflect a balanced mix of directors with deep Company and industry knowledge, and fresh and diverse perspectives, with an </w:t>
      </w:r>
      <w:r>
        <w:rPr>
          <w:rFonts w:ascii="Arial" w:cs="Arial" w:eastAsia="Arial" w:hAnsi="Arial"/>
          <w:sz w:val="17"/>
          <w:szCs w:val="17"/>
          <w:b w:val="1"/>
          <w:bCs w:val="1"/>
          <w:color w:val="auto"/>
        </w:rPr>
        <w:t>average director tenure of 6.5 years</w:t>
      </w:r>
      <w:r>
        <w:rPr>
          <w:rFonts w:ascii="Arial" w:cs="Arial" w:eastAsia="Arial" w:hAnsi="Arial"/>
          <w:sz w:val="17"/>
          <w:szCs w:val="17"/>
          <w:color w:val="auto"/>
        </w:rPr>
        <w:t>.</w:t>
      </w:r>
    </w:p>
    <w:p>
      <w:pPr>
        <w:spacing w:after="0" w:line="19" w:lineRule="exact"/>
        <w:rPr>
          <w:rFonts w:ascii="MS PGothic" w:cs="MS PGothic" w:eastAsia="MS PGothic" w:hAnsi="MS PGothic"/>
          <w:sz w:val="19"/>
          <w:szCs w:val="19"/>
          <w:color w:val="auto"/>
        </w:rPr>
      </w:pPr>
    </w:p>
    <w:p>
      <w:pPr>
        <w:ind w:left="313" w:hanging="313"/>
        <w:spacing w:after="0" w:line="248" w:lineRule="auto"/>
        <w:tabs>
          <w:tab w:leader="none" w:pos="313" w:val="left"/>
        </w:tabs>
        <w:numPr>
          <w:ilvl w:val="0"/>
          <w:numId w:val="6"/>
        </w:numPr>
        <w:rPr>
          <w:rFonts w:ascii="MS PGothic" w:cs="MS PGothic" w:eastAsia="MS PGothic" w:hAnsi="MS PGothic"/>
          <w:sz w:val="19"/>
          <w:szCs w:val="19"/>
          <w:color w:val="auto"/>
        </w:rPr>
      </w:pPr>
      <w:r>
        <w:rPr>
          <w:rFonts w:ascii="Arial" w:cs="Arial" w:eastAsia="Arial" w:hAnsi="Arial"/>
          <w:sz w:val="17"/>
          <w:szCs w:val="17"/>
          <w:color w:val="auto"/>
        </w:rPr>
        <w:t xml:space="preserve">The Board and each Committee annually conduct a </w:t>
      </w:r>
      <w:r>
        <w:rPr>
          <w:rFonts w:ascii="Arial" w:cs="Arial" w:eastAsia="Arial" w:hAnsi="Arial"/>
          <w:sz w:val="17"/>
          <w:szCs w:val="17"/>
          <w:b w:val="1"/>
          <w:bCs w:val="1"/>
          <w:color w:val="auto"/>
        </w:rPr>
        <w:t>thorough self-assessment process focused on Board or</w:t>
      </w:r>
      <w:r>
        <w:rPr>
          <w:rFonts w:ascii="Arial" w:cs="Arial" w:eastAsia="Arial" w:hAnsi="Arial"/>
          <w:sz w:val="17"/>
          <w:szCs w:val="17"/>
          <w:color w:val="auto"/>
        </w:rPr>
        <w:t xml:space="preserve"> </w:t>
      </w:r>
      <w:r>
        <w:rPr>
          <w:rFonts w:ascii="Arial" w:cs="Arial" w:eastAsia="Arial" w:hAnsi="Arial"/>
          <w:sz w:val="17"/>
          <w:szCs w:val="17"/>
          <w:b w:val="1"/>
          <w:bCs w:val="1"/>
          <w:color w:val="auto"/>
        </w:rPr>
        <w:t>Committee performance, respectively</w:t>
      </w:r>
      <w:r>
        <w:rPr>
          <w:rFonts w:ascii="Arial" w:cs="Arial" w:eastAsia="Arial" w:hAnsi="Arial"/>
          <w:sz w:val="17"/>
          <w:szCs w:val="17"/>
          <w:color w:val="auto"/>
        </w:rPr>
        <w:t>. In addition, each director completes an</w:t>
      </w:r>
      <w:r>
        <w:rPr>
          <w:rFonts w:ascii="Arial" w:cs="Arial" w:eastAsia="Arial" w:hAnsi="Arial"/>
          <w:sz w:val="17"/>
          <w:szCs w:val="17"/>
          <w:b w:val="1"/>
          <w:bCs w:val="1"/>
          <w:color w:val="auto"/>
        </w:rPr>
        <w:t xml:space="preserve"> individual director evaluation </w:t>
      </w:r>
      <w:r>
        <w:rPr>
          <w:rFonts w:ascii="Arial" w:cs="Arial" w:eastAsia="Arial" w:hAnsi="Arial"/>
          <w:sz w:val="17"/>
          <w:szCs w:val="17"/>
          <w:color w:val="auto"/>
        </w:rPr>
        <w:t>for each</w:t>
      </w:r>
      <w:r>
        <w:rPr>
          <w:rFonts w:ascii="Arial" w:cs="Arial" w:eastAsia="Arial" w:hAnsi="Arial"/>
          <w:sz w:val="17"/>
          <w:szCs w:val="17"/>
          <w:b w:val="1"/>
          <w:bCs w:val="1"/>
          <w:color w:val="auto"/>
        </w:rPr>
        <w:t xml:space="preserve"> </w:t>
      </w:r>
      <w:r>
        <w:rPr>
          <w:rFonts w:ascii="Arial" w:cs="Arial" w:eastAsia="Arial" w:hAnsi="Arial"/>
          <w:sz w:val="17"/>
          <w:szCs w:val="17"/>
          <w:color w:val="auto"/>
        </w:rPr>
        <w:t>of the other directors and receives feedback on his or her own performance.</w:t>
      </w:r>
    </w:p>
    <w:p>
      <w:pPr>
        <w:spacing w:after="0" w:line="18" w:lineRule="exact"/>
        <w:rPr>
          <w:rFonts w:ascii="MS PGothic" w:cs="MS PGothic" w:eastAsia="MS PGothic" w:hAnsi="MS PGothic"/>
          <w:sz w:val="19"/>
          <w:szCs w:val="19"/>
          <w:color w:val="auto"/>
        </w:rPr>
      </w:pPr>
    </w:p>
    <w:p>
      <w:pPr>
        <w:ind w:left="313" w:right="40" w:hanging="313"/>
        <w:spacing w:after="0" w:line="253" w:lineRule="auto"/>
        <w:tabs>
          <w:tab w:leader="none" w:pos="313" w:val="left"/>
        </w:tabs>
        <w:numPr>
          <w:ilvl w:val="0"/>
          <w:numId w:val="6"/>
        </w:numPr>
        <w:rPr>
          <w:rFonts w:ascii="MS PGothic" w:cs="MS PGothic" w:eastAsia="MS PGothic" w:hAnsi="MS PGothic"/>
          <w:sz w:val="19"/>
          <w:szCs w:val="19"/>
          <w:color w:val="auto"/>
        </w:rPr>
      </w:pPr>
      <w:r>
        <w:rPr>
          <w:rFonts w:ascii="Arial" w:cs="Arial" w:eastAsia="Arial" w:hAnsi="Arial"/>
          <w:sz w:val="17"/>
          <w:szCs w:val="17"/>
          <w:color w:val="auto"/>
        </w:rPr>
        <w:t xml:space="preserve">We have a </w:t>
      </w:r>
      <w:r>
        <w:rPr>
          <w:rFonts w:ascii="Arial" w:cs="Arial" w:eastAsia="Arial" w:hAnsi="Arial"/>
          <w:sz w:val="17"/>
          <w:szCs w:val="17"/>
          <w:b w:val="1"/>
          <w:bCs w:val="1"/>
          <w:color w:val="auto"/>
        </w:rPr>
        <w:t>director retirement policy</w:t>
      </w:r>
      <w:r>
        <w:rPr>
          <w:rFonts w:ascii="Arial" w:cs="Arial" w:eastAsia="Arial" w:hAnsi="Arial"/>
          <w:sz w:val="17"/>
          <w:szCs w:val="17"/>
          <w:color w:val="auto"/>
        </w:rPr>
        <w:t xml:space="preserve"> for directors who reach the age of 75 and are </w:t>
      </w:r>
      <w:r>
        <w:rPr>
          <w:rFonts w:ascii="Arial" w:cs="Arial" w:eastAsia="Arial" w:hAnsi="Arial"/>
          <w:sz w:val="17"/>
          <w:szCs w:val="17"/>
          <w:b w:val="1"/>
          <w:bCs w:val="1"/>
          <w:color w:val="auto"/>
        </w:rPr>
        <w:t>committed to Board refreshment</w:t>
      </w:r>
      <w:r>
        <w:rPr>
          <w:rFonts w:ascii="Arial" w:cs="Arial" w:eastAsia="Arial" w:hAnsi="Arial"/>
          <w:sz w:val="17"/>
          <w:szCs w:val="17"/>
          <w:color w:val="auto"/>
        </w:rPr>
        <w:t xml:space="preserve">, with the addition of </w:t>
      </w:r>
      <w:r>
        <w:rPr>
          <w:rFonts w:ascii="Arial" w:cs="Arial" w:eastAsia="Arial" w:hAnsi="Arial"/>
          <w:sz w:val="17"/>
          <w:szCs w:val="17"/>
          <w:b w:val="1"/>
          <w:bCs w:val="1"/>
          <w:color w:val="auto"/>
        </w:rPr>
        <w:t>five new directors to the Board in the last five years</w:t>
      </w:r>
      <w:r>
        <w:rPr>
          <w:rFonts w:ascii="Arial" w:cs="Arial" w:eastAsia="Arial" w:hAnsi="Arial"/>
          <w:sz w:val="17"/>
          <w:szCs w:val="17"/>
          <w:color w:val="auto"/>
        </w:rPr>
        <w:t>.</w:t>
      </w:r>
    </w:p>
    <w:p>
      <w:pPr>
        <w:spacing w:after="0" w:line="39" w:lineRule="exact"/>
        <w:rPr>
          <w:rFonts w:ascii="MS PGothic" w:cs="MS PGothic" w:eastAsia="MS PGothic" w:hAnsi="MS PGothic"/>
          <w:sz w:val="19"/>
          <w:szCs w:val="19"/>
          <w:color w:val="auto"/>
        </w:rPr>
      </w:pPr>
    </w:p>
    <w:p>
      <w:pPr>
        <w:ind w:left="313" w:right="300" w:hanging="313"/>
        <w:spacing w:after="0" w:line="243" w:lineRule="auto"/>
        <w:tabs>
          <w:tab w:leader="none" w:pos="313" w:val="left"/>
        </w:tabs>
        <w:numPr>
          <w:ilvl w:val="0"/>
          <w:numId w:val="6"/>
        </w:numPr>
        <w:rPr>
          <w:rFonts w:ascii="MS PGothic" w:cs="MS PGothic" w:eastAsia="MS PGothic" w:hAnsi="MS PGothic"/>
          <w:sz w:val="17"/>
          <w:szCs w:val="17"/>
          <w:color w:val="auto"/>
        </w:rPr>
      </w:pPr>
      <w:r>
        <w:rPr>
          <w:rFonts w:ascii="Arial" w:cs="Arial" w:eastAsia="Arial" w:hAnsi="Arial"/>
          <w:sz w:val="17"/>
          <w:szCs w:val="17"/>
          <w:color w:val="auto"/>
        </w:rPr>
        <w:t>Three of our directors - Marianne Brown, Ann Fudge and Madeleine Kleiner - have been honored by Women's Inc. as three of the most influential corporate directors of 2018.</w:t>
      </w:r>
    </w:p>
    <w:p>
      <w:pPr>
        <w:spacing w:after="0" w:line="40" w:lineRule="exact"/>
        <w:rPr>
          <w:rFonts w:ascii="MS PGothic" w:cs="MS PGothic" w:eastAsia="MS PGothic" w:hAnsi="MS PGothic"/>
          <w:sz w:val="17"/>
          <w:szCs w:val="17"/>
          <w:color w:val="auto"/>
        </w:rPr>
      </w:pPr>
    </w:p>
    <w:p>
      <w:pPr>
        <w:ind w:left="313" w:right="440" w:hanging="313"/>
        <w:spacing w:after="0" w:line="247" w:lineRule="auto"/>
        <w:tabs>
          <w:tab w:leader="none" w:pos="313" w:val="left"/>
        </w:tabs>
        <w:numPr>
          <w:ilvl w:val="0"/>
          <w:numId w:val="6"/>
        </w:numPr>
        <w:rPr>
          <w:rFonts w:ascii="MS PGothic" w:cs="MS PGothic" w:eastAsia="MS PGothic" w:hAnsi="MS PGothic"/>
          <w:sz w:val="17"/>
          <w:szCs w:val="17"/>
          <w:color w:val="auto"/>
        </w:rPr>
      </w:pPr>
      <w:r>
        <w:rPr>
          <w:rFonts w:ascii="Arial" w:cs="Arial" w:eastAsia="Arial" w:hAnsi="Arial"/>
          <w:sz w:val="17"/>
          <w:szCs w:val="17"/>
          <w:color w:val="auto"/>
        </w:rPr>
        <w:t>One of our directors - William Hernandez - has been recognized by a local chapter of the NACD with a leadership in corporate governance award in 2018.</w:t>
      </w:r>
    </w:p>
    <w:p>
      <w:pPr>
        <w:spacing w:after="0" w:line="205" w:lineRule="exact"/>
        <w:rPr>
          <w:rFonts w:ascii="MS PGothic" w:cs="MS PGothic" w:eastAsia="MS PGothic" w:hAnsi="MS PGothic"/>
          <w:sz w:val="17"/>
          <w:szCs w:val="17"/>
          <w:color w:val="auto"/>
        </w:rPr>
      </w:pPr>
    </w:p>
    <w:p>
      <w:pPr>
        <w:ind w:left="313" w:right="340" w:hanging="313"/>
        <w:spacing w:after="0" w:line="255" w:lineRule="auto"/>
        <w:tabs>
          <w:tab w:leader="none" w:pos="313" w:val="left"/>
        </w:tabs>
        <w:numPr>
          <w:ilvl w:val="0"/>
          <w:numId w:val="6"/>
        </w:numPr>
        <w:rPr>
          <w:rFonts w:ascii="MS PGothic" w:cs="MS PGothic" w:eastAsia="MS PGothic" w:hAnsi="MS PGothic"/>
          <w:sz w:val="17"/>
          <w:szCs w:val="17"/>
          <w:color w:val="auto"/>
        </w:rPr>
      </w:pPr>
      <w:r>
        <w:rPr>
          <w:rFonts w:ascii="Arial" w:cs="Arial" w:eastAsia="Arial" w:hAnsi="Arial"/>
          <w:sz w:val="17"/>
          <w:szCs w:val="17"/>
          <w:color w:val="auto"/>
        </w:rPr>
        <w:t xml:space="preserve">The Board has adopted a </w:t>
      </w:r>
      <w:r>
        <w:rPr>
          <w:rFonts w:ascii="Arial" w:cs="Arial" w:eastAsia="Arial" w:hAnsi="Arial"/>
          <w:sz w:val="17"/>
          <w:szCs w:val="17"/>
          <w:b w:val="1"/>
          <w:bCs w:val="1"/>
          <w:color w:val="auto"/>
        </w:rPr>
        <w:t>robust proxy access bylaw provision</w:t>
      </w:r>
      <w:r>
        <w:rPr>
          <w:rFonts w:ascii="Arial" w:cs="Arial" w:eastAsia="Arial" w:hAnsi="Arial"/>
          <w:sz w:val="17"/>
          <w:szCs w:val="17"/>
          <w:color w:val="auto"/>
        </w:rPr>
        <w:t>, allowing eligible shareholders to include their own director nominees in the Company's proxy materials.</w:t>
      </w:r>
    </w:p>
    <w:p>
      <w:pPr>
        <w:spacing w:after="0" w:line="20" w:lineRule="exact"/>
        <w:rPr>
          <w:rFonts w:ascii="MS PGothic" w:cs="MS PGothic" w:eastAsia="MS PGothic" w:hAnsi="MS PGothic"/>
          <w:sz w:val="17"/>
          <w:szCs w:val="17"/>
          <w:color w:val="auto"/>
        </w:rPr>
      </w:pPr>
    </w:p>
    <w:p>
      <w:pPr>
        <w:ind w:left="313" w:hanging="313"/>
        <w:spacing w:after="0"/>
        <w:tabs>
          <w:tab w:leader="none" w:pos="313" w:val="left"/>
        </w:tabs>
        <w:numPr>
          <w:ilvl w:val="0"/>
          <w:numId w:val="6"/>
        </w:numPr>
        <w:rPr>
          <w:rFonts w:ascii="MS PGothic" w:cs="MS PGothic" w:eastAsia="MS PGothic" w:hAnsi="MS PGothic"/>
          <w:sz w:val="17"/>
          <w:szCs w:val="17"/>
          <w:color w:val="auto"/>
        </w:rPr>
      </w:pPr>
      <w:r>
        <w:rPr>
          <w:rFonts w:ascii="Arial" w:cs="Arial" w:eastAsia="Arial" w:hAnsi="Arial"/>
          <w:sz w:val="17"/>
          <w:szCs w:val="17"/>
          <w:color w:val="auto"/>
        </w:rPr>
        <w:t xml:space="preserve">Shareholders holding at least 25% of our common stock have the </w:t>
      </w:r>
      <w:r>
        <w:rPr>
          <w:rFonts w:ascii="Arial" w:cs="Arial" w:eastAsia="Arial" w:hAnsi="Arial"/>
          <w:sz w:val="17"/>
          <w:szCs w:val="17"/>
          <w:b w:val="1"/>
          <w:bCs w:val="1"/>
          <w:color w:val="auto"/>
        </w:rPr>
        <w:t>right to call a special meeting</w:t>
      </w:r>
      <w:r>
        <w:rPr>
          <w:rFonts w:ascii="Arial" w:cs="Arial" w:eastAsia="Arial" w:hAnsi="Arial"/>
          <w:sz w:val="17"/>
          <w:szCs w:val="17"/>
          <w:color w:val="auto"/>
        </w:rPr>
        <w:t>.</w:t>
      </w:r>
    </w:p>
    <w:p>
      <w:pPr>
        <w:spacing w:after="0" w:line="60" w:lineRule="exact"/>
        <w:rPr>
          <w:rFonts w:ascii="MS PGothic" w:cs="MS PGothic" w:eastAsia="MS PGothic" w:hAnsi="MS PGothic"/>
          <w:sz w:val="17"/>
          <w:szCs w:val="17"/>
          <w:color w:val="auto"/>
        </w:rPr>
      </w:pPr>
    </w:p>
    <w:p>
      <w:pPr>
        <w:ind w:left="313" w:hanging="313"/>
        <w:spacing w:after="0"/>
        <w:tabs>
          <w:tab w:leader="none" w:pos="313" w:val="left"/>
        </w:tabs>
        <w:numPr>
          <w:ilvl w:val="0"/>
          <w:numId w:val="6"/>
        </w:numPr>
        <w:rPr>
          <w:rFonts w:ascii="MS PGothic" w:cs="MS PGothic" w:eastAsia="MS PGothic" w:hAnsi="MS PGothic"/>
          <w:sz w:val="17"/>
          <w:szCs w:val="17"/>
          <w:color w:val="auto"/>
        </w:rPr>
      </w:pPr>
      <w:r>
        <w:rPr>
          <w:rFonts w:ascii="Arial" w:cs="Arial" w:eastAsia="Arial" w:hAnsi="Arial"/>
          <w:sz w:val="17"/>
          <w:szCs w:val="17"/>
          <w:color w:val="auto"/>
        </w:rPr>
        <w:t xml:space="preserve">Shareholders holding at least 25% of our common stock have the right to take </w:t>
      </w:r>
      <w:r>
        <w:rPr>
          <w:rFonts w:ascii="Arial" w:cs="Arial" w:eastAsia="Arial" w:hAnsi="Arial"/>
          <w:sz w:val="17"/>
          <w:szCs w:val="17"/>
          <w:b w:val="1"/>
          <w:bCs w:val="1"/>
          <w:color w:val="auto"/>
        </w:rPr>
        <w:t>action by written consent</w:t>
      </w:r>
      <w:r>
        <w:rPr>
          <w:rFonts w:ascii="Arial" w:cs="Arial" w:eastAsia="Arial" w:hAnsi="Arial"/>
          <w:sz w:val="17"/>
          <w:szCs w:val="17"/>
          <w:color w:val="auto"/>
        </w:rPr>
        <w:t>.</w:t>
      </w:r>
    </w:p>
    <w:p>
      <w:pPr>
        <w:spacing w:after="0" w:line="342" w:lineRule="exact"/>
        <w:rPr>
          <w:rFonts w:ascii="MS PGothic" w:cs="MS PGothic" w:eastAsia="MS PGothic" w:hAnsi="MS PGothic"/>
          <w:sz w:val="17"/>
          <w:szCs w:val="17"/>
          <w:color w:val="auto"/>
        </w:rPr>
      </w:pPr>
    </w:p>
    <w:p>
      <w:pPr>
        <w:ind w:left="313" w:right="200" w:hanging="313"/>
        <w:spacing w:after="0" w:line="255" w:lineRule="auto"/>
        <w:tabs>
          <w:tab w:leader="none" w:pos="313" w:val="left"/>
        </w:tabs>
        <w:numPr>
          <w:ilvl w:val="0"/>
          <w:numId w:val="6"/>
        </w:numPr>
        <w:rPr>
          <w:rFonts w:ascii="MS PGothic" w:cs="MS PGothic" w:eastAsia="MS PGothic" w:hAnsi="MS PGothic"/>
          <w:sz w:val="17"/>
          <w:szCs w:val="17"/>
          <w:color w:val="auto"/>
        </w:rPr>
      </w:pPr>
      <w:r>
        <w:rPr>
          <w:rFonts w:ascii="Arial" w:cs="Arial" w:eastAsia="Arial" w:hAnsi="Arial"/>
          <w:sz w:val="17"/>
          <w:szCs w:val="17"/>
          <w:color w:val="auto"/>
        </w:rPr>
        <w:t xml:space="preserve">We have a </w:t>
      </w:r>
      <w:r>
        <w:rPr>
          <w:rFonts w:ascii="Arial" w:cs="Arial" w:eastAsia="Arial" w:hAnsi="Arial"/>
          <w:sz w:val="17"/>
          <w:szCs w:val="17"/>
          <w:b w:val="1"/>
          <w:bCs w:val="1"/>
          <w:color w:val="auto"/>
        </w:rPr>
        <w:t>strong ethics program</w:t>
      </w:r>
      <w:r>
        <w:rPr>
          <w:rFonts w:ascii="Arial" w:cs="Arial" w:eastAsia="Arial" w:hAnsi="Arial"/>
          <w:sz w:val="17"/>
          <w:szCs w:val="17"/>
          <w:color w:val="auto"/>
        </w:rPr>
        <w:t xml:space="preserve"> with standards of business conduct that help guide and promote good governance, responsible business practices and the highest standards of integrity throughout the Company.</w:t>
      </w:r>
    </w:p>
    <w:p>
      <w:pPr>
        <w:spacing w:after="0" w:line="20" w:lineRule="exact"/>
        <w:rPr>
          <w:rFonts w:ascii="MS PGothic" w:cs="MS PGothic" w:eastAsia="MS PGothic" w:hAnsi="MS PGothic"/>
          <w:sz w:val="17"/>
          <w:szCs w:val="17"/>
          <w:color w:val="auto"/>
        </w:rPr>
      </w:pPr>
    </w:p>
    <w:p>
      <w:pPr>
        <w:ind w:left="313" w:hanging="313"/>
        <w:spacing w:after="0"/>
        <w:tabs>
          <w:tab w:leader="none" w:pos="313" w:val="left"/>
        </w:tabs>
        <w:numPr>
          <w:ilvl w:val="0"/>
          <w:numId w:val="6"/>
        </w:numPr>
        <w:rPr>
          <w:rFonts w:ascii="MS PGothic" w:cs="MS PGothic" w:eastAsia="MS PGothic" w:hAnsi="MS PGothic"/>
          <w:sz w:val="17"/>
          <w:szCs w:val="17"/>
          <w:color w:val="auto"/>
        </w:rPr>
      </w:pPr>
      <w:r>
        <w:rPr>
          <w:rFonts w:ascii="Arial" w:cs="Arial" w:eastAsia="Arial" w:hAnsi="Arial"/>
          <w:sz w:val="17"/>
          <w:szCs w:val="17"/>
          <w:color w:val="auto"/>
        </w:rPr>
        <w:t xml:space="preserve">We have </w:t>
      </w:r>
      <w:r>
        <w:rPr>
          <w:rFonts w:ascii="Arial" w:cs="Arial" w:eastAsia="Arial" w:hAnsi="Arial"/>
          <w:sz w:val="17"/>
          <w:szCs w:val="17"/>
          <w:b w:val="1"/>
          <w:bCs w:val="1"/>
          <w:color w:val="auto"/>
        </w:rPr>
        <w:t>robust programs to fulfill our commitment to diversity and inclusion</w:t>
      </w:r>
      <w:r>
        <w:rPr>
          <w:rFonts w:ascii="Arial" w:cs="Arial" w:eastAsia="Arial" w:hAnsi="Arial"/>
          <w:sz w:val="17"/>
          <w:szCs w:val="17"/>
          <w:color w:val="auto"/>
        </w:rPr>
        <w:t xml:space="preserve"> throughout the Company.</w:t>
      </w:r>
    </w:p>
    <w:p>
      <w:pPr>
        <w:spacing w:after="0" w:line="60" w:lineRule="exact"/>
        <w:rPr>
          <w:rFonts w:ascii="MS PGothic" w:cs="MS PGothic" w:eastAsia="MS PGothic" w:hAnsi="MS PGothic"/>
          <w:sz w:val="17"/>
          <w:szCs w:val="17"/>
          <w:color w:val="auto"/>
        </w:rPr>
      </w:pPr>
    </w:p>
    <w:p>
      <w:pPr>
        <w:ind w:left="313" w:hanging="313"/>
        <w:spacing w:after="0" w:line="255" w:lineRule="auto"/>
        <w:tabs>
          <w:tab w:leader="none" w:pos="313" w:val="left"/>
        </w:tabs>
        <w:numPr>
          <w:ilvl w:val="0"/>
          <w:numId w:val="6"/>
        </w:numPr>
        <w:rPr>
          <w:rFonts w:ascii="MS PGothic" w:cs="MS PGothic" w:eastAsia="MS PGothic" w:hAnsi="MS PGothic"/>
          <w:sz w:val="17"/>
          <w:szCs w:val="17"/>
          <w:color w:val="auto"/>
        </w:rPr>
      </w:pPr>
      <w:r>
        <w:rPr>
          <w:rFonts w:ascii="Arial" w:cs="Arial" w:eastAsia="Arial" w:hAnsi="Arial"/>
          <w:sz w:val="17"/>
          <w:szCs w:val="17"/>
          <w:color w:val="auto"/>
        </w:rPr>
        <w:t xml:space="preserve">We publish an </w:t>
      </w:r>
      <w:r>
        <w:rPr>
          <w:rFonts w:ascii="Arial" w:cs="Arial" w:eastAsia="Arial" w:hAnsi="Arial"/>
          <w:sz w:val="17"/>
          <w:szCs w:val="17"/>
          <w:b w:val="1"/>
          <w:bCs w:val="1"/>
          <w:color w:val="auto"/>
        </w:rPr>
        <w:t>annual corporate responsibility report</w:t>
      </w:r>
      <w:r>
        <w:rPr>
          <w:rFonts w:ascii="Arial" w:cs="Arial" w:eastAsia="Arial" w:hAnsi="Arial"/>
          <w:sz w:val="17"/>
          <w:szCs w:val="17"/>
          <w:color w:val="auto"/>
        </w:rPr>
        <w:t xml:space="preserve"> highlighting aspects of our social, environmental and governance performance and </w:t>
      </w:r>
      <w:r>
        <w:rPr>
          <w:rFonts w:ascii="Arial" w:cs="Arial" w:eastAsia="Arial" w:hAnsi="Arial"/>
          <w:sz w:val="17"/>
          <w:szCs w:val="17"/>
          <w:b w:val="1"/>
          <w:bCs w:val="1"/>
          <w:color w:val="auto"/>
        </w:rPr>
        <w:t>engage an independent external review panel</w:t>
      </w:r>
      <w:r>
        <w:rPr>
          <w:rFonts w:ascii="Arial" w:cs="Arial" w:eastAsia="Arial" w:hAnsi="Arial"/>
          <w:sz w:val="17"/>
          <w:szCs w:val="17"/>
          <w:color w:val="auto"/>
        </w:rPr>
        <w:t xml:space="preserve"> to provide feedback and advice on our report.</w:t>
      </w:r>
    </w:p>
    <w:p>
      <w:pPr>
        <w:spacing w:after="0" w:line="20" w:lineRule="exact"/>
        <w:rPr>
          <w:rFonts w:ascii="MS PGothic" w:cs="MS PGothic" w:eastAsia="MS PGothic" w:hAnsi="MS PGothic"/>
          <w:sz w:val="17"/>
          <w:szCs w:val="17"/>
          <w:color w:val="auto"/>
        </w:rPr>
      </w:pPr>
    </w:p>
    <w:p>
      <w:pPr>
        <w:ind w:left="313" w:right="200" w:hanging="313"/>
        <w:spacing w:after="0" w:line="249" w:lineRule="auto"/>
        <w:tabs>
          <w:tab w:leader="none" w:pos="313" w:val="left"/>
        </w:tabs>
        <w:numPr>
          <w:ilvl w:val="0"/>
          <w:numId w:val="6"/>
        </w:numPr>
        <w:rPr>
          <w:rFonts w:ascii="MS PGothic" w:cs="MS PGothic" w:eastAsia="MS PGothic" w:hAnsi="MS PGothic"/>
          <w:sz w:val="17"/>
          <w:szCs w:val="17"/>
          <w:color w:val="auto"/>
        </w:rPr>
      </w:pPr>
      <w:r>
        <w:rPr>
          <w:rFonts w:ascii="Arial" w:cs="Arial" w:eastAsia="Arial" w:hAnsi="Arial"/>
          <w:sz w:val="17"/>
          <w:szCs w:val="17"/>
          <w:color w:val="auto"/>
        </w:rPr>
        <w:t xml:space="preserve">We </w:t>
      </w:r>
      <w:r>
        <w:rPr>
          <w:rFonts w:ascii="Arial" w:cs="Arial" w:eastAsia="Arial" w:hAnsi="Arial"/>
          <w:sz w:val="17"/>
          <w:szCs w:val="17"/>
          <w:b w:val="1"/>
          <w:bCs w:val="1"/>
          <w:color w:val="auto"/>
        </w:rPr>
        <w:t>integrate environmental sustainability</w:t>
      </w:r>
      <w:r>
        <w:rPr>
          <w:rFonts w:ascii="Arial" w:cs="Arial" w:eastAsia="Arial" w:hAnsi="Arial"/>
          <w:sz w:val="17"/>
          <w:szCs w:val="17"/>
          <w:color w:val="auto"/>
        </w:rPr>
        <w:t xml:space="preserve"> into our organizational culture, minimizing our environmental footprint and driving affordability. Our executive officers are accountable for achieving environmental sustainability goals, which are </w:t>
      </w:r>
      <w:r>
        <w:rPr>
          <w:rFonts w:ascii="Arial" w:cs="Arial" w:eastAsia="Arial" w:hAnsi="Arial"/>
          <w:sz w:val="17"/>
          <w:szCs w:val="17"/>
          <w:b w:val="1"/>
          <w:bCs w:val="1"/>
          <w:color w:val="auto"/>
        </w:rPr>
        <w:t>one of our six non-financial corporate performance metrics</w:t>
      </w:r>
      <w:r>
        <w:rPr>
          <w:rFonts w:ascii="Arial" w:cs="Arial" w:eastAsia="Arial" w:hAnsi="Arial"/>
          <w:sz w:val="17"/>
          <w:szCs w:val="17"/>
          <w:color w:val="auto"/>
        </w:rPr>
        <w:t>.</w:t>
      </w:r>
    </w:p>
    <w:p>
      <w:pPr>
        <w:spacing w:after="0" w:line="19" w:lineRule="exact"/>
        <w:rPr>
          <w:rFonts w:ascii="MS PGothic" w:cs="MS PGothic" w:eastAsia="MS PGothic" w:hAnsi="MS PGothic"/>
          <w:sz w:val="17"/>
          <w:szCs w:val="17"/>
          <w:color w:val="auto"/>
        </w:rPr>
      </w:pPr>
    </w:p>
    <w:p>
      <w:pPr>
        <w:ind w:left="313" w:hanging="313"/>
        <w:spacing w:after="0"/>
        <w:tabs>
          <w:tab w:leader="none" w:pos="313" w:val="left"/>
        </w:tabs>
        <w:numPr>
          <w:ilvl w:val="0"/>
          <w:numId w:val="6"/>
        </w:numPr>
        <w:rPr>
          <w:rFonts w:ascii="MS PGothic" w:cs="MS PGothic" w:eastAsia="MS PGothic" w:hAnsi="MS PGothic"/>
          <w:sz w:val="17"/>
          <w:szCs w:val="17"/>
          <w:color w:val="auto"/>
        </w:rPr>
      </w:pPr>
      <w:r>
        <w:rPr>
          <w:rFonts w:ascii="Arial" w:cs="Arial" w:eastAsia="Arial" w:hAnsi="Arial"/>
          <w:sz w:val="17"/>
          <w:szCs w:val="17"/>
          <w:color w:val="auto"/>
        </w:rPr>
        <w:t xml:space="preserve">We disclose our </w:t>
      </w:r>
      <w:r>
        <w:rPr>
          <w:rFonts w:ascii="Arial" w:cs="Arial" w:eastAsia="Arial" w:hAnsi="Arial"/>
          <w:sz w:val="17"/>
          <w:szCs w:val="17"/>
          <w:b w:val="1"/>
          <w:bCs w:val="1"/>
          <w:color w:val="auto"/>
        </w:rPr>
        <w:t>political contributions policy and various trade association memberships on our website</w:t>
      </w:r>
      <w:r>
        <w:rPr>
          <w:rFonts w:ascii="Arial" w:cs="Arial" w:eastAsia="Arial" w:hAnsi="Arial"/>
          <w:sz w:val="17"/>
          <w:szCs w:val="17"/>
          <w:color w:val="auto"/>
        </w:rPr>
        <w:t>.</w:t>
      </w:r>
    </w:p>
    <w:p>
      <w:pPr>
        <w:spacing w:after="0" w:line="60" w:lineRule="exact"/>
        <w:rPr>
          <w:rFonts w:ascii="MS PGothic" w:cs="MS PGothic" w:eastAsia="MS PGothic" w:hAnsi="MS PGothic"/>
          <w:sz w:val="17"/>
          <w:szCs w:val="17"/>
          <w:color w:val="auto"/>
        </w:rPr>
      </w:pPr>
    </w:p>
    <w:p>
      <w:pPr>
        <w:ind w:left="313" w:right="500" w:hanging="313"/>
        <w:spacing w:after="0" w:line="271" w:lineRule="auto"/>
        <w:tabs>
          <w:tab w:leader="none" w:pos="313" w:val="left"/>
        </w:tabs>
        <w:numPr>
          <w:ilvl w:val="0"/>
          <w:numId w:val="6"/>
        </w:numPr>
        <w:rPr>
          <w:rFonts w:ascii="MS PGothic" w:cs="MS PGothic" w:eastAsia="MS PGothic" w:hAnsi="MS PGothic"/>
          <w:sz w:val="17"/>
          <w:szCs w:val="17"/>
          <w:color w:val="auto"/>
        </w:rPr>
      </w:pPr>
      <w:r>
        <w:rPr>
          <w:rFonts w:ascii="Arial" w:cs="Arial" w:eastAsia="Arial" w:hAnsi="Arial"/>
          <w:sz w:val="17"/>
          <w:szCs w:val="17"/>
          <w:color w:val="auto"/>
        </w:rPr>
        <w:t xml:space="preserve">We have a robust </w:t>
      </w:r>
      <w:r>
        <w:rPr>
          <w:rFonts w:ascii="Arial" w:cs="Arial" w:eastAsia="Arial" w:hAnsi="Arial"/>
          <w:sz w:val="17"/>
          <w:szCs w:val="17"/>
          <w:b w:val="1"/>
          <w:bCs w:val="1"/>
          <w:color w:val="auto"/>
        </w:rPr>
        <w:t>recoupment policy</w:t>
      </w:r>
      <w:r>
        <w:rPr>
          <w:rFonts w:ascii="Arial" w:cs="Arial" w:eastAsia="Arial" w:hAnsi="Arial"/>
          <w:sz w:val="17"/>
          <w:szCs w:val="17"/>
          <w:color w:val="auto"/>
        </w:rPr>
        <w:t xml:space="preserve"> which provides the Board of Directors with the ability to recoup the incentive compensation of elected officers under certain circumstances.</w:t>
      </w:r>
    </w:p>
    <w:p>
      <w:pPr>
        <w:spacing w:after="0" w:line="186" w:lineRule="exact"/>
        <w:rPr>
          <w:rFonts w:ascii="MS PGothic" w:cs="MS PGothic" w:eastAsia="MS PGothic" w:hAnsi="MS PGothic"/>
          <w:sz w:val="17"/>
          <w:szCs w:val="17"/>
          <w:color w:val="auto"/>
        </w:rPr>
      </w:pPr>
    </w:p>
    <w:p>
      <w:pPr>
        <w:ind w:left="313" w:right="280" w:hanging="313"/>
        <w:spacing w:after="0" w:line="255" w:lineRule="auto"/>
        <w:tabs>
          <w:tab w:leader="none" w:pos="313" w:val="left"/>
        </w:tabs>
        <w:numPr>
          <w:ilvl w:val="0"/>
          <w:numId w:val="6"/>
        </w:numPr>
        <w:rPr>
          <w:rFonts w:ascii="MS PGothic" w:cs="MS PGothic" w:eastAsia="MS PGothic" w:hAnsi="MS PGothic"/>
          <w:sz w:val="17"/>
          <w:szCs w:val="17"/>
          <w:color w:val="auto"/>
        </w:rPr>
      </w:pPr>
      <w:r>
        <w:rPr>
          <w:rFonts w:ascii="Arial" w:cs="Arial" w:eastAsia="Arial" w:hAnsi="Arial"/>
          <w:sz w:val="17"/>
          <w:szCs w:val="17"/>
          <w:color w:val="auto"/>
        </w:rPr>
        <w:t xml:space="preserve">We have stock ownership guidelines of </w:t>
      </w:r>
      <w:r>
        <w:rPr>
          <w:rFonts w:ascii="Arial" w:cs="Arial" w:eastAsia="Arial" w:hAnsi="Arial"/>
          <w:sz w:val="17"/>
          <w:szCs w:val="17"/>
          <w:b w:val="1"/>
          <w:bCs w:val="1"/>
          <w:color w:val="auto"/>
        </w:rPr>
        <w:t>7x base salary for the CEO</w:t>
      </w:r>
      <w:r>
        <w:rPr>
          <w:rFonts w:ascii="Arial" w:cs="Arial" w:eastAsia="Arial" w:hAnsi="Arial"/>
          <w:sz w:val="17"/>
          <w:szCs w:val="17"/>
          <w:color w:val="auto"/>
        </w:rPr>
        <w:t xml:space="preserve"> and </w:t>
      </w:r>
      <w:r>
        <w:rPr>
          <w:rFonts w:ascii="Arial" w:cs="Arial" w:eastAsia="Arial" w:hAnsi="Arial"/>
          <w:sz w:val="17"/>
          <w:szCs w:val="17"/>
          <w:b w:val="1"/>
          <w:bCs w:val="1"/>
          <w:color w:val="auto"/>
        </w:rPr>
        <w:t>3x base salary for other named executive</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officers, </w:t>
      </w:r>
      <w:r>
        <w:rPr>
          <w:rFonts w:ascii="Arial" w:cs="Arial" w:eastAsia="Arial" w:hAnsi="Arial"/>
          <w:sz w:val="17"/>
          <w:szCs w:val="17"/>
          <w:color w:val="auto"/>
        </w:rPr>
        <w:t>as well as</w:t>
      </w:r>
      <w:r>
        <w:rPr>
          <w:rFonts w:ascii="Arial" w:cs="Arial" w:eastAsia="Arial" w:hAnsi="Arial"/>
          <w:sz w:val="17"/>
          <w:szCs w:val="17"/>
          <w:b w:val="1"/>
          <w:bCs w:val="1"/>
          <w:color w:val="auto"/>
        </w:rPr>
        <w:t xml:space="preserve"> stock holding requirements of three years </w:t>
      </w:r>
      <w:r>
        <w:rPr>
          <w:rFonts w:ascii="Arial" w:cs="Arial" w:eastAsia="Arial" w:hAnsi="Arial"/>
          <w:sz w:val="17"/>
          <w:szCs w:val="17"/>
          <w:color w:val="auto"/>
        </w:rPr>
        <w:t>from the vesting date.</w:t>
      </w:r>
    </w:p>
    <w:p>
      <w:pPr>
        <w:spacing w:after="0" w:line="20" w:lineRule="exact"/>
        <w:rPr>
          <w:rFonts w:ascii="MS PGothic" w:cs="MS PGothic" w:eastAsia="MS PGothic" w:hAnsi="MS PGothic"/>
          <w:sz w:val="17"/>
          <w:szCs w:val="17"/>
          <w:color w:val="auto"/>
        </w:rPr>
      </w:pPr>
    </w:p>
    <w:p>
      <w:pPr>
        <w:ind w:left="313" w:hanging="313"/>
        <w:spacing w:after="0"/>
        <w:tabs>
          <w:tab w:leader="none" w:pos="313" w:val="left"/>
        </w:tabs>
        <w:numPr>
          <w:ilvl w:val="0"/>
          <w:numId w:val="6"/>
        </w:numPr>
        <w:rPr>
          <w:rFonts w:ascii="MS PGothic" w:cs="MS PGothic" w:eastAsia="MS PGothic" w:hAnsi="MS PGothic"/>
          <w:sz w:val="17"/>
          <w:szCs w:val="17"/>
          <w:color w:val="auto"/>
        </w:rPr>
      </w:pPr>
      <w:r>
        <w:rPr>
          <w:rFonts w:ascii="Arial" w:cs="Arial" w:eastAsia="Arial" w:hAnsi="Arial"/>
          <w:sz w:val="17"/>
          <w:szCs w:val="17"/>
          <w:color w:val="auto"/>
        </w:rPr>
        <w:t xml:space="preserve">We have stock ownership guidelines of </w:t>
      </w:r>
      <w:r>
        <w:rPr>
          <w:rFonts w:ascii="Arial" w:cs="Arial" w:eastAsia="Arial" w:hAnsi="Arial"/>
          <w:sz w:val="17"/>
          <w:szCs w:val="17"/>
          <w:b w:val="1"/>
          <w:bCs w:val="1"/>
          <w:color w:val="auto"/>
        </w:rPr>
        <w:t>5x the annual cash retainer for our non-employee directors</w:t>
      </w:r>
      <w:r>
        <w:rPr>
          <w:rFonts w:ascii="Arial" w:cs="Arial" w:eastAsia="Arial" w:hAnsi="Arial"/>
          <w:sz w:val="17"/>
          <w:szCs w:val="17"/>
          <w:color w:val="auto"/>
        </w:rPr>
        <w:t>.</w:t>
      </w:r>
    </w:p>
    <w:p>
      <w:pPr>
        <w:spacing w:after="0" w:line="60" w:lineRule="exact"/>
        <w:rPr>
          <w:rFonts w:ascii="MS PGothic" w:cs="MS PGothic" w:eastAsia="MS PGothic" w:hAnsi="MS PGothic"/>
          <w:sz w:val="17"/>
          <w:szCs w:val="17"/>
          <w:color w:val="auto"/>
        </w:rPr>
      </w:pPr>
    </w:p>
    <w:p>
      <w:pPr>
        <w:ind w:left="313" w:hanging="313"/>
        <w:spacing w:after="0"/>
        <w:tabs>
          <w:tab w:leader="none" w:pos="313" w:val="left"/>
        </w:tabs>
        <w:numPr>
          <w:ilvl w:val="0"/>
          <w:numId w:val="6"/>
        </w:numPr>
        <w:rPr>
          <w:rFonts w:ascii="MS PGothic" w:cs="MS PGothic" w:eastAsia="MS PGothic" w:hAnsi="MS PGothic"/>
          <w:sz w:val="17"/>
          <w:szCs w:val="17"/>
          <w:color w:val="auto"/>
        </w:rPr>
      </w:pPr>
      <w:r>
        <w:rPr>
          <w:rFonts w:ascii="Arial" w:cs="Arial" w:eastAsia="Arial" w:hAnsi="Arial"/>
          <w:sz w:val="17"/>
          <w:szCs w:val="17"/>
          <w:color w:val="auto"/>
        </w:rPr>
        <w:t xml:space="preserve">We </w:t>
      </w:r>
      <w:r>
        <w:rPr>
          <w:rFonts w:ascii="Arial" w:cs="Arial" w:eastAsia="Arial" w:hAnsi="Arial"/>
          <w:sz w:val="17"/>
          <w:szCs w:val="17"/>
          <w:b w:val="1"/>
          <w:bCs w:val="1"/>
          <w:color w:val="auto"/>
        </w:rPr>
        <w:t>prohibit hedging and pledging</w:t>
      </w:r>
      <w:r>
        <w:rPr>
          <w:rFonts w:ascii="Arial" w:cs="Arial" w:eastAsia="Arial" w:hAnsi="Arial"/>
          <w:sz w:val="17"/>
          <w:szCs w:val="17"/>
          <w:color w:val="auto"/>
        </w:rPr>
        <w:t xml:space="preserve"> of our common stock by directors and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-6224270</wp:posOffset>
            </wp:positionV>
            <wp:extent cx="6089650" cy="626872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089650" cy="626872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680" w:space="207"/>
            <w:col w:w="9493"/>
          </w:cols>
          <w:pgMar w:left="240" w:top="671" w:right="279" w:bottom="1440" w:gutter="0" w:footer="0" w:header="0"/>
          <w:type w:val="continuous"/>
        </w:sectPr>
      </w:pP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4 </w:t>
      </w:r>
      <w:r>
        <w:rPr>
          <w:rFonts w:ascii="Arial" w:cs="Arial" w:eastAsia="Arial" w:hAnsi="Arial"/>
          <w:sz w:val="13"/>
          <w:szCs w:val="13"/>
          <w:color w:val="auto"/>
        </w:rPr>
        <w:t>I</w:t>
      </w:r>
      <w:r>
        <w:rPr>
          <w:rFonts w:ascii="Arial" w:cs="Arial" w:eastAsia="Arial" w:hAnsi="Arial"/>
          <w:sz w:val="17"/>
          <w:szCs w:val="17"/>
          <w:color w:val="auto"/>
        </w:rPr>
        <w:t xml:space="preserve"> </w:t>
      </w:r>
      <w:r>
        <w:rPr>
          <w:rFonts w:ascii="Arial" w:cs="Arial" w:eastAsia="Arial" w:hAnsi="Arial"/>
          <w:sz w:val="13"/>
          <w:szCs w:val="13"/>
          <w:color w:val="34657F"/>
        </w:rPr>
        <w:t>NOTICE OF 2019 ANNUAL MEETING OF SHAREHOLDERS AND PROXY STATEMENT</w:t>
      </w:r>
    </w:p>
    <w:p>
      <w:pPr>
        <w:sectPr>
          <w:pgSz w:w="11900" w:h="16838" w:orient="portrait"/>
          <w:cols w:equalWidth="0" w:num="1">
            <w:col w:w="11380"/>
          </w:cols>
          <w:pgMar w:left="240" w:top="671" w:right="279" w:bottom="1440" w:gutter="0" w:footer="0" w:header="0"/>
          <w:type w:val="continuous"/>
        </w:sectPr>
      </w:pPr>
    </w:p>
    <w:bookmarkStart w:id="10" w:name="page11"/>
    <w:bookmarkEnd w:id="10"/>
    <w:p>
      <w:pPr>
        <w:ind w:left="20"/>
        <w:spacing w:after="0"/>
        <w:rPr>
          <w:sz w:val="20"/>
          <w:szCs w:val="20"/>
          <w:color w:val="auto"/>
        </w:rPr>
      </w:pPr>
      <w:r>
        <w:rPr>
          <w:rFonts w:ascii="Arial" w:cs="Arial" w:eastAsia="Arial" w:hAnsi="Arial"/>
          <w:sz w:val="21"/>
          <w:szCs w:val="21"/>
          <w:b w:val="1"/>
          <w:bCs w:val="1"/>
          <w:color w:val="FFFFFF"/>
        </w:rPr>
        <w:drawing>
          <wp:anchor simplePos="0" relativeHeight="251657728" behindDoc="1" locked="0" layoutInCell="0" allowOverlap="1">
            <wp:simplePos x="0" y="0"/>
            <wp:positionH relativeFrom="page">
              <wp:posOffset>154305</wp:posOffset>
            </wp:positionH>
            <wp:positionV relativeFrom="page">
              <wp:posOffset>365760</wp:posOffset>
            </wp:positionV>
            <wp:extent cx="7253605" cy="58610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3605" cy="586105"/>
                    </a:xfrm>
                    <a:prstGeom prst="rect">
                      <a:avLst/>
                    </a:prstGeom>
                    <a:noFill/>
                  </pic:spPr>
                </pic:pic>
              </a:graphicData>
            </a:graphic>
          </wp:anchor>
        </w:drawing>
        <w:t>PROXY STATEMENT SUMMARY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20"/>
        <w:spacing w:after="0"/>
        <w:rPr>
          <w:sz w:val="20"/>
          <w:szCs w:val="20"/>
          <w:color w:val="auto"/>
        </w:rPr>
      </w:pPr>
      <w:r>
        <w:rPr>
          <w:rFonts w:ascii="Arial" w:cs="Arial" w:eastAsia="Arial" w:hAnsi="Arial"/>
          <w:sz w:val="24"/>
          <w:szCs w:val="24"/>
          <w:b w:val="1"/>
          <w:bCs w:val="1"/>
          <w:color w:val="auto"/>
        </w:rPr>
        <w:t>Shareholder Engagement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38100</wp:posOffset>
            </wp:positionV>
            <wp:extent cx="7253605" cy="165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pacing w:after="0" w:line="142" w:lineRule="exact"/>
        <w:rPr>
          <w:sz w:val="20"/>
          <w:szCs w:val="20"/>
          <w:color w:val="auto"/>
        </w:rPr>
      </w:pPr>
    </w:p>
    <w:p>
      <w:pPr>
        <w:ind w:right="280"/>
        <w:spacing w:after="0" w:line="257" w:lineRule="auto"/>
        <w:rPr>
          <w:sz w:val="20"/>
          <w:szCs w:val="20"/>
          <w:color w:val="auto"/>
        </w:rPr>
      </w:pPr>
      <w:r>
        <w:rPr>
          <w:rFonts w:ascii="Arial" w:cs="Arial" w:eastAsia="Arial" w:hAnsi="Arial"/>
          <w:sz w:val="17"/>
          <w:szCs w:val="17"/>
          <w:color w:val="auto"/>
        </w:rPr>
        <w:t>We regularly engage with our shareholders to understand their perspectives on our Company, including our strategies, performance, issues of governance and corporate responsibility, and executive compensation. This ongoing dialogue, in which both members of management and directors participate, has helped inform the Board's decision-making and ensure our interests remain well-aligned with those of our shareholders.</w:t>
      </w:r>
    </w:p>
    <w:p>
      <w:pPr>
        <w:spacing w:after="0" w:line="64" w:lineRule="exact"/>
        <w:rPr>
          <w:sz w:val="20"/>
          <w:szCs w:val="20"/>
          <w:color w:val="auto"/>
        </w:rPr>
      </w:pPr>
    </w:p>
    <w:p>
      <w:pPr>
        <w:ind w:right="20"/>
        <w:spacing w:after="0" w:line="254" w:lineRule="auto"/>
        <w:rPr>
          <w:sz w:val="20"/>
          <w:szCs w:val="20"/>
          <w:color w:val="auto"/>
        </w:rPr>
      </w:pPr>
      <w:r>
        <w:rPr>
          <w:rFonts w:ascii="Arial" w:cs="Arial" w:eastAsia="Arial" w:hAnsi="Arial"/>
          <w:sz w:val="17"/>
          <w:szCs w:val="17"/>
          <w:color w:val="auto"/>
        </w:rPr>
        <w:t>Since our 2018 annual meeting, we have offered to engage on governance-related topics with shareholders representing approximately 60% of our outstanding shares. We have met with shareholders representing more than 40% of our outstanding shares to learn their perspectives on the Company and governance-related topics. While a number of our shareholders did not request meetings, we believe it is a best practice to offer engagement to shareholders representing a majority of our shares outstanding. These efforts are in addition to normal course outreach conducted by our Investor Relations team and members of senior management with portfolio managers and analysts, which are primarily focused on strategy and Company performance. We also meet with shareholders at investor conferences held throughout the year.</w:t>
      </w:r>
    </w:p>
    <w:p>
      <w:pPr>
        <w:spacing w:after="0" w:line="66" w:lineRule="exact"/>
        <w:rPr>
          <w:sz w:val="20"/>
          <w:szCs w:val="20"/>
          <w:color w:val="auto"/>
        </w:rPr>
      </w:pPr>
    </w:p>
    <w:p>
      <w:pPr>
        <w:ind w:right="60"/>
        <w:spacing w:after="0" w:line="257" w:lineRule="auto"/>
        <w:rPr>
          <w:sz w:val="20"/>
          <w:szCs w:val="20"/>
          <w:color w:val="auto"/>
        </w:rPr>
      </w:pPr>
      <w:r>
        <w:rPr>
          <w:rFonts w:ascii="Arial" w:cs="Arial" w:eastAsia="Arial" w:hAnsi="Arial"/>
          <w:sz w:val="17"/>
          <w:szCs w:val="17"/>
          <w:color w:val="auto"/>
        </w:rPr>
        <w:t>The Company has a substantial record of adopting provisions or modifying practices with the benefit of, and to reflect, shareholder input. Examples include provisions regarding proxy access, the right of shareholders to call a special meeting and the right of shareholders to act by written consent, as well as the use of full value shares and performance-based long-term incentives for our executives.</w:t>
      </w:r>
    </w:p>
    <w:p>
      <w:pPr>
        <w:spacing w:after="0" w:line="190" w:lineRule="exact"/>
        <w:rPr>
          <w:sz w:val="20"/>
          <w:szCs w:val="20"/>
          <w:color w:val="auto"/>
        </w:rPr>
      </w:pPr>
    </w:p>
    <w:p>
      <w:pPr>
        <w:ind w:left="20"/>
        <w:spacing w:after="0"/>
        <w:rPr>
          <w:sz w:val="20"/>
          <w:szCs w:val="20"/>
          <w:color w:val="auto"/>
        </w:rPr>
      </w:pPr>
      <w:r>
        <w:rPr>
          <w:rFonts w:ascii="Arial" w:cs="Arial" w:eastAsia="Arial" w:hAnsi="Arial"/>
          <w:sz w:val="24"/>
          <w:szCs w:val="24"/>
          <w:b w:val="1"/>
          <w:bCs w:val="1"/>
          <w:color w:val="auto"/>
        </w:rPr>
        <w:t>Annual Shareholders'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38100</wp:posOffset>
            </wp:positionV>
            <wp:extent cx="7253605" cy="165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440"/>
          </w:cols>
          <w:pgMar w:left="240" w:top="671" w:right="219" w:bottom="1440" w:gutter="0" w:footer="0" w:header="0"/>
        </w:sectPr>
      </w:pPr>
    </w:p>
    <w:p>
      <w:pPr>
        <w:spacing w:after="0" w:line="219"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Time:</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color w:val="auto"/>
        </w:rPr>
        <w:t>May 15, 2019, 8:00 a.m., Eastern Daylight Time</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ind w:right="380"/>
        <w:spacing w:after="0" w:line="271" w:lineRule="auto"/>
        <w:rPr>
          <w:sz w:val="20"/>
          <w:szCs w:val="20"/>
          <w:color w:val="auto"/>
        </w:rPr>
      </w:pPr>
      <w:r>
        <w:rPr>
          <w:rFonts w:ascii="Arial" w:cs="Arial" w:eastAsia="Arial" w:hAnsi="Arial"/>
          <w:sz w:val="17"/>
          <w:szCs w:val="17"/>
          <w:b w:val="1"/>
          <w:bCs w:val="1"/>
          <w:color w:val="auto"/>
        </w:rPr>
        <w:t xml:space="preserve">Record Date: </w:t>
      </w:r>
      <w:r>
        <w:rPr>
          <w:rFonts w:ascii="Arial" w:cs="Arial" w:eastAsia="Arial" w:hAnsi="Arial"/>
          <w:sz w:val="17"/>
          <w:szCs w:val="17"/>
          <w:color w:val="auto"/>
        </w:rPr>
        <w:t>You can vote if you were a shareholder of record at the</w:t>
      </w:r>
      <w:r>
        <w:rPr>
          <w:rFonts w:ascii="Arial" w:cs="Arial" w:eastAsia="Arial" w:hAnsi="Arial"/>
          <w:sz w:val="17"/>
          <w:szCs w:val="17"/>
          <w:b w:val="1"/>
          <w:bCs w:val="1"/>
          <w:color w:val="auto"/>
        </w:rPr>
        <w:t xml:space="preserve"> </w:t>
      </w:r>
      <w:r>
        <w:rPr>
          <w:rFonts w:ascii="Arial" w:cs="Arial" w:eastAsia="Arial" w:hAnsi="Arial"/>
          <w:sz w:val="17"/>
          <w:szCs w:val="17"/>
          <w:color w:val="auto"/>
        </w:rPr>
        <w:t>close of business on March 19, 2019.</w:t>
      </w:r>
    </w:p>
    <w:p>
      <w:pPr>
        <w:spacing w:after="0" w:line="71" w:lineRule="exact"/>
        <w:rPr>
          <w:sz w:val="20"/>
          <w:szCs w:val="20"/>
          <w:color w:val="auto"/>
        </w:rPr>
      </w:pPr>
    </w:p>
    <w:p>
      <w:pPr>
        <w:sectPr>
          <w:pgSz w:w="11900" w:h="16838" w:orient="portrait"/>
          <w:cols w:equalWidth="0" w:num="3">
            <w:col w:w="500" w:space="80"/>
            <w:col w:w="4460" w:space="720"/>
            <w:col w:w="5680"/>
          </w:cols>
          <w:pgMar w:left="240" w:top="671" w:right="219" w:bottom="1440" w:gutter="0" w:footer="0" w:header="0"/>
          <w:type w:val="continuous"/>
        </w:sectPr>
      </w:pPr>
    </w:p>
    <w:p>
      <w:pPr>
        <w:ind w:left="40"/>
        <w:spacing w:after="0"/>
        <w:rPr>
          <w:sz w:val="20"/>
          <w:szCs w:val="20"/>
          <w:color w:val="auto"/>
        </w:rPr>
      </w:pPr>
      <w:r>
        <w:rPr>
          <w:rFonts w:ascii="Arial" w:cs="Arial" w:eastAsia="Arial" w:hAnsi="Arial"/>
          <w:sz w:val="16"/>
          <w:szCs w:val="16"/>
          <w:b w:val="1"/>
          <w:bCs w:val="1"/>
          <w:color w:val="auto"/>
        </w:rPr>
        <w:t>Place: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Northrop Grumman Corporation</w:t>
      </w:r>
    </w:p>
    <w:p>
      <w:pPr>
        <w:ind w:left="20"/>
        <w:spacing w:after="0"/>
        <w:rPr>
          <w:sz w:val="20"/>
          <w:szCs w:val="20"/>
          <w:color w:val="auto"/>
        </w:rPr>
      </w:pPr>
      <w:r>
        <w:rPr>
          <w:rFonts w:ascii="Arial" w:cs="Arial" w:eastAsia="Arial" w:hAnsi="Arial"/>
          <w:sz w:val="17"/>
          <w:szCs w:val="17"/>
          <w:color w:val="auto"/>
        </w:rPr>
        <w:t>2980 Fairview Park Drive</w:t>
      </w:r>
    </w:p>
    <w:p>
      <w:pPr>
        <w:spacing w:after="0" w:line="20" w:lineRule="exact"/>
        <w:rPr>
          <w:sz w:val="20"/>
          <w:szCs w:val="20"/>
          <w:color w:val="auto"/>
        </w:rPr>
      </w:pPr>
      <w:r>
        <w:rPr>
          <w:sz w:val="20"/>
          <w:szCs w:val="20"/>
          <w:color w:val="auto"/>
        </w:rPr>
        <w:br w:type="column"/>
      </w:r>
    </w:p>
    <w:p>
      <w:pPr>
        <w:ind w:right="220"/>
        <w:spacing w:after="0" w:line="255" w:lineRule="auto"/>
        <w:rPr>
          <w:sz w:val="20"/>
          <w:szCs w:val="20"/>
          <w:color w:val="auto"/>
        </w:rPr>
      </w:pPr>
      <w:r>
        <w:rPr>
          <w:rFonts w:ascii="Arial" w:cs="Arial" w:eastAsia="Arial" w:hAnsi="Arial"/>
          <w:sz w:val="17"/>
          <w:szCs w:val="17"/>
          <w:b w:val="1"/>
          <w:bCs w:val="1"/>
          <w:color w:val="auto"/>
        </w:rPr>
        <w:t xml:space="preserve">Admission: </w:t>
      </w:r>
      <w:r>
        <w:rPr>
          <w:rFonts w:ascii="Arial" w:cs="Arial" w:eastAsia="Arial" w:hAnsi="Arial"/>
          <w:sz w:val="17"/>
          <w:szCs w:val="17"/>
          <w:color w:val="auto"/>
        </w:rPr>
        <w:t>You will need proof of stock ownership and a form of photo</w:t>
      </w:r>
      <w:r>
        <w:rPr>
          <w:rFonts w:ascii="Arial" w:cs="Arial" w:eastAsia="Arial" w:hAnsi="Arial"/>
          <w:sz w:val="17"/>
          <w:szCs w:val="17"/>
          <w:b w:val="1"/>
          <w:bCs w:val="1"/>
          <w:color w:val="auto"/>
        </w:rPr>
        <w:t xml:space="preserve"> </w:t>
      </w:r>
      <w:r>
        <w:rPr>
          <w:rFonts w:ascii="Arial" w:cs="Arial" w:eastAsia="Arial" w:hAnsi="Arial"/>
          <w:sz w:val="17"/>
          <w:szCs w:val="17"/>
          <w:color w:val="auto"/>
        </w:rPr>
        <w:t>identification. All recording devices are prohibited in the meeting.</w:t>
      </w:r>
    </w:p>
    <w:p>
      <w:pPr>
        <w:spacing w:after="0" w:line="1" w:lineRule="exact"/>
        <w:rPr>
          <w:sz w:val="20"/>
          <w:szCs w:val="20"/>
          <w:color w:val="auto"/>
        </w:rPr>
      </w:pPr>
    </w:p>
    <w:p>
      <w:pPr>
        <w:sectPr>
          <w:pgSz w:w="11900" w:h="16838" w:orient="portrait"/>
          <w:cols w:equalWidth="0" w:num="3">
            <w:col w:w="540" w:space="100"/>
            <w:col w:w="4400" w:space="720"/>
            <w:col w:w="5680"/>
          </w:cols>
          <w:pgMar w:left="240" w:top="671" w:right="219" w:bottom="1440" w:gutter="0" w:footer="0" w:header="0"/>
          <w:type w:val="continuous"/>
        </w:sectPr>
      </w:pPr>
    </w:p>
    <w:p>
      <w:pPr>
        <w:ind w:left="660"/>
        <w:spacing w:after="0" w:line="238" w:lineRule="auto"/>
        <w:rPr>
          <w:sz w:val="20"/>
          <w:szCs w:val="20"/>
          <w:color w:val="auto"/>
        </w:rPr>
      </w:pPr>
      <w:r>
        <w:rPr>
          <w:rFonts w:ascii="Arial" w:cs="Arial" w:eastAsia="Arial" w:hAnsi="Arial"/>
          <w:sz w:val="17"/>
          <w:szCs w:val="17"/>
          <w:color w:val="auto"/>
        </w:rPr>
        <w:t>Falls Church, Virginia 22042</w:t>
      </w:r>
    </w:p>
    <w:p>
      <w:pPr>
        <w:spacing w:after="0" w:line="383" w:lineRule="exact"/>
        <w:rPr>
          <w:sz w:val="20"/>
          <w:szCs w:val="20"/>
          <w:color w:val="auto"/>
        </w:rPr>
      </w:pPr>
    </w:p>
    <w:p>
      <w:pPr>
        <w:ind w:left="20"/>
        <w:spacing w:after="0"/>
        <w:rPr>
          <w:sz w:val="20"/>
          <w:szCs w:val="20"/>
          <w:color w:val="auto"/>
        </w:rPr>
      </w:pPr>
      <w:r>
        <w:rPr>
          <w:rFonts w:ascii="Arial" w:cs="Arial" w:eastAsia="Arial" w:hAnsi="Arial"/>
          <w:sz w:val="24"/>
          <w:szCs w:val="24"/>
          <w:b w:val="1"/>
          <w:bCs w:val="1"/>
          <w:color w:val="auto"/>
        </w:rPr>
        <w:t>Voting Matters and Board Recommendations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38100</wp:posOffset>
            </wp:positionV>
            <wp:extent cx="7261860" cy="154686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1860" cy="1546860"/>
                    </a:xfrm>
                    <a:prstGeom prst="rect">
                      <a:avLst/>
                    </a:prstGeom>
                    <a:noFill/>
                  </pic:spPr>
                </pic:pic>
              </a:graphicData>
            </a:graphic>
          </wp:anchor>
        </w:drawing>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768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1000" w:type="dxa"/>
            <w:vAlign w:val="bottom"/>
          </w:tcPr>
          <w:p>
            <w:pPr>
              <w:jc w:val="right"/>
              <w:ind w:right="17"/>
              <w:spacing w:after="0"/>
              <w:rPr>
                <w:sz w:val="20"/>
                <w:szCs w:val="20"/>
                <w:color w:val="auto"/>
              </w:rPr>
            </w:pPr>
            <w:r>
              <w:rPr>
                <w:rFonts w:ascii="Arial" w:cs="Arial" w:eastAsia="Arial" w:hAnsi="Arial"/>
                <w:sz w:val="15"/>
                <w:szCs w:val="15"/>
                <w:b w:val="1"/>
                <w:bCs w:val="1"/>
                <w:color w:val="auto"/>
              </w:rPr>
              <w:t>Page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7680" w:type="dxa"/>
            <w:vAlign w:val="bottom"/>
            <w:tcBorders>
              <w:bottom w:val="single" w:sz="8" w:color="34657F"/>
            </w:tcBorders>
          </w:tcPr>
          <w:p>
            <w:pPr>
              <w:spacing w:after="0"/>
              <w:rPr>
                <w:sz w:val="18"/>
                <w:szCs w:val="18"/>
                <w:color w:val="auto"/>
              </w:rPr>
            </w:pPr>
          </w:p>
        </w:tc>
        <w:tc>
          <w:tcPr>
            <w:tcW w:w="2740" w:type="dxa"/>
            <w:vAlign w:val="bottom"/>
            <w:tcBorders>
              <w:bottom w:val="single" w:sz="8" w:color="34657F"/>
            </w:tcBorders>
          </w:tcPr>
          <w:p>
            <w:pPr>
              <w:jc w:val="right"/>
              <w:ind w:right="63"/>
              <w:spacing w:after="0"/>
              <w:rPr>
                <w:sz w:val="20"/>
                <w:szCs w:val="20"/>
                <w:color w:val="auto"/>
              </w:rPr>
            </w:pPr>
            <w:r>
              <w:rPr>
                <w:rFonts w:ascii="Arial" w:cs="Arial" w:eastAsia="Arial" w:hAnsi="Arial"/>
                <w:sz w:val="15"/>
                <w:szCs w:val="15"/>
                <w:b w:val="1"/>
                <w:bCs w:val="1"/>
                <w:color w:val="auto"/>
              </w:rPr>
              <w:t>Board Vote Recommendation</w:t>
            </w:r>
          </w:p>
        </w:tc>
        <w:tc>
          <w:tcPr>
            <w:tcW w:w="1000" w:type="dxa"/>
            <w:vAlign w:val="bottom"/>
            <w:tcBorders>
              <w:bottom w:val="single" w:sz="8" w:color="34657F"/>
            </w:tcBorders>
          </w:tcPr>
          <w:p>
            <w:pPr>
              <w:jc w:val="right"/>
              <w:ind w:right="17"/>
              <w:spacing w:after="0"/>
              <w:rPr>
                <w:sz w:val="20"/>
                <w:szCs w:val="20"/>
                <w:color w:val="auto"/>
              </w:rPr>
            </w:pPr>
            <w:r>
              <w:rPr>
                <w:rFonts w:ascii="Arial" w:cs="Arial" w:eastAsia="Arial" w:hAnsi="Arial"/>
                <w:sz w:val="15"/>
                <w:szCs w:val="15"/>
                <w:b w:val="1"/>
                <w:bCs w:val="1"/>
                <w:color w:val="auto"/>
              </w:rPr>
              <w:t>Reference</w:t>
            </w:r>
          </w:p>
        </w:tc>
        <w:tc>
          <w:tcPr>
            <w:tcW w:w="20" w:type="dxa"/>
            <w:vAlign w:val="bottom"/>
            <w:tcBorders>
              <w:bottom w:val="single" w:sz="8" w:color="34657F"/>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680" w:type="dxa"/>
            <w:vAlign w:val="bottom"/>
            <w:shd w:val="clear" w:color="auto" w:fill="D1DDE6"/>
          </w:tcPr>
          <w:p>
            <w:pPr>
              <w:ind w:left="40"/>
              <w:spacing w:after="0"/>
              <w:rPr>
                <w:sz w:val="20"/>
                <w:szCs w:val="20"/>
                <w:color w:val="auto"/>
              </w:rPr>
            </w:pPr>
            <w:r>
              <w:rPr>
                <w:rFonts w:ascii="Arial" w:cs="Arial" w:eastAsia="Arial" w:hAnsi="Arial"/>
                <w:sz w:val="15"/>
                <w:szCs w:val="15"/>
                <w:color w:val="auto"/>
              </w:rPr>
              <w:t>Proposal One: Election of Directors</w:t>
            </w:r>
          </w:p>
        </w:tc>
        <w:tc>
          <w:tcPr>
            <w:tcW w:w="2740" w:type="dxa"/>
            <w:vAlign w:val="bottom"/>
            <w:shd w:val="clear" w:color="auto" w:fill="D1DDE6"/>
          </w:tcPr>
          <w:p>
            <w:pPr>
              <w:jc w:val="right"/>
              <w:ind w:right="63"/>
              <w:spacing w:after="0"/>
              <w:rPr>
                <w:sz w:val="20"/>
                <w:szCs w:val="20"/>
                <w:color w:val="auto"/>
              </w:rPr>
            </w:pPr>
            <w:r>
              <w:rPr>
                <w:rFonts w:ascii="Arial" w:cs="Arial" w:eastAsia="Arial" w:hAnsi="Arial"/>
                <w:sz w:val="15"/>
                <w:szCs w:val="15"/>
                <w:b w:val="1"/>
                <w:bCs w:val="1"/>
                <w:color w:val="34657F"/>
              </w:rPr>
              <w:t xml:space="preserve">FOR </w:t>
            </w:r>
            <w:r>
              <w:rPr>
                <w:rFonts w:ascii="Arial" w:cs="Arial" w:eastAsia="Arial" w:hAnsi="Arial"/>
                <w:sz w:val="15"/>
                <w:szCs w:val="15"/>
                <w:color w:val="000000"/>
              </w:rPr>
              <w:t>each Director Nominee</w:t>
            </w:r>
          </w:p>
        </w:tc>
        <w:tc>
          <w:tcPr>
            <w:tcW w:w="1000" w:type="dxa"/>
            <w:vAlign w:val="bottom"/>
            <w:shd w:val="clear" w:color="auto" w:fill="D1DDE6"/>
          </w:tcPr>
          <w:p>
            <w:pPr>
              <w:jc w:val="right"/>
              <w:ind w:right="17"/>
              <w:spacing w:after="0"/>
              <w:rPr>
                <w:sz w:val="20"/>
                <w:szCs w:val="20"/>
                <w:color w:val="auto"/>
              </w:rPr>
            </w:pPr>
            <w:r>
              <w:rPr>
                <w:rFonts w:ascii="Arial" w:cs="Arial" w:eastAsia="Arial" w:hAnsi="Arial"/>
                <w:sz w:val="17"/>
                <w:szCs w:val="17"/>
                <w:color w:val="auto"/>
              </w:rPr>
              <w:t>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1"/>
        </w:trPr>
        <w:tc>
          <w:tcPr>
            <w:tcW w:w="7680" w:type="dxa"/>
            <w:vAlign w:val="bottom"/>
            <w:shd w:val="clear" w:color="auto" w:fill="D1DDE6"/>
          </w:tcPr>
          <w:p>
            <w:pPr>
              <w:spacing w:after="0"/>
              <w:rPr>
                <w:sz w:val="7"/>
                <w:szCs w:val="7"/>
                <w:color w:val="auto"/>
              </w:rPr>
            </w:pPr>
          </w:p>
        </w:tc>
        <w:tc>
          <w:tcPr>
            <w:tcW w:w="2740" w:type="dxa"/>
            <w:vAlign w:val="bottom"/>
            <w:shd w:val="clear" w:color="auto" w:fill="D1DDE6"/>
          </w:tcPr>
          <w:p>
            <w:pPr>
              <w:spacing w:after="0"/>
              <w:rPr>
                <w:sz w:val="7"/>
                <w:szCs w:val="7"/>
                <w:color w:val="auto"/>
              </w:rPr>
            </w:pPr>
          </w:p>
        </w:tc>
        <w:tc>
          <w:tcPr>
            <w:tcW w:w="1000" w:type="dxa"/>
            <w:vAlign w:val="bottom"/>
            <w:shd w:val="clear" w:color="auto" w:fill="D1DDE6"/>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9"/>
        </w:trPr>
        <w:tc>
          <w:tcPr>
            <w:tcW w:w="7680" w:type="dxa"/>
            <w:vAlign w:val="bottom"/>
          </w:tcPr>
          <w:p>
            <w:pPr>
              <w:ind w:left="40"/>
              <w:spacing w:after="0"/>
              <w:rPr>
                <w:sz w:val="20"/>
                <w:szCs w:val="20"/>
                <w:color w:val="auto"/>
              </w:rPr>
            </w:pPr>
            <w:r>
              <w:rPr>
                <w:rFonts w:ascii="Arial" w:cs="Arial" w:eastAsia="Arial" w:hAnsi="Arial"/>
                <w:sz w:val="15"/>
                <w:szCs w:val="15"/>
                <w:color w:val="auto"/>
              </w:rPr>
              <w:t>Proposal Two: Advisory Vote on Compensation of Named Executive Officers</w:t>
            </w:r>
          </w:p>
        </w:tc>
        <w:tc>
          <w:tcPr>
            <w:tcW w:w="2740" w:type="dxa"/>
            <w:vAlign w:val="bottom"/>
          </w:tcPr>
          <w:p>
            <w:pPr>
              <w:jc w:val="right"/>
              <w:ind w:right="63"/>
              <w:spacing w:after="0"/>
              <w:rPr>
                <w:sz w:val="20"/>
                <w:szCs w:val="20"/>
                <w:color w:val="auto"/>
              </w:rPr>
            </w:pPr>
            <w:r>
              <w:rPr>
                <w:rFonts w:ascii="Arial" w:cs="Arial" w:eastAsia="Arial" w:hAnsi="Arial"/>
                <w:sz w:val="15"/>
                <w:szCs w:val="15"/>
                <w:b w:val="1"/>
                <w:bCs w:val="1"/>
                <w:color w:val="34657F"/>
              </w:rPr>
              <w:t>FOR</w:t>
            </w:r>
          </w:p>
        </w:tc>
        <w:tc>
          <w:tcPr>
            <w:tcW w:w="1000" w:type="dxa"/>
            <w:vAlign w:val="bottom"/>
          </w:tcPr>
          <w:p>
            <w:pPr>
              <w:jc w:val="right"/>
              <w:ind w:right="17"/>
              <w:spacing w:after="0"/>
              <w:rPr>
                <w:sz w:val="20"/>
                <w:szCs w:val="20"/>
                <w:color w:val="auto"/>
              </w:rPr>
            </w:pPr>
            <w:r>
              <w:rPr>
                <w:rFonts w:ascii="Arial" w:cs="Arial" w:eastAsia="Arial" w:hAnsi="Arial"/>
                <w:sz w:val="17"/>
                <w:szCs w:val="17"/>
                <w:color w:val="auto"/>
              </w:rPr>
              <w:t>34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1"/>
        </w:trPr>
        <w:tc>
          <w:tcPr>
            <w:tcW w:w="7680" w:type="dxa"/>
            <w:vAlign w:val="bottom"/>
          </w:tcPr>
          <w:p>
            <w:pPr>
              <w:spacing w:after="0"/>
              <w:rPr>
                <w:sz w:val="7"/>
                <w:szCs w:val="7"/>
                <w:color w:val="auto"/>
              </w:rPr>
            </w:pPr>
          </w:p>
        </w:tc>
        <w:tc>
          <w:tcPr>
            <w:tcW w:w="27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9"/>
        </w:trPr>
        <w:tc>
          <w:tcPr>
            <w:tcW w:w="7680" w:type="dxa"/>
            <w:vAlign w:val="bottom"/>
            <w:shd w:val="clear" w:color="auto" w:fill="D1DDE6"/>
          </w:tcPr>
          <w:p>
            <w:pPr>
              <w:ind w:left="40"/>
              <w:spacing w:after="0"/>
              <w:rPr>
                <w:sz w:val="20"/>
                <w:szCs w:val="20"/>
                <w:color w:val="auto"/>
              </w:rPr>
            </w:pPr>
            <w:r>
              <w:rPr>
                <w:rFonts w:ascii="Arial" w:cs="Arial" w:eastAsia="Arial" w:hAnsi="Arial"/>
                <w:sz w:val="15"/>
                <w:szCs w:val="15"/>
                <w:color w:val="auto"/>
              </w:rPr>
              <w:t>Proposal Three: Ratification of Appointment of Independent Auditor</w:t>
            </w:r>
          </w:p>
        </w:tc>
        <w:tc>
          <w:tcPr>
            <w:tcW w:w="2740" w:type="dxa"/>
            <w:vAlign w:val="bottom"/>
            <w:shd w:val="clear" w:color="auto" w:fill="D1DDE6"/>
          </w:tcPr>
          <w:p>
            <w:pPr>
              <w:jc w:val="right"/>
              <w:ind w:right="63"/>
              <w:spacing w:after="0"/>
              <w:rPr>
                <w:sz w:val="20"/>
                <w:szCs w:val="20"/>
                <w:color w:val="auto"/>
              </w:rPr>
            </w:pPr>
            <w:r>
              <w:rPr>
                <w:rFonts w:ascii="Arial" w:cs="Arial" w:eastAsia="Arial" w:hAnsi="Arial"/>
                <w:sz w:val="15"/>
                <w:szCs w:val="15"/>
                <w:b w:val="1"/>
                <w:bCs w:val="1"/>
                <w:color w:val="34657F"/>
              </w:rPr>
              <w:t>FOR</w:t>
            </w:r>
          </w:p>
        </w:tc>
        <w:tc>
          <w:tcPr>
            <w:tcW w:w="1000" w:type="dxa"/>
            <w:vAlign w:val="bottom"/>
            <w:shd w:val="clear" w:color="auto" w:fill="D1DDE6"/>
          </w:tcPr>
          <w:p>
            <w:pPr>
              <w:jc w:val="right"/>
              <w:ind w:right="17"/>
              <w:spacing w:after="0"/>
              <w:rPr>
                <w:sz w:val="20"/>
                <w:szCs w:val="20"/>
                <w:color w:val="auto"/>
              </w:rPr>
            </w:pPr>
            <w:r>
              <w:rPr>
                <w:rFonts w:ascii="Arial" w:cs="Arial" w:eastAsia="Arial" w:hAnsi="Arial"/>
                <w:sz w:val="17"/>
                <w:szCs w:val="17"/>
                <w:color w:val="auto"/>
              </w:rPr>
              <w:t>69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1"/>
        </w:trPr>
        <w:tc>
          <w:tcPr>
            <w:tcW w:w="7680" w:type="dxa"/>
            <w:vAlign w:val="bottom"/>
            <w:shd w:val="clear" w:color="auto" w:fill="D1DDE6"/>
          </w:tcPr>
          <w:p>
            <w:pPr>
              <w:spacing w:after="0"/>
              <w:rPr>
                <w:sz w:val="7"/>
                <w:szCs w:val="7"/>
                <w:color w:val="auto"/>
              </w:rPr>
            </w:pPr>
          </w:p>
        </w:tc>
        <w:tc>
          <w:tcPr>
            <w:tcW w:w="2740" w:type="dxa"/>
            <w:vAlign w:val="bottom"/>
            <w:shd w:val="clear" w:color="auto" w:fill="D1DDE6"/>
          </w:tcPr>
          <w:p>
            <w:pPr>
              <w:spacing w:after="0"/>
              <w:rPr>
                <w:sz w:val="7"/>
                <w:szCs w:val="7"/>
                <w:color w:val="auto"/>
              </w:rPr>
            </w:pPr>
          </w:p>
        </w:tc>
        <w:tc>
          <w:tcPr>
            <w:tcW w:w="1000" w:type="dxa"/>
            <w:vAlign w:val="bottom"/>
            <w:shd w:val="clear" w:color="auto" w:fill="D1DDE6"/>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7"/>
        </w:trPr>
        <w:tc>
          <w:tcPr>
            <w:tcW w:w="7680" w:type="dxa"/>
            <w:vAlign w:val="bottom"/>
          </w:tcPr>
          <w:p>
            <w:pPr>
              <w:ind w:left="40"/>
              <w:spacing w:after="0"/>
              <w:rPr>
                <w:sz w:val="20"/>
                <w:szCs w:val="20"/>
                <w:color w:val="auto"/>
              </w:rPr>
            </w:pPr>
            <w:r>
              <w:rPr>
                <w:rFonts w:ascii="Arial" w:cs="Arial" w:eastAsia="Arial" w:hAnsi="Arial"/>
                <w:sz w:val="15"/>
                <w:szCs w:val="15"/>
                <w:color w:val="auto"/>
              </w:rPr>
              <w:t>Proposal Four: Shareholder Proposal to Provide for a Report on Management Systems and Processes for</w:t>
            </w:r>
          </w:p>
        </w:tc>
        <w:tc>
          <w:tcPr>
            <w:tcW w:w="2740" w:type="dxa"/>
            <w:vAlign w:val="bottom"/>
            <w:vMerge w:val="restart"/>
          </w:tcPr>
          <w:p>
            <w:pPr>
              <w:jc w:val="right"/>
              <w:ind w:right="63"/>
              <w:spacing w:after="0"/>
              <w:rPr>
                <w:sz w:val="20"/>
                <w:szCs w:val="20"/>
                <w:color w:val="auto"/>
              </w:rPr>
            </w:pPr>
            <w:r>
              <w:rPr>
                <w:rFonts w:ascii="Arial" w:cs="Arial" w:eastAsia="Arial" w:hAnsi="Arial"/>
                <w:sz w:val="15"/>
                <w:szCs w:val="15"/>
                <w:b w:val="1"/>
                <w:bCs w:val="1"/>
                <w:color w:val="34657F"/>
              </w:rPr>
              <w:t>AGAINST</w:t>
            </w:r>
          </w:p>
        </w:tc>
        <w:tc>
          <w:tcPr>
            <w:tcW w:w="1000" w:type="dxa"/>
            <w:vAlign w:val="bottom"/>
            <w:vMerge w:val="restart"/>
          </w:tcPr>
          <w:p>
            <w:pPr>
              <w:jc w:val="right"/>
              <w:ind w:right="17"/>
              <w:spacing w:after="0"/>
              <w:rPr>
                <w:sz w:val="20"/>
                <w:szCs w:val="20"/>
                <w:color w:val="auto"/>
              </w:rPr>
            </w:pPr>
            <w:r>
              <w:rPr>
                <w:rFonts w:ascii="Arial" w:cs="Arial" w:eastAsia="Arial" w:hAnsi="Arial"/>
                <w:sz w:val="17"/>
                <w:szCs w:val="17"/>
                <w:color w:val="auto"/>
              </w:rPr>
              <w:t>72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7680" w:type="dxa"/>
            <w:vAlign w:val="bottom"/>
          </w:tcPr>
          <w:p>
            <w:pPr>
              <w:ind w:left="40"/>
              <w:spacing w:after="0"/>
              <w:rPr>
                <w:sz w:val="20"/>
                <w:szCs w:val="20"/>
                <w:color w:val="auto"/>
              </w:rPr>
            </w:pPr>
            <w:r>
              <w:rPr>
                <w:rFonts w:ascii="Arial" w:cs="Arial" w:eastAsia="Arial" w:hAnsi="Arial"/>
                <w:sz w:val="15"/>
                <w:szCs w:val="15"/>
                <w:color w:val="auto"/>
              </w:rPr>
              <w:t>Implementing the Company's Human Rights Policy</w:t>
            </w:r>
          </w:p>
        </w:tc>
        <w:tc>
          <w:tcPr>
            <w:tcW w:w="2740" w:type="dxa"/>
            <w:vAlign w:val="bottom"/>
            <w:vMerge w:val="continue"/>
          </w:tcPr>
          <w:p>
            <w:pPr>
              <w:spacing w:after="0"/>
              <w:rPr>
                <w:sz w:val="16"/>
                <w:szCs w:val="16"/>
                <w:color w:val="auto"/>
              </w:rPr>
            </w:pPr>
          </w:p>
        </w:tc>
        <w:tc>
          <w:tcPr>
            <w:tcW w:w="100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1"/>
        </w:trPr>
        <w:tc>
          <w:tcPr>
            <w:tcW w:w="7680" w:type="dxa"/>
            <w:vAlign w:val="bottom"/>
          </w:tcPr>
          <w:p>
            <w:pPr>
              <w:spacing w:after="0"/>
              <w:rPr>
                <w:sz w:val="7"/>
                <w:szCs w:val="7"/>
                <w:color w:val="auto"/>
              </w:rPr>
            </w:pPr>
          </w:p>
        </w:tc>
        <w:tc>
          <w:tcPr>
            <w:tcW w:w="27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9"/>
        </w:trPr>
        <w:tc>
          <w:tcPr>
            <w:tcW w:w="7680" w:type="dxa"/>
            <w:vAlign w:val="bottom"/>
            <w:shd w:val="clear" w:color="auto" w:fill="D1DDE6"/>
          </w:tcPr>
          <w:p>
            <w:pPr>
              <w:ind w:left="40"/>
              <w:spacing w:after="0"/>
              <w:rPr>
                <w:sz w:val="20"/>
                <w:szCs w:val="20"/>
                <w:color w:val="auto"/>
              </w:rPr>
            </w:pPr>
            <w:r>
              <w:rPr>
                <w:rFonts w:ascii="Arial" w:cs="Arial" w:eastAsia="Arial" w:hAnsi="Arial"/>
                <w:sz w:val="15"/>
                <w:szCs w:val="15"/>
                <w:color w:val="auto"/>
              </w:rPr>
              <w:t>Proposal Five: Shareholder Proposal to Provide for an Independent Chair</w:t>
            </w:r>
          </w:p>
        </w:tc>
        <w:tc>
          <w:tcPr>
            <w:tcW w:w="2740" w:type="dxa"/>
            <w:vAlign w:val="bottom"/>
            <w:shd w:val="clear" w:color="auto" w:fill="D1DDE6"/>
          </w:tcPr>
          <w:p>
            <w:pPr>
              <w:jc w:val="right"/>
              <w:ind w:right="63"/>
              <w:spacing w:after="0"/>
              <w:rPr>
                <w:sz w:val="20"/>
                <w:szCs w:val="20"/>
                <w:color w:val="auto"/>
              </w:rPr>
            </w:pPr>
            <w:r>
              <w:rPr>
                <w:rFonts w:ascii="Arial" w:cs="Arial" w:eastAsia="Arial" w:hAnsi="Arial"/>
                <w:sz w:val="15"/>
                <w:szCs w:val="15"/>
                <w:b w:val="1"/>
                <w:bCs w:val="1"/>
                <w:color w:val="34657F"/>
              </w:rPr>
              <w:t>AGAINST</w:t>
            </w:r>
          </w:p>
        </w:tc>
        <w:tc>
          <w:tcPr>
            <w:tcW w:w="1000" w:type="dxa"/>
            <w:vAlign w:val="bottom"/>
            <w:shd w:val="clear" w:color="auto" w:fill="D1DDE6"/>
          </w:tcPr>
          <w:p>
            <w:pPr>
              <w:jc w:val="right"/>
              <w:ind w:right="17"/>
              <w:spacing w:after="0"/>
              <w:rPr>
                <w:sz w:val="20"/>
                <w:szCs w:val="20"/>
                <w:color w:val="auto"/>
              </w:rPr>
            </w:pPr>
            <w:r>
              <w:rPr>
                <w:rFonts w:ascii="Arial" w:cs="Arial" w:eastAsia="Arial" w:hAnsi="Arial"/>
                <w:sz w:val="17"/>
                <w:szCs w:val="17"/>
                <w:color w:val="auto"/>
              </w:rPr>
              <w:t>75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1"/>
        </w:trPr>
        <w:tc>
          <w:tcPr>
            <w:tcW w:w="7680" w:type="dxa"/>
            <w:vAlign w:val="bottom"/>
            <w:shd w:val="clear" w:color="auto" w:fill="D1DDE6"/>
          </w:tcPr>
          <w:p>
            <w:pPr>
              <w:spacing w:after="0"/>
              <w:rPr>
                <w:sz w:val="7"/>
                <w:szCs w:val="7"/>
                <w:color w:val="auto"/>
              </w:rPr>
            </w:pPr>
          </w:p>
        </w:tc>
        <w:tc>
          <w:tcPr>
            <w:tcW w:w="2740" w:type="dxa"/>
            <w:vAlign w:val="bottom"/>
            <w:shd w:val="clear" w:color="auto" w:fill="D1DDE6"/>
          </w:tcPr>
          <w:p>
            <w:pPr>
              <w:spacing w:after="0"/>
              <w:rPr>
                <w:sz w:val="7"/>
                <w:szCs w:val="7"/>
                <w:color w:val="auto"/>
              </w:rPr>
            </w:pPr>
          </w:p>
        </w:tc>
        <w:tc>
          <w:tcPr>
            <w:tcW w:w="1000" w:type="dxa"/>
            <w:vAlign w:val="bottom"/>
            <w:shd w:val="clear" w:color="auto" w:fill="D1DDE6"/>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312" w:lineRule="exact"/>
        <w:rPr>
          <w:sz w:val="20"/>
          <w:szCs w:val="20"/>
          <w:color w:val="auto"/>
        </w:rPr>
      </w:pPr>
    </w:p>
    <w:p>
      <w:pPr>
        <w:jc w:val="right"/>
        <w:ind w:right="20"/>
        <w:spacing w:after="0"/>
        <w:rPr>
          <w:sz w:val="20"/>
          <w:szCs w:val="20"/>
          <w:color w:val="auto"/>
        </w:rPr>
      </w:pPr>
      <w:r>
        <w:rPr>
          <w:rFonts w:ascii="Arial" w:cs="Arial" w:eastAsia="Arial" w:hAnsi="Arial"/>
          <w:sz w:val="14"/>
          <w:szCs w:val="14"/>
          <w:color w:val="34657F"/>
        </w:rPr>
        <w:t xml:space="preserve">NOTICE OF 2019 ANNUAL MEETING OF SHAREHOLDERS AND PROXY STATEMENT </w:t>
      </w:r>
      <w:r>
        <w:rPr>
          <w:rFonts w:ascii="Arial" w:cs="Arial" w:eastAsia="Arial" w:hAnsi="Arial"/>
          <w:sz w:val="14"/>
          <w:szCs w:val="14"/>
          <w:color w:val="000000"/>
        </w:rPr>
        <w:t>I 5</w:t>
      </w:r>
    </w:p>
    <w:p>
      <w:pPr>
        <w:sectPr>
          <w:pgSz w:w="11900" w:h="16838" w:orient="portrait"/>
          <w:cols w:equalWidth="0" w:num="1">
            <w:col w:w="11440"/>
          </w:cols>
          <w:pgMar w:left="240" w:top="671" w:right="219" w:bottom="1440" w:gutter="0" w:footer="0" w:header="0"/>
          <w:type w:val="continuous"/>
        </w:sectPr>
      </w:pPr>
    </w:p>
    <w:bookmarkStart w:id="11" w:name="page12"/>
    <w:bookmarkEnd w:id="11"/>
    <w:p>
      <w:pPr>
        <w:ind w:left="20"/>
        <w:spacing w:after="0"/>
        <w:rPr>
          <w:sz w:val="20"/>
          <w:szCs w:val="20"/>
          <w:color w:val="auto"/>
        </w:rPr>
      </w:pPr>
      <w:r>
        <w:rPr>
          <w:rFonts w:ascii="Arial" w:cs="Arial" w:eastAsia="Arial" w:hAnsi="Arial"/>
          <w:sz w:val="21"/>
          <w:szCs w:val="21"/>
          <w:b w:val="1"/>
          <w:bCs w:val="1"/>
          <w:color w:val="FFFFFF"/>
        </w:rPr>
        <w:drawing>
          <wp:anchor simplePos="0" relativeHeight="251657728" behindDoc="1" locked="0" layoutInCell="0" allowOverlap="1">
            <wp:simplePos x="0" y="0"/>
            <wp:positionH relativeFrom="page">
              <wp:posOffset>154305</wp:posOffset>
            </wp:positionH>
            <wp:positionV relativeFrom="page">
              <wp:posOffset>365760</wp:posOffset>
            </wp:positionV>
            <wp:extent cx="7253605" cy="58610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3605" cy="586105"/>
                    </a:xfrm>
                    <a:prstGeom prst="rect">
                      <a:avLst/>
                    </a:prstGeom>
                    <a:noFill/>
                  </pic:spPr>
                </pic:pic>
              </a:graphicData>
            </a:graphic>
          </wp:anchor>
        </w:drawing>
        <w:t>PROPOSAL ONE: ELECTION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20"/>
        <w:spacing w:after="0"/>
        <w:rPr>
          <w:sz w:val="20"/>
          <w:szCs w:val="20"/>
          <w:color w:val="auto"/>
        </w:rPr>
      </w:pPr>
      <w:r>
        <w:rPr>
          <w:rFonts w:ascii="Arial" w:cs="Arial" w:eastAsia="Arial" w:hAnsi="Arial"/>
          <w:sz w:val="24"/>
          <w:szCs w:val="24"/>
          <w:b w:val="1"/>
          <w:bCs w:val="1"/>
          <w:color w:val="auto"/>
        </w:rPr>
        <w:t>2019 Nominees for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38100</wp:posOffset>
            </wp:positionV>
            <wp:extent cx="7253605" cy="165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pacing w:after="0" w:line="142" w:lineRule="exact"/>
        <w:rPr>
          <w:sz w:val="20"/>
          <w:szCs w:val="20"/>
          <w:color w:val="auto"/>
        </w:rPr>
      </w:pPr>
    </w:p>
    <w:p>
      <w:pPr>
        <w:ind w:right="80"/>
        <w:spacing w:after="0" w:line="254" w:lineRule="auto"/>
        <w:rPr>
          <w:sz w:val="20"/>
          <w:szCs w:val="20"/>
          <w:color w:val="auto"/>
        </w:rPr>
      </w:pPr>
      <w:r>
        <w:rPr>
          <w:rFonts w:ascii="Arial" w:cs="Arial" w:eastAsia="Arial" w:hAnsi="Arial"/>
          <w:sz w:val="17"/>
          <w:szCs w:val="17"/>
          <w:color w:val="auto"/>
        </w:rPr>
        <w:t>Our Board has nominated 13 directors for election at the Annual Meeting. Each of the director nominees has consented to serve, and we do not know of any reason why any of them would be unable to serve, if elected. If a nominee becomes unavailable or unable to serve before the Annual Meeting (for example, due to serious illness), the Board may determine to leave the position vacant, reduce the number of authorized directors or designate a substitute nominee. If any nominee becomes unavailable for election to the Board, an event which is not anticipated, the proxyholders will have full discretion and authority to vote, or refrain from voting, for any other nominee in accordance with their judgment.</w:t>
      </w:r>
    </w:p>
    <w:p>
      <w:pPr>
        <w:spacing w:after="0" w:line="68"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The following pages contain biographical and other information about each of the nominees. In addition, we have provided information regarding some of the particular experiences, qualifications, attributes and skills that led the Board to conclude that each nominee should serve as a director.</w:t>
      </w:r>
    </w:p>
    <w:p>
      <w:pPr>
        <w:spacing w:after="0" w:line="59" w:lineRule="exact"/>
        <w:rPr>
          <w:sz w:val="20"/>
          <w:szCs w:val="20"/>
          <w:color w:val="auto"/>
        </w:rPr>
      </w:pPr>
    </w:p>
    <w:p>
      <w:pPr>
        <w:spacing w:after="0"/>
        <w:rPr>
          <w:sz w:val="20"/>
          <w:szCs w:val="20"/>
          <w:color w:val="auto"/>
        </w:rPr>
      </w:pPr>
      <w:r>
        <w:rPr>
          <w:rFonts w:ascii="Arial" w:cs="Arial" w:eastAsia="Arial" w:hAnsi="Arial"/>
          <w:sz w:val="17"/>
          <w:szCs w:val="17"/>
          <w:color w:val="auto"/>
        </w:rPr>
        <w:t>Unless instructed otherwise, the proxyholders will vote the proxies received by them "FOR" the election of the director nominees listed below.</w:t>
      </w:r>
    </w:p>
    <w:p>
      <w:pPr>
        <w:spacing w:after="0" w:line="209"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34657F"/>
        </w:rPr>
        <w:t>WESLEY G. BUSH, 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29845</wp:posOffset>
            </wp:positionV>
            <wp:extent cx="711517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47" w:lineRule="exact"/>
        <w:rPr>
          <w:sz w:val="20"/>
          <w:szCs w:val="20"/>
          <w:color w:val="auto"/>
        </w:rPr>
      </w:pPr>
    </w:p>
    <w:p>
      <w:pPr>
        <w:ind w:left="1480"/>
        <w:spacing w:after="0"/>
        <w:rPr>
          <w:sz w:val="20"/>
          <w:szCs w:val="20"/>
          <w:color w:val="auto"/>
        </w:rPr>
      </w:pPr>
      <w:r>
        <w:rPr>
          <w:rFonts w:ascii="Arial" w:cs="Arial" w:eastAsia="Arial" w:hAnsi="Arial"/>
          <w:sz w:val="17"/>
          <w:szCs w:val="17"/>
          <w:i w:val="1"/>
          <w:iCs w:val="1"/>
          <w:color w:val="auto"/>
        </w:rPr>
        <w:t>Chairman, Northrop Grumman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wp:posOffset>
            </wp:positionH>
            <wp:positionV relativeFrom="paragraph">
              <wp:posOffset>-111760</wp:posOffset>
            </wp:positionV>
            <wp:extent cx="586105" cy="78168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86105" cy="781685"/>
                    </a:xfrm>
                    <a:prstGeom prst="rect">
                      <a:avLst/>
                    </a:prstGeom>
                    <a:noFill/>
                  </pic:spPr>
                </pic:pic>
              </a:graphicData>
            </a:graphic>
          </wp:anchor>
        </w:drawing>
      </w:r>
    </w:p>
    <w:p>
      <w:pPr>
        <w:spacing w:after="0" w:line="67" w:lineRule="exact"/>
        <w:rPr>
          <w:sz w:val="20"/>
          <w:szCs w:val="20"/>
          <w:color w:val="auto"/>
        </w:rPr>
      </w:pPr>
    </w:p>
    <w:p>
      <w:pPr>
        <w:ind w:left="1480"/>
        <w:spacing w:after="0"/>
        <w:rPr>
          <w:sz w:val="20"/>
          <w:szCs w:val="20"/>
          <w:color w:val="auto"/>
        </w:rPr>
      </w:pPr>
      <w:r>
        <w:rPr>
          <w:rFonts w:ascii="Arial" w:cs="Arial" w:eastAsia="Arial" w:hAnsi="Arial"/>
          <w:sz w:val="17"/>
          <w:szCs w:val="17"/>
          <w:i w:val="1"/>
          <w:iCs w:val="1"/>
          <w:color w:val="auto"/>
        </w:rPr>
        <w:t>Director since September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522605</wp:posOffset>
            </wp:positionV>
            <wp:extent cx="711517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20" w:right="220"/>
        <w:spacing w:after="0" w:line="237" w:lineRule="auto"/>
        <w:rPr>
          <w:sz w:val="20"/>
          <w:szCs w:val="20"/>
          <w:color w:val="auto"/>
        </w:rPr>
      </w:pPr>
      <w:r>
        <w:rPr>
          <w:rFonts w:ascii="Arial" w:cs="Arial" w:eastAsia="Arial" w:hAnsi="Arial"/>
          <w:sz w:val="17"/>
          <w:szCs w:val="17"/>
          <w:color w:val="auto"/>
        </w:rPr>
        <w:t>Mr. Wesley G. Bush served as Chief Executive Officer of the Company from January 2010 through December 31, 2018. He was elected to the Board of Directors in 2009 and elected Chairman of the Board of Directors in July 2011, and continues in his role as Chairman. Mr. Bush served as Chief Executive Officer and President of the Company from January 2010 through December 31, 2017, as President and Chief Operating Officer of the Company from March 2007 through December 2009, as President and Chief Financial Officer from May 2006 through March 2007, and as Corporate Vice President and Chief Financial Officer from March 2005 to May 2006. Following the acquisition of TRW Inc. (TRW) by the Company, he was named Corporate Vice President and President of the Space Technology sector. Mr. Bush joined TRW in 1987 and during his career with that company held various leadership positions, including President and CEO of TRW Aeronautical Systems. He is a member of the Board of Directors of General Motors Corporation and also served as a director of Norfolk Southern Corporation during the last five years. He also serves on the boards of several non-profit organizations, including Conservation International and INOVA Health System.</w:t>
      </w:r>
    </w:p>
    <w:p>
      <w:pPr>
        <w:spacing w:after="0" w:line="104" w:lineRule="exact"/>
        <w:rPr>
          <w:sz w:val="20"/>
          <w:szCs w:val="20"/>
          <w:color w:val="auto"/>
        </w:rPr>
      </w:pPr>
    </w:p>
    <w:p>
      <w:pPr>
        <w:ind w:left="20"/>
        <w:spacing w:after="0"/>
        <w:rPr>
          <w:sz w:val="20"/>
          <w:szCs w:val="20"/>
          <w:color w:val="auto"/>
        </w:rPr>
      </w:pPr>
      <w:r>
        <w:rPr>
          <w:rFonts w:ascii="Arial" w:cs="Arial" w:eastAsia="Arial" w:hAnsi="Arial"/>
          <w:sz w:val="17"/>
          <w:szCs w:val="17"/>
          <w:i w:val="1"/>
          <w:iCs w:val="1"/>
          <w:color w:val="34657F"/>
        </w:rPr>
        <w:t>Attributes, Skills and Qualifications</w:t>
      </w:r>
    </w:p>
    <w:p>
      <w:pPr>
        <w:spacing w:after="0" w:line="132" w:lineRule="exact"/>
        <w:rPr>
          <w:sz w:val="20"/>
          <w:szCs w:val="20"/>
          <w:color w:val="auto"/>
        </w:rPr>
      </w:pPr>
    </w:p>
    <w:p>
      <w:pPr>
        <w:ind w:left="280" w:hanging="252"/>
        <w:spacing w:after="0"/>
        <w:tabs>
          <w:tab w:leader="none" w:pos="280" w:val="left"/>
        </w:tabs>
        <w:numPr>
          <w:ilvl w:val="0"/>
          <w:numId w:val="7"/>
        </w:numPr>
        <w:rPr>
          <w:rFonts w:ascii="Arial" w:cs="Arial" w:eastAsia="Arial" w:hAnsi="Arial"/>
          <w:sz w:val="21"/>
          <w:szCs w:val="21"/>
          <w:color w:val="34657F"/>
        </w:rPr>
      </w:pPr>
      <w:r>
        <w:rPr>
          <w:rFonts w:ascii="Arial" w:cs="Arial" w:eastAsia="Arial" w:hAnsi="Arial"/>
          <w:sz w:val="17"/>
          <w:szCs w:val="17"/>
          <w:color w:val="auto"/>
        </w:rPr>
        <w:t>Significant business experience with over 35 years in the aerospace and defense industry</w:t>
      </w:r>
    </w:p>
    <w:p>
      <w:pPr>
        <w:spacing w:after="0" w:line="154" w:lineRule="exact"/>
        <w:rPr>
          <w:rFonts w:ascii="Arial" w:cs="Arial" w:eastAsia="Arial" w:hAnsi="Arial"/>
          <w:sz w:val="21"/>
          <w:szCs w:val="21"/>
          <w:color w:val="34657F"/>
        </w:rPr>
      </w:pPr>
    </w:p>
    <w:p>
      <w:pPr>
        <w:ind w:left="260" w:right="520" w:hanging="232"/>
        <w:spacing w:after="0" w:line="225" w:lineRule="auto"/>
        <w:tabs>
          <w:tab w:leader="none" w:pos="271" w:val="left"/>
        </w:tabs>
        <w:numPr>
          <w:ilvl w:val="0"/>
          <w:numId w:val="7"/>
        </w:numPr>
        <w:rPr>
          <w:rFonts w:ascii="Arial" w:cs="Arial" w:eastAsia="Arial" w:hAnsi="Arial"/>
          <w:sz w:val="21"/>
          <w:szCs w:val="21"/>
          <w:color w:val="34657F"/>
        </w:rPr>
      </w:pPr>
      <w:r>
        <w:rPr>
          <w:rFonts w:ascii="Arial" w:cs="Arial" w:eastAsia="Arial" w:hAnsi="Arial"/>
          <w:sz w:val="17"/>
          <w:szCs w:val="17"/>
          <w:color w:val="auto"/>
        </w:rPr>
        <w:t>Prior leadership positions within Northrop Grumman (including as Chief Executive Officer, President, Chief Operating Officer, Chief Financial Officer and Sector President)</w:t>
      </w:r>
    </w:p>
    <w:p>
      <w:pPr>
        <w:spacing w:after="0" w:line="116" w:lineRule="exact"/>
        <w:rPr>
          <w:sz w:val="20"/>
          <w:szCs w:val="20"/>
          <w:color w:val="auto"/>
        </w:rPr>
      </w:pPr>
    </w:p>
    <w:p>
      <w:pPr>
        <w:ind w:left="300" w:hanging="272"/>
        <w:spacing w:after="0"/>
        <w:tabs>
          <w:tab w:leader="none" w:pos="300" w:val="left"/>
        </w:tabs>
        <w:numPr>
          <w:ilvl w:val="0"/>
          <w:numId w:val="8"/>
        </w:numPr>
        <w:rPr>
          <w:rFonts w:ascii="Arial" w:cs="Arial" w:eastAsia="Arial" w:hAnsi="Arial"/>
          <w:sz w:val="14"/>
          <w:szCs w:val="14"/>
          <w:color w:val="34657F"/>
        </w:rPr>
      </w:pPr>
      <w:r>
        <w:rPr>
          <w:rFonts w:ascii="Arial" w:cs="Arial" w:eastAsia="Arial" w:hAnsi="Arial"/>
          <w:sz w:val="17"/>
          <w:szCs w:val="17"/>
          <w:color w:val="auto"/>
        </w:rPr>
        <w:t>Extensive international business experience</w:t>
      </w:r>
    </w:p>
    <w:p>
      <w:pPr>
        <w:spacing w:after="0" w:line="125" w:lineRule="exact"/>
        <w:rPr>
          <w:rFonts w:ascii="Arial" w:cs="Arial" w:eastAsia="Arial" w:hAnsi="Arial"/>
          <w:sz w:val="14"/>
          <w:szCs w:val="14"/>
          <w:color w:val="34657F"/>
        </w:rPr>
      </w:pPr>
    </w:p>
    <w:p>
      <w:pPr>
        <w:ind w:left="300" w:hanging="272"/>
        <w:spacing w:after="0"/>
        <w:tabs>
          <w:tab w:leader="none" w:pos="300" w:val="left"/>
        </w:tabs>
        <w:numPr>
          <w:ilvl w:val="0"/>
          <w:numId w:val="8"/>
        </w:numPr>
        <w:rPr>
          <w:rFonts w:ascii="Arial" w:cs="Arial" w:eastAsia="Arial" w:hAnsi="Arial"/>
          <w:sz w:val="14"/>
          <w:szCs w:val="14"/>
          <w:color w:val="34657F"/>
        </w:rPr>
      </w:pPr>
      <w:r>
        <w:rPr>
          <w:rFonts w:ascii="Arial" w:cs="Arial" w:eastAsia="Arial" w:hAnsi="Arial"/>
          <w:sz w:val="17"/>
          <w:szCs w:val="17"/>
          <w:color w:val="auto"/>
        </w:rPr>
        <w:t>Extensive leadership roles in community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63500</wp:posOffset>
            </wp:positionV>
            <wp:extent cx="711517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6 </w:t>
      </w:r>
      <w:r>
        <w:rPr>
          <w:rFonts w:ascii="Arial" w:cs="Arial" w:eastAsia="Arial" w:hAnsi="Arial"/>
          <w:sz w:val="13"/>
          <w:szCs w:val="13"/>
          <w:color w:val="auto"/>
        </w:rPr>
        <w:t>I</w:t>
      </w:r>
      <w:r>
        <w:rPr>
          <w:rFonts w:ascii="Arial" w:cs="Arial" w:eastAsia="Arial" w:hAnsi="Arial"/>
          <w:sz w:val="17"/>
          <w:szCs w:val="17"/>
          <w:color w:val="auto"/>
        </w:rPr>
        <w:t xml:space="preserve"> </w:t>
      </w:r>
      <w:r>
        <w:rPr>
          <w:rFonts w:ascii="Arial" w:cs="Arial" w:eastAsia="Arial" w:hAnsi="Arial"/>
          <w:sz w:val="13"/>
          <w:szCs w:val="13"/>
          <w:color w:val="34657F"/>
        </w:rPr>
        <w:t>NOTICE OF 2019 ANNUAL MEETING OF SHAREHOLDERS AND PROXY STATEMENT</w:t>
      </w:r>
    </w:p>
    <w:p>
      <w:pPr>
        <w:sectPr>
          <w:pgSz w:w="11900" w:h="16838" w:orient="portrait"/>
          <w:cols w:equalWidth="0" w:num="1">
            <w:col w:w="11360"/>
          </w:cols>
          <w:pgMar w:left="240" w:top="671" w:right="299" w:bottom="1440" w:gutter="0" w:footer="0" w:header="0"/>
        </w:sectPr>
      </w:pPr>
    </w:p>
    <w:bookmarkStart w:id="12" w:name="page13"/>
    <w:bookmarkEnd w:id="12"/>
    <w:p>
      <w:pPr>
        <w:spacing w:after="0"/>
        <w:rPr>
          <w:sz w:val="20"/>
          <w:szCs w:val="20"/>
          <w:color w:val="auto"/>
        </w:rPr>
      </w:pPr>
      <w:r>
        <w:rPr>
          <w:rFonts w:ascii="Arial" w:cs="Arial" w:eastAsia="Arial" w:hAnsi="Arial"/>
          <w:sz w:val="21"/>
          <w:szCs w:val="21"/>
          <w:b w:val="1"/>
          <w:bCs w:val="1"/>
          <w:color w:val="FFFFFF"/>
        </w:rPr>
        <w:drawing>
          <wp:anchor simplePos="0" relativeHeight="251657728" behindDoc="1" locked="0" layoutInCell="0" allowOverlap="1">
            <wp:simplePos x="0" y="0"/>
            <wp:positionH relativeFrom="page">
              <wp:posOffset>154305</wp:posOffset>
            </wp:positionH>
            <wp:positionV relativeFrom="page">
              <wp:posOffset>365760</wp:posOffset>
            </wp:positionV>
            <wp:extent cx="7253605" cy="58610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3605" cy="586105"/>
                    </a:xfrm>
                    <a:prstGeom prst="rect">
                      <a:avLst/>
                    </a:prstGeom>
                    <a:noFill/>
                  </pic:spPr>
                </pic:pic>
              </a:graphicData>
            </a:graphic>
          </wp:anchor>
        </w:drawing>
        <w:t>PROPOSAL ONE: ELECTION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21"/>
          <w:szCs w:val="21"/>
          <w:b w:val="1"/>
          <w:bCs w:val="1"/>
          <w:color w:val="34657F"/>
        </w:rPr>
        <w:t>MARIANNE C. BROWN,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29845</wp:posOffset>
            </wp:positionV>
            <wp:extent cx="711517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47" w:lineRule="exact"/>
        <w:rPr>
          <w:sz w:val="20"/>
          <w:szCs w:val="20"/>
          <w:color w:val="auto"/>
        </w:rPr>
      </w:pPr>
    </w:p>
    <w:p>
      <w:pPr>
        <w:ind w:left="1460" w:right="1020"/>
        <w:spacing w:after="0" w:line="269" w:lineRule="auto"/>
        <w:rPr>
          <w:sz w:val="20"/>
          <w:szCs w:val="20"/>
          <w:color w:val="auto"/>
        </w:rPr>
      </w:pPr>
      <w:r>
        <w:rPr>
          <w:rFonts w:ascii="Arial" w:cs="Arial" w:eastAsia="Arial" w:hAnsi="Arial"/>
          <w:sz w:val="17"/>
          <w:szCs w:val="17"/>
          <w:i w:val="1"/>
          <w:iCs w:val="1"/>
          <w:color w:val="auto"/>
        </w:rPr>
        <w:t>Co-Chief Operating Officer, Global Financial Solutions, Fidelity National Information Services, Inc., a financial services technology solutions provider.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594360" cy="79756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94360" cy="797560"/>
                    </a:xfrm>
                    <a:prstGeom prst="rect">
                      <a:avLst/>
                    </a:prstGeom>
                    <a:noFill/>
                  </pic:spPr>
                </pic:pic>
              </a:graphicData>
            </a:graphic>
          </wp:anchor>
        </w:drawing>
      </w:r>
    </w:p>
    <w:p>
      <w:pPr>
        <w:spacing w:after="0" w:line="42" w:lineRule="exact"/>
        <w:rPr>
          <w:sz w:val="20"/>
          <w:szCs w:val="20"/>
          <w:color w:val="auto"/>
        </w:rPr>
      </w:pPr>
    </w:p>
    <w:p>
      <w:pPr>
        <w:ind w:left="1460"/>
        <w:spacing w:after="0"/>
        <w:rPr>
          <w:sz w:val="20"/>
          <w:szCs w:val="20"/>
          <w:color w:val="auto"/>
        </w:rPr>
      </w:pPr>
      <w:r>
        <w:rPr>
          <w:rFonts w:ascii="Arial" w:cs="Arial" w:eastAsia="Arial" w:hAnsi="Arial"/>
          <w:sz w:val="17"/>
          <w:szCs w:val="17"/>
          <w:i w:val="1"/>
          <w:iCs w:val="1"/>
          <w:color w:val="auto"/>
        </w:rPr>
        <w:t>Director since March 2015</w:t>
      </w:r>
    </w:p>
    <w:p>
      <w:pPr>
        <w:spacing w:after="0" w:line="87" w:lineRule="exact"/>
        <w:rPr>
          <w:sz w:val="20"/>
          <w:szCs w:val="20"/>
          <w:color w:val="auto"/>
        </w:rPr>
      </w:pPr>
    </w:p>
    <w:p>
      <w:pPr>
        <w:ind w:left="1460"/>
        <w:spacing w:after="0"/>
        <w:rPr>
          <w:sz w:val="20"/>
          <w:szCs w:val="20"/>
          <w:color w:val="auto"/>
        </w:rPr>
      </w:pPr>
      <w:r>
        <w:rPr>
          <w:rFonts w:ascii="Arial" w:cs="Arial" w:eastAsia="Arial" w:hAnsi="Arial"/>
          <w:sz w:val="17"/>
          <w:szCs w:val="17"/>
          <w:i w:val="1"/>
          <w:iCs w:val="1"/>
          <w:color w:val="auto"/>
        </w:rPr>
        <w:t>Member of the Compensation Committee and Policy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205105</wp:posOffset>
            </wp:positionV>
            <wp:extent cx="711517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ind w:right="380"/>
        <w:spacing w:after="0" w:line="238" w:lineRule="auto"/>
        <w:rPr>
          <w:sz w:val="20"/>
          <w:szCs w:val="20"/>
          <w:color w:val="auto"/>
        </w:rPr>
      </w:pPr>
      <w:r>
        <w:rPr>
          <w:rFonts w:ascii="Arial" w:cs="Arial" w:eastAsia="Arial" w:hAnsi="Arial"/>
          <w:sz w:val="17"/>
          <w:szCs w:val="17"/>
          <w:color w:val="auto"/>
        </w:rPr>
        <w:t>Ms. Marianne C. Brown has served as Co-Chief Operating Officer, Global Financial Solutions, of Fidelity National Information Services, Inc. since January 2018. Prior to that, Ms. Brown served as Chief Operating Officer, Institutional and Wholesale Business of Fidelity National Information Services since December 2015, when it acquired SunGard Financial Systems. Ms. Brown was Chief Operating Officer of SunGard Financial Systems, a software and IT services provider, from February 2014 to November 2015. Prior to that, Ms. Brown was the CEO and president of Omgeo, a global financial services technology company, from March 2006 to February 2014. Before joining Omgeo, she was the CEO of the Securities Industry Automation Corporation. Ms. Brown began her career at Automatic Data Processing (ADP) and progressed through a series of positions of increasing responsibility culminating in her role as general manager of ADP’s Brokerage Processing Services business, which was subsequently spun off to become Broadridge Financial Solutions.</w:t>
      </w:r>
    </w:p>
    <w:p>
      <w:pPr>
        <w:spacing w:after="0" w:line="98" w:lineRule="exact"/>
        <w:rPr>
          <w:sz w:val="20"/>
          <w:szCs w:val="20"/>
          <w:color w:val="auto"/>
        </w:rPr>
      </w:pPr>
    </w:p>
    <w:p>
      <w:pPr>
        <w:spacing w:after="0"/>
        <w:rPr>
          <w:sz w:val="20"/>
          <w:szCs w:val="20"/>
          <w:color w:val="auto"/>
        </w:rPr>
      </w:pPr>
      <w:r>
        <w:rPr>
          <w:rFonts w:ascii="Arial" w:cs="Arial" w:eastAsia="Arial" w:hAnsi="Arial"/>
          <w:sz w:val="17"/>
          <w:szCs w:val="17"/>
          <w:i w:val="1"/>
          <w:iCs w:val="1"/>
          <w:color w:val="34657F"/>
        </w:rPr>
        <w:t>Attributes, Skills and Qualifications</w:t>
      </w:r>
    </w:p>
    <w:p>
      <w:pPr>
        <w:spacing w:after="0" w:line="143" w:lineRule="exact"/>
        <w:rPr>
          <w:sz w:val="20"/>
          <w:szCs w:val="20"/>
          <w:color w:val="auto"/>
        </w:rPr>
      </w:pPr>
    </w:p>
    <w:p>
      <w:pPr>
        <w:ind w:left="280" w:hanging="272"/>
        <w:spacing w:after="0"/>
        <w:tabs>
          <w:tab w:leader="none" w:pos="280" w:val="left"/>
        </w:tabs>
        <w:numPr>
          <w:ilvl w:val="0"/>
          <w:numId w:val="9"/>
        </w:numPr>
        <w:rPr>
          <w:rFonts w:ascii="Arial" w:cs="Arial" w:eastAsia="Arial" w:hAnsi="Arial"/>
          <w:sz w:val="14"/>
          <w:szCs w:val="14"/>
          <w:color w:val="34657F"/>
        </w:rPr>
      </w:pPr>
      <w:r>
        <w:rPr>
          <w:rFonts w:ascii="Arial" w:cs="Arial" w:eastAsia="Arial" w:hAnsi="Arial"/>
          <w:sz w:val="17"/>
          <w:szCs w:val="17"/>
          <w:color w:val="auto"/>
        </w:rPr>
        <w:t>Substantial business experience as Chief Operating Officer and as a former Chief Executive Officer</w:t>
      </w:r>
    </w:p>
    <w:p>
      <w:pPr>
        <w:spacing w:after="0" w:line="125" w:lineRule="exact"/>
        <w:rPr>
          <w:rFonts w:ascii="Arial" w:cs="Arial" w:eastAsia="Arial" w:hAnsi="Arial"/>
          <w:sz w:val="14"/>
          <w:szCs w:val="14"/>
          <w:color w:val="34657F"/>
        </w:rPr>
      </w:pPr>
    </w:p>
    <w:p>
      <w:pPr>
        <w:ind w:left="280" w:hanging="272"/>
        <w:spacing w:after="0"/>
        <w:tabs>
          <w:tab w:leader="none" w:pos="280" w:val="left"/>
        </w:tabs>
        <w:numPr>
          <w:ilvl w:val="0"/>
          <w:numId w:val="9"/>
        </w:numPr>
        <w:rPr>
          <w:rFonts w:ascii="Arial" w:cs="Arial" w:eastAsia="Arial" w:hAnsi="Arial"/>
          <w:sz w:val="14"/>
          <w:szCs w:val="14"/>
          <w:color w:val="34657F"/>
        </w:rPr>
      </w:pPr>
      <w:r>
        <w:rPr>
          <w:rFonts w:ascii="Arial" w:cs="Arial" w:eastAsia="Arial" w:hAnsi="Arial"/>
          <w:sz w:val="17"/>
          <w:szCs w:val="17"/>
          <w:color w:val="auto"/>
        </w:rPr>
        <w:t>Significant experience in IT goods and services and business management</w:t>
      </w:r>
    </w:p>
    <w:p>
      <w:pPr>
        <w:spacing w:after="0" w:line="125" w:lineRule="exact"/>
        <w:rPr>
          <w:rFonts w:ascii="Arial" w:cs="Arial" w:eastAsia="Arial" w:hAnsi="Arial"/>
          <w:sz w:val="14"/>
          <w:szCs w:val="14"/>
          <w:color w:val="34657F"/>
        </w:rPr>
      </w:pPr>
    </w:p>
    <w:p>
      <w:pPr>
        <w:ind w:left="280" w:hanging="272"/>
        <w:spacing w:after="0"/>
        <w:tabs>
          <w:tab w:leader="none" w:pos="280" w:val="left"/>
        </w:tabs>
        <w:numPr>
          <w:ilvl w:val="0"/>
          <w:numId w:val="9"/>
        </w:numPr>
        <w:rPr>
          <w:rFonts w:ascii="Arial" w:cs="Arial" w:eastAsia="Arial" w:hAnsi="Arial"/>
          <w:sz w:val="14"/>
          <w:szCs w:val="14"/>
          <w:color w:val="34657F"/>
        </w:rPr>
      </w:pPr>
      <w:r>
        <w:rPr>
          <w:rFonts w:ascii="Arial" w:cs="Arial" w:eastAsia="Arial" w:hAnsi="Arial"/>
          <w:sz w:val="17"/>
          <w:szCs w:val="17"/>
          <w:color w:val="auto"/>
        </w:rPr>
        <w:t>Community and philanthropic leader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63500</wp:posOffset>
            </wp:positionV>
            <wp:extent cx="711517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21"/>
          <w:szCs w:val="21"/>
          <w:b w:val="1"/>
          <w:bCs w:val="1"/>
          <w:color w:val="34657F"/>
        </w:rPr>
        <w:t>DONALD E. FELSINGER, 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29845</wp:posOffset>
            </wp:positionV>
            <wp:extent cx="711517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47" w:lineRule="exact"/>
        <w:rPr>
          <w:sz w:val="20"/>
          <w:szCs w:val="20"/>
          <w:color w:val="auto"/>
        </w:rPr>
      </w:pPr>
    </w:p>
    <w:p>
      <w:pPr>
        <w:ind w:left="1460"/>
        <w:spacing w:after="0"/>
        <w:rPr>
          <w:sz w:val="20"/>
          <w:szCs w:val="20"/>
          <w:color w:val="auto"/>
        </w:rPr>
      </w:pPr>
      <w:r>
        <w:rPr>
          <w:rFonts w:ascii="Arial" w:cs="Arial" w:eastAsia="Arial" w:hAnsi="Arial"/>
          <w:sz w:val="17"/>
          <w:szCs w:val="17"/>
          <w:i w:val="1"/>
          <w:iCs w:val="1"/>
          <w:color w:val="auto"/>
        </w:rPr>
        <w:t>Lead Independent Director of the Board of Directors, Northrop Grumman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586105" cy="78168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86105" cy="781685"/>
                    </a:xfrm>
                    <a:prstGeom prst="rect">
                      <a:avLst/>
                    </a:prstGeom>
                    <a:noFill/>
                  </pic:spPr>
                </pic:pic>
              </a:graphicData>
            </a:graphic>
          </wp:anchor>
        </w:drawing>
      </w:r>
    </w:p>
    <w:p>
      <w:pPr>
        <w:spacing w:after="0" w:line="92" w:lineRule="exact"/>
        <w:rPr>
          <w:sz w:val="20"/>
          <w:szCs w:val="20"/>
          <w:color w:val="auto"/>
        </w:rPr>
      </w:pPr>
    </w:p>
    <w:p>
      <w:pPr>
        <w:ind w:left="1460"/>
        <w:spacing w:after="0"/>
        <w:rPr>
          <w:sz w:val="20"/>
          <w:szCs w:val="20"/>
          <w:color w:val="auto"/>
        </w:rPr>
      </w:pPr>
      <w:r>
        <w:rPr>
          <w:rFonts w:ascii="Arial" w:cs="Arial" w:eastAsia="Arial" w:hAnsi="Arial"/>
          <w:sz w:val="17"/>
          <w:szCs w:val="17"/>
          <w:i w:val="1"/>
          <w:iCs w:val="1"/>
          <w:color w:val="auto"/>
        </w:rPr>
        <w:t>Former Chairman and Chief Executive Officer, Sempra Energy, an energy services holding company.</w:t>
      </w:r>
    </w:p>
    <w:p>
      <w:pPr>
        <w:spacing w:after="0" w:line="112" w:lineRule="exact"/>
        <w:rPr>
          <w:sz w:val="20"/>
          <w:szCs w:val="20"/>
          <w:color w:val="auto"/>
        </w:rPr>
      </w:pPr>
    </w:p>
    <w:p>
      <w:pPr>
        <w:ind w:left="1460"/>
        <w:spacing w:after="0"/>
        <w:rPr>
          <w:sz w:val="20"/>
          <w:szCs w:val="20"/>
          <w:color w:val="auto"/>
        </w:rPr>
      </w:pPr>
      <w:r>
        <w:rPr>
          <w:rFonts w:ascii="Arial" w:cs="Arial" w:eastAsia="Arial" w:hAnsi="Arial"/>
          <w:sz w:val="17"/>
          <w:szCs w:val="17"/>
          <w:i w:val="1"/>
          <w:iCs w:val="1"/>
          <w:color w:val="auto"/>
        </w:rPr>
        <w:t>Director since February 2007</w:t>
      </w:r>
    </w:p>
    <w:p>
      <w:pPr>
        <w:spacing w:after="0" w:line="87" w:lineRule="exact"/>
        <w:rPr>
          <w:sz w:val="20"/>
          <w:szCs w:val="20"/>
          <w:color w:val="auto"/>
        </w:rPr>
      </w:pPr>
    </w:p>
    <w:p>
      <w:pPr>
        <w:ind w:left="1460"/>
        <w:spacing w:after="0"/>
        <w:rPr>
          <w:sz w:val="20"/>
          <w:szCs w:val="20"/>
          <w:color w:val="auto"/>
        </w:rPr>
      </w:pPr>
      <w:r>
        <w:rPr>
          <w:rFonts w:ascii="Arial" w:cs="Arial" w:eastAsia="Arial" w:hAnsi="Arial"/>
          <w:sz w:val="17"/>
          <w:szCs w:val="17"/>
          <w:i w:val="1"/>
          <w:iCs w:val="1"/>
          <w:color w:val="auto"/>
        </w:rPr>
        <w:t>Member of the Compensation Committee and Governance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115570</wp:posOffset>
            </wp:positionV>
            <wp:extent cx="711517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315" w:lineRule="exact"/>
        <w:rPr>
          <w:sz w:val="20"/>
          <w:szCs w:val="20"/>
          <w:color w:val="auto"/>
        </w:rPr>
      </w:pPr>
    </w:p>
    <w:p>
      <w:pPr>
        <w:ind w:right="240"/>
        <w:spacing w:after="0" w:line="238" w:lineRule="auto"/>
        <w:rPr>
          <w:sz w:val="20"/>
          <w:szCs w:val="20"/>
          <w:color w:val="auto"/>
        </w:rPr>
      </w:pPr>
      <w:r>
        <w:rPr>
          <w:rFonts w:ascii="Arial" w:cs="Arial" w:eastAsia="Arial" w:hAnsi="Arial"/>
          <w:sz w:val="17"/>
          <w:szCs w:val="17"/>
          <w:color w:val="auto"/>
        </w:rPr>
        <w:t>Mr. Donald E. Felsinger is the former Chairman and Chief Executive Officer of Sempra Energy. From July 2011 through his retirement in November 2012, he served as Executive Chairman of the Board of Directors of Sempra Energy, and from February 2006 through June 2011, he was Sempra's Chairman and CEO. Prior to that, Mr. Felsinger was President and Chief Operating Officer of Sempra Energy from January 2005 to February 2006 and a member of the Board of Directors. From 1998 through 2004, he was Group President and Chief Executive Officer of Sempra Global. Prior to the merger that formed Sempra Energy, he served as President and Chief Operating Officer of Enova Corporation, the parent company of San Diego Gas &amp; Electric (SDG&amp;E). Prior positions included President and Chief Executive Officer of SDG&amp;E, Executive Vice President of Enova Corporation and Executive Vice President of SDG&amp;E. Mr. Felsinger serves on the Boards of Directors of Archer-Daniels-Midland (Lead Independent Director) and Gannett Co., Inc.</w:t>
      </w:r>
    </w:p>
    <w:p>
      <w:pPr>
        <w:spacing w:after="0" w:line="98" w:lineRule="exact"/>
        <w:rPr>
          <w:sz w:val="20"/>
          <w:szCs w:val="20"/>
          <w:color w:val="auto"/>
        </w:rPr>
      </w:pPr>
    </w:p>
    <w:p>
      <w:pPr>
        <w:spacing w:after="0"/>
        <w:rPr>
          <w:sz w:val="20"/>
          <w:szCs w:val="20"/>
          <w:color w:val="auto"/>
        </w:rPr>
      </w:pPr>
      <w:r>
        <w:rPr>
          <w:rFonts w:ascii="Arial" w:cs="Arial" w:eastAsia="Arial" w:hAnsi="Arial"/>
          <w:sz w:val="17"/>
          <w:szCs w:val="17"/>
          <w:i w:val="1"/>
          <w:iCs w:val="1"/>
          <w:color w:val="34657F"/>
        </w:rPr>
        <w:t>Attributes, Skills and Qualifications</w:t>
      </w:r>
    </w:p>
    <w:p>
      <w:pPr>
        <w:spacing w:after="0" w:line="143" w:lineRule="exact"/>
        <w:rPr>
          <w:sz w:val="20"/>
          <w:szCs w:val="20"/>
          <w:color w:val="auto"/>
        </w:rPr>
      </w:pPr>
    </w:p>
    <w:p>
      <w:pPr>
        <w:ind w:left="240" w:right="900" w:hanging="232"/>
        <w:spacing w:after="0" w:line="247" w:lineRule="auto"/>
        <w:tabs>
          <w:tab w:leader="none" w:pos="281" w:val="left"/>
        </w:tabs>
        <w:numPr>
          <w:ilvl w:val="0"/>
          <w:numId w:val="10"/>
        </w:numPr>
        <w:rPr>
          <w:rFonts w:ascii="Arial" w:cs="Arial" w:eastAsia="Arial" w:hAnsi="Arial"/>
          <w:sz w:val="14"/>
          <w:szCs w:val="14"/>
          <w:color w:val="34657F"/>
        </w:rPr>
      </w:pPr>
      <w:r>
        <w:rPr>
          <w:rFonts w:ascii="Arial" w:cs="Arial" w:eastAsia="Arial" w:hAnsi="Arial"/>
          <w:sz w:val="17"/>
          <w:szCs w:val="17"/>
          <w:color w:val="auto"/>
        </w:rPr>
        <w:t>Extensive business experience as Chief Executive Officer, a board member and Chairman of other Fortune 500 companies in regulated industries</w:t>
      </w:r>
    </w:p>
    <w:p>
      <w:pPr>
        <w:spacing w:after="0" w:line="110" w:lineRule="exact"/>
        <w:rPr>
          <w:rFonts w:ascii="Arial" w:cs="Arial" w:eastAsia="Arial" w:hAnsi="Arial"/>
          <w:sz w:val="14"/>
          <w:szCs w:val="14"/>
          <w:color w:val="34657F"/>
        </w:rPr>
      </w:pPr>
    </w:p>
    <w:p>
      <w:pPr>
        <w:ind w:left="280" w:hanging="272"/>
        <w:spacing w:after="0"/>
        <w:tabs>
          <w:tab w:leader="none" w:pos="280" w:val="left"/>
        </w:tabs>
        <w:numPr>
          <w:ilvl w:val="0"/>
          <w:numId w:val="10"/>
        </w:numPr>
        <w:rPr>
          <w:rFonts w:ascii="Arial" w:cs="Arial" w:eastAsia="Arial" w:hAnsi="Arial"/>
          <w:sz w:val="14"/>
          <w:szCs w:val="14"/>
          <w:color w:val="34657F"/>
        </w:rPr>
      </w:pPr>
      <w:r>
        <w:rPr>
          <w:rFonts w:ascii="Arial" w:cs="Arial" w:eastAsia="Arial" w:hAnsi="Arial"/>
          <w:sz w:val="17"/>
          <w:szCs w:val="17"/>
          <w:color w:val="auto"/>
        </w:rPr>
        <w:t>Significant experience in corporate governance and strategy, and as Lead Independent Director of a Fortune 250 company</w:t>
      </w:r>
    </w:p>
    <w:p>
      <w:pPr>
        <w:spacing w:after="0" w:line="125" w:lineRule="exact"/>
        <w:rPr>
          <w:rFonts w:ascii="Arial" w:cs="Arial" w:eastAsia="Arial" w:hAnsi="Arial"/>
          <w:sz w:val="14"/>
          <w:szCs w:val="14"/>
          <w:color w:val="34657F"/>
        </w:rPr>
      </w:pPr>
    </w:p>
    <w:p>
      <w:pPr>
        <w:ind w:left="280" w:hanging="272"/>
        <w:spacing w:after="0"/>
        <w:tabs>
          <w:tab w:leader="none" w:pos="280" w:val="left"/>
        </w:tabs>
        <w:numPr>
          <w:ilvl w:val="0"/>
          <w:numId w:val="10"/>
        </w:numPr>
        <w:rPr>
          <w:rFonts w:ascii="Arial" w:cs="Arial" w:eastAsia="Arial" w:hAnsi="Arial"/>
          <w:sz w:val="14"/>
          <w:szCs w:val="14"/>
          <w:color w:val="34657F"/>
        </w:rPr>
      </w:pPr>
      <w:r>
        <w:rPr>
          <w:rFonts w:ascii="Arial" w:cs="Arial" w:eastAsia="Arial" w:hAnsi="Arial"/>
          <w:sz w:val="17"/>
          <w:szCs w:val="17"/>
          <w:color w:val="auto"/>
        </w:rPr>
        <w:t>In-depth knowledge of executive compensation and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63500</wp:posOffset>
            </wp:positionV>
            <wp:extent cx="711517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333" w:lineRule="exact"/>
        <w:rPr>
          <w:sz w:val="20"/>
          <w:szCs w:val="20"/>
          <w:color w:val="auto"/>
        </w:rPr>
      </w:pPr>
    </w:p>
    <w:p>
      <w:pPr>
        <w:jc w:val="right"/>
        <w:spacing w:after="0"/>
        <w:rPr>
          <w:sz w:val="20"/>
          <w:szCs w:val="20"/>
          <w:color w:val="auto"/>
        </w:rPr>
      </w:pPr>
      <w:r>
        <w:rPr>
          <w:rFonts w:ascii="Arial" w:cs="Arial" w:eastAsia="Arial" w:hAnsi="Arial"/>
          <w:sz w:val="14"/>
          <w:szCs w:val="14"/>
          <w:color w:val="34657F"/>
        </w:rPr>
        <w:t xml:space="preserve">NOTICE OF 2019 ANNUAL MEETING OF SHAREHOLDERS AND PROXY STATEMENT </w:t>
      </w:r>
      <w:r>
        <w:rPr>
          <w:rFonts w:ascii="Arial" w:cs="Arial" w:eastAsia="Arial" w:hAnsi="Arial"/>
          <w:sz w:val="14"/>
          <w:szCs w:val="14"/>
          <w:color w:val="000000"/>
        </w:rPr>
        <w:t>I 7</w:t>
      </w:r>
    </w:p>
    <w:p>
      <w:pPr>
        <w:sectPr>
          <w:pgSz w:w="11900" w:h="16838" w:orient="portrait"/>
          <w:cols w:equalWidth="0" w:num="1">
            <w:col w:w="11400"/>
          </w:cols>
          <w:pgMar w:left="260" w:top="671" w:right="239" w:bottom="1440" w:gutter="0" w:footer="0" w:header="0"/>
        </w:sectPr>
      </w:pPr>
    </w:p>
    <w:bookmarkStart w:id="13" w:name="page14"/>
    <w:bookmarkEnd w:id="13"/>
    <w:p>
      <w:pPr>
        <w:ind w:left="20"/>
        <w:spacing w:after="0"/>
        <w:rPr>
          <w:sz w:val="20"/>
          <w:szCs w:val="20"/>
          <w:color w:val="auto"/>
        </w:rPr>
      </w:pPr>
      <w:r>
        <w:rPr>
          <w:rFonts w:ascii="Arial" w:cs="Arial" w:eastAsia="Arial" w:hAnsi="Arial"/>
          <w:sz w:val="21"/>
          <w:szCs w:val="21"/>
          <w:b w:val="1"/>
          <w:bCs w:val="1"/>
          <w:color w:val="FFFFFF"/>
        </w:rPr>
        <w:drawing>
          <wp:anchor simplePos="0" relativeHeight="251657728" behindDoc="1" locked="0" layoutInCell="0" allowOverlap="1">
            <wp:simplePos x="0" y="0"/>
            <wp:positionH relativeFrom="page">
              <wp:posOffset>154305</wp:posOffset>
            </wp:positionH>
            <wp:positionV relativeFrom="page">
              <wp:posOffset>365760</wp:posOffset>
            </wp:positionV>
            <wp:extent cx="7253605" cy="58610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3605" cy="586105"/>
                    </a:xfrm>
                    <a:prstGeom prst="rect">
                      <a:avLst/>
                    </a:prstGeom>
                    <a:noFill/>
                  </pic:spPr>
                </pic:pic>
              </a:graphicData>
            </a:graphic>
          </wp:anchor>
        </w:drawing>
        <w:t>PROPOSAL ONE: ELECTION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34657F"/>
        </w:rPr>
        <w:t>ANN M. FUDGE, 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29845</wp:posOffset>
            </wp:positionV>
            <wp:extent cx="711517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47" w:lineRule="exact"/>
        <w:rPr>
          <w:sz w:val="20"/>
          <w:szCs w:val="20"/>
          <w:color w:val="auto"/>
        </w:rPr>
      </w:pPr>
    </w:p>
    <w:p>
      <w:pPr>
        <w:ind w:left="1480" w:right="1140"/>
        <w:spacing w:after="0" w:line="346" w:lineRule="auto"/>
        <w:rPr>
          <w:sz w:val="20"/>
          <w:szCs w:val="20"/>
          <w:color w:val="auto"/>
        </w:rPr>
      </w:pPr>
      <w:r>
        <w:rPr>
          <w:rFonts w:ascii="Arial" w:cs="Arial" w:eastAsia="Arial" w:hAnsi="Arial"/>
          <w:sz w:val="17"/>
          <w:szCs w:val="17"/>
          <w:i w:val="1"/>
          <w:iCs w:val="1"/>
          <w:color w:val="auto"/>
        </w:rPr>
        <w:t>Former Chairman and Chief Executive Officer, Young &amp; Rubicam Brands, a marketing communications company. Director since March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-345440</wp:posOffset>
            </wp:positionV>
            <wp:extent cx="651510" cy="6515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51510" cy="651510"/>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7"/>
          <w:szCs w:val="17"/>
          <w:i w:val="1"/>
          <w:iCs w:val="1"/>
          <w:color w:val="auto"/>
        </w:rPr>
        <w:t>Member of the Audit Committee and Governance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197485</wp:posOffset>
            </wp:positionV>
            <wp:extent cx="711517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20"/>
        <w:spacing w:after="0" w:line="238" w:lineRule="auto"/>
        <w:rPr>
          <w:sz w:val="20"/>
          <w:szCs w:val="20"/>
          <w:color w:val="auto"/>
        </w:rPr>
      </w:pPr>
      <w:r>
        <w:rPr>
          <w:rFonts w:ascii="Arial" w:cs="Arial" w:eastAsia="Arial" w:hAnsi="Arial"/>
          <w:sz w:val="17"/>
          <w:szCs w:val="17"/>
          <w:color w:val="auto"/>
        </w:rPr>
        <w:t>Ms. Ann M. Fudge served as Chairman and Chief Executive Officer of Young &amp; Rubicam Brands at WPP Group PLC from May 2003 to December 2006. Prior to that, she served in various leadership positions at Kraft Foods from 1986 to 2001, including President of Beverages, Desserts and Post Divisions, and President of Maxwell House Coffee and Kraft General Foods. From 1977 to 1986, Ms. Fudge held a variety of marketing positions at General Mills. She is a director of Novartis AG, and served as a director of General Electric Company, Infosys Limited and Unilever N.V. during the last five years. Ms. Fudge is the Chair of the Board of Trustees of WGBH Public Media and a trustee of the Brookings Institution. She also serves on the Advisory Board of the Smithsonian Institution's National Museum of African American History and Culture, and as Chair of the U.S. Programs Advisory Panel of the Gates Foundation.</w:t>
      </w:r>
    </w:p>
    <w:p>
      <w:pPr>
        <w:spacing w:after="0" w:line="99" w:lineRule="exact"/>
        <w:rPr>
          <w:sz w:val="20"/>
          <w:szCs w:val="20"/>
          <w:color w:val="auto"/>
        </w:rPr>
      </w:pPr>
    </w:p>
    <w:p>
      <w:pPr>
        <w:ind w:left="20"/>
        <w:spacing w:after="0"/>
        <w:rPr>
          <w:sz w:val="20"/>
          <w:szCs w:val="20"/>
          <w:color w:val="auto"/>
        </w:rPr>
      </w:pPr>
      <w:r>
        <w:rPr>
          <w:rFonts w:ascii="Arial" w:cs="Arial" w:eastAsia="Arial" w:hAnsi="Arial"/>
          <w:sz w:val="17"/>
          <w:szCs w:val="17"/>
          <w:i w:val="1"/>
          <w:iCs w:val="1"/>
          <w:color w:val="34657F"/>
        </w:rPr>
        <w:t>Attributes, Skills and Qualifications</w:t>
      </w:r>
    </w:p>
    <w:p>
      <w:pPr>
        <w:spacing w:after="0" w:line="143" w:lineRule="exact"/>
        <w:rPr>
          <w:sz w:val="20"/>
          <w:szCs w:val="20"/>
          <w:color w:val="auto"/>
        </w:rPr>
      </w:pPr>
    </w:p>
    <w:p>
      <w:pPr>
        <w:ind w:left="300" w:hanging="272"/>
        <w:spacing w:after="0"/>
        <w:tabs>
          <w:tab w:leader="none" w:pos="300" w:val="left"/>
        </w:tabs>
        <w:numPr>
          <w:ilvl w:val="0"/>
          <w:numId w:val="11"/>
        </w:numPr>
        <w:rPr>
          <w:rFonts w:ascii="Arial" w:cs="Arial" w:eastAsia="Arial" w:hAnsi="Arial"/>
          <w:sz w:val="14"/>
          <w:szCs w:val="14"/>
          <w:color w:val="34657F"/>
        </w:rPr>
      </w:pPr>
      <w:r>
        <w:rPr>
          <w:rFonts w:ascii="Arial" w:cs="Arial" w:eastAsia="Arial" w:hAnsi="Arial"/>
          <w:sz w:val="17"/>
          <w:szCs w:val="17"/>
          <w:color w:val="auto"/>
        </w:rPr>
        <w:t>Extensive business experience as former Chief Executive Officer and former president of leading consumer products business units</w:t>
      </w:r>
    </w:p>
    <w:p>
      <w:pPr>
        <w:spacing w:after="0" w:line="125" w:lineRule="exact"/>
        <w:rPr>
          <w:rFonts w:ascii="Arial" w:cs="Arial" w:eastAsia="Arial" w:hAnsi="Arial"/>
          <w:sz w:val="14"/>
          <w:szCs w:val="14"/>
          <w:color w:val="34657F"/>
        </w:rPr>
      </w:pPr>
    </w:p>
    <w:p>
      <w:pPr>
        <w:ind w:left="260" w:right="120" w:hanging="232"/>
        <w:spacing w:after="0" w:line="247" w:lineRule="auto"/>
        <w:tabs>
          <w:tab w:leader="none" w:pos="301" w:val="left"/>
        </w:tabs>
        <w:numPr>
          <w:ilvl w:val="0"/>
          <w:numId w:val="11"/>
        </w:numPr>
        <w:rPr>
          <w:rFonts w:ascii="Arial" w:cs="Arial" w:eastAsia="Arial" w:hAnsi="Arial"/>
          <w:sz w:val="14"/>
          <w:szCs w:val="14"/>
          <w:color w:val="34657F"/>
        </w:rPr>
      </w:pPr>
      <w:r>
        <w:rPr>
          <w:rFonts w:ascii="Arial" w:cs="Arial" w:eastAsia="Arial" w:hAnsi="Arial"/>
          <w:sz w:val="17"/>
          <w:szCs w:val="17"/>
          <w:color w:val="auto"/>
        </w:rPr>
        <w:t>Substantial international experience through service as an executive and director of a large multinational company and a director of other large multinational companies</w:t>
      </w:r>
    </w:p>
    <w:p>
      <w:pPr>
        <w:spacing w:after="0" w:line="110" w:lineRule="exact"/>
        <w:rPr>
          <w:rFonts w:ascii="Arial" w:cs="Arial" w:eastAsia="Arial" w:hAnsi="Arial"/>
          <w:sz w:val="14"/>
          <w:szCs w:val="14"/>
          <w:color w:val="34657F"/>
        </w:rPr>
      </w:pPr>
    </w:p>
    <w:p>
      <w:pPr>
        <w:ind w:left="300" w:hanging="272"/>
        <w:spacing w:after="0"/>
        <w:tabs>
          <w:tab w:leader="none" w:pos="300" w:val="left"/>
        </w:tabs>
        <w:numPr>
          <w:ilvl w:val="0"/>
          <w:numId w:val="11"/>
        </w:numPr>
        <w:rPr>
          <w:rFonts w:ascii="Arial" w:cs="Arial" w:eastAsia="Arial" w:hAnsi="Arial"/>
          <w:sz w:val="14"/>
          <w:szCs w:val="14"/>
          <w:color w:val="34657F"/>
        </w:rPr>
      </w:pPr>
      <w:r>
        <w:rPr>
          <w:rFonts w:ascii="Arial" w:cs="Arial" w:eastAsia="Arial" w:hAnsi="Arial"/>
          <w:sz w:val="17"/>
          <w:szCs w:val="17"/>
          <w:color w:val="auto"/>
        </w:rPr>
        <w:t>Significant public company board experience</w:t>
      </w:r>
    </w:p>
    <w:p>
      <w:pPr>
        <w:spacing w:after="0" w:line="125" w:lineRule="exact"/>
        <w:rPr>
          <w:rFonts w:ascii="Arial" w:cs="Arial" w:eastAsia="Arial" w:hAnsi="Arial"/>
          <w:sz w:val="14"/>
          <w:szCs w:val="14"/>
          <w:color w:val="34657F"/>
        </w:rPr>
      </w:pPr>
    </w:p>
    <w:p>
      <w:pPr>
        <w:ind w:left="300" w:hanging="272"/>
        <w:spacing w:after="0"/>
        <w:tabs>
          <w:tab w:leader="none" w:pos="300" w:val="left"/>
        </w:tabs>
        <w:numPr>
          <w:ilvl w:val="0"/>
          <w:numId w:val="11"/>
        </w:numPr>
        <w:rPr>
          <w:rFonts w:ascii="Arial" w:cs="Arial" w:eastAsia="Arial" w:hAnsi="Arial"/>
          <w:sz w:val="14"/>
          <w:szCs w:val="14"/>
          <w:color w:val="34657F"/>
        </w:rPr>
      </w:pPr>
      <w:r>
        <w:rPr>
          <w:rFonts w:ascii="Arial" w:cs="Arial" w:eastAsia="Arial" w:hAnsi="Arial"/>
          <w:sz w:val="17"/>
          <w:szCs w:val="17"/>
          <w:color w:val="auto"/>
        </w:rPr>
        <w:t>Experience with talent development and acquisition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63500</wp:posOffset>
            </wp:positionV>
            <wp:extent cx="711517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34657F"/>
        </w:rPr>
        <w:t>BRUCE S. GORDON, 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29845</wp:posOffset>
            </wp:positionV>
            <wp:extent cx="711517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47" w:lineRule="exact"/>
        <w:rPr>
          <w:sz w:val="20"/>
          <w:szCs w:val="20"/>
          <w:color w:val="auto"/>
        </w:rPr>
      </w:pPr>
    </w:p>
    <w:p>
      <w:pPr>
        <w:ind w:left="1480" w:right="120"/>
        <w:spacing w:after="0" w:line="269" w:lineRule="auto"/>
        <w:rPr>
          <w:sz w:val="20"/>
          <w:szCs w:val="20"/>
          <w:color w:val="auto"/>
        </w:rPr>
      </w:pPr>
      <w:r>
        <w:rPr>
          <w:rFonts w:ascii="Arial" w:cs="Arial" w:eastAsia="Arial" w:hAnsi="Arial"/>
          <w:sz w:val="17"/>
          <w:szCs w:val="17"/>
          <w:i w:val="1"/>
          <w:iCs w:val="1"/>
          <w:color w:val="auto"/>
        </w:rPr>
        <w:t>Former President, Retail Markets Group, Verizon Communications Inc., a telecommunications company, and Former President &amp; CEO, NAACP.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-265430</wp:posOffset>
            </wp:positionV>
            <wp:extent cx="586105" cy="78168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86105" cy="781685"/>
                    </a:xfrm>
                    <a:prstGeom prst="rect">
                      <a:avLst/>
                    </a:prstGeom>
                    <a:noFill/>
                  </pic:spPr>
                </pic:pic>
              </a:graphicData>
            </a:graphic>
          </wp:anchor>
        </w:drawing>
      </w:r>
    </w:p>
    <w:p>
      <w:pPr>
        <w:spacing w:after="0" w:line="16" w:lineRule="exact"/>
        <w:rPr>
          <w:sz w:val="20"/>
          <w:szCs w:val="20"/>
          <w:color w:val="auto"/>
        </w:rPr>
      </w:pPr>
    </w:p>
    <w:p>
      <w:pPr>
        <w:ind w:left="1480"/>
        <w:spacing w:after="0"/>
        <w:rPr>
          <w:sz w:val="20"/>
          <w:szCs w:val="20"/>
          <w:color w:val="auto"/>
        </w:rPr>
      </w:pPr>
      <w:r>
        <w:rPr>
          <w:rFonts w:ascii="Arial" w:cs="Arial" w:eastAsia="Arial" w:hAnsi="Arial"/>
          <w:sz w:val="17"/>
          <w:szCs w:val="17"/>
          <w:i w:val="1"/>
          <w:iCs w:val="1"/>
          <w:color w:val="auto"/>
        </w:rPr>
        <w:t>Director since October 2008</w:t>
      </w:r>
    </w:p>
    <w:p>
      <w:pPr>
        <w:spacing w:after="0" w:line="87" w:lineRule="exact"/>
        <w:rPr>
          <w:sz w:val="20"/>
          <w:szCs w:val="20"/>
          <w:color w:val="auto"/>
        </w:rPr>
      </w:pPr>
    </w:p>
    <w:p>
      <w:pPr>
        <w:ind w:left="1480"/>
        <w:spacing w:after="0"/>
        <w:rPr>
          <w:sz w:val="20"/>
          <w:szCs w:val="20"/>
          <w:color w:val="auto"/>
        </w:rPr>
      </w:pPr>
      <w:r>
        <w:rPr>
          <w:rFonts w:ascii="Arial" w:cs="Arial" w:eastAsia="Arial" w:hAnsi="Arial"/>
          <w:sz w:val="17"/>
          <w:szCs w:val="17"/>
          <w:i w:val="1"/>
          <w:iCs w:val="1"/>
          <w:color w:val="auto"/>
        </w:rPr>
        <w:t>Member of the Compensation Committee and Policy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205105</wp:posOffset>
            </wp:positionV>
            <wp:extent cx="711517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ind w:left="20"/>
        <w:spacing w:after="0" w:line="238" w:lineRule="auto"/>
        <w:rPr>
          <w:sz w:val="20"/>
          <w:szCs w:val="20"/>
          <w:color w:val="auto"/>
        </w:rPr>
      </w:pPr>
      <w:r>
        <w:rPr>
          <w:rFonts w:ascii="Arial" w:cs="Arial" w:eastAsia="Arial" w:hAnsi="Arial"/>
          <w:sz w:val="17"/>
          <w:szCs w:val="17"/>
          <w:color w:val="auto"/>
        </w:rPr>
        <w:t>Mr. Bruce S. Gordon served as President and Chief Executive Officer of the National Association for the Advancement of Colored People from June 2005 to March 2007. In 2003, Mr. Gordon retired from Verizon Communications Inc., where he had served as President, Retail Markets Group since 2000. Prior to that, Mr. Gordon served as Group President of the Enterprise Business Unit, President of Consumer Services, Vice President of Marketing and Sales and Vice President of Sales for Bell Atlantic Corporation (Verizon's predecessor). He is a member of the board of directors of the Newport Festival Foundation and a member of the Executive Leadership Council. Mr. Gordon served as a director of CBS Corporation and as the Non-Executive Chair of The ADT Corporation during the last five years. He currently serves as a diversity consultant to several Fortune 500 companies.</w:t>
      </w:r>
    </w:p>
    <w:p>
      <w:pPr>
        <w:spacing w:after="0" w:line="99" w:lineRule="exact"/>
        <w:rPr>
          <w:sz w:val="20"/>
          <w:szCs w:val="20"/>
          <w:color w:val="auto"/>
        </w:rPr>
      </w:pPr>
    </w:p>
    <w:p>
      <w:pPr>
        <w:ind w:left="20"/>
        <w:spacing w:after="0"/>
        <w:rPr>
          <w:sz w:val="20"/>
          <w:szCs w:val="20"/>
          <w:color w:val="auto"/>
        </w:rPr>
      </w:pPr>
      <w:r>
        <w:rPr>
          <w:rFonts w:ascii="Arial" w:cs="Arial" w:eastAsia="Arial" w:hAnsi="Arial"/>
          <w:sz w:val="17"/>
          <w:szCs w:val="17"/>
          <w:i w:val="1"/>
          <w:iCs w:val="1"/>
          <w:color w:val="34657F"/>
        </w:rPr>
        <w:t>Attributes, Skills and Qualifications</w:t>
      </w:r>
    </w:p>
    <w:p>
      <w:pPr>
        <w:spacing w:after="0" w:line="143" w:lineRule="exact"/>
        <w:rPr>
          <w:sz w:val="20"/>
          <w:szCs w:val="20"/>
          <w:color w:val="auto"/>
        </w:rPr>
      </w:pPr>
    </w:p>
    <w:p>
      <w:pPr>
        <w:ind w:left="240" w:hanging="212"/>
        <w:spacing w:after="0"/>
        <w:tabs>
          <w:tab w:leader="none" w:pos="240" w:val="left"/>
        </w:tabs>
        <w:numPr>
          <w:ilvl w:val="0"/>
          <w:numId w:val="12"/>
        </w:numPr>
        <w:rPr>
          <w:rFonts w:ascii="Arial" w:cs="Arial" w:eastAsia="Arial" w:hAnsi="Arial"/>
          <w:sz w:val="14"/>
          <w:szCs w:val="14"/>
          <w:color w:val="34657F"/>
        </w:rPr>
      </w:pPr>
      <w:r>
        <w:rPr>
          <w:rFonts w:ascii="Arial" w:cs="Arial" w:eastAsia="Arial" w:hAnsi="Arial"/>
          <w:sz w:val="17"/>
          <w:szCs w:val="17"/>
          <w:color w:val="auto"/>
        </w:rPr>
        <w:t>Extensive leadership and business skills acquired from his experience with corporate and non-profit enterprises</w:t>
      </w:r>
    </w:p>
    <w:p>
      <w:pPr>
        <w:spacing w:after="0" w:line="125" w:lineRule="exact"/>
        <w:rPr>
          <w:rFonts w:ascii="Arial" w:cs="Arial" w:eastAsia="Arial" w:hAnsi="Arial"/>
          <w:sz w:val="14"/>
          <w:szCs w:val="14"/>
          <w:color w:val="34657F"/>
        </w:rPr>
      </w:pPr>
    </w:p>
    <w:p>
      <w:pPr>
        <w:ind w:left="240" w:hanging="212"/>
        <w:spacing w:after="0"/>
        <w:tabs>
          <w:tab w:leader="none" w:pos="240" w:val="left"/>
        </w:tabs>
        <w:numPr>
          <w:ilvl w:val="0"/>
          <w:numId w:val="12"/>
        </w:numPr>
        <w:rPr>
          <w:rFonts w:ascii="Arial" w:cs="Arial" w:eastAsia="Arial" w:hAnsi="Arial"/>
          <w:sz w:val="14"/>
          <w:szCs w:val="14"/>
          <w:color w:val="34657F"/>
        </w:rPr>
      </w:pPr>
      <w:r>
        <w:rPr>
          <w:rFonts w:ascii="Arial" w:cs="Arial" w:eastAsia="Arial" w:hAnsi="Arial"/>
          <w:sz w:val="17"/>
          <w:szCs w:val="17"/>
          <w:color w:val="auto"/>
        </w:rPr>
        <w:t>National leader on issues of diversity and inclusion</w:t>
      </w:r>
    </w:p>
    <w:p>
      <w:pPr>
        <w:spacing w:after="0" w:line="125" w:lineRule="exact"/>
        <w:rPr>
          <w:rFonts w:ascii="Arial" w:cs="Arial" w:eastAsia="Arial" w:hAnsi="Arial"/>
          <w:sz w:val="14"/>
          <w:szCs w:val="14"/>
          <w:color w:val="34657F"/>
        </w:rPr>
      </w:pPr>
    </w:p>
    <w:p>
      <w:pPr>
        <w:ind w:left="300" w:hanging="272"/>
        <w:spacing w:after="0"/>
        <w:tabs>
          <w:tab w:leader="none" w:pos="300" w:val="left"/>
        </w:tabs>
        <w:numPr>
          <w:ilvl w:val="0"/>
          <w:numId w:val="12"/>
        </w:numPr>
        <w:rPr>
          <w:rFonts w:ascii="Arial" w:cs="Arial" w:eastAsia="Arial" w:hAnsi="Arial"/>
          <w:sz w:val="14"/>
          <w:szCs w:val="14"/>
          <w:color w:val="34657F"/>
        </w:rPr>
      </w:pPr>
      <w:r>
        <w:rPr>
          <w:rFonts w:ascii="Arial" w:cs="Arial" w:eastAsia="Arial" w:hAnsi="Arial"/>
          <w:sz w:val="17"/>
          <w:szCs w:val="17"/>
          <w:color w:val="auto"/>
        </w:rPr>
        <w:t>Significant board experience, including as non-executive chair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63500</wp:posOffset>
            </wp:positionV>
            <wp:extent cx="711517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8 </w:t>
      </w:r>
      <w:r>
        <w:rPr>
          <w:rFonts w:ascii="Arial" w:cs="Arial" w:eastAsia="Arial" w:hAnsi="Arial"/>
          <w:sz w:val="13"/>
          <w:szCs w:val="13"/>
          <w:color w:val="auto"/>
        </w:rPr>
        <w:t>I</w:t>
      </w:r>
      <w:r>
        <w:rPr>
          <w:rFonts w:ascii="Arial" w:cs="Arial" w:eastAsia="Arial" w:hAnsi="Arial"/>
          <w:sz w:val="17"/>
          <w:szCs w:val="17"/>
          <w:color w:val="auto"/>
        </w:rPr>
        <w:t xml:space="preserve"> </w:t>
      </w:r>
      <w:r>
        <w:rPr>
          <w:rFonts w:ascii="Arial" w:cs="Arial" w:eastAsia="Arial" w:hAnsi="Arial"/>
          <w:sz w:val="13"/>
          <w:szCs w:val="13"/>
          <w:color w:val="34657F"/>
        </w:rPr>
        <w:t>NOTICE OF 2019 ANNUAL MEETING OF SHAREHOLDERS AND PROXY STATEMENT</w:t>
      </w:r>
    </w:p>
    <w:p>
      <w:pPr>
        <w:sectPr>
          <w:pgSz w:w="11900" w:h="16838" w:orient="portrait"/>
          <w:cols w:equalWidth="0" w:num="1">
            <w:col w:w="11180"/>
          </w:cols>
          <w:pgMar w:left="240" w:top="671" w:right="479" w:bottom="1440" w:gutter="0" w:footer="0" w:header="0"/>
        </w:sectPr>
      </w:pPr>
    </w:p>
    <w:bookmarkStart w:id="14" w:name="page15"/>
    <w:bookmarkEnd w:id="14"/>
    <w:p>
      <w:pPr>
        <w:spacing w:after="0"/>
        <w:rPr>
          <w:sz w:val="20"/>
          <w:szCs w:val="20"/>
          <w:color w:val="auto"/>
        </w:rPr>
      </w:pPr>
      <w:r>
        <w:rPr>
          <w:rFonts w:ascii="Arial" w:cs="Arial" w:eastAsia="Arial" w:hAnsi="Arial"/>
          <w:sz w:val="21"/>
          <w:szCs w:val="21"/>
          <w:b w:val="1"/>
          <w:bCs w:val="1"/>
          <w:color w:val="FFFFFF"/>
        </w:rPr>
        <w:drawing>
          <wp:anchor simplePos="0" relativeHeight="251657728" behindDoc="1" locked="0" layoutInCell="0" allowOverlap="1">
            <wp:simplePos x="0" y="0"/>
            <wp:positionH relativeFrom="page">
              <wp:posOffset>154305</wp:posOffset>
            </wp:positionH>
            <wp:positionV relativeFrom="page">
              <wp:posOffset>365760</wp:posOffset>
            </wp:positionV>
            <wp:extent cx="7253605" cy="58610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3605" cy="586105"/>
                    </a:xfrm>
                    <a:prstGeom prst="rect">
                      <a:avLst/>
                    </a:prstGeom>
                    <a:noFill/>
                  </pic:spPr>
                </pic:pic>
              </a:graphicData>
            </a:graphic>
          </wp:anchor>
        </w:drawing>
        <w:t>PROPOSAL ONE: ELECTION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21"/>
          <w:szCs w:val="21"/>
          <w:b w:val="1"/>
          <w:bCs w:val="1"/>
          <w:color w:val="34657F"/>
        </w:rPr>
        <w:t>WILLIAM H. HERNANDEZ, 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29845</wp:posOffset>
            </wp:positionV>
            <wp:extent cx="711517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47" w:lineRule="exact"/>
        <w:rPr>
          <w:sz w:val="20"/>
          <w:szCs w:val="20"/>
          <w:color w:val="auto"/>
        </w:rPr>
      </w:pPr>
    </w:p>
    <w:p>
      <w:pPr>
        <w:ind w:left="1460" w:right="800"/>
        <w:spacing w:after="0" w:line="269" w:lineRule="auto"/>
        <w:rPr>
          <w:sz w:val="20"/>
          <w:szCs w:val="20"/>
          <w:color w:val="auto"/>
        </w:rPr>
      </w:pPr>
      <w:r>
        <w:rPr>
          <w:rFonts w:ascii="Arial" w:cs="Arial" w:eastAsia="Arial" w:hAnsi="Arial"/>
          <w:sz w:val="17"/>
          <w:szCs w:val="17"/>
          <w:i w:val="1"/>
          <w:iCs w:val="1"/>
          <w:color w:val="auto"/>
        </w:rPr>
        <w:t>Former Senior Vice President and Chief Financial Officer, PPG Industries, Inc., a manufacturer of chemical and industrial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586105" cy="78168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86105" cy="781685"/>
                    </a:xfrm>
                    <a:prstGeom prst="rect">
                      <a:avLst/>
                    </a:prstGeom>
                    <a:noFill/>
                  </pic:spPr>
                </pic:pic>
              </a:graphicData>
            </a:graphic>
          </wp:anchor>
        </w:drawing>
      </w:r>
    </w:p>
    <w:p>
      <w:pPr>
        <w:spacing w:after="0" w:line="16" w:lineRule="exact"/>
        <w:rPr>
          <w:sz w:val="20"/>
          <w:szCs w:val="20"/>
          <w:color w:val="auto"/>
        </w:rPr>
      </w:pPr>
    </w:p>
    <w:p>
      <w:pPr>
        <w:ind w:left="1460"/>
        <w:spacing w:after="0"/>
        <w:rPr>
          <w:sz w:val="20"/>
          <w:szCs w:val="20"/>
          <w:color w:val="auto"/>
        </w:rPr>
      </w:pPr>
      <w:r>
        <w:rPr>
          <w:rFonts w:ascii="Arial" w:cs="Arial" w:eastAsia="Arial" w:hAnsi="Arial"/>
          <w:sz w:val="17"/>
          <w:szCs w:val="17"/>
          <w:i w:val="1"/>
          <w:iCs w:val="1"/>
          <w:color w:val="auto"/>
        </w:rPr>
        <w:t>Director since September 2013</w:t>
      </w:r>
    </w:p>
    <w:p>
      <w:pPr>
        <w:spacing w:after="0" w:line="87" w:lineRule="exact"/>
        <w:rPr>
          <w:sz w:val="20"/>
          <w:szCs w:val="20"/>
          <w:color w:val="auto"/>
        </w:rPr>
      </w:pPr>
    </w:p>
    <w:p>
      <w:pPr>
        <w:ind w:left="1460"/>
        <w:spacing w:after="0"/>
        <w:rPr>
          <w:sz w:val="20"/>
          <w:szCs w:val="20"/>
          <w:color w:val="auto"/>
        </w:rPr>
      </w:pPr>
      <w:r>
        <w:rPr>
          <w:rFonts w:ascii="Arial" w:cs="Arial" w:eastAsia="Arial" w:hAnsi="Arial"/>
          <w:sz w:val="17"/>
          <w:szCs w:val="17"/>
          <w:i w:val="1"/>
          <w:iCs w:val="1"/>
          <w:color w:val="auto"/>
        </w:rPr>
        <w:t>Member of the Audit Committee (Chair) and Governance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205105</wp:posOffset>
            </wp:positionV>
            <wp:extent cx="711517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ind w:right="240"/>
        <w:spacing w:after="0" w:line="239" w:lineRule="auto"/>
        <w:rPr>
          <w:sz w:val="20"/>
          <w:szCs w:val="20"/>
          <w:color w:val="auto"/>
        </w:rPr>
      </w:pPr>
      <w:r>
        <w:rPr>
          <w:rFonts w:ascii="Arial" w:cs="Arial" w:eastAsia="Arial" w:hAnsi="Arial"/>
          <w:sz w:val="17"/>
          <w:szCs w:val="17"/>
          <w:color w:val="auto"/>
        </w:rPr>
        <w:t>Mr. William H. Hernandez served as Senior Vice President, Finance, and Chief Financial Officer of PPG Industries, Inc. (PPG), from 1995 until his retirement in 2009. Prior to that, he was PPG's corporate controller from 1990 to 1994. Mr. Hernandez previously held a number of positions with Borg-Warner Corporation and Ford Motor Company. Mr. Hernandez is a certified management accountant and has taught finance and management courses at Marietta College. He is a member of the Boards of Directors of Albemarle Corporation and USG Corporation and served as director of Black Box Corporation during the last five years.</w:t>
      </w:r>
    </w:p>
    <w:p>
      <w:pPr>
        <w:spacing w:after="0" w:line="98" w:lineRule="exact"/>
        <w:rPr>
          <w:sz w:val="20"/>
          <w:szCs w:val="20"/>
          <w:color w:val="auto"/>
        </w:rPr>
      </w:pPr>
    </w:p>
    <w:p>
      <w:pPr>
        <w:spacing w:after="0"/>
        <w:rPr>
          <w:sz w:val="20"/>
          <w:szCs w:val="20"/>
          <w:color w:val="auto"/>
        </w:rPr>
      </w:pPr>
      <w:r>
        <w:rPr>
          <w:rFonts w:ascii="Arial" w:cs="Arial" w:eastAsia="Arial" w:hAnsi="Arial"/>
          <w:sz w:val="17"/>
          <w:szCs w:val="17"/>
          <w:i w:val="1"/>
          <w:iCs w:val="1"/>
          <w:color w:val="34657F"/>
        </w:rPr>
        <w:t>Attributes, Skills and Qualifications</w:t>
      </w:r>
    </w:p>
    <w:p>
      <w:pPr>
        <w:spacing w:after="0" w:line="143" w:lineRule="exact"/>
        <w:rPr>
          <w:sz w:val="20"/>
          <w:szCs w:val="20"/>
          <w:color w:val="auto"/>
        </w:rPr>
      </w:pPr>
    </w:p>
    <w:p>
      <w:pPr>
        <w:ind w:left="240" w:right="720" w:hanging="232"/>
        <w:spacing w:after="0" w:line="247" w:lineRule="auto"/>
        <w:tabs>
          <w:tab w:leader="none" w:pos="272" w:val="left"/>
        </w:tabs>
        <w:numPr>
          <w:ilvl w:val="0"/>
          <w:numId w:val="13"/>
        </w:numPr>
        <w:rPr>
          <w:rFonts w:ascii="Arial" w:cs="Arial" w:eastAsia="Arial" w:hAnsi="Arial"/>
          <w:sz w:val="14"/>
          <w:szCs w:val="14"/>
          <w:color w:val="34657F"/>
        </w:rPr>
      </w:pPr>
      <w:r>
        <w:rPr>
          <w:rFonts w:ascii="Arial" w:cs="Arial" w:eastAsia="Arial" w:hAnsi="Arial"/>
          <w:sz w:val="17"/>
          <w:szCs w:val="17"/>
          <w:color w:val="auto"/>
        </w:rPr>
        <w:t>Extensive experience and expertise in areas of finance, accounting and business management acquired as Chief Financial Officer of PPG Industries</w:t>
      </w:r>
    </w:p>
    <w:p>
      <w:pPr>
        <w:spacing w:after="0" w:line="110" w:lineRule="exact"/>
        <w:rPr>
          <w:rFonts w:ascii="Arial" w:cs="Arial" w:eastAsia="Arial" w:hAnsi="Arial"/>
          <w:sz w:val="14"/>
          <w:szCs w:val="14"/>
          <w:color w:val="34657F"/>
        </w:rPr>
      </w:pPr>
    </w:p>
    <w:p>
      <w:pPr>
        <w:ind w:left="280" w:hanging="272"/>
        <w:spacing w:after="0"/>
        <w:tabs>
          <w:tab w:leader="none" w:pos="280" w:val="left"/>
        </w:tabs>
        <w:numPr>
          <w:ilvl w:val="0"/>
          <w:numId w:val="13"/>
        </w:numPr>
        <w:rPr>
          <w:rFonts w:ascii="Arial" w:cs="Arial" w:eastAsia="Arial" w:hAnsi="Arial"/>
          <w:sz w:val="14"/>
          <w:szCs w:val="14"/>
          <w:color w:val="34657F"/>
        </w:rPr>
      </w:pPr>
      <w:r>
        <w:rPr>
          <w:rFonts w:ascii="Arial" w:cs="Arial" w:eastAsia="Arial" w:hAnsi="Arial"/>
          <w:sz w:val="17"/>
          <w:szCs w:val="17"/>
          <w:color w:val="auto"/>
        </w:rPr>
        <w:t>Significant experience in areas of risk management</w:t>
      </w:r>
    </w:p>
    <w:p>
      <w:pPr>
        <w:spacing w:after="0" w:line="125" w:lineRule="exact"/>
        <w:rPr>
          <w:rFonts w:ascii="Arial" w:cs="Arial" w:eastAsia="Arial" w:hAnsi="Arial"/>
          <w:sz w:val="14"/>
          <w:szCs w:val="14"/>
          <w:color w:val="34657F"/>
        </w:rPr>
      </w:pPr>
    </w:p>
    <w:p>
      <w:pPr>
        <w:ind w:left="280" w:hanging="272"/>
        <w:spacing w:after="0"/>
        <w:tabs>
          <w:tab w:leader="none" w:pos="280" w:val="left"/>
        </w:tabs>
        <w:numPr>
          <w:ilvl w:val="0"/>
          <w:numId w:val="13"/>
        </w:numPr>
        <w:rPr>
          <w:rFonts w:ascii="Arial" w:cs="Arial" w:eastAsia="Arial" w:hAnsi="Arial"/>
          <w:sz w:val="14"/>
          <w:szCs w:val="14"/>
          <w:color w:val="34657F"/>
        </w:rPr>
      </w:pPr>
      <w:r>
        <w:rPr>
          <w:rFonts w:ascii="Arial" w:cs="Arial" w:eastAsia="Arial" w:hAnsi="Arial"/>
          <w:sz w:val="17"/>
          <w:szCs w:val="17"/>
          <w:color w:val="auto"/>
        </w:rPr>
        <w:t>Audit committee financial expert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63500</wp:posOffset>
            </wp:positionV>
            <wp:extent cx="711517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21"/>
          <w:szCs w:val="21"/>
          <w:b w:val="1"/>
          <w:bCs w:val="1"/>
          <w:color w:val="34657F"/>
        </w:rPr>
        <w:t>MADELEINE A. KLEINER, 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29845</wp:posOffset>
            </wp:positionV>
            <wp:extent cx="711517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47" w:lineRule="exact"/>
        <w:rPr>
          <w:sz w:val="20"/>
          <w:szCs w:val="20"/>
          <w:color w:val="auto"/>
        </w:rPr>
      </w:pPr>
    </w:p>
    <w:p>
      <w:pPr>
        <w:ind w:left="1460"/>
        <w:spacing w:after="0"/>
        <w:rPr>
          <w:sz w:val="20"/>
          <w:szCs w:val="20"/>
          <w:color w:val="auto"/>
        </w:rPr>
      </w:pPr>
      <w:r>
        <w:rPr>
          <w:rFonts w:ascii="Arial" w:cs="Arial" w:eastAsia="Arial" w:hAnsi="Arial"/>
          <w:sz w:val="17"/>
          <w:szCs w:val="17"/>
          <w:i w:val="1"/>
          <w:iCs w:val="1"/>
          <w:color w:val="auto"/>
        </w:rPr>
        <w:t>Former Executive Vice President and General Counsel, Hilton Hotels Corporation, a hotel and resort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586105" cy="78168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86105" cy="781685"/>
                    </a:xfrm>
                    <a:prstGeom prst="rect">
                      <a:avLst/>
                    </a:prstGeom>
                    <a:noFill/>
                  </pic:spPr>
                </pic:pic>
              </a:graphicData>
            </a:graphic>
          </wp:anchor>
        </w:drawing>
      </w:r>
    </w:p>
    <w:p>
      <w:pPr>
        <w:spacing w:after="0" w:line="67" w:lineRule="exact"/>
        <w:rPr>
          <w:sz w:val="20"/>
          <w:szCs w:val="20"/>
          <w:color w:val="auto"/>
        </w:rPr>
      </w:pPr>
    </w:p>
    <w:p>
      <w:pPr>
        <w:ind w:left="1460"/>
        <w:spacing w:after="0"/>
        <w:rPr>
          <w:sz w:val="20"/>
          <w:szCs w:val="20"/>
          <w:color w:val="auto"/>
        </w:rPr>
      </w:pPr>
      <w:r>
        <w:rPr>
          <w:rFonts w:ascii="Arial" w:cs="Arial" w:eastAsia="Arial" w:hAnsi="Arial"/>
          <w:sz w:val="17"/>
          <w:szCs w:val="17"/>
          <w:i w:val="1"/>
          <w:iCs w:val="1"/>
          <w:color w:val="auto"/>
        </w:rPr>
        <w:t>Director since October 2008</w:t>
      </w:r>
    </w:p>
    <w:p>
      <w:pPr>
        <w:spacing w:after="0" w:line="87" w:lineRule="exact"/>
        <w:rPr>
          <w:sz w:val="20"/>
          <w:szCs w:val="20"/>
          <w:color w:val="auto"/>
        </w:rPr>
      </w:pPr>
    </w:p>
    <w:p>
      <w:pPr>
        <w:ind w:left="1460"/>
        <w:spacing w:after="0"/>
        <w:rPr>
          <w:sz w:val="20"/>
          <w:szCs w:val="20"/>
          <w:color w:val="auto"/>
        </w:rPr>
      </w:pPr>
      <w:r>
        <w:rPr>
          <w:rFonts w:ascii="Arial" w:cs="Arial" w:eastAsia="Arial" w:hAnsi="Arial"/>
          <w:sz w:val="17"/>
          <w:szCs w:val="17"/>
          <w:i w:val="1"/>
          <w:iCs w:val="1"/>
          <w:color w:val="auto"/>
        </w:rPr>
        <w:t>Member of the Audit Committee and Governance Committee (Chair)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327660</wp:posOffset>
            </wp:positionV>
            <wp:extent cx="711517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right="260"/>
        <w:spacing w:after="0" w:line="238" w:lineRule="auto"/>
        <w:rPr>
          <w:sz w:val="20"/>
          <w:szCs w:val="20"/>
          <w:color w:val="auto"/>
        </w:rPr>
      </w:pPr>
      <w:r>
        <w:rPr>
          <w:rFonts w:ascii="Arial" w:cs="Arial" w:eastAsia="Arial" w:hAnsi="Arial"/>
          <w:sz w:val="17"/>
          <w:szCs w:val="17"/>
          <w:color w:val="auto"/>
        </w:rPr>
        <w:t>Ms. Madeleine A. Kleiner served as Executive Vice President, General Counsel and Corporate Secretary for Hilton Hotels Corporation from January 2001 until February 2008. From 1999 through 2001, she served as a director of a number of Merrill Lynch mutual funds operating under the Hotchkis and Wiley name. Ms. Kleiner served as Senior Executive Vice President, Chief Administrative Officer and General Counsel of H.F. Ahmanson &amp; Company and its subsidiary, Home Savings of America, until the company was acquired in 1998, and prior to that was a partner at the law firm of Gibson, Dunn and Crutcher where she advised corporations and their boards primarily in the areas of mergers and acquisitions, corporate governance and securities transactions and compliance. Ms. Kleiner currently serves on the Board of Directors of Jack in the Box Inc.</w:t>
      </w:r>
    </w:p>
    <w:p>
      <w:pPr>
        <w:spacing w:after="0" w:line="101" w:lineRule="exact"/>
        <w:rPr>
          <w:sz w:val="20"/>
          <w:szCs w:val="20"/>
          <w:color w:val="auto"/>
        </w:rPr>
      </w:pPr>
    </w:p>
    <w:p>
      <w:pPr>
        <w:spacing w:after="0"/>
        <w:rPr>
          <w:sz w:val="20"/>
          <w:szCs w:val="20"/>
          <w:color w:val="auto"/>
        </w:rPr>
      </w:pPr>
      <w:r>
        <w:rPr>
          <w:rFonts w:ascii="Arial" w:cs="Arial" w:eastAsia="Arial" w:hAnsi="Arial"/>
          <w:sz w:val="17"/>
          <w:szCs w:val="17"/>
          <w:i w:val="1"/>
          <w:iCs w:val="1"/>
          <w:color w:val="34657F"/>
        </w:rPr>
        <w:t>Attributes, Skills and Qualifications</w:t>
      </w:r>
    </w:p>
    <w:p>
      <w:pPr>
        <w:spacing w:after="0" w:line="143" w:lineRule="exact"/>
        <w:rPr>
          <w:sz w:val="20"/>
          <w:szCs w:val="20"/>
          <w:color w:val="auto"/>
        </w:rPr>
      </w:pPr>
    </w:p>
    <w:p>
      <w:pPr>
        <w:ind w:left="280" w:hanging="272"/>
        <w:spacing w:after="0"/>
        <w:tabs>
          <w:tab w:leader="none" w:pos="280" w:val="left"/>
        </w:tabs>
        <w:numPr>
          <w:ilvl w:val="0"/>
          <w:numId w:val="14"/>
        </w:numPr>
        <w:rPr>
          <w:rFonts w:ascii="Arial" w:cs="Arial" w:eastAsia="Arial" w:hAnsi="Arial"/>
          <w:sz w:val="14"/>
          <w:szCs w:val="14"/>
          <w:color w:val="34657F"/>
        </w:rPr>
      </w:pPr>
      <w:r>
        <w:rPr>
          <w:rFonts w:ascii="Arial" w:cs="Arial" w:eastAsia="Arial" w:hAnsi="Arial"/>
          <w:sz w:val="17"/>
          <w:szCs w:val="17"/>
          <w:color w:val="auto"/>
        </w:rPr>
        <w:t>Expertise in corporate governance, Sarbanes-Oxley controls, risk management, securities transactions and mergers and acquisitions</w:t>
      </w:r>
    </w:p>
    <w:p>
      <w:pPr>
        <w:spacing w:after="0" w:line="125" w:lineRule="exact"/>
        <w:rPr>
          <w:rFonts w:ascii="Arial" w:cs="Arial" w:eastAsia="Arial" w:hAnsi="Arial"/>
          <w:sz w:val="14"/>
          <w:szCs w:val="14"/>
          <w:color w:val="34657F"/>
        </w:rPr>
      </w:pPr>
    </w:p>
    <w:p>
      <w:pPr>
        <w:ind w:left="240" w:right="260" w:hanging="232"/>
        <w:spacing w:after="0" w:line="247" w:lineRule="auto"/>
        <w:tabs>
          <w:tab w:leader="none" w:pos="272" w:val="left"/>
        </w:tabs>
        <w:numPr>
          <w:ilvl w:val="0"/>
          <w:numId w:val="14"/>
        </w:numPr>
        <w:rPr>
          <w:rFonts w:ascii="Arial" w:cs="Arial" w:eastAsia="Arial" w:hAnsi="Arial"/>
          <w:sz w:val="14"/>
          <w:szCs w:val="14"/>
          <w:color w:val="34657F"/>
        </w:rPr>
      </w:pPr>
      <w:r>
        <w:rPr>
          <w:rFonts w:ascii="Arial" w:cs="Arial" w:eastAsia="Arial" w:hAnsi="Arial"/>
          <w:sz w:val="17"/>
          <w:szCs w:val="17"/>
          <w:color w:val="auto"/>
        </w:rPr>
        <w:t>Significant experience from past roles as general counsel for two public companies, outside counsel to numerous public companies and through service on another public company board</w:t>
      </w:r>
    </w:p>
    <w:p>
      <w:pPr>
        <w:spacing w:after="0" w:line="110" w:lineRule="exact"/>
        <w:rPr>
          <w:rFonts w:ascii="Arial" w:cs="Arial" w:eastAsia="Arial" w:hAnsi="Arial"/>
          <w:sz w:val="14"/>
          <w:szCs w:val="14"/>
          <w:color w:val="34657F"/>
        </w:rPr>
      </w:pPr>
    </w:p>
    <w:p>
      <w:pPr>
        <w:ind w:left="280" w:hanging="272"/>
        <w:spacing w:after="0"/>
        <w:tabs>
          <w:tab w:leader="none" w:pos="280" w:val="left"/>
        </w:tabs>
        <w:numPr>
          <w:ilvl w:val="0"/>
          <w:numId w:val="14"/>
        </w:numPr>
        <w:rPr>
          <w:rFonts w:ascii="Arial" w:cs="Arial" w:eastAsia="Arial" w:hAnsi="Arial"/>
          <w:sz w:val="14"/>
          <w:szCs w:val="14"/>
          <w:color w:val="34657F"/>
        </w:rPr>
      </w:pPr>
      <w:r>
        <w:rPr>
          <w:rFonts w:ascii="Arial" w:cs="Arial" w:eastAsia="Arial" w:hAnsi="Arial"/>
          <w:sz w:val="17"/>
          <w:szCs w:val="17"/>
          <w:color w:val="auto"/>
        </w:rPr>
        <w:t>Audit committee financial expert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63500</wp:posOffset>
            </wp:positionV>
            <wp:extent cx="711517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333" w:lineRule="exact"/>
        <w:rPr>
          <w:sz w:val="20"/>
          <w:szCs w:val="20"/>
          <w:color w:val="auto"/>
        </w:rPr>
      </w:pPr>
    </w:p>
    <w:p>
      <w:pPr>
        <w:jc w:val="right"/>
        <w:spacing w:after="0"/>
        <w:rPr>
          <w:sz w:val="20"/>
          <w:szCs w:val="20"/>
          <w:color w:val="auto"/>
        </w:rPr>
      </w:pPr>
      <w:r>
        <w:rPr>
          <w:rFonts w:ascii="Arial" w:cs="Arial" w:eastAsia="Arial" w:hAnsi="Arial"/>
          <w:sz w:val="14"/>
          <w:szCs w:val="14"/>
          <w:color w:val="34657F"/>
        </w:rPr>
        <w:t xml:space="preserve">NOTICE OF 2019 ANNUAL MEETING OF SHAREHOLDERS AND PROXY STATEMENT </w:t>
      </w:r>
      <w:r>
        <w:rPr>
          <w:rFonts w:ascii="Arial" w:cs="Arial" w:eastAsia="Arial" w:hAnsi="Arial"/>
          <w:sz w:val="14"/>
          <w:szCs w:val="14"/>
          <w:color w:val="000000"/>
        </w:rPr>
        <w:t>I 9</w:t>
      </w:r>
    </w:p>
    <w:p>
      <w:pPr>
        <w:sectPr>
          <w:pgSz w:w="11900" w:h="16838" w:orient="portrait"/>
          <w:cols w:equalWidth="0" w:num="1">
            <w:col w:w="11400"/>
          </w:cols>
          <w:pgMar w:left="260" w:top="671" w:right="239" w:bottom="1440" w:gutter="0" w:footer="0" w:header="0"/>
        </w:sectPr>
      </w:pPr>
    </w:p>
    <w:bookmarkStart w:id="15" w:name="page16"/>
    <w:bookmarkEnd w:id="15"/>
    <w:p>
      <w:pPr>
        <w:ind w:left="20"/>
        <w:spacing w:after="0"/>
        <w:rPr>
          <w:sz w:val="20"/>
          <w:szCs w:val="20"/>
          <w:color w:val="auto"/>
        </w:rPr>
      </w:pPr>
      <w:r>
        <w:rPr>
          <w:rFonts w:ascii="Arial" w:cs="Arial" w:eastAsia="Arial" w:hAnsi="Arial"/>
          <w:sz w:val="21"/>
          <w:szCs w:val="21"/>
          <w:b w:val="1"/>
          <w:bCs w:val="1"/>
          <w:color w:val="FFFFFF"/>
        </w:rPr>
        <w:drawing>
          <wp:anchor simplePos="0" relativeHeight="251657728" behindDoc="1" locked="0" layoutInCell="0" allowOverlap="1">
            <wp:simplePos x="0" y="0"/>
            <wp:positionH relativeFrom="page">
              <wp:posOffset>154305</wp:posOffset>
            </wp:positionH>
            <wp:positionV relativeFrom="page">
              <wp:posOffset>365760</wp:posOffset>
            </wp:positionV>
            <wp:extent cx="7253605" cy="58610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3605" cy="586105"/>
                    </a:xfrm>
                    <a:prstGeom prst="rect">
                      <a:avLst/>
                    </a:prstGeom>
                    <a:noFill/>
                  </pic:spPr>
                </pic:pic>
              </a:graphicData>
            </a:graphic>
          </wp:anchor>
        </w:drawing>
        <w:t>PROPOSAL ONE: ELECTION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34657F"/>
        </w:rPr>
        <w:t>KARL J. KRAPEK, 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29845</wp:posOffset>
            </wp:positionV>
            <wp:extent cx="711517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47" w:lineRule="exact"/>
        <w:rPr>
          <w:sz w:val="20"/>
          <w:szCs w:val="20"/>
          <w:color w:val="auto"/>
        </w:rPr>
      </w:pPr>
    </w:p>
    <w:p>
      <w:pPr>
        <w:ind w:left="1480" w:right="100"/>
        <w:spacing w:after="0" w:line="346" w:lineRule="auto"/>
        <w:rPr>
          <w:sz w:val="20"/>
          <w:szCs w:val="20"/>
          <w:color w:val="auto"/>
        </w:rPr>
      </w:pPr>
      <w:r>
        <w:rPr>
          <w:rFonts w:ascii="Arial" w:cs="Arial" w:eastAsia="Arial" w:hAnsi="Arial"/>
          <w:sz w:val="17"/>
          <w:szCs w:val="17"/>
          <w:i w:val="1"/>
          <w:iCs w:val="1"/>
          <w:color w:val="auto"/>
        </w:rPr>
        <w:t>Former President and Chief Operating Officer, United Technologies Corporation, an aerospace and building systems company. Director since September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-345440</wp:posOffset>
            </wp:positionV>
            <wp:extent cx="586105" cy="78168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86105" cy="78168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7"/>
          <w:szCs w:val="17"/>
          <w:i w:val="1"/>
          <w:iCs w:val="1"/>
          <w:color w:val="auto"/>
        </w:rPr>
        <w:t>Member of the Compensation Committee and Governance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327660</wp:posOffset>
            </wp:positionV>
            <wp:extent cx="711517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20"/>
        <w:spacing w:after="0" w:line="238" w:lineRule="auto"/>
        <w:rPr>
          <w:sz w:val="20"/>
          <w:szCs w:val="20"/>
          <w:color w:val="auto"/>
        </w:rPr>
      </w:pPr>
      <w:r>
        <w:rPr>
          <w:rFonts w:ascii="Arial" w:cs="Arial" w:eastAsia="Arial" w:hAnsi="Arial"/>
          <w:sz w:val="17"/>
          <w:szCs w:val="17"/>
          <w:color w:val="auto"/>
        </w:rPr>
        <w:t>Mr. Karl J. Krapek served as President and Chief Operating Officer of United Technologies Corporation from 1999 until his retirement in January 2002. At United Technologies Corporation, he served for 20 years in various leadership positions, including Executive Vice President and director in 1997, President and Chief Executive Officer of Pratt &amp; Whitney in 1992, Chairman, President and Chief Executive Officer of Carrier Corporation in 1990 and President of Otis Elevator Company in 1989. Prior to joining United Technologies Corporation, he was Manager of Car Assembly Operations for the Pontiac Motor Car Division of General Motors Corporation. In 2002, Mr. Krapek became a co-founder of The Keystone Companies, which develops residential and commercial real estate. He serves on the Board of Directors of Trinity Health of New England. Mr. Krapek is a member of the the Boards of Directors of Prudential Financial, Inc. and Pensare Acquisition Corp.</w:t>
      </w:r>
    </w:p>
    <w:p>
      <w:pPr>
        <w:spacing w:after="0" w:line="99" w:lineRule="exact"/>
        <w:rPr>
          <w:sz w:val="20"/>
          <w:szCs w:val="20"/>
          <w:color w:val="auto"/>
        </w:rPr>
      </w:pPr>
    </w:p>
    <w:p>
      <w:pPr>
        <w:ind w:left="20"/>
        <w:spacing w:after="0"/>
        <w:rPr>
          <w:sz w:val="20"/>
          <w:szCs w:val="20"/>
          <w:color w:val="auto"/>
        </w:rPr>
      </w:pPr>
      <w:r>
        <w:rPr>
          <w:rFonts w:ascii="Arial" w:cs="Arial" w:eastAsia="Arial" w:hAnsi="Arial"/>
          <w:sz w:val="17"/>
          <w:szCs w:val="17"/>
          <w:i w:val="1"/>
          <w:iCs w:val="1"/>
          <w:color w:val="34657F"/>
        </w:rPr>
        <w:t>Attributes, Skills and Qualifications</w:t>
      </w:r>
    </w:p>
    <w:p>
      <w:pPr>
        <w:spacing w:after="0" w:line="143" w:lineRule="exact"/>
        <w:rPr>
          <w:sz w:val="20"/>
          <w:szCs w:val="20"/>
          <w:color w:val="auto"/>
        </w:rPr>
      </w:pPr>
    </w:p>
    <w:p>
      <w:pPr>
        <w:ind w:left="300" w:hanging="272"/>
        <w:spacing w:after="0"/>
        <w:tabs>
          <w:tab w:leader="none" w:pos="300" w:val="left"/>
        </w:tabs>
        <w:numPr>
          <w:ilvl w:val="0"/>
          <w:numId w:val="15"/>
        </w:numPr>
        <w:rPr>
          <w:rFonts w:ascii="Arial" w:cs="Arial" w:eastAsia="Arial" w:hAnsi="Arial"/>
          <w:sz w:val="14"/>
          <w:szCs w:val="14"/>
          <w:color w:val="34657F"/>
        </w:rPr>
      </w:pPr>
      <w:r>
        <w:rPr>
          <w:rFonts w:ascii="Arial" w:cs="Arial" w:eastAsia="Arial" w:hAnsi="Arial"/>
          <w:sz w:val="17"/>
          <w:szCs w:val="17"/>
          <w:color w:val="auto"/>
        </w:rPr>
        <w:t>Extensive industry experience and leadership skills</w:t>
      </w:r>
    </w:p>
    <w:p>
      <w:pPr>
        <w:spacing w:after="0" w:line="125" w:lineRule="exact"/>
        <w:rPr>
          <w:rFonts w:ascii="Arial" w:cs="Arial" w:eastAsia="Arial" w:hAnsi="Arial"/>
          <w:sz w:val="14"/>
          <w:szCs w:val="14"/>
          <w:color w:val="34657F"/>
        </w:rPr>
      </w:pPr>
    </w:p>
    <w:p>
      <w:pPr>
        <w:ind w:left="260" w:right="1100" w:hanging="232"/>
        <w:spacing w:after="0" w:line="247" w:lineRule="auto"/>
        <w:tabs>
          <w:tab w:leader="none" w:pos="301" w:val="left"/>
        </w:tabs>
        <w:numPr>
          <w:ilvl w:val="0"/>
          <w:numId w:val="15"/>
        </w:numPr>
        <w:rPr>
          <w:rFonts w:ascii="Arial" w:cs="Arial" w:eastAsia="Arial" w:hAnsi="Arial"/>
          <w:sz w:val="14"/>
          <w:szCs w:val="14"/>
          <w:color w:val="34657F"/>
        </w:rPr>
      </w:pPr>
      <w:r>
        <w:rPr>
          <w:rFonts w:ascii="Arial" w:cs="Arial" w:eastAsia="Arial" w:hAnsi="Arial"/>
          <w:sz w:val="17"/>
          <w:szCs w:val="17"/>
          <w:color w:val="auto"/>
        </w:rPr>
        <w:t>Deep operational experience in aerospace and defense, domestic and international business operations and technology and lean manufacturing</w:t>
      </w:r>
    </w:p>
    <w:p>
      <w:pPr>
        <w:spacing w:after="0" w:line="110" w:lineRule="exact"/>
        <w:rPr>
          <w:rFonts w:ascii="Arial" w:cs="Arial" w:eastAsia="Arial" w:hAnsi="Arial"/>
          <w:sz w:val="14"/>
          <w:szCs w:val="14"/>
          <w:color w:val="34657F"/>
        </w:rPr>
      </w:pPr>
    </w:p>
    <w:p>
      <w:pPr>
        <w:ind w:left="300" w:hanging="272"/>
        <w:spacing w:after="0"/>
        <w:tabs>
          <w:tab w:leader="none" w:pos="300" w:val="left"/>
        </w:tabs>
        <w:numPr>
          <w:ilvl w:val="0"/>
          <w:numId w:val="15"/>
        </w:numPr>
        <w:rPr>
          <w:rFonts w:ascii="Arial" w:cs="Arial" w:eastAsia="Arial" w:hAnsi="Arial"/>
          <w:sz w:val="14"/>
          <w:szCs w:val="14"/>
          <w:color w:val="34657F"/>
        </w:rPr>
      </w:pPr>
      <w:r>
        <w:rPr>
          <w:rFonts w:ascii="Arial" w:cs="Arial" w:eastAsia="Arial" w:hAnsi="Arial"/>
          <w:sz w:val="17"/>
          <w:szCs w:val="17"/>
          <w:color w:val="auto"/>
        </w:rPr>
        <w:t>Significant public company board experience, including serving as Lead Independent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63500</wp:posOffset>
            </wp:positionV>
            <wp:extent cx="711517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34657F"/>
        </w:rPr>
        <w:t>GARY ROUGHEAD, 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29845</wp:posOffset>
            </wp:positionV>
            <wp:extent cx="711517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47" w:lineRule="exact"/>
        <w:rPr>
          <w:sz w:val="20"/>
          <w:szCs w:val="20"/>
          <w:color w:val="auto"/>
        </w:rPr>
      </w:pPr>
    </w:p>
    <w:p>
      <w:pPr>
        <w:ind w:left="1480"/>
        <w:spacing w:after="0"/>
        <w:rPr>
          <w:sz w:val="20"/>
          <w:szCs w:val="20"/>
          <w:color w:val="auto"/>
        </w:rPr>
      </w:pPr>
      <w:r>
        <w:rPr>
          <w:rFonts w:ascii="Arial" w:cs="Arial" w:eastAsia="Arial" w:hAnsi="Arial"/>
          <w:sz w:val="17"/>
          <w:szCs w:val="17"/>
          <w:i w:val="1"/>
          <w:iCs w:val="1"/>
          <w:color w:val="auto"/>
        </w:rPr>
        <w:t>Admiral, United States Navy (Ret.) and Former Chief of Naval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-111760</wp:posOffset>
            </wp:positionV>
            <wp:extent cx="586105" cy="78168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86105" cy="781685"/>
                    </a:xfrm>
                    <a:prstGeom prst="rect">
                      <a:avLst/>
                    </a:prstGeom>
                    <a:noFill/>
                  </pic:spPr>
                </pic:pic>
              </a:graphicData>
            </a:graphic>
          </wp:anchor>
        </w:drawing>
      </w:r>
    </w:p>
    <w:p>
      <w:pPr>
        <w:spacing w:after="0" w:line="67" w:lineRule="exact"/>
        <w:rPr>
          <w:sz w:val="20"/>
          <w:szCs w:val="20"/>
          <w:color w:val="auto"/>
        </w:rPr>
      </w:pPr>
    </w:p>
    <w:p>
      <w:pPr>
        <w:ind w:left="1480"/>
        <w:spacing w:after="0"/>
        <w:rPr>
          <w:sz w:val="20"/>
          <w:szCs w:val="20"/>
          <w:color w:val="auto"/>
        </w:rPr>
      </w:pPr>
      <w:r>
        <w:rPr>
          <w:rFonts w:ascii="Arial" w:cs="Arial" w:eastAsia="Arial" w:hAnsi="Arial"/>
          <w:sz w:val="17"/>
          <w:szCs w:val="17"/>
          <w:i w:val="1"/>
          <w:iCs w:val="1"/>
          <w:color w:val="auto"/>
        </w:rPr>
        <w:t>Director since February 2012</w:t>
      </w:r>
    </w:p>
    <w:p>
      <w:pPr>
        <w:spacing w:after="0" w:line="87" w:lineRule="exact"/>
        <w:rPr>
          <w:sz w:val="20"/>
          <w:szCs w:val="20"/>
          <w:color w:val="auto"/>
        </w:rPr>
      </w:pPr>
    </w:p>
    <w:p>
      <w:pPr>
        <w:ind w:left="1480"/>
        <w:spacing w:after="0"/>
        <w:rPr>
          <w:sz w:val="20"/>
          <w:szCs w:val="20"/>
          <w:color w:val="auto"/>
        </w:rPr>
      </w:pPr>
      <w:r>
        <w:rPr>
          <w:rFonts w:ascii="Arial" w:cs="Arial" w:eastAsia="Arial" w:hAnsi="Arial"/>
          <w:sz w:val="17"/>
          <w:szCs w:val="17"/>
          <w:i w:val="1"/>
          <w:iCs w:val="1"/>
          <w:color w:val="auto"/>
        </w:rPr>
        <w:t>Member of the Compensation Committee and Policy Committee (Chair)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327660</wp:posOffset>
            </wp:positionV>
            <wp:extent cx="711517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20" w:right="60"/>
        <w:spacing w:after="0" w:line="238" w:lineRule="auto"/>
        <w:rPr>
          <w:sz w:val="20"/>
          <w:szCs w:val="20"/>
          <w:color w:val="auto"/>
        </w:rPr>
      </w:pPr>
      <w:r>
        <w:rPr>
          <w:rFonts w:ascii="Arial" w:cs="Arial" w:eastAsia="Arial" w:hAnsi="Arial"/>
          <w:sz w:val="17"/>
          <w:szCs w:val="17"/>
          <w:color w:val="auto"/>
        </w:rPr>
        <w:t>Admiral Gary Roughead retired from his position as the 29th Chief of Naval Operations in September 2011, after serving in that position for four years. The Chief of Naval Operations is the senior military position in the United States Navy. As Chief of Naval Operations, Admiral Roughead stabilized and accelerated ship and aircraft procurement plans and the Navy's capability and capacity in ballistic missile defense and unmanned air and underwater systems. He restructured the Navy to address the challenges and opportunities in cyber operations. Prior to becoming the Chief of Naval Operations, he held six operational commands (including commanding both the Atlantic and Pacific Fleets). Admiral Roughead is a Robert and Marion Oster Distinguished Military Fellow at the Hoover Institution. He is a director of Maersk Line, Limited. He also serves as a trustee of the Dodge and Cox Funds. Admiral Roughead serves as a trustee of Johns Hopkins University and serves on the Board of Managers of the Johns Hopkins University Applied Physics Lab. He is a director of the Center for a New American Security.</w:t>
      </w:r>
    </w:p>
    <w:p>
      <w:pPr>
        <w:spacing w:after="0" w:line="98" w:lineRule="exact"/>
        <w:rPr>
          <w:sz w:val="20"/>
          <w:szCs w:val="20"/>
          <w:color w:val="auto"/>
        </w:rPr>
      </w:pPr>
    </w:p>
    <w:p>
      <w:pPr>
        <w:ind w:left="20"/>
        <w:spacing w:after="0"/>
        <w:rPr>
          <w:sz w:val="20"/>
          <w:szCs w:val="20"/>
          <w:color w:val="auto"/>
        </w:rPr>
      </w:pPr>
      <w:r>
        <w:rPr>
          <w:rFonts w:ascii="Arial" w:cs="Arial" w:eastAsia="Arial" w:hAnsi="Arial"/>
          <w:sz w:val="17"/>
          <w:szCs w:val="17"/>
          <w:i w:val="1"/>
          <w:iCs w:val="1"/>
          <w:color w:val="34657F"/>
        </w:rPr>
        <w:t>Attributes, Skills and Qualifications</w:t>
      </w:r>
    </w:p>
    <w:p>
      <w:pPr>
        <w:spacing w:after="0" w:line="143" w:lineRule="exact"/>
        <w:rPr>
          <w:sz w:val="20"/>
          <w:szCs w:val="20"/>
          <w:color w:val="auto"/>
        </w:rPr>
      </w:pPr>
    </w:p>
    <w:p>
      <w:pPr>
        <w:ind w:left="260" w:right="440" w:hanging="232"/>
        <w:spacing w:after="0" w:line="247" w:lineRule="auto"/>
        <w:tabs>
          <w:tab w:leader="none" w:pos="301" w:val="left"/>
        </w:tabs>
        <w:numPr>
          <w:ilvl w:val="0"/>
          <w:numId w:val="16"/>
        </w:numPr>
        <w:rPr>
          <w:rFonts w:ascii="Arial" w:cs="Arial" w:eastAsia="Arial" w:hAnsi="Arial"/>
          <w:sz w:val="14"/>
          <w:szCs w:val="14"/>
          <w:color w:val="34657F"/>
        </w:rPr>
      </w:pPr>
      <w:r>
        <w:rPr>
          <w:rFonts w:ascii="Arial" w:cs="Arial" w:eastAsia="Arial" w:hAnsi="Arial"/>
          <w:sz w:val="17"/>
          <w:szCs w:val="17"/>
          <w:color w:val="auto"/>
        </w:rPr>
        <w:t>Extensive career as a senior military officer with the United States Navy, including numerous operational commands, as well as leadership positions, most recently as the 29th Chief of Naval Operations</w:t>
      </w:r>
    </w:p>
    <w:p>
      <w:pPr>
        <w:spacing w:after="0" w:line="110" w:lineRule="exact"/>
        <w:rPr>
          <w:rFonts w:ascii="Arial" w:cs="Arial" w:eastAsia="Arial" w:hAnsi="Arial"/>
          <w:sz w:val="14"/>
          <w:szCs w:val="14"/>
          <w:color w:val="34657F"/>
        </w:rPr>
      </w:pPr>
    </w:p>
    <w:p>
      <w:pPr>
        <w:ind w:left="300" w:hanging="272"/>
        <w:spacing w:after="0"/>
        <w:tabs>
          <w:tab w:leader="none" w:pos="300" w:val="left"/>
        </w:tabs>
        <w:numPr>
          <w:ilvl w:val="0"/>
          <w:numId w:val="16"/>
        </w:numPr>
        <w:rPr>
          <w:rFonts w:ascii="Arial" w:cs="Arial" w:eastAsia="Arial" w:hAnsi="Arial"/>
          <w:sz w:val="14"/>
          <w:szCs w:val="14"/>
          <w:color w:val="34657F"/>
        </w:rPr>
      </w:pPr>
      <w:r>
        <w:rPr>
          <w:rFonts w:ascii="Arial" w:cs="Arial" w:eastAsia="Arial" w:hAnsi="Arial"/>
          <w:sz w:val="17"/>
          <w:szCs w:val="17"/>
          <w:color w:val="auto"/>
        </w:rPr>
        <w:t>Significant expertise in national security, information warfare, cyber operations and global security issues</w:t>
      </w:r>
    </w:p>
    <w:p>
      <w:pPr>
        <w:spacing w:after="0" w:line="125" w:lineRule="exact"/>
        <w:rPr>
          <w:rFonts w:ascii="Arial" w:cs="Arial" w:eastAsia="Arial" w:hAnsi="Arial"/>
          <w:sz w:val="14"/>
          <w:szCs w:val="14"/>
          <w:color w:val="34657F"/>
        </w:rPr>
      </w:pPr>
    </w:p>
    <w:p>
      <w:pPr>
        <w:ind w:left="300" w:hanging="272"/>
        <w:spacing w:after="0"/>
        <w:tabs>
          <w:tab w:leader="none" w:pos="300" w:val="left"/>
        </w:tabs>
        <w:numPr>
          <w:ilvl w:val="0"/>
          <w:numId w:val="16"/>
        </w:numPr>
        <w:rPr>
          <w:rFonts w:ascii="Arial" w:cs="Arial" w:eastAsia="Arial" w:hAnsi="Arial"/>
          <w:sz w:val="14"/>
          <w:szCs w:val="14"/>
          <w:color w:val="34657F"/>
        </w:rPr>
      </w:pPr>
      <w:r>
        <w:rPr>
          <w:rFonts w:ascii="Arial" w:cs="Arial" w:eastAsia="Arial" w:hAnsi="Arial"/>
          <w:sz w:val="17"/>
          <w:szCs w:val="17"/>
          <w:color w:val="auto"/>
        </w:rPr>
        <w:t>Broad experience in leadership and matters of global relations, particularly in the Pacific region, Europe and the Middle East</w:t>
      </w:r>
    </w:p>
    <w:p>
      <w:pPr>
        <w:spacing w:after="0" w:line="125" w:lineRule="exact"/>
        <w:rPr>
          <w:rFonts w:ascii="Arial" w:cs="Arial" w:eastAsia="Arial" w:hAnsi="Arial"/>
          <w:sz w:val="14"/>
          <w:szCs w:val="14"/>
          <w:color w:val="34657F"/>
        </w:rPr>
      </w:pPr>
    </w:p>
    <w:p>
      <w:pPr>
        <w:ind w:left="300" w:hanging="272"/>
        <w:spacing w:after="0"/>
        <w:tabs>
          <w:tab w:leader="none" w:pos="300" w:val="left"/>
        </w:tabs>
        <w:numPr>
          <w:ilvl w:val="0"/>
          <w:numId w:val="16"/>
        </w:numPr>
        <w:rPr>
          <w:rFonts w:ascii="Arial" w:cs="Arial" w:eastAsia="Arial" w:hAnsi="Arial"/>
          <w:sz w:val="14"/>
          <w:szCs w:val="14"/>
          <w:color w:val="34657F"/>
        </w:rPr>
      </w:pPr>
      <w:r>
        <w:rPr>
          <w:rFonts w:ascii="Arial" w:cs="Arial" w:eastAsia="Arial" w:hAnsi="Arial"/>
          <w:sz w:val="17"/>
          <w:szCs w:val="17"/>
          <w:color w:val="auto"/>
        </w:rPr>
        <w:t>Experience with talent development and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63500</wp:posOffset>
            </wp:positionV>
            <wp:extent cx="711517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1160"/>
          </w:cols>
          <w:pgMar w:left="240" w:top="671"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10 </w:t>
      </w:r>
      <w:r>
        <w:rPr>
          <w:rFonts w:ascii="Arial" w:cs="Arial" w:eastAsia="Arial" w:hAnsi="Arial"/>
          <w:sz w:val="13"/>
          <w:szCs w:val="13"/>
          <w:color w:val="auto"/>
        </w:rPr>
        <w:t>I</w:t>
      </w:r>
      <w:r>
        <w:rPr>
          <w:rFonts w:ascii="Arial" w:cs="Arial" w:eastAsia="Arial" w:hAnsi="Arial"/>
          <w:sz w:val="17"/>
          <w:szCs w:val="17"/>
          <w:color w:val="auto"/>
        </w:rPr>
        <w:t xml:space="preserve"> </w:t>
      </w:r>
      <w:r>
        <w:rPr>
          <w:rFonts w:ascii="Arial" w:cs="Arial" w:eastAsia="Arial" w:hAnsi="Arial"/>
          <w:sz w:val="13"/>
          <w:szCs w:val="13"/>
          <w:color w:val="34657F"/>
        </w:rPr>
        <w:t>NOTICE OF 2019 ANNUAL MEETING OF SHAREHOLDERS AND PROXY STATEMENT</w:t>
      </w:r>
    </w:p>
    <w:p>
      <w:pPr>
        <w:sectPr>
          <w:pgSz w:w="11900" w:h="16838" w:orient="portrait"/>
          <w:cols w:equalWidth="0" w:num="1">
            <w:col w:w="11160"/>
          </w:cols>
          <w:pgMar w:left="240" w:top="671" w:right="49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21"/>
          <w:szCs w:val="21"/>
          <w:b w:val="1"/>
          <w:bCs w:val="1"/>
          <w:color w:val="FFFFFF"/>
        </w:rPr>
        <w:drawing>
          <wp:anchor simplePos="0" relativeHeight="251657728" behindDoc="1" locked="0" layoutInCell="0" allowOverlap="1">
            <wp:simplePos x="0" y="0"/>
            <wp:positionH relativeFrom="page">
              <wp:posOffset>154305</wp:posOffset>
            </wp:positionH>
            <wp:positionV relativeFrom="page">
              <wp:posOffset>365760</wp:posOffset>
            </wp:positionV>
            <wp:extent cx="7253605" cy="58610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3605" cy="586105"/>
                    </a:xfrm>
                    <a:prstGeom prst="rect">
                      <a:avLst/>
                    </a:prstGeom>
                    <a:noFill/>
                  </pic:spPr>
                </pic:pic>
              </a:graphicData>
            </a:graphic>
          </wp:anchor>
        </w:drawing>
        <w:t>PROPOSAL ONE: ELECTION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21"/>
          <w:szCs w:val="21"/>
          <w:b w:val="1"/>
          <w:bCs w:val="1"/>
          <w:color w:val="34657F"/>
        </w:rPr>
        <w:t>THOMAS M. SCHOEWE, 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29845</wp:posOffset>
            </wp:positionV>
            <wp:extent cx="711517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47" w:lineRule="exact"/>
        <w:rPr>
          <w:sz w:val="20"/>
          <w:szCs w:val="20"/>
          <w:color w:val="auto"/>
        </w:rPr>
      </w:pPr>
    </w:p>
    <w:p>
      <w:pPr>
        <w:ind w:left="1460"/>
        <w:spacing w:after="0"/>
        <w:rPr>
          <w:sz w:val="20"/>
          <w:szCs w:val="20"/>
          <w:color w:val="auto"/>
        </w:rPr>
      </w:pPr>
      <w:r>
        <w:rPr>
          <w:rFonts w:ascii="Arial" w:cs="Arial" w:eastAsia="Arial" w:hAnsi="Arial"/>
          <w:sz w:val="17"/>
          <w:szCs w:val="17"/>
          <w:i w:val="1"/>
          <w:iCs w:val="1"/>
          <w:color w:val="auto"/>
        </w:rPr>
        <w:t>Former Executive Vice President and Chief Financial Officer, Wal-Mart Stores, Inc., an operator of retail stores.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618490" cy="78168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18490" cy="781685"/>
                    </a:xfrm>
                    <a:prstGeom prst="rect">
                      <a:avLst/>
                    </a:prstGeom>
                    <a:noFill/>
                  </pic:spPr>
                </pic:pic>
              </a:graphicData>
            </a:graphic>
          </wp:anchor>
        </w:drawing>
      </w:r>
    </w:p>
    <w:p>
      <w:pPr>
        <w:spacing w:after="0" w:line="67" w:lineRule="exact"/>
        <w:rPr>
          <w:sz w:val="20"/>
          <w:szCs w:val="20"/>
          <w:color w:val="auto"/>
        </w:rPr>
      </w:pPr>
    </w:p>
    <w:p>
      <w:pPr>
        <w:ind w:left="1460"/>
        <w:spacing w:after="0"/>
        <w:rPr>
          <w:sz w:val="20"/>
          <w:szCs w:val="20"/>
          <w:color w:val="auto"/>
        </w:rPr>
      </w:pPr>
      <w:r>
        <w:rPr>
          <w:rFonts w:ascii="Arial" w:cs="Arial" w:eastAsia="Arial" w:hAnsi="Arial"/>
          <w:sz w:val="17"/>
          <w:szCs w:val="17"/>
          <w:i w:val="1"/>
          <w:iCs w:val="1"/>
          <w:color w:val="auto"/>
        </w:rPr>
        <w:t>Director since August 2011</w:t>
      </w:r>
    </w:p>
    <w:p>
      <w:pPr>
        <w:spacing w:after="0" w:line="87" w:lineRule="exact"/>
        <w:rPr>
          <w:sz w:val="20"/>
          <w:szCs w:val="20"/>
          <w:color w:val="auto"/>
        </w:rPr>
      </w:pPr>
    </w:p>
    <w:p>
      <w:pPr>
        <w:ind w:left="1460"/>
        <w:spacing w:after="0"/>
        <w:rPr>
          <w:sz w:val="20"/>
          <w:szCs w:val="20"/>
          <w:color w:val="auto"/>
        </w:rPr>
      </w:pPr>
      <w:r>
        <w:rPr>
          <w:rFonts w:ascii="Arial" w:cs="Arial" w:eastAsia="Arial" w:hAnsi="Arial"/>
          <w:sz w:val="17"/>
          <w:szCs w:val="17"/>
          <w:i w:val="1"/>
          <w:iCs w:val="1"/>
          <w:color w:val="auto"/>
        </w:rPr>
        <w:t>Member of the Compensation Committee (Chair) and Policy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327660</wp:posOffset>
            </wp:positionV>
            <wp:extent cx="711517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right="360"/>
        <w:spacing w:after="0" w:line="238" w:lineRule="auto"/>
        <w:rPr>
          <w:sz w:val="20"/>
          <w:szCs w:val="20"/>
          <w:color w:val="auto"/>
        </w:rPr>
      </w:pPr>
      <w:r>
        <w:rPr>
          <w:rFonts w:ascii="Arial" w:cs="Arial" w:eastAsia="Arial" w:hAnsi="Arial"/>
          <w:sz w:val="17"/>
          <w:szCs w:val="17"/>
          <w:color w:val="auto"/>
        </w:rPr>
        <w:t>Mr. Thomas M. Schoewe was Executive Vice President and Chief Financial Officer of Wal-Mart Stores Inc. from 2000 to 2011. Prior to his employment with Wal-Mart, he held several roles at the Black and Decker Corporation, including Senior Vice President and Chief Financial Officer from 1996 to 1999, Vice President and Chief Financial Officer from 1993 to 1999, Vice President of Finance from 1989 to 1993 and Vice President of Business Planning and Analysis from 1986 to 1989. Before joining Black and Decker, Mr. Schoewe worked for Beatrice Companies, where he was Chief Financial Officer and Controller of one of its subsidiaries, Beatrice Consumer Durables Inc. Mr. Schoewe serves on the Boards of Directors of General Motors Corporation and KKR &amp; Co. Inc. Mr. Schoewe also serves on the board of the Ladies Professional Golf Association.</w:t>
      </w:r>
    </w:p>
    <w:p>
      <w:pPr>
        <w:spacing w:after="0" w:line="101" w:lineRule="exact"/>
        <w:rPr>
          <w:sz w:val="20"/>
          <w:szCs w:val="20"/>
          <w:color w:val="auto"/>
        </w:rPr>
      </w:pPr>
    </w:p>
    <w:p>
      <w:pPr>
        <w:spacing w:after="0"/>
        <w:rPr>
          <w:sz w:val="20"/>
          <w:szCs w:val="20"/>
          <w:color w:val="auto"/>
        </w:rPr>
      </w:pPr>
      <w:r>
        <w:rPr>
          <w:rFonts w:ascii="Arial" w:cs="Arial" w:eastAsia="Arial" w:hAnsi="Arial"/>
          <w:sz w:val="17"/>
          <w:szCs w:val="17"/>
          <w:i w:val="1"/>
          <w:iCs w:val="1"/>
          <w:color w:val="34657F"/>
        </w:rPr>
        <w:t>Attributes, Skills and Qualifications</w:t>
      </w:r>
    </w:p>
    <w:p>
      <w:pPr>
        <w:spacing w:after="0" w:line="143" w:lineRule="exact"/>
        <w:rPr>
          <w:sz w:val="20"/>
          <w:szCs w:val="20"/>
          <w:color w:val="auto"/>
        </w:rPr>
      </w:pPr>
    </w:p>
    <w:p>
      <w:pPr>
        <w:ind w:left="240" w:right="400" w:hanging="232"/>
        <w:spacing w:after="0" w:line="247" w:lineRule="auto"/>
        <w:tabs>
          <w:tab w:leader="none" w:pos="281" w:val="left"/>
        </w:tabs>
        <w:numPr>
          <w:ilvl w:val="0"/>
          <w:numId w:val="17"/>
        </w:numPr>
        <w:rPr>
          <w:rFonts w:ascii="Arial" w:cs="Arial" w:eastAsia="Arial" w:hAnsi="Arial"/>
          <w:sz w:val="14"/>
          <w:szCs w:val="14"/>
          <w:color w:val="34657F"/>
        </w:rPr>
      </w:pPr>
      <w:r>
        <w:rPr>
          <w:rFonts w:ascii="Arial" w:cs="Arial" w:eastAsia="Arial" w:hAnsi="Arial"/>
          <w:sz w:val="17"/>
          <w:szCs w:val="17"/>
          <w:color w:val="auto"/>
        </w:rPr>
        <w:t>Extensive financial experience acquired through positions held as the Chief Financial Officer of large public companies, as well as expertise in Sarbanes-Oxley controls, risk management and mergers and acquisitions</w:t>
      </w:r>
    </w:p>
    <w:p>
      <w:pPr>
        <w:spacing w:after="0" w:line="110" w:lineRule="exact"/>
        <w:rPr>
          <w:rFonts w:ascii="Arial" w:cs="Arial" w:eastAsia="Arial" w:hAnsi="Arial"/>
          <w:sz w:val="14"/>
          <w:szCs w:val="14"/>
          <w:color w:val="34657F"/>
        </w:rPr>
      </w:pPr>
    </w:p>
    <w:p>
      <w:pPr>
        <w:ind w:left="280" w:hanging="272"/>
        <w:spacing w:after="0"/>
        <w:tabs>
          <w:tab w:leader="none" w:pos="280" w:val="left"/>
        </w:tabs>
        <w:numPr>
          <w:ilvl w:val="0"/>
          <w:numId w:val="17"/>
        </w:numPr>
        <w:rPr>
          <w:rFonts w:ascii="Arial" w:cs="Arial" w:eastAsia="Arial" w:hAnsi="Arial"/>
          <w:sz w:val="14"/>
          <w:szCs w:val="14"/>
          <w:color w:val="34657F"/>
        </w:rPr>
      </w:pPr>
      <w:r>
        <w:rPr>
          <w:rFonts w:ascii="Arial" w:cs="Arial" w:eastAsia="Arial" w:hAnsi="Arial"/>
          <w:sz w:val="17"/>
          <w:szCs w:val="17"/>
          <w:color w:val="auto"/>
        </w:rPr>
        <w:t>Significant international experience through his service as an executive of large public companies with substantial international operations</w:t>
      </w:r>
    </w:p>
    <w:p>
      <w:pPr>
        <w:spacing w:after="0" w:line="125" w:lineRule="exact"/>
        <w:rPr>
          <w:rFonts w:ascii="Arial" w:cs="Arial" w:eastAsia="Arial" w:hAnsi="Arial"/>
          <w:sz w:val="14"/>
          <w:szCs w:val="14"/>
          <w:color w:val="34657F"/>
        </w:rPr>
      </w:pPr>
    </w:p>
    <w:p>
      <w:pPr>
        <w:ind w:left="280" w:hanging="272"/>
        <w:spacing w:after="0"/>
        <w:tabs>
          <w:tab w:leader="none" w:pos="280" w:val="left"/>
        </w:tabs>
        <w:numPr>
          <w:ilvl w:val="0"/>
          <w:numId w:val="17"/>
        </w:numPr>
        <w:rPr>
          <w:rFonts w:ascii="Arial" w:cs="Arial" w:eastAsia="Arial" w:hAnsi="Arial"/>
          <w:sz w:val="14"/>
          <w:szCs w:val="14"/>
          <w:color w:val="34657F"/>
        </w:rPr>
      </w:pPr>
      <w:r>
        <w:rPr>
          <w:rFonts w:ascii="Arial" w:cs="Arial" w:eastAsia="Arial" w:hAnsi="Arial"/>
          <w:sz w:val="17"/>
          <w:szCs w:val="17"/>
          <w:color w:val="auto"/>
        </w:rPr>
        <w:t>Experience at Wal-Mart and Black and Decker on large-scale transformational enterprise information technology implementations</w:t>
      </w:r>
    </w:p>
    <w:p>
      <w:pPr>
        <w:spacing w:after="0" w:line="125" w:lineRule="exact"/>
        <w:rPr>
          <w:rFonts w:ascii="Arial" w:cs="Arial" w:eastAsia="Arial" w:hAnsi="Arial"/>
          <w:sz w:val="14"/>
          <w:szCs w:val="14"/>
          <w:color w:val="34657F"/>
        </w:rPr>
      </w:pPr>
    </w:p>
    <w:p>
      <w:pPr>
        <w:ind w:left="280" w:hanging="272"/>
        <w:spacing w:after="0"/>
        <w:tabs>
          <w:tab w:leader="none" w:pos="280" w:val="left"/>
        </w:tabs>
        <w:numPr>
          <w:ilvl w:val="0"/>
          <w:numId w:val="17"/>
        </w:numPr>
        <w:rPr>
          <w:rFonts w:ascii="Arial" w:cs="Arial" w:eastAsia="Arial" w:hAnsi="Arial"/>
          <w:sz w:val="14"/>
          <w:szCs w:val="14"/>
          <w:color w:val="34657F"/>
        </w:rPr>
      </w:pPr>
      <w:r>
        <w:rPr>
          <w:rFonts w:ascii="Arial" w:cs="Arial" w:eastAsia="Arial" w:hAnsi="Arial"/>
          <w:sz w:val="17"/>
          <w:szCs w:val="17"/>
          <w:color w:val="auto"/>
        </w:rPr>
        <w:t>Extensive experience as a member of the audit and risk committees of other public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63500</wp:posOffset>
            </wp:positionV>
            <wp:extent cx="711517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21"/>
          <w:szCs w:val="21"/>
          <w:b w:val="1"/>
          <w:bCs w:val="1"/>
          <w:color w:val="34657F"/>
        </w:rPr>
        <w:t>JAMES S. TURLEY, 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29845</wp:posOffset>
            </wp:positionV>
            <wp:extent cx="711517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47" w:lineRule="exact"/>
        <w:rPr>
          <w:sz w:val="20"/>
          <w:szCs w:val="20"/>
          <w:color w:val="auto"/>
        </w:rPr>
      </w:pPr>
    </w:p>
    <w:p>
      <w:pPr>
        <w:ind w:left="1460"/>
        <w:spacing w:after="0"/>
        <w:rPr>
          <w:sz w:val="20"/>
          <w:szCs w:val="20"/>
          <w:color w:val="auto"/>
        </w:rPr>
      </w:pPr>
      <w:r>
        <w:rPr>
          <w:rFonts w:ascii="Arial" w:cs="Arial" w:eastAsia="Arial" w:hAnsi="Arial"/>
          <w:sz w:val="17"/>
          <w:szCs w:val="17"/>
          <w:i w:val="1"/>
          <w:iCs w:val="1"/>
          <w:color w:val="auto"/>
        </w:rPr>
        <w:t>Former Chairman and Chief Executive Officer, Ernst &amp; Young, a professional services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561975" cy="78994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61975" cy="789940"/>
                    </a:xfrm>
                    <a:prstGeom prst="rect">
                      <a:avLst/>
                    </a:prstGeom>
                    <a:noFill/>
                  </pic:spPr>
                </pic:pic>
              </a:graphicData>
            </a:graphic>
          </wp:anchor>
        </w:drawing>
      </w:r>
    </w:p>
    <w:p>
      <w:pPr>
        <w:spacing w:after="0" w:line="67" w:lineRule="exact"/>
        <w:rPr>
          <w:sz w:val="20"/>
          <w:szCs w:val="20"/>
          <w:color w:val="auto"/>
        </w:rPr>
      </w:pPr>
    </w:p>
    <w:p>
      <w:pPr>
        <w:ind w:left="1460"/>
        <w:spacing w:after="0"/>
        <w:rPr>
          <w:sz w:val="20"/>
          <w:szCs w:val="20"/>
          <w:color w:val="auto"/>
        </w:rPr>
      </w:pPr>
      <w:r>
        <w:rPr>
          <w:rFonts w:ascii="Arial" w:cs="Arial" w:eastAsia="Arial" w:hAnsi="Arial"/>
          <w:sz w:val="17"/>
          <w:szCs w:val="17"/>
          <w:i w:val="1"/>
          <w:iCs w:val="1"/>
          <w:color w:val="auto"/>
        </w:rPr>
        <w:t>Director since February 2015</w:t>
      </w:r>
    </w:p>
    <w:p>
      <w:pPr>
        <w:spacing w:after="0" w:line="87" w:lineRule="exact"/>
        <w:rPr>
          <w:sz w:val="20"/>
          <w:szCs w:val="20"/>
          <w:color w:val="auto"/>
        </w:rPr>
      </w:pPr>
    </w:p>
    <w:p>
      <w:pPr>
        <w:ind w:left="1460"/>
        <w:spacing w:after="0"/>
        <w:rPr>
          <w:sz w:val="20"/>
          <w:szCs w:val="20"/>
          <w:color w:val="auto"/>
        </w:rPr>
      </w:pPr>
      <w:r>
        <w:rPr>
          <w:rFonts w:ascii="Arial" w:cs="Arial" w:eastAsia="Arial" w:hAnsi="Arial"/>
          <w:sz w:val="17"/>
          <w:szCs w:val="17"/>
          <w:i w:val="1"/>
          <w:iCs w:val="1"/>
          <w:color w:val="auto"/>
        </w:rPr>
        <w:t>Member of the Audit Committee and Governance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335280</wp:posOffset>
            </wp:positionV>
            <wp:extent cx="711517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380"/>
        <w:spacing w:after="0" w:line="239" w:lineRule="auto"/>
        <w:rPr>
          <w:sz w:val="20"/>
          <w:szCs w:val="20"/>
          <w:color w:val="auto"/>
        </w:rPr>
      </w:pPr>
      <w:r>
        <w:rPr>
          <w:rFonts w:ascii="Arial" w:cs="Arial" w:eastAsia="Arial" w:hAnsi="Arial"/>
          <w:sz w:val="17"/>
          <w:szCs w:val="17"/>
          <w:color w:val="auto"/>
        </w:rPr>
        <w:t>Mr. James S. Turley served as Chairman and Chief Executive Officer of Ernst &amp; Young from 2001 until his retirement in 2013. Mr. Turley joined Ernst &amp; Young in 1977 and held various positions there until being named regional managing partner for the Upper Midwest in 1994, and for New York in 1998. He was named Deputy Chairman in 2000. He currently serves on the Boards of Directors of Citigroup, Emerson Electric Company and Intrexon Corporation. He also serves on the Board of Directors of the Boy Scouts of America. Mr. Turley is a board member of Kohler Co. and serves as Non-Executive Chair of Sita Capital Partners LLP.</w:t>
      </w:r>
    </w:p>
    <w:p>
      <w:pPr>
        <w:spacing w:after="0" w:line="98" w:lineRule="exact"/>
        <w:rPr>
          <w:sz w:val="20"/>
          <w:szCs w:val="20"/>
          <w:color w:val="auto"/>
        </w:rPr>
      </w:pPr>
    </w:p>
    <w:p>
      <w:pPr>
        <w:spacing w:after="0"/>
        <w:rPr>
          <w:sz w:val="20"/>
          <w:szCs w:val="20"/>
          <w:color w:val="auto"/>
        </w:rPr>
      </w:pPr>
      <w:r>
        <w:rPr>
          <w:rFonts w:ascii="Arial" w:cs="Arial" w:eastAsia="Arial" w:hAnsi="Arial"/>
          <w:sz w:val="17"/>
          <w:szCs w:val="17"/>
          <w:i w:val="1"/>
          <w:iCs w:val="1"/>
          <w:color w:val="34657F"/>
        </w:rPr>
        <w:t>Attributes, Skills and Qualifications</w:t>
      </w:r>
    </w:p>
    <w:p>
      <w:pPr>
        <w:spacing w:after="0" w:line="143" w:lineRule="exact"/>
        <w:rPr>
          <w:sz w:val="20"/>
          <w:szCs w:val="20"/>
          <w:color w:val="auto"/>
        </w:rPr>
      </w:pPr>
    </w:p>
    <w:p>
      <w:pPr>
        <w:ind w:left="240" w:right="340" w:hanging="232"/>
        <w:spacing w:after="0" w:line="247" w:lineRule="auto"/>
        <w:tabs>
          <w:tab w:leader="none" w:pos="281" w:val="left"/>
        </w:tabs>
        <w:numPr>
          <w:ilvl w:val="0"/>
          <w:numId w:val="18"/>
        </w:numPr>
        <w:rPr>
          <w:rFonts w:ascii="Arial" w:cs="Arial" w:eastAsia="Arial" w:hAnsi="Arial"/>
          <w:sz w:val="14"/>
          <w:szCs w:val="14"/>
          <w:color w:val="34657F"/>
        </w:rPr>
      </w:pPr>
      <w:r>
        <w:rPr>
          <w:rFonts w:ascii="Arial" w:cs="Arial" w:eastAsia="Arial" w:hAnsi="Arial"/>
          <w:sz w:val="17"/>
          <w:szCs w:val="17"/>
          <w:color w:val="auto"/>
        </w:rPr>
        <w:t>Extensive experience and expertise in areas of finance, accounting and business management acquired over 36-year career at Ernst &amp; Young, including serving as Chairman and Chief Executive Officer of Ernst &amp; Young</w:t>
      </w:r>
    </w:p>
    <w:p>
      <w:pPr>
        <w:spacing w:after="0" w:line="110" w:lineRule="exact"/>
        <w:rPr>
          <w:rFonts w:ascii="Arial" w:cs="Arial" w:eastAsia="Arial" w:hAnsi="Arial"/>
          <w:sz w:val="14"/>
          <w:szCs w:val="14"/>
          <w:color w:val="34657F"/>
        </w:rPr>
      </w:pPr>
    </w:p>
    <w:p>
      <w:pPr>
        <w:ind w:left="280" w:hanging="272"/>
        <w:spacing w:after="0"/>
        <w:tabs>
          <w:tab w:leader="none" w:pos="280" w:val="left"/>
        </w:tabs>
        <w:numPr>
          <w:ilvl w:val="0"/>
          <w:numId w:val="18"/>
        </w:numPr>
        <w:rPr>
          <w:rFonts w:ascii="Arial" w:cs="Arial" w:eastAsia="Arial" w:hAnsi="Arial"/>
          <w:sz w:val="14"/>
          <w:szCs w:val="14"/>
          <w:color w:val="34657F"/>
        </w:rPr>
      </w:pPr>
      <w:r>
        <w:rPr>
          <w:rFonts w:ascii="Arial" w:cs="Arial" w:eastAsia="Arial" w:hAnsi="Arial"/>
          <w:sz w:val="17"/>
          <w:szCs w:val="17"/>
          <w:color w:val="auto"/>
        </w:rPr>
        <w:t>Significant experience in areas of risk management</w:t>
      </w:r>
    </w:p>
    <w:p>
      <w:pPr>
        <w:spacing w:after="0" w:line="125" w:lineRule="exact"/>
        <w:rPr>
          <w:rFonts w:ascii="Arial" w:cs="Arial" w:eastAsia="Arial" w:hAnsi="Arial"/>
          <w:sz w:val="14"/>
          <w:szCs w:val="14"/>
          <w:color w:val="34657F"/>
        </w:rPr>
      </w:pPr>
    </w:p>
    <w:p>
      <w:pPr>
        <w:ind w:left="280" w:hanging="272"/>
        <w:spacing w:after="0"/>
        <w:tabs>
          <w:tab w:leader="none" w:pos="280" w:val="left"/>
        </w:tabs>
        <w:numPr>
          <w:ilvl w:val="0"/>
          <w:numId w:val="18"/>
        </w:numPr>
        <w:rPr>
          <w:rFonts w:ascii="Arial" w:cs="Arial" w:eastAsia="Arial" w:hAnsi="Arial"/>
          <w:sz w:val="14"/>
          <w:szCs w:val="14"/>
          <w:color w:val="34657F"/>
        </w:rPr>
      </w:pPr>
      <w:r>
        <w:rPr>
          <w:rFonts w:ascii="Arial" w:cs="Arial" w:eastAsia="Arial" w:hAnsi="Arial"/>
          <w:sz w:val="17"/>
          <w:szCs w:val="17"/>
          <w:color w:val="auto"/>
        </w:rPr>
        <w:t>Extensive experience as a member of the audit committee of other public companies</w:t>
      </w:r>
    </w:p>
    <w:p>
      <w:pPr>
        <w:spacing w:after="0" w:line="125" w:lineRule="exact"/>
        <w:rPr>
          <w:rFonts w:ascii="Arial" w:cs="Arial" w:eastAsia="Arial" w:hAnsi="Arial"/>
          <w:sz w:val="14"/>
          <w:szCs w:val="14"/>
          <w:color w:val="34657F"/>
        </w:rPr>
      </w:pPr>
    </w:p>
    <w:p>
      <w:pPr>
        <w:ind w:left="280" w:hanging="272"/>
        <w:spacing w:after="0"/>
        <w:tabs>
          <w:tab w:leader="none" w:pos="280" w:val="left"/>
        </w:tabs>
        <w:numPr>
          <w:ilvl w:val="0"/>
          <w:numId w:val="18"/>
        </w:numPr>
        <w:rPr>
          <w:rFonts w:ascii="Arial" w:cs="Arial" w:eastAsia="Arial" w:hAnsi="Arial"/>
          <w:sz w:val="14"/>
          <w:szCs w:val="14"/>
          <w:color w:val="34657F"/>
        </w:rPr>
      </w:pPr>
      <w:r>
        <w:rPr>
          <w:rFonts w:ascii="Arial" w:cs="Arial" w:eastAsia="Arial" w:hAnsi="Arial"/>
          <w:sz w:val="17"/>
          <w:szCs w:val="17"/>
          <w:color w:val="auto"/>
        </w:rPr>
        <w:t>Audit committee financial expert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63500</wp:posOffset>
            </wp:positionV>
            <wp:extent cx="711517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333" w:lineRule="exact"/>
        <w:rPr>
          <w:sz w:val="20"/>
          <w:szCs w:val="20"/>
          <w:color w:val="auto"/>
        </w:rPr>
      </w:pPr>
    </w:p>
    <w:p>
      <w:pPr>
        <w:jc w:val="right"/>
        <w:spacing w:after="0"/>
        <w:rPr>
          <w:sz w:val="20"/>
          <w:szCs w:val="20"/>
          <w:color w:val="auto"/>
        </w:rPr>
      </w:pPr>
      <w:r>
        <w:rPr>
          <w:rFonts w:ascii="Arial" w:cs="Arial" w:eastAsia="Arial" w:hAnsi="Arial"/>
          <w:sz w:val="14"/>
          <w:szCs w:val="14"/>
          <w:color w:val="34657F"/>
        </w:rPr>
        <w:t xml:space="preserve">NOTICE OF 2019 ANNUAL MEETING OF SHAREHOLDERS AND PROXY STATEMENT </w:t>
      </w:r>
      <w:r>
        <w:rPr>
          <w:rFonts w:ascii="Arial" w:cs="Arial" w:eastAsia="Arial" w:hAnsi="Arial"/>
          <w:sz w:val="14"/>
          <w:szCs w:val="14"/>
          <w:color w:val="000000"/>
        </w:rPr>
        <w:t>I 11</w:t>
      </w:r>
    </w:p>
    <w:p>
      <w:pPr>
        <w:sectPr>
          <w:pgSz w:w="11900" w:h="16838" w:orient="portrait"/>
          <w:cols w:equalWidth="0" w:num="1">
            <w:col w:w="11400"/>
          </w:cols>
          <w:pgMar w:left="260" w:top="671" w:right="239" w:bottom="1440" w:gutter="0" w:footer="0" w:header="0"/>
        </w:sectPr>
      </w:pPr>
    </w:p>
    <w:bookmarkStart w:id="17" w:name="page18"/>
    <w:bookmarkEnd w:id="17"/>
    <w:p>
      <w:pPr>
        <w:ind w:left="20"/>
        <w:spacing w:after="0"/>
        <w:rPr>
          <w:sz w:val="20"/>
          <w:szCs w:val="20"/>
          <w:color w:val="auto"/>
        </w:rPr>
      </w:pPr>
      <w:r>
        <w:rPr>
          <w:rFonts w:ascii="Arial" w:cs="Arial" w:eastAsia="Arial" w:hAnsi="Arial"/>
          <w:sz w:val="21"/>
          <w:szCs w:val="21"/>
          <w:b w:val="1"/>
          <w:bCs w:val="1"/>
          <w:color w:val="FFFFFF"/>
        </w:rPr>
        <w:drawing>
          <wp:anchor simplePos="0" relativeHeight="251657728" behindDoc="1" locked="0" layoutInCell="0" allowOverlap="1">
            <wp:simplePos x="0" y="0"/>
            <wp:positionH relativeFrom="page">
              <wp:posOffset>154305</wp:posOffset>
            </wp:positionH>
            <wp:positionV relativeFrom="page">
              <wp:posOffset>365760</wp:posOffset>
            </wp:positionV>
            <wp:extent cx="7253605" cy="58610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53605" cy="586105"/>
                    </a:xfrm>
                    <a:prstGeom prst="rect">
                      <a:avLst/>
                    </a:prstGeom>
                    <a:noFill/>
                  </pic:spPr>
                </pic:pic>
              </a:graphicData>
            </a:graphic>
          </wp:anchor>
        </w:drawing>
        <w:t>PROPOSAL ONE: ELECTION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34657F"/>
        </w:rPr>
        <w:t>KATHY J. WARDEN, 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29845</wp:posOffset>
            </wp:positionV>
            <wp:extent cx="7115175" cy="80581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15175" cy="805815"/>
                    </a:xfrm>
                    <a:prstGeom prst="rect">
                      <a:avLst/>
                    </a:prstGeom>
                    <a:noFill/>
                  </pic:spPr>
                </pic:pic>
              </a:graphicData>
            </a:graphic>
          </wp:anchor>
        </w:drawing>
      </w:r>
    </w:p>
    <w:p>
      <w:pPr>
        <w:spacing w:after="0" w:line="72" w:lineRule="exact"/>
        <w:rPr>
          <w:sz w:val="20"/>
          <w:szCs w:val="20"/>
          <w:color w:val="auto"/>
        </w:rPr>
      </w:pPr>
    </w:p>
    <w:p>
      <w:pPr>
        <w:ind w:left="1480"/>
        <w:spacing w:after="0"/>
        <w:rPr>
          <w:sz w:val="20"/>
          <w:szCs w:val="20"/>
          <w:color w:val="auto"/>
        </w:rPr>
      </w:pPr>
      <w:r>
        <w:rPr>
          <w:rFonts w:ascii="Arial" w:cs="Arial" w:eastAsia="Arial" w:hAnsi="Arial"/>
          <w:sz w:val="17"/>
          <w:szCs w:val="17"/>
          <w:i w:val="1"/>
          <w:iCs w:val="1"/>
          <w:color w:val="auto"/>
        </w:rPr>
        <w:t>Chief Executive Officer and President, Northrop Grumman Corporation.</w:t>
      </w:r>
    </w:p>
    <w:p>
      <w:pPr>
        <w:spacing w:after="0" w:line="87" w:lineRule="exact"/>
        <w:rPr>
          <w:sz w:val="20"/>
          <w:szCs w:val="20"/>
          <w:color w:val="auto"/>
        </w:rPr>
      </w:pPr>
    </w:p>
    <w:p>
      <w:pPr>
        <w:ind w:left="1480"/>
        <w:spacing w:after="0"/>
        <w:rPr>
          <w:sz w:val="20"/>
          <w:szCs w:val="20"/>
          <w:color w:val="auto"/>
        </w:rPr>
      </w:pPr>
      <w:r>
        <w:rPr>
          <w:rFonts w:ascii="Arial" w:cs="Arial" w:eastAsia="Arial" w:hAnsi="Arial"/>
          <w:sz w:val="17"/>
          <w:szCs w:val="17"/>
          <w:i w:val="1"/>
          <w:iCs w:val="1"/>
          <w:color w:val="auto"/>
        </w:rPr>
        <w:t>Director since July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490220</wp:posOffset>
            </wp:positionV>
            <wp:extent cx="711517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0"/>
        <w:spacing w:after="0" w:line="238" w:lineRule="auto"/>
        <w:rPr>
          <w:sz w:val="20"/>
          <w:szCs w:val="20"/>
          <w:color w:val="auto"/>
        </w:rPr>
      </w:pPr>
      <w:r>
        <w:rPr>
          <w:rFonts w:ascii="Arial" w:cs="Arial" w:eastAsia="Arial" w:hAnsi="Arial"/>
          <w:sz w:val="17"/>
          <w:szCs w:val="17"/>
          <w:color w:val="auto"/>
        </w:rPr>
        <w:t>Ms. Kathy J. Warden has served as Chief Executive Officer and President of the Company since January 2019. She was elected to the Board of Directors in July 2018. Ms. Warden served as President and Chief Operating Officer of the Company from January 2018 through December 2018, as Corporate Vice President and President of the Company's Mission Systems Sector from 2016 through 2017, as Corporate Vice President and President of the Company's former Information Systems Sector from 2013 to 2015, and as Vice President of the Company's Cyber Intelligence Division from 2011 to 2012. Prior to joining the Company in 2008, Ms. Warden held leadership roles at General Dynamics and Veridian Corporation. Earlier, she was a principal in a venture internet firm and also spent nearly a decade with General Electric Company working in commercial industries. She is the Chair of the Board of Directors of the Federal Reserve Bank of Richmond and a member of the Board of Visitors of James Madison University.</w:t>
      </w:r>
    </w:p>
    <w:p>
      <w:pPr>
        <w:spacing w:after="0" w:line="98" w:lineRule="exact"/>
        <w:rPr>
          <w:sz w:val="20"/>
          <w:szCs w:val="20"/>
          <w:color w:val="auto"/>
        </w:rPr>
      </w:pPr>
    </w:p>
    <w:p>
      <w:pPr>
        <w:ind w:left="20"/>
        <w:spacing w:after="0"/>
        <w:rPr>
          <w:sz w:val="20"/>
          <w:szCs w:val="20"/>
          <w:color w:val="auto"/>
        </w:rPr>
      </w:pPr>
      <w:r>
        <w:rPr>
          <w:rFonts w:ascii="Arial" w:cs="Arial" w:eastAsia="Arial" w:hAnsi="Arial"/>
          <w:sz w:val="17"/>
          <w:szCs w:val="17"/>
          <w:i w:val="1"/>
          <w:iCs w:val="1"/>
          <w:color w:val="34657F"/>
        </w:rPr>
        <w:t>Attributes, Skills and Qualifications</w:t>
      </w:r>
    </w:p>
    <w:p>
      <w:pPr>
        <w:spacing w:after="0" w:line="143" w:lineRule="exact"/>
        <w:rPr>
          <w:sz w:val="20"/>
          <w:szCs w:val="20"/>
          <w:color w:val="auto"/>
        </w:rPr>
      </w:pPr>
    </w:p>
    <w:p>
      <w:pPr>
        <w:ind w:left="260" w:right="440" w:hanging="232"/>
        <w:spacing w:after="0" w:line="247" w:lineRule="auto"/>
        <w:tabs>
          <w:tab w:leader="none" w:pos="301" w:val="left"/>
        </w:tabs>
        <w:numPr>
          <w:ilvl w:val="0"/>
          <w:numId w:val="19"/>
        </w:numPr>
        <w:rPr>
          <w:rFonts w:ascii="Arial" w:cs="Arial" w:eastAsia="Arial" w:hAnsi="Arial"/>
          <w:sz w:val="14"/>
          <w:szCs w:val="14"/>
          <w:color w:val="34657F"/>
        </w:rPr>
      </w:pPr>
      <w:r>
        <w:rPr>
          <w:rFonts w:ascii="Arial" w:cs="Arial" w:eastAsia="Arial" w:hAnsi="Arial"/>
          <w:sz w:val="17"/>
          <w:szCs w:val="17"/>
          <w:color w:val="auto"/>
        </w:rPr>
        <w:t>Extensive experience in operational leadership, strategy, performance and business development in government and commercial markets, including cyber expertise</w:t>
      </w:r>
    </w:p>
    <w:p>
      <w:pPr>
        <w:spacing w:after="0" w:line="110" w:lineRule="exact"/>
        <w:rPr>
          <w:rFonts w:ascii="Arial" w:cs="Arial" w:eastAsia="Arial" w:hAnsi="Arial"/>
          <w:sz w:val="14"/>
          <w:szCs w:val="14"/>
          <w:color w:val="34657F"/>
        </w:rPr>
      </w:pPr>
    </w:p>
    <w:p>
      <w:pPr>
        <w:ind w:left="300" w:hanging="272"/>
        <w:spacing w:after="0"/>
        <w:tabs>
          <w:tab w:leader="none" w:pos="300" w:val="left"/>
        </w:tabs>
        <w:numPr>
          <w:ilvl w:val="0"/>
          <w:numId w:val="19"/>
        </w:numPr>
        <w:rPr>
          <w:rFonts w:ascii="Arial" w:cs="Arial" w:eastAsia="Arial" w:hAnsi="Arial"/>
          <w:sz w:val="14"/>
          <w:szCs w:val="14"/>
          <w:color w:val="34657F"/>
        </w:rPr>
      </w:pPr>
      <w:r>
        <w:rPr>
          <w:rFonts w:ascii="Arial" w:cs="Arial" w:eastAsia="Arial" w:hAnsi="Arial"/>
          <w:sz w:val="17"/>
          <w:szCs w:val="17"/>
          <w:color w:val="auto"/>
        </w:rPr>
        <w:t>Prior leadership positions within Northrop Grumman (including as President, Chief Operating Officer and President of two business sectors)</w:t>
      </w:r>
    </w:p>
    <w:p>
      <w:pPr>
        <w:spacing w:after="0" w:line="125" w:lineRule="exact"/>
        <w:rPr>
          <w:rFonts w:ascii="Arial" w:cs="Arial" w:eastAsia="Arial" w:hAnsi="Arial"/>
          <w:sz w:val="14"/>
          <w:szCs w:val="14"/>
          <w:color w:val="34657F"/>
        </w:rPr>
      </w:pPr>
    </w:p>
    <w:p>
      <w:pPr>
        <w:ind w:left="300" w:hanging="272"/>
        <w:spacing w:after="0"/>
        <w:tabs>
          <w:tab w:leader="none" w:pos="300" w:val="left"/>
        </w:tabs>
        <w:numPr>
          <w:ilvl w:val="0"/>
          <w:numId w:val="19"/>
        </w:numPr>
        <w:rPr>
          <w:rFonts w:ascii="Arial" w:cs="Arial" w:eastAsia="Arial" w:hAnsi="Arial"/>
          <w:sz w:val="14"/>
          <w:szCs w:val="14"/>
          <w:color w:val="34657F"/>
        </w:rPr>
      </w:pPr>
      <w:r>
        <w:rPr>
          <w:rFonts w:ascii="Arial" w:cs="Arial" w:eastAsia="Arial" w:hAnsi="Arial"/>
          <w:sz w:val="17"/>
          <w:szCs w:val="17"/>
          <w:color w:val="auto"/>
        </w:rPr>
        <w:t>Significant aerospace and defense industry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63500</wp:posOffset>
            </wp:positionV>
            <wp:extent cx="711517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34657F"/>
        </w:rPr>
        <w:t>MARK A. WELSH III, 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29845</wp:posOffset>
            </wp:positionV>
            <wp:extent cx="711517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47" w:lineRule="exact"/>
        <w:rPr>
          <w:sz w:val="20"/>
          <w:szCs w:val="20"/>
          <w:color w:val="auto"/>
        </w:rPr>
      </w:pPr>
    </w:p>
    <w:p>
      <w:pPr>
        <w:ind w:left="1480" w:right="320"/>
        <w:spacing w:after="0" w:line="269" w:lineRule="auto"/>
        <w:rPr>
          <w:sz w:val="20"/>
          <w:szCs w:val="20"/>
          <w:color w:val="auto"/>
        </w:rPr>
      </w:pPr>
      <w:r>
        <w:rPr>
          <w:rFonts w:ascii="Arial" w:cs="Arial" w:eastAsia="Arial" w:hAnsi="Arial"/>
          <w:sz w:val="17"/>
          <w:szCs w:val="17"/>
          <w:i w:val="1"/>
          <w:iCs w:val="1"/>
          <w:color w:val="auto"/>
        </w:rPr>
        <w:t>Dean of the Bush School of Government and Public Service, Texas A&amp;M University; General, United States Air Force (Ret.); Former Chief of Staff, United States Air Force.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-265430</wp:posOffset>
            </wp:positionV>
            <wp:extent cx="520700" cy="78168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20700" cy="781685"/>
                    </a:xfrm>
                    <a:prstGeom prst="rect">
                      <a:avLst/>
                    </a:prstGeom>
                    <a:noFill/>
                  </pic:spPr>
                </pic:pic>
              </a:graphicData>
            </a:graphic>
          </wp:anchor>
        </w:drawing>
      </w:r>
    </w:p>
    <w:p>
      <w:pPr>
        <w:spacing w:after="0" w:line="16" w:lineRule="exact"/>
        <w:rPr>
          <w:sz w:val="20"/>
          <w:szCs w:val="20"/>
          <w:color w:val="auto"/>
        </w:rPr>
      </w:pPr>
    </w:p>
    <w:p>
      <w:pPr>
        <w:ind w:left="1480"/>
        <w:spacing w:after="0"/>
        <w:rPr>
          <w:sz w:val="20"/>
          <w:szCs w:val="20"/>
          <w:color w:val="auto"/>
        </w:rPr>
      </w:pPr>
      <w:r>
        <w:rPr>
          <w:rFonts w:ascii="Arial" w:cs="Arial" w:eastAsia="Arial" w:hAnsi="Arial"/>
          <w:sz w:val="17"/>
          <w:szCs w:val="17"/>
          <w:i w:val="1"/>
          <w:iCs w:val="1"/>
          <w:color w:val="auto"/>
        </w:rPr>
        <w:t>Director since December 2016</w:t>
      </w:r>
    </w:p>
    <w:p>
      <w:pPr>
        <w:spacing w:after="0" w:line="87" w:lineRule="exact"/>
        <w:rPr>
          <w:sz w:val="20"/>
          <w:szCs w:val="20"/>
          <w:color w:val="auto"/>
        </w:rPr>
      </w:pPr>
    </w:p>
    <w:p>
      <w:pPr>
        <w:ind w:left="1480"/>
        <w:spacing w:after="0"/>
        <w:rPr>
          <w:sz w:val="20"/>
          <w:szCs w:val="20"/>
          <w:color w:val="auto"/>
        </w:rPr>
      </w:pPr>
      <w:r>
        <w:rPr>
          <w:rFonts w:ascii="Arial" w:cs="Arial" w:eastAsia="Arial" w:hAnsi="Arial"/>
          <w:sz w:val="17"/>
          <w:szCs w:val="17"/>
          <w:i w:val="1"/>
          <w:iCs w:val="1"/>
          <w:color w:val="auto"/>
        </w:rPr>
        <w:t>Member of the Audit Committee and Policy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205105</wp:posOffset>
            </wp:positionV>
            <wp:extent cx="711517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ind w:left="20" w:right="100"/>
        <w:spacing w:after="0" w:line="238" w:lineRule="auto"/>
        <w:rPr>
          <w:sz w:val="20"/>
          <w:szCs w:val="20"/>
          <w:color w:val="auto"/>
        </w:rPr>
      </w:pPr>
      <w:r>
        <w:rPr>
          <w:rFonts w:ascii="Arial" w:cs="Arial" w:eastAsia="Arial" w:hAnsi="Arial"/>
          <w:sz w:val="17"/>
          <w:szCs w:val="17"/>
          <w:color w:val="auto"/>
        </w:rPr>
        <w:t>General Mark A. Welsh III has been the Dean of the Bush School of Government and Public Service at Texas A&amp;M University since August 2016. Prior to his current position, General Welsh served as Chief of Staff of the United States Air Force, the senior uniformed Air Force officer responsible for the organization, training and equipping of active-duty, Guard, Reserve and civilian forces serving in the United States and overseas. During his long career, General Welsh also served as a member of the Joint Chiefs of Staff, Commander of the United States Air Forces in Europe and Commander of NATO's Air Command, Associate Director for Military Affairs at the Central Intelligence Agency and Commandant of the United States Air Force Academy. General Welsh is a member of the Board of Managers of Peak NanoSystems, LLC. He is also a director of the Air Force Association.</w:t>
      </w:r>
    </w:p>
    <w:p>
      <w:pPr>
        <w:spacing w:after="0" w:line="99" w:lineRule="exact"/>
        <w:rPr>
          <w:sz w:val="20"/>
          <w:szCs w:val="20"/>
          <w:color w:val="auto"/>
        </w:rPr>
      </w:pPr>
    </w:p>
    <w:p>
      <w:pPr>
        <w:ind w:left="20"/>
        <w:spacing w:after="0"/>
        <w:rPr>
          <w:sz w:val="20"/>
          <w:szCs w:val="20"/>
          <w:color w:val="auto"/>
        </w:rPr>
      </w:pPr>
      <w:r>
        <w:rPr>
          <w:rFonts w:ascii="Arial" w:cs="Arial" w:eastAsia="Arial" w:hAnsi="Arial"/>
          <w:sz w:val="17"/>
          <w:szCs w:val="17"/>
          <w:i w:val="1"/>
          <w:iCs w:val="1"/>
          <w:color w:val="34657F"/>
        </w:rPr>
        <w:t>Attributes, Skills and Qualifications</w:t>
      </w:r>
    </w:p>
    <w:p>
      <w:pPr>
        <w:spacing w:after="0" w:line="143" w:lineRule="exact"/>
        <w:rPr>
          <w:sz w:val="20"/>
          <w:szCs w:val="20"/>
          <w:color w:val="auto"/>
        </w:rPr>
      </w:pPr>
    </w:p>
    <w:p>
      <w:pPr>
        <w:ind w:left="260" w:right="60" w:hanging="232"/>
        <w:spacing w:after="0" w:line="247" w:lineRule="auto"/>
        <w:tabs>
          <w:tab w:leader="none" w:pos="292" w:val="left"/>
        </w:tabs>
        <w:numPr>
          <w:ilvl w:val="0"/>
          <w:numId w:val="20"/>
        </w:numPr>
        <w:rPr>
          <w:rFonts w:ascii="Arial" w:cs="Arial" w:eastAsia="Arial" w:hAnsi="Arial"/>
          <w:sz w:val="14"/>
          <w:szCs w:val="14"/>
          <w:color w:val="34657F"/>
        </w:rPr>
      </w:pPr>
      <w:r>
        <w:rPr>
          <w:rFonts w:ascii="Arial" w:cs="Arial" w:eastAsia="Arial" w:hAnsi="Arial"/>
          <w:sz w:val="17"/>
          <w:szCs w:val="17"/>
          <w:color w:val="auto"/>
        </w:rPr>
        <w:t>Extensive career as a senior military officer and member of the Joint Chiefs of Staff, having held leadership positions at the highest levels of the United States Air Force</w:t>
      </w:r>
    </w:p>
    <w:p>
      <w:pPr>
        <w:spacing w:after="0" w:line="110" w:lineRule="exact"/>
        <w:rPr>
          <w:rFonts w:ascii="Arial" w:cs="Arial" w:eastAsia="Arial" w:hAnsi="Arial"/>
          <w:sz w:val="14"/>
          <w:szCs w:val="14"/>
          <w:color w:val="34657F"/>
        </w:rPr>
      </w:pPr>
    </w:p>
    <w:p>
      <w:pPr>
        <w:ind w:left="300" w:hanging="272"/>
        <w:spacing w:after="0"/>
        <w:tabs>
          <w:tab w:leader="none" w:pos="300" w:val="left"/>
        </w:tabs>
        <w:numPr>
          <w:ilvl w:val="0"/>
          <w:numId w:val="20"/>
        </w:numPr>
        <w:rPr>
          <w:rFonts w:ascii="Arial" w:cs="Arial" w:eastAsia="Arial" w:hAnsi="Arial"/>
          <w:sz w:val="14"/>
          <w:szCs w:val="14"/>
          <w:color w:val="34657F"/>
        </w:rPr>
      </w:pPr>
      <w:r>
        <w:rPr>
          <w:rFonts w:ascii="Arial" w:cs="Arial" w:eastAsia="Arial" w:hAnsi="Arial"/>
          <w:sz w:val="17"/>
          <w:szCs w:val="17"/>
          <w:color w:val="auto"/>
        </w:rPr>
        <w:t>Extensive experience and in-depth knowledge of issues related to global security and the intelligence community</w:t>
      </w:r>
    </w:p>
    <w:p>
      <w:pPr>
        <w:spacing w:after="0" w:line="125" w:lineRule="exact"/>
        <w:rPr>
          <w:rFonts w:ascii="Arial" w:cs="Arial" w:eastAsia="Arial" w:hAnsi="Arial"/>
          <w:sz w:val="14"/>
          <w:szCs w:val="14"/>
          <w:color w:val="34657F"/>
        </w:rPr>
      </w:pPr>
    </w:p>
    <w:p>
      <w:pPr>
        <w:ind w:left="300" w:hanging="272"/>
        <w:spacing w:after="0"/>
        <w:tabs>
          <w:tab w:leader="none" w:pos="300" w:val="left"/>
        </w:tabs>
        <w:numPr>
          <w:ilvl w:val="0"/>
          <w:numId w:val="20"/>
        </w:numPr>
        <w:rPr>
          <w:rFonts w:ascii="Arial" w:cs="Arial" w:eastAsia="Arial" w:hAnsi="Arial"/>
          <w:sz w:val="14"/>
          <w:szCs w:val="14"/>
          <w:color w:val="34657F"/>
        </w:rPr>
      </w:pPr>
      <w:r>
        <w:rPr>
          <w:rFonts w:ascii="Arial" w:cs="Arial" w:eastAsia="Arial" w:hAnsi="Arial"/>
          <w:sz w:val="17"/>
          <w:szCs w:val="17"/>
          <w:color w:val="auto"/>
        </w:rPr>
        <w:t>Broad leadership experience and international experience, particularly in Europe</w:t>
      </w:r>
    </w:p>
    <w:p>
      <w:pPr>
        <w:spacing w:after="0" w:line="125" w:lineRule="exact"/>
        <w:rPr>
          <w:rFonts w:ascii="Arial" w:cs="Arial" w:eastAsia="Arial" w:hAnsi="Arial"/>
          <w:sz w:val="14"/>
          <w:szCs w:val="14"/>
          <w:color w:val="34657F"/>
        </w:rPr>
      </w:pPr>
    </w:p>
    <w:p>
      <w:pPr>
        <w:ind w:left="300" w:hanging="272"/>
        <w:spacing w:after="0"/>
        <w:tabs>
          <w:tab w:leader="none" w:pos="300" w:val="left"/>
        </w:tabs>
        <w:numPr>
          <w:ilvl w:val="0"/>
          <w:numId w:val="20"/>
        </w:numPr>
        <w:rPr>
          <w:rFonts w:ascii="Arial" w:cs="Arial" w:eastAsia="Arial" w:hAnsi="Arial"/>
          <w:sz w:val="14"/>
          <w:szCs w:val="14"/>
          <w:color w:val="34657F"/>
        </w:rPr>
      </w:pPr>
      <w:r>
        <w:rPr>
          <w:rFonts w:ascii="Arial" w:cs="Arial" w:eastAsia="Arial" w:hAnsi="Arial"/>
          <w:sz w:val="17"/>
          <w:szCs w:val="17"/>
          <w:color w:val="auto"/>
        </w:rPr>
        <w:t>Experience with talent development and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63500</wp:posOffset>
            </wp:positionV>
            <wp:extent cx="711517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400"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12 </w:t>
      </w:r>
      <w:r>
        <w:rPr>
          <w:rFonts w:ascii="Arial" w:cs="Arial" w:eastAsia="Arial" w:hAnsi="Arial"/>
          <w:sz w:val="13"/>
          <w:szCs w:val="13"/>
          <w:color w:val="auto"/>
        </w:rPr>
        <w:t>I</w:t>
      </w:r>
      <w:r>
        <w:rPr>
          <w:rFonts w:ascii="Arial" w:cs="Arial" w:eastAsia="Arial" w:hAnsi="Arial"/>
          <w:sz w:val="17"/>
          <w:szCs w:val="17"/>
          <w:color w:val="auto"/>
        </w:rPr>
        <w:t xml:space="preserve"> </w:t>
      </w:r>
      <w:r>
        <w:rPr>
          <w:rFonts w:ascii="Arial" w:cs="Arial" w:eastAsia="Arial" w:hAnsi="Arial"/>
          <w:sz w:val="13"/>
          <w:szCs w:val="13"/>
          <w:color w:val="34657F"/>
        </w:rPr>
        <w:t>NOTICE OF 2019 ANNUAL MEETING OF SHAREHOLDERS AND PROXY STATEMENT</w:t>
      </w:r>
    </w:p>
    <w:p>
      <w:pPr>
        <w:sectPr>
          <w:pgSz w:w="11900" w:h="16838" w:orient="portrait"/>
          <w:cols w:equalWidth="0" w:num="1">
            <w:col w:w="11180"/>
          </w:cols>
          <w:pgMar w:left="240" w:top="671" w:right="479" w:bottom="1440" w:gutter="0" w:footer="0" w:header="0"/>
        </w:sectPr>
      </w:pPr>
    </w:p>
    <w:bookmarkStart w:id="18" w:name="page19"/>
    <w:bookmarkEnd w:id="18"/>
    <w:p>
      <w:pPr>
        <w:ind w:left="20"/>
        <w:spacing w:after="0"/>
        <w:rPr>
          <w:sz w:val="20"/>
          <w:szCs w:val="20"/>
          <w:color w:val="auto"/>
        </w:rPr>
      </w:pPr>
      <w:r>
        <w:rPr>
          <w:rFonts w:ascii="Arial" w:cs="Arial" w:eastAsia="Arial" w:hAnsi="Arial"/>
          <w:sz w:val="21"/>
          <w:szCs w:val="21"/>
          <w:b w:val="1"/>
          <w:bCs w:val="1"/>
          <w:color w:val="FFFFFF"/>
        </w:rPr>
        <w:drawing>
          <wp:anchor simplePos="0" relativeHeight="251657728" behindDoc="1" locked="0" layoutInCell="0" allowOverlap="1">
            <wp:simplePos x="0" y="0"/>
            <wp:positionH relativeFrom="page">
              <wp:posOffset>154305</wp:posOffset>
            </wp:positionH>
            <wp:positionV relativeFrom="page">
              <wp:posOffset>365760</wp:posOffset>
            </wp:positionV>
            <wp:extent cx="7253605" cy="58610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53605" cy="586105"/>
                    </a:xfrm>
                    <a:prstGeom prst="rect">
                      <a:avLst/>
                    </a:prstGeom>
                    <a:noFill/>
                  </pic:spPr>
                </pic:pic>
              </a:graphicData>
            </a:graphic>
          </wp:anchor>
        </w:drawing>
        <w:t>PROPOSAL ONE: ELECTION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Vote Required</w:t>
      </w:r>
    </w:p>
    <w:p>
      <w:pPr>
        <w:spacing w:after="0" w:line="103" w:lineRule="exact"/>
        <w:rPr>
          <w:sz w:val="20"/>
          <w:szCs w:val="20"/>
          <w:color w:val="auto"/>
        </w:rPr>
      </w:pPr>
    </w:p>
    <w:p>
      <w:pPr>
        <w:ind w:right="100"/>
        <w:spacing w:after="0" w:line="257" w:lineRule="auto"/>
        <w:rPr>
          <w:sz w:val="20"/>
          <w:szCs w:val="20"/>
          <w:color w:val="auto"/>
        </w:rPr>
      </w:pPr>
      <w:r>
        <w:rPr>
          <w:rFonts w:ascii="Arial" w:cs="Arial" w:eastAsia="Arial" w:hAnsi="Arial"/>
          <w:sz w:val="17"/>
          <w:szCs w:val="17"/>
          <w:color w:val="auto"/>
        </w:rPr>
        <w:t>To be elected, a nominee must receive more votes cast "for" than votes cast "against" his or her election. Abstentions and broker non-votes will have no effect on this proposal. If a nominee is not re-elected, he or she will remain in office until a successor is elected or until his or her earlier resignation or removal.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122555</wp:posOffset>
            </wp:positionV>
            <wp:extent cx="7270115" cy="35814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70115" cy="358140"/>
                    </a:xfrm>
                    <a:prstGeom prst="rect">
                      <a:avLst/>
                    </a:prstGeom>
                    <a:noFill/>
                  </pic:spPr>
                </pic:pic>
              </a:graphicData>
            </a:graphic>
          </wp:anchor>
        </w:drawing>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34657F"/>
        </w:rPr>
        <w:t>THE BOARD OF DIRECTORS UNANIMOUSLY RECOMMENDS THAT YOU VOTE</w:t>
      </w:r>
    </w:p>
    <w:p>
      <w:pPr>
        <w:jc w:val="center"/>
        <w:ind w:right="-19"/>
        <w:spacing w:after="0"/>
        <w:rPr>
          <w:sz w:val="20"/>
          <w:szCs w:val="20"/>
          <w:color w:val="auto"/>
        </w:rPr>
      </w:pPr>
      <w:r>
        <w:rPr>
          <w:rFonts w:ascii="Arial" w:cs="Arial" w:eastAsia="Arial" w:hAnsi="Arial"/>
          <w:sz w:val="21"/>
          <w:szCs w:val="21"/>
          <w:color w:val="34657F"/>
        </w:rPr>
        <w:t>"FOR" THE 13 NOMINEES FOR DIRECTOR LISTED ABOVE.</w:t>
      </w:r>
    </w:p>
    <w:p>
      <w:pPr>
        <w:spacing w:after="0" w:line="282" w:lineRule="exact"/>
        <w:rPr>
          <w:sz w:val="20"/>
          <w:szCs w:val="20"/>
          <w:color w:val="auto"/>
        </w:rPr>
      </w:pPr>
    </w:p>
    <w:p>
      <w:pPr>
        <w:jc w:val="right"/>
        <w:spacing w:after="0"/>
        <w:rPr>
          <w:sz w:val="20"/>
          <w:szCs w:val="20"/>
          <w:color w:val="auto"/>
        </w:rPr>
      </w:pPr>
      <w:r>
        <w:rPr>
          <w:rFonts w:ascii="Arial" w:cs="Arial" w:eastAsia="Arial" w:hAnsi="Arial"/>
          <w:sz w:val="14"/>
          <w:szCs w:val="14"/>
          <w:color w:val="34657F"/>
        </w:rPr>
        <w:t xml:space="preserve">NOTICE OF 2019 ANNUAL MEETING OF SHAREHOLDERS AND PROXY STATEMENT </w:t>
      </w:r>
      <w:r>
        <w:rPr>
          <w:rFonts w:ascii="Arial" w:cs="Arial" w:eastAsia="Arial" w:hAnsi="Arial"/>
          <w:sz w:val="14"/>
          <w:szCs w:val="14"/>
          <w:color w:val="000000"/>
        </w:rPr>
        <w:t>I 13</w:t>
      </w:r>
    </w:p>
    <w:p>
      <w:pPr>
        <w:sectPr>
          <w:pgSz w:w="11900" w:h="16838" w:orient="portrait"/>
          <w:cols w:equalWidth="0" w:num="1">
            <w:col w:w="11420"/>
          </w:cols>
          <w:pgMar w:left="240" w:top="671" w:right="239" w:bottom="1440" w:gutter="0" w:footer="0" w:header="0"/>
        </w:sectPr>
      </w:pPr>
    </w:p>
    <w:bookmarkStart w:id="19" w:name="page20"/>
    <w:bookmarkEnd w:id="19"/>
    <w:p>
      <w:pPr>
        <w:ind w:left="20"/>
        <w:spacing w:after="0"/>
        <w:rPr>
          <w:sz w:val="20"/>
          <w:szCs w:val="20"/>
          <w:color w:val="auto"/>
        </w:rPr>
      </w:pPr>
      <w:r>
        <w:rPr>
          <w:rFonts w:ascii="Arial" w:cs="Arial" w:eastAsia="Arial" w:hAnsi="Arial"/>
          <w:sz w:val="21"/>
          <w:szCs w:val="21"/>
          <w:b w:val="1"/>
          <w:bCs w:val="1"/>
          <w:color w:val="FFFFFF"/>
        </w:rPr>
        <w:drawing>
          <wp:anchor simplePos="0" relativeHeight="251657728" behindDoc="1" locked="0" layoutInCell="0" allowOverlap="1">
            <wp:simplePos x="0" y="0"/>
            <wp:positionH relativeFrom="page">
              <wp:posOffset>154305</wp:posOffset>
            </wp:positionH>
            <wp:positionV relativeFrom="page">
              <wp:posOffset>365760</wp:posOffset>
            </wp:positionV>
            <wp:extent cx="7253605" cy="45593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53605" cy="455930"/>
                    </a:xfrm>
                    <a:prstGeom prst="rect">
                      <a:avLst/>
                    </a:prstGeom>
                    <a:noFill/>
                  </pic:spPr>
                </pic:pic>
              </a:graphicData>
            </a:graphic>
          </wp:anchor>
        </w:drawing>
        <w:t>CORPORATE GOVERNANCE</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20"/>
        <w:spacing w:after="0"/>
        <w:rPr>
          <w:sz w:val="20"/>
          <w:szCs w:val="20"/>
          <w:color w:val="auto"/>
        </w:rPr>
      </w:pPr>
      <w:r>
        <w:rPr>
          <w:rFonts w:ascii="Arial" w:cs="Arial" w:eastAsia="Arial" w:hAnsi="Arial"/>
          <w:sz w:val="24"/>
          <w:szCs w:val="24"/>
          <w:b w:val="1"/>
          <w:bCs w:val="1"/>
          <w:color w:val="auto"/>
        </w:rPr>
        <w:t>Overview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38100</wp:posOffset>
            </wp:positionV>
            <wp:extent cx="7253605" cy="1651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53605" cy="165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184785</wp:posOffset>
            </wp:positionV>
            <wp:extent cx="7261860" cy="10502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61860" cy="1050290"/>
                    </a:xfrm>
                    <a:prstGeom prst="rect">
                      <a:avLst/>
                    </a:prstGeom>
                    <a:noFill/>
                  </pic:spPr>
                </pic:pic>
              </a:graphicData>
            </a:graphic>
          </wp:anchor>
        </w:drawing>
      </w:r>
    </w:p>
    <w:p>
      <w:pPr>
        <w:spacing w:after="0" w:line="293" w:lineRule="exact"/>
        <w:rPr>
          <w:sz w:val="20"/>
          <w:szCs w:val="20"/>
          <w:color w:val="auto"/>
        </w:rPr>
      </w:pPr>
    </w:p>
    <w:p>
      <w:pPr>
        <w:jc w:val="center"/>
        <w:ind w:right="-119"/>
        <w:spacing w:after="0"/>
        <w:rPr>
          <w:sz w:val="20"/>
          <w:szCs w:val="20"/>
          <w:color w:val="auto"/>
        </w:rPr>
      </w:pPr>
      <w:r>
        <w:rPr>
          <w:rFonts w:ascii="Arial" w:cs="Arial" w:eastAsia="Arial" w:hAnsi="Arial"/>
          <w:sz w:val="21"/>
          <w:szCs w:val="21"/>
          <w:color w:val="34657F"/>
        </w:rPr>
        <w:t>We are committed to maintaining high standards of corporate governance, aligned with our focus on sustainable</w:t>
      </w:r>
    </w:p>
    <w:p>
      <w:pPr>
        <w:jc w:val="center"/>
        <w:ind w:left="360"/>
        <w:spacing w:after="0" w:line="234" w:lineRule="auto"/>
        <w:rPr>
          <w:sz w:val="20"/>
          <w:szCs w:val="20"/>
          <w:color w:val="auto"/>
        </w:rPr>
      </w:pPr>
      <w:r>
        <w:rPr>
          <w:rFonts w:ascii="Arial" w:cs="Arial" w:eastAsia="Arial" w:hAnsi="Arial"/>
          <w:sz w:val="21"/>
          <w:szCs w:val="21"/>
          <w:color w:val="34657F"/>
        </w:rPr>
        <w:t>performance and profitable growth, and our core values of ethics and compliance. With strong oversight from the Board, our corporate governance regime is intended to promote the long-term success of our Company to benefit our shareholders, customers and employees.</w:t>
      </w:r>
    </w:p>
    <w:p>
      <w:pPr>
        <w:spacing w:after="0" w:line="152" w:lineRule="exact"/>
        <w:rPr>
          <w:sz w:val="20"/>
          <w:szCs w:val="20"/>
          <w:color w:val="auto"/>
        </w:rPr>
      </w:pPr>
    </w:p>
    <w:p>
      <w:pPr>
        <w:jc w:val="center"/>
        <w:ind w:left="360" w:right="680"/>
        <w:spacing w:after="0" w:line="259" w:lineRule="auto"/>
        <w:rPr>
          <w:sz w:val="20"/>
          <w:szCs w:val="20"/>
          <w:color w:val="auto"/>
        </w:rPr>
      </w:pPr>
      <w:r>
        <w:rPr>
          <w:rFonts w:ascii="Arial" w:cs="Arial" w:eastAsia="Arial" w:hAnsi="Arial"/>
          <w:sz w:val="21"/>
          <w:szCs w:val="21"/>
          <w:color w:val="34657F"/>
        </w:rPr>
        <w:t xml:space="preserve">Our Company has adopted </w:t>
      </w:r>
      <w:r>
        <w:rPr>
          <w:rFonts w:ascii="Arial" w:cs="Arial" w:eastAsia="Arial" w:hAnsi="Arial"/>
          <w:sz w:val="21"/>
          <w:szCs w:val="21"/>
          <w:b w:val="1"/>
          <w:bCs w:val="1"/>
          <w:color w:val="34657F"/>
        </w:rPr>
        <w:t>Principles of Corporate Governance</w:t>
      </w:r>
      <w:r>
        <w:rPr>
          <w:rFonts w:ascii="Arial" w:cs="Arial" w:eastAsia="Arial" w:hAnsi="Arial"/>
          <w:sz w:val="21"/>
          <w:szCs w:val="21"/>
          <w:color w:val="34657F"/>
        </w:rPr>
        <w:t xml:space="preserve"> and </w:t>
      </w:r>
      <w:r>
        <w:rPr>
          <w:rFonts w:ascii="Arial" w:cs="Arial" w:eastAsia="Arial" w:hAnsi="Arial"/>
          <w:sz w:val="21"/>
          <w:szCs w:val="21"/>
          <w:b w:val="1"/>
          <w:bCs w:val="1"/>
          <w:color w:val="34657F"/>
        </w:rPr>
        <w:t>Standards of Business Conduct</w:t>
      </w:r>
      <w:r>
        <w:rPr>
          <w:rFonts w:ascii="Arial" w:cs="Arial" w:eastAsia="Arial" w:hAnsi="Arial"/>
          <w:sz w:val="21"/>
          <w:szCs w:val="21"/>
          <w:color w:val="34657F"/>
        </w:rPr>
        <w:t xml:space="preserve"> to help guide and promote our good corporate governance and responsible business practices.</w:t>
      </w:r>
    </w:p>
    <w:p>
      <w:pPr>
        <w:spacing w:after="0" w:line="87"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Our Principles of Corporate Governance outline the role and responsibilities of our Board and the high standards our directors maintain. They set forth additional independence requirements for our directors and provide guidelines for Board leadership and Board and Committee membership, among other items. The Board reviews these principles at least annually and considers opportunities for improvement and modification.</w:t>
      </w:r>
    </w:p>
    <w:p>
      <w:pPr>
        <w:spacing w:after="0" w:line="64" w:lineRule="exact"/>
        <w:rPr>
          <w:sz w:val="20"/>
          <w:szCs w:val="20"/>
          <w:color w:val="auto"/>
        </w:rPr>
      </w:pPr>
    </w:p>
    <w:p>
      <w:pPr>
        <w:ind w:right="100"/>
        <w:spacing w:after="0" w:line="263" w:lineRule="auto"/>
        <w:rPr>
          <w:sz w:val="20"/>
          <w:szCs w:val="20"/>
          <w:color w:val="auto"/>
        </w:rPr>
      </w:pPr>
      <w:r>
        <w:rPr>
          <w:rFonts w:ascii="Arial" w:cs="Arial" w:eastAsia="Arial" w:hAnsi="Arial"/>
          <w:sz w:val="17"/>
          <w:szCs w:val="17"/>
          <w:color w:val="auto"/>
        </w:rPr>
        <w:t>Our Standards of Business Conduct reflect and reinforce our commitment to integrity and ethics in all we do. They apply to our directors, officers and all employees.</w:t>
      </w:r>
    </w:p>
    <w:p>
      <w:pPr>
        <w:spacing w:after="0" w:line="59" w:lineRule="exact"/>
        <w:rPr>
          <w:sz w:val="20"/>
          <w:szCs w:val="20"/>
          <w:color w:val="auto"/>
        </w:rPr>
      </w:pPr>
    </w:p>
    <w:p>
      <w:pPr>
        <w:spacing w:after="0"/>
        <w:rPr>
          <w:sz w:val="20"/>
          <w:szCs w:val="20"/>
          <w:color w:val="auto"/>
        </w:rPr>
      </w:pPr>
      <w:r>
        <w:rPr>
          <w:rFonts w:ascii="Arial" w:cs="Arial" w:eastAsia="Arial" w:hAnsi="Arial"/>
          <w:sz w:val="17"/>
          <w:szCs w:val="17"/>
          <w:color w:val="auto"/>
        </w:rPr>
        <w:t>Among other things, our Standards of Business Conduct:</w:t>
      </w:r>
    </w:p>
    <w:p>
      <w:pPr>
        <w:spacing w:after="0" w:line="75" w:lineRule="exact"/>
        <w:rPr>
          <w:sz w:val="20"/>
          <w:szCs w:val="20"/>
          <w:color w:val="auto"/>
        </w:rPr>
      </w:pPr>
    </w:p>
    <w:p>
      <w:pPr>
        <w:ind w:left="320" w:hanging="317"/>
        <w:spacing w:after="0"/>
        <w:tabs>
          <w:tab w:leader="none" w:pos="320" w:val="left"/>
        </w:tabs>
        <w:numPr>
          <w:ilvl w:val="0"/>
          <w:numId w:val="21"/>
        </w:numPr>
        <w:rPr>
          <w:rFonts w:ascii="Arial" w:cs="Arial" w:eastAsia="Arial" w:hAnsi="Arial"/>
          <w:sz w:val="21"/>
          <w:szCs w:val="21"/>
          <w:color w:val="34657F"/>
        </w:rPr>
      </w:pPr>
      <w:r>
        <w:rPr>
          <w:rFonts w:ascii="Arial" w:cs="Arial" w:eastAsia="Arial" w:hAnsi="Arial"/>
          <w:sz w:val="17"/>
          <w:szCs w:val="17"/>
          <w:color w:val="auto"/>
        </w:rPr>
        <w:t>require high ethical standards in all aspects of our business;</w:t>
      </w:r>
    </w:p>
    <w:p>
      <w:pPr>
        <w:spacing w:after="0" w:line="66" w:lineRule="exact"/>
        <w:rPr>
          <w:rFonts w:ascii="Arial" w:cs="Arial" w:eastAsia="Arial" w:hAnsi="Arial"/>
          <w:sz w:val="21"/>
          <w:szCs w:val="21"/>
          <w:color w:val="34657F"/>
        </w:rPr>
      </w:pPr>
    </w:p>
    <w:p>
      <w:pPr>
        <w:ind w:left="320" w:hanging="317"/>
        <w:spacing w:after="0"/>
        <w:tabs>
          <w:tab w:leader="none" w:pos="320" w:val="left"/>
        </w:tabs>
        <w:numPr>
          <w:ilvl w:val="0"/>
          <w:numId w:val="21"/>
        </w:numPr>
        <w:rPr>
          <w:rFonts w:ascii="Arial" w:cs="Arial" w:eastAsia="Arial" w:hAnsi="Arial"/>
          <w:sz w:val="21"/>
          <w:szCs w:val="21"/>
          <w:color w:val="34657F"/>
        </w:rPr>
      </w:pPr>
      <w:r>
        <w:rPr>
          <w:rFonts w:ascii="Arial" w:cs="Arial" w:eastAsia="Arial" w:hAnsi="Arial"/>
          <w:sz w:val="17"/>
          <w:szCs w:val="17"/>
          <w:color w:val="auto"/>
        </w:rPr>
        <w:t>require strict adherence to all applicable laws and regulations;</w:t>
      </w:r>
    </w:p>
    <w:p>
      <w:pPr>
        <w:spacing w:after="0" w:line="66" w:lineRule="exact"/>
        <w:rPr>
          <w:rFonts w:ascii="Arial" w:cs="Arial" w:eastAsia="Arial" w:hAnsi="Arial"/>
          <w:sz w:val="21"/>
          <w:szCs w:val="21"/>
          <w:color w:val="34657F"/>
        </w:rPr>
      </w:pPr>
    </w:p>
    <w:p>
      <w:pPr>
        <w:ind w:left="320" w:hanging="317"/>
        <w:spacing w:after="0"/>
        <w:tabs>
          <w:tab w:leader="none" w:pos="320" w:val="left"/>
        </w:tabs>
        <w:numPr>
          <w:ilvl w:val="0"/>
          <w:numId w:val="21"/>
        </w:numPr>
        <w:rPr>
          <w:rFonts w:ascii="Arial" w:cs="Arial" w:eastAsia="Arial" w:hAnsi="Arial"/>
          <w:sz w:val="21"/>
          <w:szCs w:val="21"/>
          <w:color w:val="34657F"/>
        </w:rPr>
      </w:pPr>
      <w:r>
        <w:rPr>
          <w:rFonts w:ascii="Arial" w:cs="Arial" w:eastAsia="Arial" w:hAnsi="Arial"/>
          <w:sz w:val="17"/>
          <w:szCs w:val="17"/>
          <w:color w:val="auto"/>
        </w:rPr>
        <w:t>reflect our commitment to maintaining a culture that values and promotes diversity and inclusion;</w:t>
      </w:r>
    </w:p>
    <w:p>
      <w:pPr>
        <w:spacing w:after="0" w:line="66" w:lineRule="exact"/>
        <w:rPr>
          <w:rFonts w:ascii="Arial" w:cs="Arial" w:eastAsia="Arial" w:hAnsi="Arial"/>
          <w:sz w:val="21"/>
          <w:szCs w:val="21"/>
          <w:color w:val="34657F"/>
        </w:rPr>
      </w:pPr>
    </w:p>
    <w:p>
      <w:pPr>
        <w:ind w:left="320" w:hanging="317"/>
        <w:spacing w:after="0"/>
        <w:tabs>
          <w:tab w:leader="none" w:pos="320" w:val="left"/>
        </w:tabs>
        <w:numPr>
          <w:ilvl w:val="0"/>
          <w:numId w:val="21"/>
        </w:numPr>
        <w:rPr>
          <w:rFonts w:ascii="Arial" w:cs="Arial" w:eastAsia="Arial" w:hAnsi="Arial"/>
          <w:sz w:val="21"/>
          <w:szCs w:val="21"/>
          <w:color w:val="34657F"/>
        </w:rPr>
      </w:pPr>
      <w:r>
        <w:rPr>
          <w:rFonts w:ascii="Arial" w:cs="Arial" w:eastAsia="Arial" w:hAnsi="Arial"/>
          <w:sz w:val="17"/>
          <w:szCs w:val="17"/>
          <w:color w:val="auto"/>
        </w:rPr>
        <w:t>reinforce our commitment to being a responsible corporate citizen;</w:t>
      </w:r>
    </w:p>
    <w:p>
      <w:pPr>
        <w:spacing w:after="0" w:line="66" w:lineRule="exact"/>
        <w:rPr>
          <w:rFonts w:ascii="Arial" w:cs="Arial" w:eastAsia="Arial" w:hAnsi="Arial"/>
          <w:sz w:val="21"/>
          <w:szCs w:val="21"/>
          <w:color w:val="34657F"/>
        </w:rPr>
      </w:pPr>
    </w:p>
    <w:p>
      <w:pPr>
        <w:ind w:left="320" w:hanging="317"/>
        <w:spacing w:after="0"/>
        <w:tabs>
          <w:tab w:leader="none" w:pos="320" w:val="left"/>
        </w:tabs>
        <w:numPr>
          <w:ilvl w:val="0"/>
          <w:numId w:val="21"/>
        </w:numPr>
        <w:rPr>
          <w:rFonts w:ascii="Arial" w:cs="Arial" w:eastAsia="Arial" w:hAnsi="Arial"/>
          <w:sz w:val="21"/>
          <w:szCs w:val="21"/>
          <w:color w:val="34657F"/>
        </w:rPr>
      </w:pPr>
      <w:r>
        <w:rPr>
          <w:rFonts w:ascii="Arial" w:cs="Arial" w:eastAsia="Arial" w:hAnsi="Arial"/>
          <w:sz w:val="17"/>
          <w:szCs w:val="17"/>
          <w:color w:val="auto"/>
        </w:rPr>
        <w:t>reflect our commitment to our work environment and the global communities where we live, work and serve;</w:t>
      </w:r>
    </w:p>
    <w:p>
      <w:pPr>
        <w:spacing w:after="0" w:line="66" w:lineRule="exact"/>
        <w:rPr>
          <w:rFonts w:ascii="Arial" w:cs="Arial" w:eastAsia="Arial" w:hAnsi="Arial"/>
          <w:sz w:val="21"/>
          <w:szCs w:val="21"/>
          <w:color w:val="34657F"/>
        </w:rPr>
      </w:pPr>
    </w:p>
    <w:p>
      <w:pPr>
        <w:ind w:left="320" w:hanging="317"/>
        <w:spacing w:after="0"/>
        <w:tabs>
          <w:tab w:leader="none" w:pos="320" w:val="left"/>
        </w:tabs>
        <w:numPr>
          <w:ilvl w:val="0"/>
          <w:numId w:val="21"/>
        </w:numPr>
        <w:rPr>
          <w:rFonts w:ascii="Arial" w:cs="Arial" w:eastAsia="Arial" w:hAnsi="Arial"/>
          <w:sz w:val="21"/>
          <w:szCs w:val="21"/>
          <w:color w:val="34657F"/>
        </w:rPr>
      </w:pPr>
      <w:r>
        <w:rPr>
          <w:rFonts w:ascii="Arial" w:cs="Arial" w:eastAsia="Arial" w:hAnsi="Arial"/>
          <w:sz w:val="17"/>
          <w:szCs w:val="17"/>
          <w:color w:val="auto"/>
        </w:rPr>
        <w:t>require the consistent production of quality results; and</w:t>
      </w:r>
    </w:p>
    <w:p>
      <w:pPr>
        <w:spacing w:after="0" w:line="103" w:lineRule="exact"/>
        <w:rPr>
          <w:rFonts w:ascii="Arial" w:cs="Arial" w:eastAsia="Arial" w:hAnsi="Arial"/>
          <w:sz w:val="21"/>
          <w:szCs w:val="21"/>
          <w:color w:val="34657F"/>
        </w:rPr>
      </w:pPr>
    </w:p>
    <w:p>
      <w:pPr>
        <w:ind w:right="3220" w:firstLine="3"/>
        <w:spacing w:after="0" w:line="301" w:lineRule="auto"/>
        <w:tabs>
          <w:tab w:leader="none" w:pos="308" w:val="left"/>
        </w:tabs>
        <w:numPr>
          <w:ilvl w:val="0"/>
          <w:numId w:val="21"/>
        </w:numPr>
        <w:rPr>
          <w:rFonts w:ascii="Arial" w:cs="Arial" w:eastAsia="Arial" w:hAnsi="Arial"/>
          <w:sz w:val="21"/>
          <w:szCs w:val="21"/>
          <w:color w:val="34657F"/>
        </w:rPr>
      </w:pPr>
      <w:r>
        <w:rPr>
          <w:rFonts w:ascii="Arial" w:cs="Arial" w:eastAsia="Arial" w:hAnsi="Arial"/>
          <w:sz w:val="17"/>
          <w:szCs w:val="17"/>
          <w:color w:val="auto"/>
        </w:rPr>
        <w:t>call upon all employees to raise any questions or issues of concern (including on an anonymous basis). We report amendments to provisions of our Standards of Business Conduct on our website.</w:t>
      </w:r>
    </w:p>
    <w:p>
      <w:pPr>
        <w:spacing w:after="0" w:line="129" w:lineRule="exact"/>
        <w:rPr>
          <w:sz w:val="20"/>
          <w:szCs w:val="20"/>
          <w:color w:val="auto"/>
        </w:rPr>
      </w:pPr>
    </w:p>
    <w:p>
      <w:pPr>
        <w:ind w:left="20"/>
        <w:spacing w:after="0"/>
        <w:rPr>
          <w:sz w:val="20"/>
          <w:szCs w:val="20"/>
          <w:color w:val="auto"/>
        </w:rPr>
      </w:pPr>
      <w:r>
        <w:rPr>
          <w:rFonts w:ascii="Arial" w:cs="Arial" w:eastAsia="Arial" w:hAnsi="Arial"/>
          <w:sz w:val="24"/>
          <w:szCs w:val="24"/>
          <w:b w:val="1"/>
          <w:bCs w:val="1"/>
          <w:color w:val="auto"/>
        </w:rPr>
        <w:t>Role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38100</wp:posOffset>
            </wp:positionV>
            <wp:extent cx="7253605" cy="1651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pacing w:after="0" w:line="142" w:lineRule="exact"/>
        <w:rPr>
          <w:sz w:val="20"/>
          <w:szCs w:val="20"/>
          <w:color w:val="auto"/>
        </w:rPr>
      </w:pPr>
    </w:p>
    <w:p>
      <w:pPr>
        <w:ind w:right="160"/>
        <w:spacing w:after="0" w:line="257" w:lineRule="auto"/>
        <w:rPr>
          <w:sz w:val="20"/>
          <w:szCs w:val="20"/>
          <w:color w:val="auto"/>
        </w:rPr>
      </w:pPr>
      <w:r>
        <w:rPr>
          <w:rFonts w:ascii="Arial" w:cs="Arial" w:eastAsia="Arial" w:hAnsi="Arial"/>
          <w:sz w:val="17"/>
          <w:szCs w:val="17"/>
          <w:color w:val="auto"/>
        </w:rPr>
        <w:t>The primary responsibility of our Board is to foster the long-term success of the Company, promoting the interests of our shareholders. Our directors exercise their business judgment in a manner they reasonably believe to be in the best interests of the Company and our shareholders and in a manner consistent with their fiduciary responsibilities. The responsibilities of the Board include, but are not limited to, the following:</w:t>
      </w:r>
    </w:p>
    <w:p>
      <w:pPr>
        <w:spacing w:after="0" w:line="53" w:lineRule="exact"/>
        <w:rPr>
          <w:sz w:val="20"/>
          <w:szCs w:val="20"/>
          <w:color w:val="auto"/>
        </w:rPr>
      </w:pPr>
    </w:p>
    <w:p>
      <w:pPr>
        <w:ind w:left="320" w:hanging="317"/>
        <w:spacing w:after="0"/>
        <w:tabs>
          <w:tab w:leader="none" w:pos="320" w:val="left"/>
        </w:tabs>
        <w:numPr>
          <w:ilvl w:val="0"/>
          <w:numId w:val="22"/>
        </w:numPr>
        <w:rPr>
          <w:rFonts w:ascii="Arial" w:cs="Arial" w:eastAsia="Arial" w:hAnsi="Arial"/>
          <w:sz w:val="21"/>
          <w:szCs w:val="21"/>
          <w:color w:val="34657F"/>
        </w:rPr>
      </w:pPr>
      <w:r>
        <w:rPr>
          <w:rFonts w:ascii="Arial" w:cs="Arial" w:eastAsia="Arial" w:hAnsi="Arial"/>
          <w:sz w:val="17"/>
          <w:szCs w:val="17"/>
          <w:color w:val="auto"/>
        </w:rPr>
        <w:t>oversee our long-term business strategies, operations and performance;</w:t>
      </w:r>
    </w:p>
    <w:p>
      <w:pPr>
        <w:spacing w:after="0" w:line="66" w:lineRule="exact"/>
        <w:rPr>
          <w:rFonts w:ascii="Arial" w:cs="Arial" w:eastAsia="Arial" w:hAnsi="Arial"/>
          <w:sz w:val="21"/>
          <w:szCs w:val="21"/>
          <w:color w:val="34657F"/>
        </w:rPr>
      </w:pPr>
    </w:p>
    <w:p>
      <w:pPr>
        <w:ind w:left="320" w:hanging="317"/>
        <w:spacing w:after="0"/>
        <w:tabs>
          <w:tab w:leader="none" w:pos="320" w:val="left"/>
        </w:tabs>
        <w:numPr>
          <w:ilvl w:val="0"/>
          <w:numId w:val="22"/>
        </w:numPr>
        <w:rPr>
          <w:rFonts w:ascii="Arial" w:cs="Arial" w:eastAsia="Arial" w:hAnsi="Arial"/>
          <w:sz w:val="21"/>
          <w:szCs w:val="21"/>
          <w:color w:val="34657F"/>
        </w:rPr>
      </w:pPr>
      <w:r>
        <w:rPr>
          <w:rFonts w:ascii="Arial" w:cs="Arial" w:eastAsia="Arial" w:hAnsi="Arial"/>
          <w:sz w:val="17"/>
          <w:szCs w:val="17"/>
          <w:color w:val="auto"/>
        </w:rPr>
        <w:t>execute robust succession planning; select the Chief Executive Officer and elect officers of the Company;</w:t>
      </w:r>
    </w:p>
    <w:p>
      <w:pPr>
        <w:spacing w:after="0" w:line="66" w:lineRule="exact"/>
        <w:rPr>
          <w:rFonts w:ascii="Arial" w:cs="Arial" w:eastAsia="Arial" w:hAnsi="Arial"/>
          <w:sz w:val="21"/>
          <w:szCs w:val="21"/>
          <w:color w:val="34657F"/>
        </w:rPr>
      </w:pPr>
    </w:p>
    <w:p>
      <w:pPr>
        <w:ind w:left="320" w:hanging="317"/>
        <w:spacing w:after="0"/>
        <w:tabs>
          <w:tab w:leader="none" w:pos="320" w:val="left"/>
        </w:tabs>
        <w:numPr>
          <w:ilvl w:val="0"/>
          <w:numId w:val="22"/>
        </w:numPr>
        <w:rPr>
          <w:rFonts w:ascii="Arial" w:cs="Arial" w:eastAsia="Arial" w:hAnsi="Arial"/>
          <w:sz w:val="21"/>
          <w:szCs w:val="21"/>
          <w:color w:val="34657F"/>
        </w:rPr>
      </w:pPr>
      <w:r>
        <w:rPr>
          <w:rFonts w:ascii="Arial" w:cs="Arial" w:eastAsia="Arial" w:hAnsi="Arial"/>
          <w:sz w:val="17"/>
          <w:szCs w:val="17"/>
          <w:color w:val="auto"/>
        </w:rPr>
        <w:t>oversee our major risks and risk management activities; including with regard to cyber and other security risks;</w:t>
      </w:r>
    </w:p>
    <w:p>
      <w:pPr>
        <w:spacing w:after="0" w:line="66" w:lineRule="exact"/>
        <w:rPr>
          <w:rFonts w:ascii="Arial" w:cs="Arial" w:eastAsia="Arial" w:hAnsi="Arial"/>
          <w:sz w:val="21"/>
          <w:szCs w:val="21"/>
          <w:color w:val="34657F"/>
        </w:rPr>
      </w:pPr>
    </w:p>
    <w:p>
      <w:pPr>
        <w:ind w:left="320" w:hanging="317"/>
        <w:spacing w:after="0"/>
        <w:tabs>
          <w:tab w:leader="none" w:pos="320" w:val="left"/>
        </w:tabs>
        <w:numPr>
          <w:ilvl w:val="0"/>
          <w:numId w:val="22"/>
        </w:numPr>
        <w:rPr>
          <w:rFonts w:ascii="Arial" w:cs="Arial" w:eastAsia="Arial" w:hAnsi="Arial"/>
          <w:sz w:val="21"/>
          <w:szCs w:val="21"/>
          <w:color w:val="34657F"/>
        </w:rPr>
      </w:pPr>
      <w:r>
        <w:rPr>
          <w:rFonts w:ascii="Arial" w:cs="Arial" w:eastAsia="Arial" w:hAnsi="Arial"/>
          <w:sz w:val="17"/>
          <w:szCs w:val="17"/>
          <w:color w:val="auto"/>
        </w:rPr>
        <w:t>oversee senior executive succession planning and our human capital strategy;</w:t>
      </w:r>
    </w:p>
    <w:p>
      <w:pPr>
        <w:spacing w:after="0" w:line="66" w:lineRule="exact"/>
        <w:rPr>
          <w:rFonts w:ascii="Arial" w:cs="Arial" w:eastAsia="Arial" w:hAnsi="Arial"/>
          <w:sz w:val="21"/>
          <w:szCs w:val="21"/>
          <w:color w:val="34657F"/>
        </w:rPr>
      </w:pPr>
    </w:p>
    <w:p>
      <w:pPr>
        <w:ind w:left="320" w:hanging="317"/>
        <w:spacing w:after="0"/>
        <w:tabs>
          <w:tab w:leader="none" w:pos="320" w:val="left"/>
        </w:tabs>
        <w:numPr>
          <w:ilvl w:val="0"/>
          <w:numId w:val="22"/>
        </w:numPr>
        <w:rPr>
          <w:rFonts w:ascii="Arial" w:cs="Arial" w:eastAsia="Arial" w:hAnsi="Arial"/>
          <w:sz w:val="21"/>
          <w:szCs w:val="21"/>
          <w:color w:val="34657F"/>
        </w:rPr>
      </w:pPr>
      <w:r>
        <w:rPr>
          <w:rFonts w:ascii="Arial" w:cs="Arial" w:eastAsia="Arial" w:hAnsi="Arial"/>
          <w:sz w:val="17"/>
          <w:szCs w:val="17"/>
          <w:color w:val="auto"/>
        </w:rPr>
        <w:t>ensure effective corporate governance practices;</w:t>
      </w:r>
    </w:p>
    <w:p>
      <w:pPr>
        <w:spacing w:after="0" w:line="66" w:lineRule="exact"/>
        <w:rPr>
          <w:rFonts w:ascii="Arial" w:cs="Arial" w:eastAsia="Arial" w:hAnsi="Arial"/>
          <w:sz w:val="21"/>
          <w:szCs w:val="21"/>
          <w:color w:val="34657F"/>
        </w:rPr>
      </w:pPr>
    </w:p>
    <w:p>
      <w:pPr>
        <w:ind w:left="320" w:hanging="317"/>
        <w:spacing w:after="0"/>
        <w:tabs>
          <w:tab w:leader="none" w:pos="320" w:val="left"/>
        </w:tabs>
        <w:numPr>
          <w:ilvl w:val="0"/>
          <w:numId w:val="22"/>
        </w:numPr>
        <w:rPr>
          <w:rFonts w:ascii="Arial" w:cs="Arial" w:eastAsia="Arial" w:hAnsi="Arial"/>
          <w:sz w:val="21"/>
          <w:szCs w:val="21"/>
          <w:color w:val="34657F"/>
        </w:rPr>
      </w:pPr>
      <w:r>
        <w:rPr>
          <w:rFonts w:ascii="Arial" w:cs="Arial" w:eastAsia="Arial" w:hAnsi="Arial"/>
          <w:sz w:val="17"/>
          <w:szCs w:val="17"/>
          <w:color w:val="auto"/>
        </w:rPr>
        <w:t>elect directors to fill vacant positions between Annual Meetings;</w:t>
      </w:r>
    </w:p>
    <w:p>
      <w:pPr>
        <w:spacing w:after="0" w:line="66" w:lineRule="exact"/>
        <w:rPr>
          <w:rFonts w:ascii="Arial" w:cs="Arial" w:eastAsia="Arial" w:hAnsi="Arial"/>
          <w:sz w:val="21"/>
          <w:szCs w:val="21"/>
          <w:color w:val="34657F"/>
        </w:rPr>
      </w:pPr>
    </w:p>
    <w:p>
      <w:pPr>
        <w:ind w:left="320" w:hanging="317"/>
        <w:spacing w:after="0"/>
        <w:tabs>
          <w:tab w:leader="none" w:pos="320" w:val="left"/>
        </w:tabs>
        <w:numPr>
          <w:ilvl w:val="0"/>
          <w:numId w:val="22"/>
        </w:numPr>
        <w:rPr>
          <w:rFonts w:ascii="Arial" w:cs="Arial" w:eastAsia="Arial" w:hAnsi="Arial"/>
          <w:sz w:val="21"/>
          <w:szCs w:val="21"/>
          <w:color w:val="34657F"/>
        </w:rPr>
      </w:pPr>
      <w:r>
        <w:rPr>
          <w:rFonts w:ascii="Arial" w:cs="Arial" w:eastAsia="Arial" w:hAnsi="Arial"/>
          <w:sz w:val="17"/>
          <w:szCs w:val="17"/>
          <w:color w:val="auto"/>
        </w:rPr>
        <w:t>review and approve executive compensation;</w:t>
      </w:r>
    </w:p>
    <w:p>
      <w:pPr>
        <w:spacing w:after="0" w:line="66" w:lineRule="exact"/>
        <w:rPr>
          <w:rFonts w:ascii="Arial" w:cs="Arial" w:eastAsia="Arial" w:hAnsi="Arial"/>
          <w:sz w:val="21"/>
          <w:szCs w:val="21"/>
          <w:color w:val="34657F"/>
        </w:rPr>
      </w:pPr>
    </w:p>
    <w:p>
      <w:pPr>
        <w:ind w:left="320" w:hanging="317"/>
        <w:spacing w:after="0"/>
        <w:tabs>
          <w:tab w:leader="none" w:pos="320" w:val="left"/>
        </w:tabs>
        <w:numPr>
          <w:ilvl w:val="0"/>
          <w:numId w:val="22"/>
        </w:numPr>
        <w:rPr>
          <w:rFonts w:ascii="Arial" w:cs="Arial" w:eastAsia="Arial" w:hAnsi="Arial"/>
          <w:sz w:val="21"/>
          <w:szCs w:val="21"/>
          <w:color w:val="34657F"/>
        </w:rPr>
      </w:pPr>
      <w:r>
        <w:rPr>
          <w:rFonts w:ascii="Arial" w:cs="Arial" w:eastAsia="Arial" w:hAnsi="Arial"/>
          <w:sz w:val="17"/>
          <w:szCs w:val="17"/>
          <w:color w:val="auto"/>
        </w:rPr>
        <w:t>review and approve significant corporate actions;</w:t>
      </w:r>
    </w:p>
    <w:p>
      <w:pPr>
        <w:spacing w:after="0" w:line="66" w:lineRule="exact"/>
        <w:rPr>
          <w:rFonts w:ascii="Arial" w:cs="Arial" w:eastAsia="Arial" w:hAnsi="Arial"/>
          <w:sz w:val="21"/>
          <w:szCs w:val="21"/>
          <w:color w:val="34657F"/>
        </w:rPr>
      </w:pPr>
    </w:p>
    <w:p>
      <w:pPr>
        <w:ind w:left="320" w:hanging="317"/>
        <w:spacing w:after="0"/>
        <w:tabs>
          <w:tab w:leader="none" w:pos="320" w:val="left"/>
        </w:tabs>
        <w:numPr>
          <w:ilvl w:val="0"/>
          <w:numId w:val="22"/>
        </w:numPr>
        <w:rPr>
          <w:rFonts w:ascii="Arial" w:cs="Arial" w:eastAsia="Arial" w:hAnsi="Arial"/>
          <w:sz w:val="21"/>
          <w:szCs w:val="21"/>
          <w:color w:val="34657F"/>
        </w:rPr>
      </w:pPr>
      <w:r>
        <w:rPr>
          <w:rFonts w:ascii="Arial" w:cs="Arial" w:eastAsia="Arial" w:hAnsi="Arial"/>
          <w:sz w:val="17"/>
          <w:szCs w:val="17"/>
          <w:color w:val="auto"/>
        </w:rPr>
        <w:t>oversee and evaluate management and Board performance;</w:t>
      </w:r>
    </w:p>
    <w:p>
      <w:pPr>
        <w:spacing w:after="0" w:line="66" w:lineRule="exact"/>
        <w:rPr>
          <w:rFonts w:ascii="Arial" w:cs="Arial" w:eastAsia="Arial" w:hAnsi="Arial"/>
          <w:sz w:val="21"/>
          <w:szCs w:val="21"/>
          <w:color w:val="34657F"/>
        </w:rPr>
      </w:pPr>
    </w:p>
    <w:p>
      <w:pPr>
        <w:ind w:left="320" w:hanging="317"/>
        <w:spacing w:after="0"/>
        <w:tabs>
          <w:tab w:leader="none" w:pos="320" w:val="left"/>
        </w:tabs>
        <w:numPr>
          <w:ilvl w:val="0"/>
          <w:numId w:val="22"/>
        </w:numPr>
        <w:rPr>
          <w:rFonts w:ascii="Arial" w:cs="Arial" w:eastAsia="Arial" w:hAnsi="Arial"/>
          <w:sz w:val="21"/>
          <w:szCs w:val="21"/>
          <w:color w:val="34657F"/>
        </w:rPr>
      </w:pPr>
      <w:r>
        <w:rPr>
          <w:rFonts w:ascii="Arial" w:cs="Arial" w:eastAsia="Arial" w:hAnsi="Arial"/>
          <w:sz w:val="17"/>
          <w:szCs w:val="17"/>
          <w:color w:val="auto"/>
        </w:rPr>
        <w:t>oversee our ethics and compliance programs;</w:t>
      </w:r>
    </w:p>
    <w:p>
      <w:pPr>
        <w:spacing w:after="0" w:line="66" w:lineRule="exact"/>
        <w:rPr>
          <w:rFonts w:ascii="Arial" w:cs="Arial" w:eastAsia="Arial" w:hAnsi="Arial"/>
          <w:sz w:val="21"/>
          <w:szCs w:val="21"/>
          <w:color w:val="34657F"/>
        </w:rPr>
      </w:pPr>
    </w:p>
    <w:p>
      <w:pPr>
        <w:ind w:left="320" w:hanging="317"/>
        <w:spacing w:after="0"/>
        <w:tabs>
          <w:tab w:leader="none" w:pos="320" w:val="left"/>
        </w:tabs>
        <w:numPr>
          <w:ilvl w:val="0"/>
          <w:numId w:val="22"/>
        </w:numPr>
        <w:rPr>
          <w:rFonts w:ascii="Arial" w:cs="Arial" w:eastAsia="Arial" w:hAnsi="Arial"/>
          <w:sz w:val="21"/>
          <w:szCs w:val="21"/>
          <w:color w:val="34657F"/>
        </w:rPr>
      </w:pPr>
      <w:r>
        <w:rPr>
          <w:rFonts w:ascii="Arial" w:cs="Arial" w:eastAsia="Arial" w:hAnsi="Arial"/>
          <w:sz w:val="17"/>
          <w:szCs w:val="17"/>
          <w:color w:val="auto"/>
        </w:rPr>
        <w:t>oversee our diversity and inclusion programs; and</w:t>
      </w:r>
    </w:p>
    <w:p>
      <w:pPr>
        <w:spacing w:after="0" w:line="66" w:lineRule="exact"/>
        <w:rPr>
          <w:rFonts w:ascii="Arial" w:cs="Arial" w:eastAsia="Arial" w:hAnsi="Arial"/>
          <w:sz w:val="21"/>
          <w:szCs w:val="21"/>
          <w:color w:val="34657F"/>
        </w:rPr>
      </w:pPr>
    </w:p>
    <w:p>
      <w:pPr>
        <w:ind w:left="320" w:hanging="317"/>
        <w:spacing w:after="0"/>
        <w:tabs>
          <w:tab w:leader="none" w:pos="320" w:val="left"/>
        </w:tabs>
        <w:numPr>
          <w:ilvl w:val="0"/>
          <w:numId w:val="22"/>
        </w:numPr>
        <w:rPr>
          <w:rFonts w:ascii="Arial" w:cs="Arial" w:eastAsia="Arial" w:hAnsi="Arial"/>
          <w:sz w:val="21"/>
          <w:szCs w:val="21"/>
          <w:color w:val="34657F"/>
        </w:rPr>
      </w:pPr>
      <w:r>
        <w:rPr>
          <w:rFonts w:ascii="Arial" w:cs="Arial" w:eastAsia="Arial" w:hAnsi="Arial"/>
          <w:sz w:val="17"/>
          <w:szCs w:val="17"/>
          <w:color w:val="auto"/>
        </w:rPr>
        <w:t>provide advice to management.</w:t>
      </w:r>
    </w:p>
    <w:p>
      <w:pPr>
        <w:spacing w:after="0" w:line="308"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14 </w:t>
      </w:r>
      <w:r>
        <w:rPr>
          <w:rFonts w:ascii="Arial" w:cs="Arial" w:eastAsia="Arial" w:hAnsi="Arial"/>
          <w:sz w:val="13"/>
          <w:szCs w:val="13"/>
          <w:color w:val="auto"/>
        </w:rPr>
        <w:t>I</w:t>
      </w:r>
      <w:r>
        <w:rPr>
          <w:rFonts w:ascii="Arial" w:cs="Arial" w:eastAsia="Arial" w:hAnsi="Arial"/>
          <w:sz w:val="17"/>
          <w:szCs w:val="17"/>
          <w:color w:val="auto"/>
        </w:rPr>
        <w:t xml:space="preserve"> </w:t>
      </w:r>
      <w:r>
        <w:rPr>
          <w:rFonts w:ascii="Arial" w:cs="Arial" w:eastAsia="Arial" w:hAnsi="Arial"/>
          <w:sz w:val="13"/>
          <w:szCs w:val="13"/>
          <w:color w:val="34657F"/>
        </w:rPr>
        <w:t>NOTICE OF 2019 ANNUAL MEETING OF SHAREHOLDERS AND PROXY STATEMENT</w:t>
      </w:r>
    </w:p>
    <w:p>
      <w:pPr>
        <w:sectPr>
          <w:pgSz w:w="11900" w:h="16838" w:orient="portrait"/>
          <w:cols w:equalWidth="0" w:num="1">
            <w:col w:w="11320"/>
          </w:cols>
          <w:pgMar w:left="240" w:top="671" w:right="339" w:bottom="1440" w:gutter="0" w:footer="0" w:header="0"/>
        </w:sectPr>
      </w:pPr>
    </w:p>
    <w:bookmarkStart w:id="20" w:name="page21"/>
    <w:bookmarkEnd w:id="20"/>
    <w:p>
      <w:pPr>
        <w:ind w:left="20"/>
        <w:spacing w:after="0"/>
        <w:rPr>
          <w:sz w:val="20"/>
          <w:szCs w:val="20"/>
          <w:color w:val="auto"/>
        </w:rPr>
      </w:pPr>
      <w:r>
        <w:rPr>
          <w:rFonts w:ascii="Arial" w:cs="Arial" w:eastAsia="Arial" w:hAnsi="Arial"/>
          <w:sz w:val="21"/>
          <w:szCs w:val="21"/>
          <w:b w:val="1"/>
          <w:bCs w:val="1"/>
          <w:color w:val="FFFFFF"/>
          <w:shd w:val="clear" w:color="auto" w:fill="34657F"/>
        </w:rPr>
        <w:drawing>
          <wp:anchor simplePos="0" relativeHeight="251657728" behindDoc="1" locked="0" layoutInCell="0" allowOverlap="1">
            <wp:simplePos x="0" y="0"/>
            <wp:positionH relativeFrom="page">
              <wp:posOffset>154305</wp:posOffset>
            </wp:positionH>
            <wp:positionV relativeFrom="page">
              <wp:posOffset>349250</wp:posOffset>
            </wp:positionV>
            <wp:extent cx="7253605" cy="58610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53605" cy="586105"/>
                    </a:xfrm>
                    <a:prstGeom prst="rect">
                      <a:avLst/>
                    </a:prstGeom>
                    <a:noFill/>
                  </pic:spPr>
                </pic:pic>
              </a:graphicData>
            </a:graphic>
          </wp:anchor>
        </w:drawing>
        <w:t>CORPORATE GOVERNANCE</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Board's Role in Risk Oversight</w:t>
      </w:r>
    </w:p>
    <w:p>
      <w:pPr>
        <w:spacing w:after="0" w:line="103" w:lineRule="exact"/>
        <w:rPr>
          <w:sz w:val="20"/>
          <w:szCs w:val="20"/>
          <w:color w:val="auto"/>
        </w:rPr>
      </w:pPr>
    </w:p>
    <w:p>
      <w:pPr>
        <w:ind w:right="20"/>
        <w:spacing w:after="0" w:line="263" w:lineRule="auto"/>
        <w:rPr>
          <w:sz w:val="20"/>
          <w:szCs w:val="20"/>
          <w:color w:val="auto"/>
        </w:rPr>
      </w:pPr>
      <w:r>
        <w:rPr>
          <w:rFonts w:ascii="Arial" w:cs="Arial" w:eastAsia="Arial" w:hAnsi="Arial"/>
          <w:sz w:val="17"/>
          <w:szCs w:val="17"/>
          <w:color w:val="auto"/>
        </w:rPr>
        <w:t>As noted above, the Board is responsible for overseeing our risk management activities, among other duties. Each of our Board committees assists the Board in this role.</w:t>
      </w:r>
    </w:p>
    <w:p>
      <w:pPr>
        <w:spacing w:after="0" w:line="84" w:lineRule="exact"/>
        <w:rPr>
          <w:sz w:val="20"/>
          <w:szCs w:val="20"/>
          <w:color w:val="auto"/>
        </w:rPr>
      </w:pPr>
    </w:p>
    <w:p>
      <w:pPr>
        <w:ind w:left="320" w:right="40" w:hanging="317"/>
        <w:spacing w:after="0" w:line="287" w:lineRule="auto"/>
        <w:tabs>
          <w:tab w:leader="none" w:pos="320" w:val="left"/>
        </w:tabs>
        <w:numPr>
          <w:ilvl w:val="0"/>
          <w:numId w:val="23"/>
        </w:numPr>
        <w:rPr>
          <w:rFonts w:ascii="Arial" w:cs="Arial" w:eastAsia="Arial" w:hAnsi="Arial"/>
          <w:sz w:val="21"/>
          <w:szCs w:val="21"/>
          <w:color w:val="34657F"/>
        </w:rPr>
      </w:pPr>
      <w:r>
        <w:rPr>
          <w:rFonts w:ascii="Arial" w:cs="Arial" w:eastAsia="Arial" w:hAnsi="Arial"/>
          <w:sz w:val="17"/>
          <w:szCs w:val="17"/>
          <w:color w:val="auto"/>
        </w:rPr>
        <w:t>The Audit Committee focuses on risks that could impact our financial performance. The Audit Committee periodically receives a report from the Chief Financial Officer and members of the Finance Department addressing our financial risk management processes, systems and internal controls, the nature of the material financial risks the Company faces and how the Company responds to and mitigates these risks. The Audit Committee periodically receives a report from our General Counsel on legal and other compliance risks and how the Company is addressing and mitigating those risks. The Audit Committee receives an annual report from our Chief Compliance Officer on the Company's compliance program overall. The Audit Committee also receives quarterly reports from the Vice President, Global Corporate Responsibility on trends in ethics reporting.</w:t>
      </w:r>
    </w:p>
    <w:p>
      <w:pPr>
        <w:spacing w:after="0" w:line="80" w:lineRule="exact"/>
        <w:rPr>
          <w:rFonts w:ascii="Arial" w:cs="Arial" w:eastAsia="Arial" w:hAnsi="Arial"/>
          <w:sz w:val="21"/>
          <w:szCs w:val="21"/>
          <w:color w:val="34657F"/>
        </w:rPr>
      </w:pPr>
    </w:p>
    <w:p>
      <w:pPr>
        <w:ind w:left="320" w:right="600" w:hanging="317"/>
        <w:spacing w:after="0" w:line="253" w:lineRule="auto"/>
        <w:tabs>
          <w:tab w:leader="none" w:pos="320" w:val="left"/>
        </w:tabs>
        <w:numPr>
          <w:ilvl w:val="0"/>
          <w:numId w:val="23"/>
        </w:numPr>
        <w:rPr>
          <w:rFonts w:ascii="Arial" w:cs="Arial" w:eastAsia="Arial" w:hAnsi="Arial"/>
          <w:sz w:val="21"/>
          <w:szCs w:val="21"/>
          <w:color w:val="34657F"/>
        </w:rPr>
      </w:pPr>
      <w:r>
        <w:rPr>
          <w:rFonts w:ascii="Arial" w:cs="Arial" w:eastAsia="Arial" w:hAnsi="Arial"/>
          <w:sz w:val="17"/>
          <w:szCs w:val="17"/>
          <w:color w:val="auto"/>
        </w:rPr>
        <w:t>The Compensation Committee reviews at least annually a risk assessment of the Company's compensation programs and, together with its independent compensation consultant, evaluates the mix of at-risk compensation linked to stock appreciation.</w:t>
      </w:r>
    </w:p>
    <w:p>
      <w:pPr>
        <w:spacing w:after="0" w:line="103" w:lineRule="exact"/>
        <w:rPr>
          <w:rFonts w:ascii="Arial" w:cs="Arial" w:eastAsia="Arial" w:hAnsi="Arial"/>
          <w:sz w:val="21"/>
          <w:szCs w:val="21"/>
          <w:color w:val="34657F"/>
        </w:rPr>
      </w:pPr>
    </w:p>
    <w:p>
      <w:pPr>
        <w:ind w:left="320" w:right="380" w:hanging="317"/>
        <w:spacing w:after="0" w:line="272" w:lineRule="auto"/>
        <w:tabs>
          <w:tab w:leader="none" w:pos="320" w:val="left"/>
        </w:tabs>
        <w:numPr>
          <w:ilvl w:val="0"/>
          <w:numId w:val="23"/>
        </w:numPr>
        <w:rPr>
          <w:rFonts w:ascii="Arial" w:cs="Arial" w:eastAsia="Arial" w:hAnsi="Arial"/>
          <w:sz w:val="21"/>
          <w:szCs w:val="21"/>
          <w:color w:val="34657F"/>
        </w:rPr>
      </w:pPr>
      <w:r>
        <w:rPr>
          <w:rFonts w:ascii="Arial" w:cs="Arial" w:eastAsia="Arial" w:hAnsi="Arial"/>
          <w:sz w:val="17"/>
          <w:szCs w:val="17"/>
          <w:color w:val="auto"/>
        </w:rPr>
        <w:t>The Policy Committee assists the Board in identifying and evaluating global security, political, public relations, environmental sustainability and budgetary issues and trends that could impact the Company's business. The Policy Committee periodically receives a report from the Vice President, Global Corporate Responsibility on the Company’s ethics and corporate responsibility programs.</w:t>
      </w:r>
    </w:p>
    <w:p>
      <w:pPr>
        <w:spacing w:after="0" w:line="90" w:lineRule="exact"/>
        <w:rPr>
          <w:rFonts w:ascii="Arial" w:cs="Arial" w:eastAsia="Arial" w:hAnsi="Arial"/>
          <w:sz w:val="21"/>
          <w:szCs w:val="21"/>
          <w:color w:val="34657F"/>
        </w:rPr>
      </w:pPr>
    </w:p>
    <w:p>
      <w:pPr>
        <w:ind w:left="320" w:right="220" w:hanging="317"/>
        <w:spacing w:after="0" w:line="253" w:lineRule="auto"/>
        <w:tabs>
          <w:tab w:leader="none" w:pos="320" w:val="left"/>
        </w:tabs>
        <w:numPr>
          <w:ilvl w:val="0"/>
          <w:numId w:val="23"/>
        </w:numPr>
        <w:rPr>
          <w:rFonts w:ascii="Arial" w:cs="Arial" w:eastAsia="Arial" w:hAnsi="Arial"/>
          <w:sz w:val="21"/>
          <w:szCs w:val="21"/>
          <w:color w:val="34657F"/>
        </w:rPr>
      </w:pPr>
      <w:r>
        <w:rPr>
          <w:rFonts w:ascii="Arial" w:cs="Arial" w:eastAsia="Arial" w:hAnsi="Arial"/>
          <w:sz w:val="17"/>
          <w:szCs w:val="17"/>
          <w:color w:val="auto"/>
        </w:rPr>
        <w:t>The Governance Committee regularly reviews the Company's policies and practices on issues of corporate governance, and considers issues of succession and composition of the Board, recommending proposed changes to the full Board for approval.</w:t>
      </w:r>
    </w:p>
    <w:p>
      <w:pPr>
        <w:spacing w:after="0" w:line="78" w:lineRule="exact"/>
        <w:rPr>
          <w:sz w:val="20"/>
          <w:szCs w:val="20"/>
          <w:color w:val="auto"/>
        </w:rPr>
      </w:pPr>
    </w:p>
    <w:p>
      <w:pPr>
        <w:ind w:right="180"/>
        <w:spacing w:after="0" w:line="254" w:lineRule="auto"/>
        <w:rPr>
          <w:sz w:val="20"/>
          <w:szCs w:val="20"/>
          <w:color w:val="auto"/>
        </w:rPr>
      </w:pPr>
      <w:r>
        <w:rPr>
          <w:rFonts w:ascii="Arial" w:cs="Arial" w:eastAsia="Arial" w:hAnsi="Arial"/>
          <w:sz w:val="17"/>
          <w:szCs w:val="17"/>
          <w:color w:val="auto"/>
        </w:rPr>
        <w:t>The Board and its Committees provide oversight of the Company's risk management processes, including the Enterprise Risk Management Council (ERMC). The ERMC is comprised of all members of the Corporate Policy Council, the Chief Accounting Officer, Chief Compliance Officer, Corporate Secretary, head of Internal Audit and Treasurer. The ERMC seeks to ensure that the Company has identified the most significant risks and implemented effective mitigation plans for each. The full Board has responsibility for oversight of cyber and other security risks, and receives periodic briefings from our Vice President and Chief Information Security Officer.</w:t>
      </w:r>
    </w:p>
    <w:p>
      <w:pPr>
        <w:spacing w:after="0" w:line="194" w:lineRule="exact"/>
        <w:rPr>
          <w:sz w:val="20"/>
          <w:szCs w:val="20"/>
          <w:color w:val="auto"/>
        </w:rPr>
      </w:pPr>
    </w:p>
    <w:p>
      <w:pPr>
        <w:ind w:left="20"/>
        <w:spacing w:after="0"/>
        <w:rPr>
          <w:sz w:val="20"/>
          <w:szCs w:val="20"/>
          <w:color w:val="auto"/>
        </w:rPr>
      </w:pPr>
      <w:r>
        <w:rPr>
          <w:rFonts w:ascii="Arial" w:cs="Arial" w:eastAsia="Arial" w:hAnsi="Arial"/>
          <w:sz w:val="24"/>
          <w:szCs w:val="24"/>
          <w:b w:val="1"/>
          <w:bCs w:val="1"/>
          <w:color w:val="auto"/>
        </w:rPr>
        <w:t>Board Leadership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38100</wp:posOffset>
            </wp:positionV>
            <wp:extent cx="7253605" cy="1651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pacing w:after="0" w:line="11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Chairperson of the Board</w:t>
      </w:r>
    </w:p>
    <w:p>
      <w:pPr>
        <w:spacing w:after="0" w:line="103" w:lineRule="exact"/>
        <w:rPr>
          <w:sz w:val="20"/>
          <w:szCs w:val="20"/>
          <w:color w:val="auto"/>
        </w:rPr>
      </w:pPr>
    </w:p>
    <w:p>
      <w:pPr>
        <w:ind w:right="200"/>
        <w:spacing w:after="0" w:line="255" w:lineRule="auto"/>
        <w:rPr>
          <w:sz w:val="20"/>
          <w:szCs w:val="20"/>
          <w:color w:val="auto"/>
        </w:rPr>
      </w:pPr>
      <w:r>
        <w:rPr>
          <w:rFonts w:ascii="Arial" w:cs="Arial" w:eastAsia="Arial" w:hAnsi="Arial"/>
          <w:sz w:val="17"/>
          <w:szCs w:val="17"/>
          <w:color w:val="auto"/>
        </w:rPr>
        <w:t>Our Bylaws provide that our directors will designate a Chairperson of the Board from among its members. The Chairperson presides at all Board and shareholder meetings. The Chairperson interacts directly with all members of the Board and assists the Board to fulfill its responsibilities. As the Principles of Corporate Governance provide, the Board believes it is in the best interests of the Company and the shareholders for the Board to have flexibility to determine the best director to serve as Chairperson of the Board at the time, based on consideration of all relevant factors.</w:t>
      </w:r>
    </w:p>
    <w:p>
      <w:pPr>
        <w:spacing w:after="0" w:line="67" w:lineRule="exact"/>
        <w:rPr>
          <w:sz w:val="20"/>
          <w:szCs w:val="20"/>
          <w:color w:val="auto"/>
        </w:rPr>
      </w:pPr>
    </w:p>
    <w:p>
      <w:pPr>
        <w:ind w:right="100"/>
        <w:spacing w:after="0" w:line="253" w:lineRule="auto"/>
        <w:rPr>
          <w:sz w:val="20"/>
          <w:szCs w:val="20"/>
          <w:color w:val="auto"/>
        </w:rPr>
      </w:pPr>
      <w:r>
        <w:rPr>
          <w:rFonts w:ascii="Arial" w:cs="Arial" w:eastAsia="Arial" w:hAnsi="Arial"/>
          <w:sz w:val="17"/>
          <w:szCs w:val="17"/>
          <w:color w:val="auto"/>
        </w:rPr>
        <w:t>Following our 2018 Annual Meeting the Board reviewed its leadership structure and determined that the appropriate leadership structure at the time was for Mr. Bush, who was then our Chief Executive Officer, to continue to serve as Chairman. The Board concluded that having our Chief Executive Officer serve as Chairman was an appropriate leadership structure for the Company and best positioned the Company to be innovative, compete successfully, present one face to our customer and advance shareholder interests in today's environment. The Board continues to believe that Mr. Bush's deep understanding of the Company's business, day-to-day operations, growth opportunities, challenges and risk management practices gained through various leadership positions enables him to provide strong and effective leadership to the Board and to ensure that the Board is informed of important issues facing the Company. The Board consists entirely of independent directors, other than Mr. Bush and Ms. Warden, and continues to exercise a strong, independent oversight function, with fully independent Board Committees and a strong Lead Independent Director with clearly articulated responsibilities.</w:t>
      </w:r>
    </w:p>
    <w:p>
      <w:pPr>
        <w:spacing w:after="0" w:line="68" w:lineRule="exact"/>
        <w:rPr>
          <w:sz w:val="20"/>
          <w:szCs w:val="20"/>
          <w:color w:val="auto"/>
        </w:rPr>
      </w:pPr>
    </w:p>
    <w:p>
      <w:pPr>
        <w:ind w:right="60"/>
        <w:spacing w:after="0" w:line="254" w:lineRule="auto"/>
        <w:rPr>
          <w:sz w:val="20"/>
          <w:szCs w:val="20"/>
          <w:color w:val="auto"/>
        </w:rPr>
      </w:pPr>
      <w:r>
        <w:rPr>
          <w:rFonts w:ascii="Arial" w:cs="Arial" w:eastAsia="Arial" w:hAnsi="Arial"/>
          <w:sz w:val="17"/>
          <w:szCs w:val="17"/>
          <w:color w:val="auto"/>
        </w:rPr>
        <w:t>In July 2018, the Board elected Ms. Warden to the position of Chief Executive Officer and President, effective January 1, 2019, and elected Ms. Warden to the Board, effective July 12, 2018. The Board determined that Mr. Bush should continue as Chairman of the Board through July 2019, when he will retire from the Company. As required by the Company's Principles of Corporate Governance, Mr. Bush has stated his intent to submit his resignation to the Board of Directors effective upon his retirement from the Company. The Board will continue to review and discuss the leadership structure of the Board and determine the leadership structure, including the Chairperson, that continues best to meet the needs of the Company.</w:t>
      </w:r>
    </w:p>
    <w:p>
      <w:pPr>
        <w:spacing w:after="0" w:line="304" w:lineRule="exact"/>
        <w:rPr>
          <w:sz w:val="20"/>
          <w:szCs w:val="20"/>
          <w:color w:val="auto"/>
        </w:rPr>
      </w:pPr>
    </w:p>
    <w:p>
      <w:pPr>
        <w:jc w:val="right"/>
        <w:spacing w:after="0"/>
        <w:rPr>
          <w:sz w:val="20"/>
          <w:szCs w:val="20"/>
          <w:color w:val="auto"/>
        </w:rPr>
      </w:pPr>
      <w:r>
        <w:rPr>
          <w:rFonts w:ascii="Arial" w:cs="Arial" w:eastAsia="Arial" w:hAnsi="Arial"/>
          <w:sz w:val="14"/>
          <w:szCs w:val="14"/>
          <w:color w:val="34657F"/>
        </w:rPr>
        <w:t xml:space="preserve">NOTICE OF 2019 ANNUAL MEETING OF SHAREHOLDERS AND PROXY STATEMENT </w:t>
      </w:r>
      <w:r>
        <w:rPr>
          <w:rFonts w:ascii="Arial" w:cs="Arial" w:eastAsia="Arial" w:hAnsi="Arial"/>
          <w:sz w:val="14"/>
          <w:szCs w:val="14"/>
          <w:color w:val="000000"/>
        </w:rPr>
        <w:t>I 15</w:t>
      </w:r>
    </w:p>
    <w:p>
      <w:pPr>
        <w:sectPr>
          <w:pgSz w:w="11900" w:h="16838" w:orient="portrait"/>
          <w:cols w:equalWidth="0" w:num="1">
            <w:col w:w="11420"/>
          </w:cols>
          <w:pgMar w:left="240" w:top="646" w:right="239" w:bottom="1440" w:gutter="0" w:footer="0" w:header="0"/>
        </w:sectPr>
      </w:pPr>
    </w:p>
    <w:bookmarkStart w:id="21" w:name="page22"/>
    <w:bookmarkEnd w:id="21"/>
    <w:p>
      <w:pPr>
        <w:ind w:left="20"/>
        <w:spacing w:after="0"/>
        <w:rPr>
          <w:sz w:val="20"/>
          <w:szCs w:val="20"/>
          <w:color w:val="auto"/>
        </w:rPr>
      </w:pPr>
      <w:r>
        <w:rPr>
          <w:rFonts w:ascii="Arial" w:cs="Arial" w:eastAsia="Arial" w:hAnsi="Arial"/>
          <w:sz w:val="21"/>
          <w:szCs w:val="21"/>
          <w:b w:val="1"/>
          <w:bCs w:val="1"/>
          <w:color w:val="FFFFFF"/>
          <w:shd w:val="clear" w:color="auto" w:fill="34657F"/>
        </w:rPr>
        <w:drawing>
          <wp:anchor simplePos="0" relativeHeight="251657728" behindDoc="1" locked="0" layoutInCell="0" allowOverlap="1">
            <wp:simplePos x="0" y="0"/>
            <wp:positionH relativeFrom="page">
              <wp:posOffset>154305</wp:posOffset>
            </wp:positionH>
            <wp:positionV relativeFrom="page">
              <wp:posOffset>349250</wp:posOffset>
            </wp:positionV>
            <wp:extent cx="7253605" cy="58610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53605" cy="586105"/>
                    </a:xfrm>
                    <a:prstGeom prst="rect">
                      <a:avLst/>
                    </a:prstGeom>
                    <a:noFill/>
                  </pic:spPr>
                </pic:pic>
              </a:graphicData>
            </a:graphic>
          </wp:anchor>
        </w:drawing>
        <w:t>CORPORATE GOVERNANCE</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Lead Independent Director</w:t>
      </w:r>
    </w:p>
    <w:p>
      <w:pPr>
        <w:spacing w:after="0" w:line="103" w:lineRule="exact"/>
        <w:rPr>
          <w:sz w:val="20"/>
          <w:szCs w:val="20"/>
          <w:color w:val="auto"/>
        </w:rPr>
      </w:pPr>
    </w:p>
    <w:p>
      <w:pPr>
        <w:ind w:right="140"/>
        <w:spacing w:after="0" w:line="263" w:lineRule="auto"/>
        <w:rPr>
          <w:sz w:val="20"/>
          <w:szCs w:val="20"/>
          <w:color w:val="auto"/>
        </w:rPr>
      </w:pPr>
      <w:r>
        <w:rPr>
          <w:rFonts w:ascii="Arial" w:cs="Arial" w:eastAsia="Arial" w:hAnsi="Arial"/>
          <w:sz w:val="17"/>
          <w:szCs w:val="17"/>
          <w:color w:val="auto"/>
        </w:rPr>
        <w:t>If the Chairperson is not independent, the independent directors will designate annually from among them a Lead Independent Director. Following our 2018 Annual Meeting, the independent directors designated Mr. Felsinger as Lead Independent Director.</w:t>
      </w:r>
    </w:p>
    <w:p>
      <w:pPr>
        <w:spacing w:after="0" w:line="59" w:lineRule="exact"/>
        <w:rPr>
          <w:sz w:val="20"/>
          <w:szCs w:val="20"/>
          <w:color w:val="auto"/>
        </w:rPr>
      </w:pPr>
    </w:p>
    <w:p>
      <w:pPr>
        <w:spacing w:after="0"/>
        <w:rPr>
          <w:sz w:val="20"/>
          <w:szCs w:val="20"/>
          <w:color w:val="auto"/>
        </w:rPr>
      </w:pPr>
      <w:r>
        <w:rPr>
          <w:rFonts w:ascii="Arial" w:cs="Arial" w:eastAsia="Arial" w:hAnsi="Arial"/>
          <w:sz w:val="17"/>
          <w:szCs w:val="17"/>
          <w:color w:val="auto"/>
        </w:rPr>
        <w:t>Our Principles of Corporate Governance set forth specific duties and responsibilities of the Lead Independent Director, which include the following:</w:t>
      </w:r>
    </w:p>
    <w:p>
      <w:pPr>
        <w:spacing w:after="0" w:line="112" w:lineRule="exact"/>
        <w:rPr>
          <w:sz w:val="20"/>
          <w:szCs w:val="20"/>
          <w:color w:val="auto"/>
        </w:rPr>
      </w:pPr>
    </w:p>
    <w:p>
      <w:pPr>
        <w:ind w:left="320" w:hanging="317"/>
        <w:spacing w:after="0" w:line="253" w:lineRule="auto"/>
        <w:tabs>
          <w:tab w:leader="none" w:pos="320" w:val="left"/>
        </w:tabs>
        <w:numPr>
          <w:ilvl w:val="0"/>
          <w:numId w:val="24"/>
        </w:numPr>
        <w:rPr>
          <w:rFonts w:ascii="Arial" w:cs="Arial" w:eastAsia="Arial" w:hAnsi="Arial"/>
          <w:sz w:val="21"/>
          <w:szCs w:val="21"/>
          <w:color w:val="34657F"/>
        </w:rPr>
      </w:pPr>
      <w:r>
        <w:rPr>
          <w:rFonts w:ascii="Arial" w:cs="Arial" w:eastAsia="Arial" w:hAnsi="Arial"/>
          <w:sz w:val="17"/>
          <w:szCs w:val="17"/>
          <w:color w:val="auto"/>
        </w:rPr>
        <w:t>preside at meetings of the Board at which the Chairperson is not present, including executive sessions of the independent directors, and advise the Chairperson and CEO on decisions reached and suggestions made;</w:t>
      </w:r>
    </w:p>
    <w:p>
      <w:pPr>
        <w:spacing w:after="0" w:line="66" w:lineRule="exact"/>
        <w:rPr>
          <w:rFonts w:ascii="Arial" w:cs="Arial" w:eastAsia="Arial" w:hAnsi="Arial"/>
          <w:sz w:val="21"/>
          <w:szCs w:val="21"/>
          <w:color w:val="34657F"/>
        </w:rPr>
      </w:pPr>
    </w:p>
    <w:p>
      <w:pPr>
        <w:ind w:left="320" w:hanging="317"/>
        <w:spacing w:after="0"/>
        <w:tabs>
          <w:tab w:leader="none" w:pos="320" w:val="left"/>
        </w:tabs>
        <w:numPr>
          <w:ilvl w:val="0"/>
          <w:numId w:val="24"/>
        </w:numPr>
        <w:rPr>
          <w:rFonts w:ascii="Arial" w:cs="Arial" w:eastAsia="Arial" w:hAnsi="Arial"/>
          <w:sz w:val="21"/>
          <w:szCs w:val="21"/>
          <w:color w:val="34657F"/>
        </w:rPr>
      </w:pPr>
      <w:r>
        <w:rPr>
          <w:rFonts w:ascii="Arial" w:cs="Arial" w:eastAsia="Arial" w:hAnsi="Arial"/>
          <w:sz w:val="17"/>
          <w:szCs w:val="17"/>
          <w:color w:val="auto"/>
        </w:rPr>
        <w:t>advise the Chairperson on and approve meeting agendas and information sent to the Board;</w:t>
      </w:r>
    </w:p>
    <w:p>
      <w:pPr>
        <w:spacing w:after="0" w:line="79" w:lineRule="exact"/>
        <w:rPr>
          <w:rFonts w:ascii="Arial" w:cs="Arial" w:eastAsia="Arial" w:hAnsi="Arial"/>
          <w:sz w:val="21"/>
          <w:szCs w:val="21"/>
          <w:color w:val="34657F"/>
        </w:rPr>
      </w:pPr>
    </w:p>
    <w:p>
      <w:pPr>
        <w:ind w:left="320" w:hanging="317"/>
        <w:spacing w:after="0"/>
        <w:tabs>
          <w:tab w:leader="none" w:pos="320" w:val="left"/>
        </w:tabs>
        <w:numPr>
          <w:ilvl w:val="0"/>
          <w:numId w:val="24"/>
        </w:numPr>
        <w:rPr>
          <w:rFonts w:ascii="Arial" w:cs="Arial" w:eastAsia="Arial" w:hAnsi="Arial"/>
          <w:sz w:val="21"/>
          <w:szCs w:val="21"/>
          <w:color w:val="34657F"/>
        </w:rPr>
      </w:pPr>
      <w:r>
        <w:rPr>
          <w:rFonts w:ascii="Arial" w:cs="Arial" w:eastAsia="Arial" w:hAnsi="Arial"/>
          <w:sz w:val="17"/>
          <w:szCs w:val="17"/>
          <w:color w:val="auto"/>
        </w:rPr>
        <w:t>advise the Chairperson on and approve the schedule of Board meetings, assuring there is sufficient time for discussion of all agenda items;</w:t>
      </w:r>
    </w:p>
    <w:p>
      <w:pPr>
        <w:spacing w:after="0" w:line="115" w:lineRule="exact"/>
        <w:rPr>
          <w:rFonts w:ascii="Arial" w:cs="Arial" w:eastAsia="Arial" w:hAnsi="Arial"/>
          <w:sz w:val="21"/>
          <w:szCs w:val="21"/>
          <w:color w:val="34657F"/>
        </w:rPr>
      </w:pPr>
    </w:p>
    <w:p>
      <w:pPr>
        <w:ind w:left="320" w:right="260" w:hanging="317"/>
        <w:spacing w:after="0" w:line="253" w:lineRule="auto"/>
        <w:tabs>
          <w:tab w:leader="none" w:pos="320" w:val="left"/>
        </w:tabs>
        <w:numPr>
          <w:ilvl w:val="0"/>
          <w:numId w:val="24"/>
        </w:numPr>
        <w:rPr>
          <w:rFonts w:ascii="Arial" w:cs="Arial" w:eastAsia="Arial" w:hAnsi="Arial"/>
          <w:sz w:val="21"/>
          <w:szCs w:val="21"/>
          <w:color w:val="34657F"/>
        </w:rPr>
      </w:pPr>
      <w:r>
        <w:rPr>
          <w:rFonts w:ascii="Arial" w:cs="Arial" w:eastAsia="Arial" w:hAnsi="Arial"/>
          <w:sz w:val="17"/>
          <w:szCs w:val="17"/>
          <w:color w:val="auto"/>
        </w:rPr>
        <w:t>provide the Chairperson with input as to the preparation of Board and committee meeting agendas, taking into account the requests of the other Board and committee members;</w:t>
      </w:r>
    </w:p>
    <w:p>
      <w:pPr>
        <w:spacing w:after="0" w:line="103" w:lineRule="exact"/>
        <w:rPr>
          <w:rFonts w:ascii="Arial" w:cs="Arial" w:eastAsia="Arial" w:hAnsi="Arial"/>
          <w:sz w:val="21"/>
          <w:szCs w:val="21"/>
          <w:color w:val="34657F"/>
        </w:rPr>
      </w:pPr>
    </w:p>
    <w:p>
      <w:pPr>
        <w:ind w:left="320" w:right="300" w:hanging="317"/>
        <w:spacing w:after="0" w:line="253" w:lineRule="auto"/>
        <w:tabs>
          <w:tab w:leader="none" w:pos="320" w:val="left"/>
        </w:tabs>
        <w:numPr>
          <w:ilvl w:val="0"/>
          <w:numId w:val="24"/>
        </w:numPr>
        <w:rPr>
          <w:rFonts w:ascii="Arial" w:cs="Arial" w:eastAsia="Arial" w:hAnsi="Arial"/>
          <w:sz w:val="21"/>
          <w:szCs w:val="21"/>
          <w:color w:val="34657F"/>
        </w:rPr>
      </w:pPr>
      <w:r>
        <w:rPr>
          <w:rFonts w:ascii="Arial" w:cs="Arial" w:eastAsia="Arial" w:hAnsi="Arial"/>
          <w:sz w:val="17"/>
          <w:szCs w:val="17"/>
          <w:color w:val="auto"/>
        </w:rPr>
        <w:t>interview, along with the Chairperson and the Chairperson of the Governance Committee, Board candidates and make recommendations to the Governance Committee and the Board;</w:t>
      </w:r>
    </w:p>
    <w:p>
      <w:pPr>
        <w:spacing w:after="0" w:line="66" w:lineRule="exact"/>
        <w:rPr>
          <w:rFonts w:ascii="Arial" w:cs="Arial" w:eastAsia="Arial" w:hAnsi="Arial"/>
          <w:sz w:val="21"/>
          <w:szCs w:val="21"/>
          <w:color w:val="34657F"/>
        </w:rPr>
      </w:pPr>
    </w:p>
    <w:p>
      <w:pPr>
        <w:ind w:left="320" w:hanging="317"/>
        <w:spacing w:after="0"/>
        <w:tabs>
          <w:tab w:leader="none" w:pos="320" w:val="left"/>
        </w:tabs>
        <w:numPr>
          <w:ilvl w:val="0"/>
          <w:numId w:val="24"/>
        </w:numPr>
        <w:rPr>
          <w:rFonts w:ascii="Arial" w:cs="Arial" w:eastAsia="Arial" w:hAnsi="Arial"/>
          <w:sz w:val="21"/>
          <w:szCs w:val="21"/>
          <w:color w:val="34657F"/>
        </w:rPr>
      </w:pPr>
      <w:r>
        <w:rPr>
          <w:rFonts w:ascii="Arial" w:cs="Arial" w:eastAsia="Arial" w:hAnsi="Arial"/>
          <w:sz w:val="17"/>
          <w:szCs w:val="17"/>
          <w:color w:val="auto"/>
        </w:rPr>
        <w:t>call meetings of the independent directors;</w:t>
      </w:r>
    </w:p>
    <w:p>
      <w:pPr>
        <w:spacing w:after="0" w:line="79" w:lineRule="exact"/>
        <w:rPr>
          <w:rFonts w:ascii="Arial" w:cs="Arial" w:eastAsia="Arial" w:hAnsi="Arial"/>
          <w:sz w:val="21"/>
          <w:szCs w:val="21"/>
          <w:color w:val="34657F"/>
        </w:rPr>
      </w:pPr>
    </w:p>
    <w:p>
      <w:pPr>
        <w:ind w:left="320" w:hanging="317"/>
        <w:spacing w:after="0"/>
        <w:tabs>
          <w:tab w:leader="none" w:pos="320" w:val="left"/>
        </w:tabs>
        <w:numPr>
          <w:ilvl w:val="0"/>
          <w:numId w:val="24"/>
        </w:numPr>
        <w:rPr>
          <w:rFonts w:ascii="Arial" w:cs="Arial" w:eastAsia="Arial" w:hAnsi="Arial"/>
          <w:sz w:val="21"/>
          <w:szCs w:val="21"/>
          <w:color w:val="34657F"/>
        </w:rPr>
      </w:pPr>
      <w:r>
        <w:rPr>
          <w:rFonts w:ascii="Arial" w:cs="Arial" w:eastAsia="Arial" w:hAnsi="Arial"/>
          <w:sz w:val="17"/>
          <w:szCs w:val="17"/>
          <w:color w:val="auto"/>
        </w:rPr>
        <w:t>support and facilitate engagement between the Chairperson and the independent directors; and</w:t>
      </w:r>
    </w:p>
    <w:p>
      <w:pPr>
        <w:spacing w:after="0" w:line="79" w:lineRule="exact"/>
        <w:rPr>
          <w:rFonts w:ascii="Arial" w:cs="Arial" w:eastAsia="Arial" w:hAnsi="Arial"/>
          <w:sz w:val="21"/>
          <w:szCs w:val="21"/>
          <w:color w:val="34657F"/>
        </w:rPr>
      </w:pPr>
    </w:p>
    <w:p>
      <w:pPr>
        <w:ind w:left="320" w:hanging="317"/>
        <w:spacing w:after="0"/>
        <w:tabs>
          <w:tab w:leader="none" w:pos="320" w:val="left"/>
        </w:tabs>
        <w:numPr>
          <w:ilvl w:val="0"/>
          <w:numId w:val="24"/>
        </w:numPr>
        <w:rPr>
          <w:rFonts w:ascii="Arial" w:cs="Arial" w:eastAsia="Arial" w:hAnsi="Arial"/>
          <w:sz w:val="21"/>
          <w:szCs w:val="21"/>
          <w:color w:val="34657F"/>
        </w:rPr>
      </w:pPr>
      <w:r>
        <w:rPr>
          <w:rFonts w:ascii="Arial" w:cs="Arial" w:eastAsia="Arial" w:hAnsi="Arial"/>
          <w:sz w:val="17"/>
          <w:szCs w:val="17"/>
          <w:color w:val="auto"/>
        </w:rPr>
        <w:t>if requested by major shareholders, ensure that he or she is available for consultation and direct communication.</w:t>
      </w:r>
    </w:p>
    <w:p>
      <w:pPr>
        <w:spacing w:after="0" w:line="90" w:lineRule="exact"/>
        <w:rPr>
          <w:sz w:val="20"/>
          <w:szCs w:val="20"/>
          <w:color w:val="auto"/>
        </w:rPr>
      </w:pPr>
    </w:p>
    <w:p>
      <w:pPr>
        <w:ind w:right="260"/>
        <w:spacing w:after="0" w:line="263" w:lineRule="auto"/>
        <w:rPr>
          <w:sz w:val="20"/>
          <w:szCs w:val="20"/>
          <w:color w:val="auto"/>
        </w:rPr>
      </w:pPr>
      <w:r>
        <w:rPr>
          <w:rFonts w:ascii="Arial" w:cs="Arial" w:eastAsia="Arial" w:hAnsi="Arial"/>
          <w:sz w:val="17"/>
          <w:szCs w:val="17"/>
          <w:color w:val="auto"/>
        </w:rPr>
        <w:t>Our Lead Independent Director is empowered to and does actively engage with our Chairperson and Chief Executive Officer to help enable a strong and effective Board of Directors.</w:t>
      </w:r>
    </w:p>
    <w:p>
      <w:pPr>
        <w:spacing w:after="0" w:line="185" w:lineRule="exact"/>
        <w:rPr>
          <w:sz w:val="20"/>
          <w:szCs w:val="20"/>
          <w:color w:val="auto"/>
        </w:rPr>
      </w:pPr>
    </w:p>
    <w:p>
      <w:pPr>
        <w:ind w:left="20"/>
        <w:spacing w:after="0"/>
        <w:rPr>
          <w:sz w:val="20"/>
          <w:szCs w:val="20"/>
          <w:color w:val="auto"/>
        </w:rPr>
      </w:pPr>
      <w:r>
        <w:rPr>
          <w:rFonts w:ascii="Arial" w:cs="Arial" w:eastAsia="Arial" w:hAnsi="Arial"/>
          <w:sz w:val="24"/>
          <w:szCs w:val="24"/>
          <w:b w:val="1"/>
          <w:bCs w:val="1"/>
          <w:color w:val="auto"/>
        </w:rPr>
        <w:t>Committees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38100</wp:posOffset>
            </wp:positionV>
            <wp:extent cx="7253605" cy="1651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pacing w:after="0" w:line="142" w:lineRule="exact"/>
        <w:rPr>
          <w:sz w:val="20"/>
          <w:szCs w:val="20"/>
          <w:color w:val="auto"/>
        </w:rPr>
      </w:pPr>
    </w:p>
    <w:p>
      <w:pPr>
        <w:ind w:right="20"/>
        <w:spacing w:after="0" w:line="254" w:lineRule="auto"/>
        <w:rPr>
          <w:sz w:val="20"/>
          <w:szCs w:val="20"/>
          <w:color w:val="auto"/>
        </w:rPr>
      </w:pPr>
      <w:r>
        <w:rPr>
          <w:rFonts w:ascii="Arial" w:cs="Arial" w:eastAsia="Arial" w:hAnsi="Arial"/>
          <w:sz w:val="17"/>
          <w:szCs w:val="17"/>
          <w:color w:val="auto"/>
        </w:rPr>
        <w:t>The Board has four standing committees: the Audit Committee, the Compensation Committee, the Governance Committee and the Policy Committee. The membership of these committees is typically determined at the organizational meeting of the Board held in conjunction with the annual meeting. All the committees are composed entirely of independent directors. The primary responsibilities of each of the committees are summarized below, together with a table listing the membership and chairperson of each committee. The charters for each standing committee can be found on the Investor Relations section of our website (</w:t>
      </w:r>
      <w:r>
        <w:rPr>
          <w:rFonts w:ascii="Arial" w:cs="Arial" w:eastAsia="Arial" w:hAnsi="Arial"/>
          <w:sz w:val="17"/>
          <w:szCs w:val="17"/>
          <w:i w:val="1"/>
          <w:iCs w:val="1"/>
          <w:color w:val="auto"/>
        </w:rPr>
        <w:t>www.northropgrumman.com</w:t>
      </w:r>
      <w:r>
        <w:rPr>
          <w:rFonts w:ascii="Arial" w:cs="Arial" w:eastAsia="Arial" w:hAnsi="Arial"/>
          <w:sz w:val="17"/>
          <w:szCs w:val="17"/>
          <w:color w:val="auto"/>
        </w:rPr>
        <w:t>).</w:t>
      </w:r>
    </w:p>
    <w:p>
      <w:pPr>
        <w:spacing w:after="0" w:line="299"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16 </w:t>
      </w:r>
      <w:r>
        <w:rPr>
          <w:rFonts w:ascii="Arial" w:cs="Arial" w:eastAsia="Arial" w:hAnsi="Arial"/>
          <w:sz w:val="13"/>
          <w:szCs w:val="13"/>
          <w:color w:val="auto"/>
        </w:rPr>
        <w:t>I</w:t>
      </w:r>
      <w:r>
        <w:rPr>
          <w:rFonts w:ascii="Arial" w:cs="Arial" w:eastAsia="Arial" w:hAnsi="Arial"/>
          <w:sz w:val="17"/>
          <w:szCs w:val="17"/>
          <w:color w:val="auto"/>
        </w:rPr>
        <w:t xml:space="preserve"> </w:t>
      </w:r>
      <w:r>
        <w:rPr>
          <w:rFonts w:ascii="Arial" w:cs="Arial" w:eastAsia="Arial" w:hAnsi="Arial"/>
          <w:sz w:val="13"/>
          <w:szCs w:val="13"/>
          <w:color w:val="34657F"/>
        </w:rPr>
        <w:t>NOTICE OF 2019 ANNUAL MEETING OF SHAREHOLDERS AND PROXY STATEMENT</w:t>
      </w:r>
    </w:p>
    <w:p>
      <w:pPr>
        <w:sectPr>
          <w:pgSz w:w="11900" w:h="16838" w:orient="portrait"/>
          <w:cols w:equalWidth="0" w:num="1">
            <w:col w:w="11420"/>
          </w:cols>
          <w:pgMar w:left="240" w:top="646" w:right="239" w:bottom="1440" w:gutter="0" w:footer="0" w:header="0"/>
        </w:sectPr>
      </w:pPr>
    </w:p>
    <w:bookmarkStart w:id="22" w:name="page23"/>
    <w:bookmarkEnd w:id="22"/>
    <w:p>
      <w:pPr>
        <w:ind w:left="20"/>
        <w:spacing w:after="0"/>
        <w:rPr>
          <w:sz w:val="20"/>
          <w:szCs w:val="20"/>
          <w:color w:val="auto"/>
        </w:rPr>
      </w:pPr>
      <w:r>
        <w:rPr>
          <w:rFonts w:ascii="Arial" w:cs="Arial" w:eastAsia="Arial" w:hAnsi="Arial"/>
          <w:sz w:val="21"/>
          <w:szCs w:val="21"/>
          <w:b w:val="1"/>
          <w:bCs w:val="1"/>
          <w:color w:val="FFFFFF"/>
        </w:rPr>
        <w:drawing>
          <wp:anchor simplePos="0" relativeHeight="251657728" behindDoc="1" locked="0" layoutInCell="0" allowOverlap="1">
            <wp:simplePos x="0" y="0"/>
            <wp:positionH relativeFrom="page">
              <wp:posOffset>154305</wp:posOffset>
            </wp:positionH>
            <wp:positionV relativeFrom="page">
              <wp:posOffset>365760</wp:posOffset>
            </wp:positionV>
            <wp:extent cx="7253605" cy="45593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53605" cy="455930"/>
                    </a:xfrm>
                    <a:prstGeom prst="rect">
                      <a:avLst/>
                    </a:prstGeom>
                    <a:noFill/>
                  </pic:spPr>
                </pic:pic>
              </a:graphicData>
            </a:graphic>
          </wp:anchor>
        </w:drawing>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469265</wp:posOffset>
            </wp:positionV>
            <wp:extent cx="7261860" cy="382651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61860" cy="3826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40"/>
        <w:spacing w:after="0"/>
        <w:rPr>
          <w:sz w:val="20"/>
          <w:szCs w:val="20"/>
          <w:color w:val="auto"/>
        </w:rPr>
      </w:pPr>
      <w:r>
        <w:rPr>
          <w:rFonts w:ascii="Arial" w:cs="Arial" w:eastAsia="Arial" w:hAnsi="Arial"/>
          <w:sz w:val="24"/>
          <w:szCs w:val="24"/>
          <w:b w:val="1"/>
          <w:bCs w:val="1"/>
          <w:color w:val="34657F"/>
        </w:rPr>
        <w:t>Audit Committee</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9020" w:type="dxa"/>
            <w:vAlign w:val="bottom"/>
            <w:shd w:val="clear" w:color="auto" w:fill="D1DDE6"/>
          </w:tcPr>
          <w:p>
            <w:pPr>
              <w:ind w:left="40"/>
              <w:spacing w:after="0"/>
              <w:rPr>
                <w:sz w:val="20"/>
                <w:szCs w:val="20"/>
                <w:color w:val="auto"/>
              </w:rPr>
            </w:pPr>
            <w:r>
              <w:rPr>
                <w:rFonts w:ascii="Arial" w:cs="Arial" w:eastAsia="Arial" w:hAnsi="Arial"/>
                <w:sz w:val="17"/>
                <w:szCs w:val="17"/>
                <w:b w:val="1"/>
                <w:bCs w:val="1"/>
                <w:color w:val="34657F"/>
              </w:rPr>
              <w:t>Roles and Responsibilities</w:t>
            </w:r>
          </w:p>
        </w:tc>
        <w:tc>
          <w:tcPr>
            <w:tcW w:w="2280" w:type="dxa"/>
            <w:vAlign w:val="bottom"/>
            <w:gridSpan w:val="2"/>
          </w:tcPr>
          <w:p>
            <w:pPr>
              <w:ind w:left="40"/>
              <w:spacing w:after="0"/>
              <w:rPr>
                <w:sz w:val="20"/>
                <w:szCs w:val="20"/>
                <w:color w:val="auto"/>
              </w:rPr>
            </w:pPr>
            <w:r>
              <w:rPr>
                <w:rFonts w:ascii="Arial" w:cs="Arial" w:eastAsia="Arial" w:hAnsi="Arial"/>
                <w:sz w:val="17"/>
                <w:szCs w:val="17"/>
                <w:b w:val="1"/>
                <w:bCs w:val="1"/>
                <w:color w:val="34657F"/>
              </w:rPr>
              <w:t>Committee Members</w:t>
            </w:r>
          </w:p>
        </w:tc>
        <w:tc>
          <w:tcPr>
            <w:tcW w:w="0" w:type="dxa"/>
            <w:vAlign w:val="bottom"/>
          </w:tcPr>
          <w:p>
            <w:pPr>
              <w:spacing w:after="0"/>
              <w:rPr>
                <w:sz w:val="1"/>
                <w:szCs w:val="1"/>
                <w:color w:val="auto"/>
              </w:rPr>
            </w:pPr>
          </w:p>
        </w:tc>
      </w:tr>
      <w:tr>
        <w:trPr>
          <w:trHeight w:val="306"/>
        </w:trPr>
        <w:tc>
          <w:tcPr>
            <w:tcW w:w="9020" w:type="dxa"/>
            <w:vAlign w:val="bottom"/>
            <w:shd w:val="clear" w:color="auto" w:fill="D1DDE6"/>
          </w:tcPr>
          <w:p>
            <w:pPr>
              <w:ind w:left="40"/>
              <w:spacing w:after="0"/>
              <w:rPr>
                <w:sz w:val="20"/>
                <w:szCs w:val="20"/>
                <w:color w:val="auto"/>
              </w:rPr>
            </w:pPr>
            <w:r>
              <w:rPr>
                <w:rFonts w:ascii="Arial" w:cs="Arial" w:eastAsia="Arial" w:hAnsi="Arial"/>
                <w:sz w:val="17"/>
                <w:szCs w:val="17"/>
                <w:color w:val="auto"/>
              </w:rPr>
              <w:t>Assist the Board in overseeing (1) the integrity of the Company's financial statements and the Company's accounting</w:t>
            </w:r>
          </w:p>
        </w:tc>
        <w:tc>
          <w:tcPr>
            <w:tcW w:w="2280" w:type="dxa"/>
            <w:vAlign w:val="bottom"/>
            <w:gridSpan w:val="2"/>
          </w:tcPr>
          <w:p>
            <w:pPr>
              <w:ind w:left="40"/>
              <w:spacing w:after="0"/>
              <w:rPr>
                <w:sz w:val="20"/>
                <w:szCs w:val="20"/>
                <w:color w:val="auto"/>
              </w:rPr>
            </w:pPr>
            <w:r>
              <w:rPr>
                <w:rFonts w:ascii="Arial" w:cs="Arial" w:eastAsia="Arial" w:hAnsi="Arial"/>
                <w:sz w:val="17"/>
                <w:szCs w:val="17"/>
                <w:color w:val="auto"/>
              </w:rPr>
              <w:t>William H. Hernandez (chair)</w:t>
            </w:r>
          </w:p>
        </w:tc>
        <w:tc>
          <w:tcPr>
            <w:tcW w:w="0" w:type="dxa"/>
            <w:vAlign w:val="bottom"/>
          </w:tcPr>
          <w:p>
            <w:pPr>
              <w:spacing w:after="0"/>
              <w:rPr>
                <w:sz w:val="1"/>
                <w:szCs w:val="1"/>
                <w:color w:val="auto"/>
              </w:rPr>
            </w:pPr>
          </w:p>
        </w:tc>
      </w:tr>
      <w:tr>
        <w:trPr>
          <w:trHeight w:val="192"/>
        </w:trPr>
        <w:tc>
          <w:tcPr>
            <w:tcW w:w="9020" w:type="dxa"/>
            <w:vAlign w:val="bottom"/>
            <w:shd w:val="clear" w:color="auto" w:fill="D1DDE6"/>
          </w:tcPr>
          <w:p>
            <w:pPr>
              <w:ind w:left="40"/>
              <w:spacing w:after="0" w:line="193" w:lineRule="exact"/>
              <w:rPr>
                <w:sz w:val="20"/>
                <w:szCs w:val="20"/>
                <w:color w:val="auto"/>
              </w:rPr>
            </w:pPr>
            <w:r>
              <w:rPr>
                <w:rFonts w:ascii="Arial" w:cs="Arial" w:eastAsia="Arial" w:hAnsi="Arial"/>
                <w:sz w:val="17"/>
                <w:szCs w:val="17"/>
                <w:color w:val="auto"/>
              </w:rPr>
              <w:t>and financial reporting processes; (2) the Company's overall compliance with legal and regulatory requirements; (3)</w:t>
            </w:r>
          </w:p>
        </w:tc>
        <w:tc>
          <w:tcPr>
            <w:tcW w:w="2280" w:type="dxa"/>
            <w:vAlign w:val="bottom"/>
            <w:gridSpan w:val="2"/>
          </w:tcPr>
          <w:p>
            <w:pPr>
              <w:ind w:left="40"/>
              <w:spacing w:after="0" w:line="193" w:lineRule="exact"/>
              <w:rPr>
                <w:sz w:val="20"/>
                <w:szCs w:val="20"/>
                <w:color w:val="auto"/>
              </w:rPr>
            </w:pPr>
            <w:r>
              <w:rPr>
                <w:rFonts w:ascii="Arial" w:cs="Arial" w:eastAsia="Arial" w:hAnsi="Arial"/>
                <w:sz w:val="17"/>
                <w:szCs w:val="17"/>
                <w:color w:val="auto"/>
              </w:rPr>
              <w:t>Ann M. Fudge</w:t>
            </w:r>
          </w:p>
        </w:tc>
        <w:tc>
          <w:tcPr>
            <w:tcW w:w="0" w:type="dxa"/>
            <w:vAlign w:val="bottom"/>
          </w:tcPr>
          <w:p>
            <w:pPr>
              <w:spacing w:after="0"/>
              <w:rPr>
                <w:sz w:val="1"/>
                <w:szCs w:val="1"/>
                <w:color w:val="auto"/>
              </w:rPr>
            </w:pPr>
          </w:p>
        </w:tc>
      </w:tr>
      <w:tr>
        <w:trPr>
          <w:trHeight w:val="192"/>
        </w:trPr>
        <w:tc>
          <w:tcPr>
            <w:tcW w:w="9020" w:type="dxa"/>
            <w:vAlign w:val="bottom"/>
            <w:shd w:val="clear" w:color="auto" w:fill="D1DDE6"/>
          </w:tcPr>
          <w:p>
            <w:pPr>
              <w:ind w:left="40"/>
              <w:spacing w:after="0" w:line="193" w:lineRule="exact"/>
              <w:rPr>
                <w:sz w:val="20"/>
                <w:szCs w:val="20"/>
                <w:color w:val="auto"/>
              </w:rPr>
            </w:pPr>
            <w:r>
              <w:rPr>
                <w:rFonts w:ascii="Arial" w:cs="Arial" w:eastAsia="Arial" w:hAnsi="Arial"/>
                <w:sz w:val="17"/>
                <w:szCs w:val="17"/>
                <w:color w:val="auto"/>
              </w:rPr>
              <w:t>financial risk assessment and management; (4) the qualifications, performance and independence of the Company's</w:t>
            </w:r>
          </w:p>
        </w:tc>
        <w:tc>
          <w:tcPr>
            <w:tcW w:w="2280" w:type="dxa"/>
            <w:vAlign w:val="bottom"/>
            <w:gridSpan w:val="2"/>
          </w:tcPr>
          <w:p>
            <w:pPr>
              <w:ind w:left="40"/>
              <w:spacing w:after="0" w:line="193" w:lineRule="exact"/>
              <w:rPr>
                <w:sz w:val="20"/>
                <w:szCs w:val="20"/>
                <w:color w:val="auto"/>
              </w:rPr>
            </w:pPr>
            <w:r>
              <w:rPr>
                <w:rFonts w:ascii="Arial" w:cs="Arial" w:eastAsia="Arial" w:hAnsi="Arial"/>
                <w:sz w:val="17"/>
                <w:szCs w:val="17"/>
                <w:color w:val="auto"/>
              </w:rPr>
              <w:t>Madeleine A. Kleiner</w:t>
            </w:r>
          </w:p>
        </w:tc>
        <w:tc>
          <w:tcPr>
            <w:tcW w:w="0" w:type="dxa"/>
            <w:vAlign w:val="bottom"/>
          </w:tcPr>
          <w:p>
            <w:pPr>
              <w:spacing w:after="0"/>
              <w:rPr>
                <w:sz w:val="1"/>
                <w:szCs w:val="1"/>
                <w:color w:val="auto"/>
              </w:rPr>
            </w:pPr>
          </w:p>
        </w:tc>
      </w:tr>
      <w:tr>
        <w:trPr>
          <w:trHeight w:val="192"/>
        </w:trPr>
        <w:tc>
          <w:tcPr>
            <w:tcW w:w="9020" w:type="dxa"/>
            <w:vAlign w:val="bottom"/>
            <w:shd w:val="clear" w:color="auto" w:fill="D1DDE6"/>
          </w:tcPr>
          <w:p>
            <w:pPr>
              <w:ind w:left="40"/>
              <w:spacing w:after="0" w:line="193" w:lineRule="exact"/>
              <w:rPr>
                <w:sz w:val="20"/>
                <w:szCs w:val="20"/>
                <w:color w:val="auto"/>
              </w:rPr>
            </w:pPr>
            <w:r>
              <w:rPr>
                <w:rFonts w:ascii="Arial" w:cs="Arial" w:eastAsia="Arial" w:hAnsi="Arial"/>
                <w:sz w:val="17"/>
                <w:szCs w:val="17"/>
                <w:color w:val="auto"/>
              </w:rPr>
              <w:t>independent auditor; (5) the performance of the Company's internal audit function; and (6) the Company's system of</w:t>
            </w:r>
          </w:p>
        </w:tc>
        <w:tc>
          <w:tcPr>
            <w:tcW w:w="2280" w:type="dxa"/>
            <w:vAlign w:val="bottom"/>
            <w:gridSpan w:val="2"/>
          </w:tcPr>
          <w:p>
            <w:pPr>
              <w:ind w:left="40"/>
              <w:spacing w:after="0" w:line="193" w:lineRule="exact"/>
              <w:rPr>
                <w:sz w:val="20"/>
                <w:szCs w:val="20"/>
                <w:color w:val="auto"/>
              </w:rPr>
            </w:pPr>
            <w:r>
              <w:rPr>
                <w:rFonts w:ascii="Arial" w:cs="Arial" w:eastAsia="Arial" w:hAnsi="Arial"/>
                <w:sz w:val="17"/>
                <w:szCs w:val="17"/>
                <w:color w:val="auto"/>
              </w:rPr>
              <w:t>James S. Turley</w:t>
            </w:r>
          </w:p>
        </w:tc>
        <w:tc>
          <w:tcPr>
            <w:tcW w:w="0" w:type="dxa"/>
            <w:vAlign w:val="bottom"/>
          </w:tcPr>
          <w:p>
            <w:pPr>
              <w:spacing w:after="0"/>
              <w:rPr>
                <w:sz w:val="1"/>
                <w:szCs w:val="1"/>
                <w:color w:val="auto"/>
              </w:rPr>
            </w:pPr>
          </w:p>
        </w:tc>
      </w:tr>
      <w:tr>
        <w:trPr>
          <w:trHeight w:val="205"/>
        </w:trPr>
        <w:tc>
          <w:tcPr>
            <w:tcW w:w="9020" w:type="dxa"/>
            <w:vAlign w:val="bottom"/>
            <w:shd w:val="clear" w:color="auto" w:fill="D1DDE6"/>
          </w:tcPr>
          <w:p>
            <w:pPr>
              <w:ind w:left="40"/>
              <w:spacing w:after="0"/>
              <w:rPr>
                <w:sz w:val="20"/>
                <w:szCs w:val="20"/>
                <w:color w:val="auto"/>
              </w:rPr>
            </w:pPr>
            <w:r>
              <w:rPr>
                <w:rFonts w:ascii="Arial" w:cs="Arial" w:eastAsia="Arial" w:hAnsi="Arial"/>
                <w:sz w:val="17"/>
                <w:szCs w:val="17"/>
                <w:color w:val="auto"/>
              </w:rPr>
              <w:t>disclosure controls and procedures and internal control over financial reporting, by:</w:t>
            </w:r>
          </w:p>
        </w:tc>
        <w:tc>
          <w:tcPr>
            <w:tcW w:w="2280" w:type="dxa"/>
            <w:vAlign w:val="bottom"/>
            <w:gridSpan w:val="2"/>
          </w:tcPr>
          <w:p>
            <w:pPr>
              <w:ind w:left="40"/>
              <w:spacing w:after="0"/>
              <w:rPr>
                <w:sz w:val="20"/>
                <w:szCs w:val="20"/>
                <w:color w:val="auto"/>
              </w:rPr>
            </w:pPr>
            <w:r>
              <w:rPr>
                <w:rFonts w:ascii="Arial" w:cs="Arial" w:eastAsia="Arial" w:hAnsi="Arial"/>
                <w:sz w:val="17"/>
                <w:szCs w:val="17"/>
                <w:color w:val="auto"/>
              </w:rPr>
              <w:t>Mark A. Welsh III</w:t>
            </w:r>
          </w:p>
        </w:tc>
        <w:tc>
          <w:tcPr>
            <w:tcW w:w="0" w:type="dxa"/>
            <w:vAlign w:val="bottom"/>
          </w:tcPr>
          <w:p>
            <w:pPr>
              <w:spacing w:after="0"/>
              <w:rPr>
                <w:sz w:val="1"/>
                <w:szCs w:val="1"/>
                <w:color w:val="auto"/>
              </w:rPr>
            </w:pPr>
          </w:p>
        </w:tc>
      </w:tr>
      <w:tr>
        <w:trPr>
          <w:trHeight w:val="271"/>
        </w:trPr>
        <w:tc>
          <w:tcPr>
            <w:tcW w:w="9020" w:type="dxa"/>
            <w:vAlign w:val="bottom"/>
            <w:shd w:val="clear" w:color="auto" w:fill="D1DDE6"/>
          </w:tcPr>
          <w:p>
            <w:pPr>
              <w:ind w:left="40"/>
              <w:spacing w:after="0"/>
              <w:rPr>
                <w:sz w:val="20"/>
                <w:szCs w:val="20"/>
                <w:color w:val="auto"/>
              </w:rPr>
            </w:pPr>
            <w:r>
              <w:rPr>
                <w:rFonts w:ascii="Arial" w:cs="Arial" w:eastAsia="Arial" w:hAnsi="Arial"/>
                <w:sz w:val="14"/>
                <w:szCs w:val="14"/>
                <w:color w:val="34657F"/>
              </w:rPr>
              <w:t xml:space="preserve">●   </w:t>
            </w:r>
            <w:r>
              <w:rPr>
                <w:rFonts w:ascii="Arial" w:cs="Arial" w:eastAsia="Arial" w:hAnsi="Arial"/>
                <w:sz w:val="17"/>
                <w:szCs w:val="17"/>
                <w:color w:val="000000"/>
              </w:rPr>
              <w:t>appointing, retaining, overseeing, evaluating and terminating, if necessary, the independent auditor</w:t>
            </w:r>
          </w:p>
        </w:tc>
        <w:tc>
          <w:tcPr>
            <w:tcW w:w="2280" w:type="dxa"/>
            <w:vAlign w:val="bottom"/>
            <w:gridSpan w:val="2"/>
          </w:tcPr>
          <w:p>
            <w:pPr>
              <w:ind w:left="40"/>
              <w:spacing w:after="0"/>
              <w:rPr>
                <w:sz w:val="20"/>
                <w:szCs w:val="20"/>
                <w:color w:val="auto"/>
              </w:rPr>
            </w:pPr>
            <w:r>
              <w:rPr>
                <w:rFonts w:ascii="Arial" w:cs="Arial" w:eastAsia="Arial" w:hAnsi="Arial"/>
                <w:sz w:val="17"/>
                <w:szCs w:val="17"/>
                <w:b w:val="1"/>
                <w:bCs w:val="1"/>
                <w:color w:val="34657F"/>
              </w:rPr>
              <w:t>Number of meetings in</w:t>
            </w:r>
          </w:p>
        </w:tc>
        <w:tc>
          <w:tcPr>
            <w:tcW w:w="0" w:type="dxa"/>
            <w:vAlign w:val="bottom"/>
          </w:tcPr>
          <w:p>
            <w:pPr>
              <w:spacing w:after="0"/>
              <w:rPr>
                <w:sz w:val="1"/>
                <w:szCs w:val="1"/>
                <w:color w:val="auto"/>
              </w:rPr>
            </w:pPr>
          </w:p>
        </w:tc>
      </w:tr>
      <w:tr>
        <w:trPr>
          <w:trHeight w:val="225"/>
        </w:trPr>
        <w:tc>
          <w:tcPr>
            <w:tcW w:w="9020" w:type="dxa"/>
            <w:vAlign w:val="bottom"/>
            <w:vMerge w:val="restart"/>
            <w:shd w:val="clear" w:color="auto" w:fill="D1DDE6"/>
          </w:tcPr>
          <w:p>
            <w:pPr>
              <w:ind w:left="40"/>
              <w:spacing w:after="0"/>
              <w:rPr>
                <w:sz w:val="20"/>
                <w:szCs w:val="20"/>
                <w:color w:val="auto"/>
              </w:rPr>
            </w:pPr>
            <w:r>
              <w:rPr>
                <w:rFonts w:ascii="Arial" w:cs="Arial" w:eastAsia="Arial" w:hAnsi="Arial"/>
                <w:sz w:val="14"/>
                <w:szCs w:val="14"/>
                <w:color w:val="34657F"/>
              </w:rPr>
              <w:t xml:space="preserve">●   </w:t>
            </w:r>
            <w:r>
              <w:rPr>
                <w:rFonts w:ascii="Arial" w:cs="Arial" w:eastAsia="Arial" w:hAnsi="Arial"/>
                <w:sz w:val="17"/>
                <w:szCs w:val="17"/>
                <w:color w:val="000000"/>
              </w:rPr>
              <w:t>reviewing and pre-approving audit and permitted non-audit services and related fees for the independent auditor</w:t>
            </w:r>
          </w:p>
        </w:tc>
        <w:tc>
          <w:tcPr>
            <w:tcW w:w="540" w:type="dxa"/>
            <w:vAlign w:val="bottom"/>
          </w:tcPr>
          <w:p>
            <w:pPr>
              <w:ind w:left="40"/>
              <w:spacing w:after="0"/>
              <w:rPr>
                <w:sz w:val="20"/>
                <w:szCs w:val="20"/>
                <w:color w:val="auto"/>
              </w:rPr>
            </w:pPr>
            <w:r>
              <w:rPr>
                <w:rFonts w:ascii="Arial" w:cs="Arial" w:eastAsia="Arial" w:hAnsi="Arial"/>
                <w:sz w:val="17"/>
                <w:szCs w:val="17"/>
                <w:b w:val="1"/>
                <w:bCs w:val="1"/>
                <w:color w:val="34657F"/>
              </w:rPr>
              <w:t>2018:</w:t>
            </w:r>
          </w:p>
        </w:tc>
        <w:tc>
          <w:tcPr>
            <w:tcW w:w="1740" w:type="dxa"/>
            <w:vAlign w:val="bottom"/>
          </w:tcPr>
          <w:p>
            <w:pPr>
              <w:jc w:val="right"/>
              <w:ind w:right="1435"/>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146"/>
        </w:trPr>
        <w:tc>
          <w:tcPr>
            <w:tcW w:w="9020" w:type="dxa"/>
            <w:vAlign w:val="bottom"/>
            <w:vMerge w:val="continue"/>
            <w:shd w:val="clear" w:color="auto" w:fill="D1DDE6"/>
          </w:tcPr>
          <w:p>
            <w:pPr>
              <w:spacing w:after="0"/>
              <w:rPr>
                <w:sz w:val="12"/>
                <w:szCs w:val="12"/>
                <w:color w:val="auto"/>
              </w:rPr>
            </w:pPr>
          </w:p>
        </w:tc>
        <w:tc>
          <w:tcPr>
            <w:tcW w:w="2280" w:type="dxa"/>
            <w:vAlign w:val="bottom"/>
            <w:gridSpan w:val="2"/>
            <w:vMerge w:val="restart"/>
          </w:tcPr>
          <w:p>
            <w:pPr>
              <w:ind w:left="40"/>
              <w:spacing w:after="0"/>
              <w:rPr>
                <w:sz w:val="20"/>
                <w:szCs w:val="20"/>
                <w:color w:val="auto"/>
              </w:rPr>
            </w:pPr>
            <w:r>
              <w:rPr>
                <w:rFonts w:ascii="Arial" w:cs="Arial" w:eastAsia="Arial" w:hAnsi="Arial"/>
                <w:sz w:val="17"/>
                <w:szCs w:val="17"/>
                <w:b w:val="1"/>
                <w:bCs w:val="1"/>
                <w:color w:val="34657F"/>
              </w:rPr>
              <w:t>Independence, Financial</w:t>
            </w:r>
          </w:p>
        </w:tc>
        <w:tc>
          <w:tcPr>
            <w:tcW w:w="0" w:type="dxa"/>
            <w:vAlign w:val="bottom"/>
          </w:tcPr>
          <w:p>
            <w:pPr>
              <w:spacing w:after="0"/>
              <w:rPr>
                <w:sz w:val="1"/>
                <w:szCs w:val="1"/>
                <w:color w:val="auto"/>
              </w:rPr>
            </w:pPr>
          </w:p>
        </w:tc>
      </w:tr>
      <w:tr>
        <w:trPr>
          <w:trHeight w:val="83"/>
        </w:trPr>
        <w:tc>
          <w:tcPr>
            <w:tcW w:w="9020" w:type="dxa"/>
            <w:vAlign w:val="bottom"/>
            <w:shd w:val="clear" w:color="auto" w:fill="D1DDE6"/>
          </w:tcPr>
          <w:p>
            <w:pPr>
              <w:spacing w:after="0"/>
              <w:rPr>
                <w:sz w:val="7"/>
                <w:szCs w:val="7"/>
                <w:color w:val="auto"/>
              </w:rPr>
            </w:pPr>
          </w:p>
        </w:tc>
        <w:tc>
          <w:tcPr>
            <w:tcW w:w="2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2"/>
        </w:trPr>
        <w:tc>
          <w:tcPr>
            <w:tcW w:w="9020" w:type="dxa"/>
            <w:vAlign w:val="bottom"/>
            <w:shd w:val="clear" w:color="auto" w:fill="D1DDE6"/>
          </w:tcPr>
          <w:p>
            <w:pPr>
              <w:ind w:left="40"/>
              <w:spacing w:after="0" w:line="193" w:lineRule="exact"/>
              <w:rPr>
                <w:sz w:val="20"/>
                <w:szCs w:val="20"/>
                <w:color w:val="auto"/>
              </w:rPr>
            </w:pPr>
            <w:r>
              <w:rPr>
                <w:rFonts w:ascii="Arial" w:cs="Arial" w:eastAsia="Arial" w:hAnsi="Arial"/>
                <w:sz w:val="14"/>
                <w:szCs w:val="14"/>
                <w:color w:val="34657F"/>
              </w:rPr>
              <w:t xml:space="preserve">●   </w:t>
            </w:r>
            <w:r>
              <w:rPr>
                <w:rFonts w:ascii="Arial" w:cs="Arial" w:eastAsia="Arial" w:hAnsi="Arial"/>
                <w:sz w:val="17"/>
                <w:szCs w:val="17"/>
                <w:color w:val="000000"/>
              </w:rPr>
              <w:t>reviewing and discussing the Company's Annual Reports on Form 10-K and Quarterly Reports on Form 10-Q</w:t>
            </w:r>
          </w:p>
        </w:tc>
        <w:tc>
          <w:tcPr>
            <w:tcW w:w="2280" w:type="dxa"/>
            <w:vAlign w:val="bottom"/>
            <w:gridSpan w:val="2"/>
          </w:tcPr>
          <w:p>
            <w:pPr>
              <w:ind w:left="40"/>
              <w:spacing w:after="0" w:line="193" w:lineRule="exact"/>
              <w:rPr>
                <w:sz w:val="20"/>
                <w:szCs w:val="20"/>
                <w:color w:val="auto"/>
              </w:rPr>
            </w:pPr>
            <w:r>
              <w:rPr>
                <w:rFonts w:ascii="Arial" w:cs="Arial" w:eastAsia="Arial" w:hAnsi="Arial"/>
                <w:sz w:val="17"/>
                <w:szCs w:val="17"/>
                <w:b w:val="1"/>
                <w:bCs w:val="1"/>
                <w:color w:val="34657F"/>
              </w:rPr>
              <w:t>Literacy and Audit</w:t>
            </w:r>
          </w:p>
        </w:tc>
        <w:tc>
          <w:tcPr>
            <w:tcW w:w="0" w:type="dxa"/>
            <w:vAlign w:val="bottom"/>
          </w:tcPr>
          <w:p>
            <w:pPr>
              <w:spacing w:after="0"/>
              <w:rPr>
                <w:sz w:val="1"/>
                <w:szCs w:val="1"/>
                <w:color w:val="auto"/>
              </w:rPr>
            </w:pPr>
          </w:p>
        </w:tc>
      </w:tr>
      <w:tr>
        <w:trPr>
          <w:trHeight w:val="192"/>
        </w:trPr>
        <w:tc>
          <w:tcPr>
            <w:tcW w:w="9020" w:type="dxa"/>
            <w:vAlign w:val="bottom"/>
            <w:vMerge w:val="restart"/>
            <w:shd w:val="clear" w:color="auto" w:fill="D1DDE6"/>
          </w:tcPr>
          <w:p>
            <w:pPr>
              <w:ind w:left="40"/>
              <w:spacing w:after="0"/>
              <w:rPr>
                <w:sz w:val="20"/>
                <w:szCs w:val="20"/>
                <w:color w:val="auto"/>
              </w:rPr>
            </w:pPr>
            <w:r>
              <w:rPr>
                <w:rFonts w:ascii="Arial" w:cs="Arial" w:eastAsia="Arial" w:hAnsi="Arial"/>
                <w:sz w:val="14"/>
                <w:szCs w:val="14"/>
                <w:color w:val="34657F"/>
              </w:rPr>
              <w:t xml:space="preserve">●   </w:t>
            </w:r>
            <w:r>
              <w:rPr>
                <w:rFonts w:ascii="Arial" w:cs="Arial" w:eastAsia="Arial" w:hAnsi="Arial"/>
                <w:sz w:val="17"/>
                <w:szCs w:val="17"/>
                <w:color w:val="000000"/>
              </w:rPr>
              <w:t>reviewing and discussing management's assessment of, and report on, the effectiveness of the Company's internal</w:t>
            </w:r>
          </w:p>
        </w:tc>
        <w:tc>
          <w:tcPr>
            <w:tcW w:w="2280" w:type="dxa"/>
            <w:vAlign w:val="bottom"/>
            <w:gridSpan w:val="2"/>
          </w:tcPr>
          <w:p>
            <w:pPr>
              <w:ind w:left="40"/>
              <w:spacing w:after="0" w:line="193" w:lineRule="exact"/>
              <w:rPr>
                <w:sz w:val="20"/>
                <w:szCs w:val="20"/>
                <w:color w:val="auto"/>
              </w:rPr>
            </w:pPr>
            <w:r>
              <w:rPr>
                <w:rFonts w:ascii="Arial" w:cs="Arial" w:eastAsia="Arial" w:hAnsi="Arial"/>
                <w:sz w:val="17"/>
                <w:szCs w:val="17"/>
                <w:b w:val="1"/>
                <w:bCs w:val="1"/>
                <w:color w:val="34657F"/>
              </w:rPr>
              <w:t>Committee Financial</w:t>
            </w:r>
          </w:p>
        </w:tc>
        <w:tc>
          <w:tcPr>
            <w:tcW w:w="0" w:type="dxa"/>
            <w:vAlign w:val="bottom"/>
          </w:tcPr>
          <w:p>
            <w:pPr>
              <w:spacing w:after="0"/>
              <w:rPr>
                <w:sz w:val="1"/>
                <w:szCs w:val="1"/>
                <w:color w:val="auto"/>
              </w:rPr>
            </w:pPr>
          </w:p>
        </w:tc>
      </w:tr>
      <w:tr>
        <w:trPr>
          <w:trHeight w:val="161"/>
        </w:trPr>
        <w:tc>
          <w:tcPr>
            <w:tcW w:w="9020" w:type="dxa"/>
            <w:vAlign w:val="bottom"/>
            <w:vMerge w:val="continue"/>
            <w:shd w:val="clear" w:color="auto" w:fill="D1DDE6"/>
          </w:tcPr>
          <w:p>
            <w:pPr>
              <w:spacing w:after="0"/>
              <w:rPr>
                <w:sz w:val="14"/>
                <w:szCs w:val="14"/>
                <w:color w:val="auto"/>
              </w:rPr>
            </w:pPr>
          </w:p>
        </w:tc>
        <w:tc>
          <w:tcPr>
            <w:tcW w:w="2280" w:type="dxa"/>
            <w:vAlign w:val="bottom"/>
            <w:gridSpan w:val="2"/>
          </w:tcPr>
          <w:p>
            <w:pPr>
              <w:ind w:left="40"/>
              <w:spacing w:after="0" w:line="161" w:lineRule="exact"/>
              <w:rPr>
                <w:sz w:val="20"/>
                <w:szCs w:val="20"/>
                <w:color w:val="auto"/>
              </w:rPr>
            </w:pPr>
            <w:r>
              <w:rPr>
                <w:rFonts w:ascii="Arial" w:cs="Arial" w:eastAsia="Arial" w:hAnsi="Arial"/>
                <w:sz w:val="17"/>
                <w:szCs w:val="17"/>
                <w:b w:val="1"/>
                <w:bCs w:val="1"/>
                <w:color w:val="34657F"/>
              </w:rPr>
              <w:t>Experts</w:t>
            </w:r>
          </w:p>
        </w:tc>
        <w:tc>
          <w:tcPr>
            <w:tcW w:w="0" w:type="dxa"/>
            <w:vAlign w:val="bottom"/>
          </w:tcPr>
          <w:p>
            <w:pPr>
              <w:spacing w:after="0"/>
              <w:rPr>
                <w:sz w:val="1"/>
                <w:szCs w:val="1"/>
                <w:color w:val="auto"/>
              </w:rPr>
            </w:pPr>
          </w:p>
        </w:tc>
      </w:tr>
      <w:tr>
        <w:trPr>
          <w:trHeight w:val="205"/>
        </w:trPr>
        <w:tc>
          <w:tcPr>
            <w:tcW w:w="9020" w:type="dxa"/>
            <w:vAlign w:val="bottom"/>
            <w:shd w:val="clear" w:color="auto" w:fill="D1DDE6"/>
          </w:tcPr>
          <w:p>
            <w:pPr>
              <w:ind w:left="280"/>
              <w:spacing w:after="0"/>
              <w:rPr>
                <w:sz w:val="20"/>
                <w:szCs w:val="20"/>
                <w:color w:val="auto"/>
              </w:rPr>
            </w:pPr>
            <w:r>
              <w:rPr>
                <w:rFonts w:ascii="Arial" w:cs="Arial" w:eastAsia="Arial" w:hAnsi="Arial"/>
                <w:sz w:val="17"/>
                <w:szCs w:val="17"/>
                <w:color w:val="auto"/>
              </w:rPr>
              <w:t>control over financial reporting at least annually and the independent auditor's related report</w:t>
            </w:r>
          </w:p>
        </w:tc>
        <w:tc>
          <w:tcPr>
            <w:tcW w:w="2280" w:type="dxa"/>
            <w:vAlign w:val="bottom"/>
            <w:gridSpan w:val="2"/>
            <w:vMerge w:val="restart"/>
          </w:tcPr>
          <w:p>
            <w:pPr>
              <w:ind w:left="40"/>
              <w:spacing w:after="0"/>
              <w:rPr>
                <w:sz w:val="20"/>
                <w:szCs w:val="20"/>
                <w:color w:val="auto"/>
              </w:rPr>
            </w:pPr>
            <w:r>
              <w:rPr>
                <w:rFonts w:ascii="Arial" w:cs="Arial" w:eastAsia="Arial" w:hAnsi="Arial"/>
                <w:sz w:val="17"/>
                <w:szCs w:val="17"/>
                <w:color w:val="auto"/>
                <w:w w:val="99"/>
              </w:rPr>
              <w:t>All members are independent</w:t>
            </w:r>
          </w:p>
        </w:tc>
        <w:tc>
          <w:tcPr>
            <w:tcW w:w="0" w:type="dxa"/>
            <w:vAlign w:val="bottom"/>
          </w:tcPr>
          <w:p>
            <w:pPr>
              <w:spacing w:after="0"/>
              <w:rPr>
                <w:sz w:val="1"/>
                <w:szCs w:val="1"/>
                <w:color w:val="auto"/>
              </w:rPr>
            </w:pPr>
          </w:p>
        </w:tc>
      </w:tr>
      <w:tr>
        <w:trPr>
          <w:trHeight w:val="129"/>
        </w:trPr>
        <w:tc>
          <w:tcPr>
            <w:tcW w:w="9020" w:type="dxa"/>
            <w:vAlign w:val="bottom"/>
            <w:vMerge w:val="restart"/>
            <w:shd w:val="clear" w:color="auto" w:fill="D1DDE6"/>
          </w:tcPr>
          <w:p>
            <w:pPr>
              <w:ind w:left="40"/>
              <w:spacing w:after="0"/>
              <w:rPr>
                <w:sz w:val="20"/>
                <w:szCs w:val="20"/>
                <w:color w:val="auto"/>
              </w:rPr>
            </w:pPr>
            <w:r>
              <w:rPr>
                <w:rFonts w:ascii="Arial" w:cs="Arial" w:eastAsia="Arial" w:hAnsi="Arial"/>
                <w:sz w:val="14"/>
                <w:szCs w:val="14"/>
                <w:color w:val="34657F"/>
              </w:rPr>
              <w:t xml:space="preserve">●   </w:t>
            </w:r>
            <w:r>
              <w:rPr>
                <w:rFonts w:ascii="Arial" w:cs="Arial" w:eastAsia="Arial" w:hAnsi="Arial"/>
                <w:sz w:val="17"/>
                <w:szCs w:val="17"/>
                <w:color w:val="000000"/>
              </w:rPr>
              <w:t>reviewing and discussing with the independent auditor the Company's critical accounting policies, and material</w:t>
            </w:r>
          </w:p>
        </w:tc>
        <w:tc>
          <w:tcPr>
            <w:tcW w:w="22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9020" w:type="dxa"/>
            <w:vAlign w:val="bottom"/>
            <w:vMerge w:val="continue"/>
            <w:shd w:val="clear" w:color="auto" w:fill="D1DDE6"/>
          </w:tcPr>
          <w:p>
            <w:pPr>
              <w:spacing w:after="0"/>
              <w:rPr>
                <w:sz w:val="15"/>
                <w:szCs w:val="15"/>
                <w:color w:val="auto"/>
              </w:rPr>
            </w:pPr>
          </w:p>
        </w:tc>
        <w:tc>
          <w:tcPr>
            <w:tcW w:w="2280" w:type="dxa"/>
            <w:vAlign w:val="bottom"/>
            <w:gridSpan w:val="2"/>
          </w:tcPr>
          <w:p>
            <w:pPr>
              <w:ind w:left="40"/>
              <w:spacing w:after="0" w:line="180" w:lineRule="exact"/>
              <w:rPr>
                <w:sz w:val="20"/>
                <w:szCs w:val="20"/>
                <w:color w:val="auto"/>
              </w:rPr>
            </w:pPr>
            <w:r>
              <w:rPr>
                <w:rFonts w:ascii="Arial" w:cs="Arial" w:eastAsia="Arial" w:hAnsi="Arial"/>
                <w:sz w:val="17"/>
                <w:szCs w:val="17"/>
                <w:color w:val="auto"/>
              </w:rPr>
              <w:t>and financially literate</w:t>
            </w:r>
          </w:p>
        </w:tc>
        <w:tc>
          <w:tcPr>
            <w:tcW w:w="0" w:type="dxa"/>
            <w:vAlign w:val="bottom"/>
          </w:tcPr>
          <w:p>
            <w:pPr>
              <w:spacing w:after="0"/>
              <w:rPr>
                <w:sz w:val="1"/>
                <w:szCs w:val="1"/>
                <w:color w:val="auto"/>
              </w:rPr>
            </w:pPr>
          </w:p>
        </w:tc>
      </w:tr>
      <w:tr>
        <w:trPr>
          <w:trHeight w:val="205"/>
        </w:trPr>
        <w:tc>
          <w:tcPr>
            <w:tcW w:w="9020" w:type="dxa"/>
            <w:vAlign w:val="bottom"/>
            <w:shd w:val="clear" w:color="auto" w:fill="D1DDE6"/>
          </w:tcPr>
          <w:p>
            <w:pPr>
              <w:ind w:left="280"/>
              <w:spacing w:after="0"/>
              <w:rPr>
                <w:sz w:val="20"/>
                <w:szCs w:val="20"/>
                <w:color w:val="auto"/>
              </w:rPr>
            </w:pPr>
            <w:r>
              <w:rPr>
                <w:rFonts w:ascii="Arial" w:cs="Arial" w:eastAsia="Arial" w:hAnsi="Arial"/>
                <w:sz w:val="17"/>
                <w:szCs w:val="17"/>
                <w:color w:val="auto"/>
              </w:rPr>
              <w:t>written communications with management</w:t>
            </w:r>
          </w:p>
        </w:tc>
        <w:tc>
          <w:tcPr>
            <w:tcW w:w="2280" w:type="dxa"/>
            <w:vAlign w:val="bottom"/>
            <w:gridSpan w:val="2"/>
            <w:vMerge w:val="restart"/>
          </w:tcPr>
          <w:p>
            <w:pPr>
              <w:ind w:left="40"/>
              <w:spacing w:after="0"/>
              <w:rPr>
                <w:sz w:val="20"/>
                <w:szCs w:val="20"/>
                <w:color w:val="auto"/>
              </w:rPr>
            </w:pPr>
            <w:r>
              <w:rPr>
                <w:rFonts w:ascii="Arial" w:cs="Arial" w:eastAsia="Arial" w:hAnsi="Arial"/>
                <w:sz w:val="17"/>
                <w:szCs w:val="17"/>
                <w:color w:val="auto"/>
              </w:rPr>
              <w:t>Ms. Kleiner and Messrs.</w:t>
            </w:r>
          </w:p>
        </w:tc>
        <w:tc>
          <w:tcPr>
            <w:tcW w:w="0" w:type="dxa"/>
            <w:vAlign w:val="bottom"/>
          </w:tcPr>
          <w:p>
            <w:pPr>
              <w:spacing w:after="0"/>
              <w:rPr>
                <w:sz w:val="1"/>
                <w:szCs w:val="1"/>
                <w:color w:val="auto"/>
              </w:rPr>
            </w:pPr>
          </w:p>
        </w:tc>
      </w:tr>
      <w:tr>
        <w:trPr>
          <w:trHeight w:val="90"/>
        </w:trPr>
        <w:tc>
          <w:tcPr>
            <w:tcW w:w="9020" w:type="dxa"/>
            <w:vAlign w:val="bottom"/>
            <w:shd w:val="clear" w:color="auto" w:fill="D1DDE6"/>
          </w:tcPr>
          <w:p>
            <w:pPr>
              <w:spacing w:after="0"/>
              <w:rPr>
                <w:sz w:val="7"/>
                <w:szCs w:val="7"/>
                <w:color w:val="auto"/>
              </w:rPr>
            </w:pPr>
          </w:p>
        </w:tc>
        <w:tc>
          <w:tcPr>
            <w:tcW w:w="2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2"/>
        </w:trPr>
        <w:tc>
          <w:tcPr>
            <w:tcW w:w="9020" w:type="dxa"/>
            <w:vAlign w:val="bottom"/>
            <w:shd w:val="clear" w:color="auto" w:fill="D1DDE6"/>
          </w:tcPr>
          <w:p>
            <w:pPr>
              <w:ind w:left="40"/>
              <w:spacing w:after="0" w:line="193" w:lineRule="exact"/>
              <w:rPr>
                <w:sz w:val="20"/>
                <w:szCs w:val="20"/>
                <w:color w:val="auto"/>
              </w:rPr>
            </w:pPr>
            <w:r>
              <w:rPr>
                <w:rFonts w:ascii="Arial" w:cs="Arial" w:eastAsia="Arial" w:hAnsi="Arial"/>
                <w:sz w:val="14"/>
                <w:szCs w:val="14"/>
                <w:color w:val="34657F"/>
              </w:rPr>
              <w:t xml:space="preserve">●   </w:t>
            </w:r>
            <w:r>
              <w:rPr>
                <w:rFonts w:ascii="Arial" w:cs="Arial" w:eastAsia="Arial" w:hAnsi="Arial"/>
                <w:sz w:val="17"/>
                <w:szCs w:val="17"/>
                <w:color w:val="000000"/>
              </w:rPr>
              <w:t>reviewing with the General Counsel, at least annually, the status of significant pending litigation and various other</w:t>
            </w:r>
          </w:p>
        </w:tc>
        <w:tc>
          <w:tcPr>
            <w:tcW w:w="2280" w:type="dxa"/>
            <w:vAlign w:val="bottom"/>
            <w:gridSpan w:val="2"/>
          </w:tcPr>
          <w:p>
            <w:pPr>
              <w:ind w:left="40"/>
              <w:spacing w:after="0" w:line="193" w:lineRule="exact"/>
              <w:rPr>
                <w:sz w:val="20"/>
                <w:szCs w:val="20"/>
                <w:color w:val="auto"/>
              </w:rPr>
            </w:pPr>
            <w:r>
              <w:rPr>
                <w:rFonts w:ascii="Arial" w:cs="Arial" w:eastAsia="Arial" w:hAnsi="Arial"/>
                <w:sz w:val="17"/>
                <w:szCs w:val="17"/>
                <w:color w:val="auto"/>
              </w:rPr>
              <w:t>Hernandez and Turley each</w:t>
            </w:r>
          </w:p>
        </w:tc>
        <w:tc>
          <w:tcPr>
            <w:tcW w:w="0" w:type="dxa"/>
            <w:vAlign w:val="bottom"/>
          </w:tcPr>
          <w:p>
            <w:pPr>
              <w:spacing w:after="0"/>
              <w:rPr>
                <w:sz w:val="1"/>
                <w:szCs w:val="1"/>
                <w:color w:val="auto"/>
              </w:rPr>
            </w:pPr>
          </w:p>
        </w:tc>
      </w:tr>
      <w:tr>
        <w:trPr>
          <w:trHeight w:val="192"/>
        </w:trPr>
        <w:tc>
          <w:tcPr>
            <w:tcW w:w="9020" w:type="dxa"/>
            <w:vAlign w:val="bottom"/>
            <w:shd w:val="clear" w:color="auto" w:fill="D1DDE6"/>
          </w:tcPr>
          <w:p>
            <w:pPr>
              <w:ind w:left="280"/>
              <w:spacing w:after="0" w:line="193" w:lineRule="exact"/>
              <w:rPr>
                <w:sz w:val="20"/>
                <w:szCs w:val="20"/>
                <w:color w:val="auto"/>
              </w:rPr>
            </w:pPr>
            <w:r>
              <w:rPr>
                <w:rFonts w:ascii="Arial" w:cs="Arial" w:eastAsia="Arial" w:hAnsi="Arial"/>
                <w:sz w:val="17"/>
                <w:szCs w:val="17"/>
                <w:color w:val="auto"/>
              </w:rPr>
              <w:t>significant legal, compliance or regulatory matters</w:t>
            </w:r>
          </w:p>
        </w:tc>
        <w:tc>
          <w:tcPr>
            <w:tcW w:w="2280" w:type="dxa"/>
            <w:vAlign w:val="bottom"/>
            <w:gridSpan w:val="2"/>
          </w:tcPr>
          <w:p>
            <w:pPr>
              <w:ind w:left="40"/>
              <w:spacing w:after="0" w:line="193" w:lineRule="exact"/>
              <w:rPr>
                <w:sz w:val="20"/>
                <w:szCs w:val="20"/>
                <w:color w:val="auto"/>
              </w:rPr>
            </w:pPr>
            <w:r>
              <w:rPr>
                <w:rFonts w:ascii="Arial" w:cs="Arial" w:eastAsia="Arial" w:hAnsi="Arial"/>
                <w:sz w:val="17"/>
                <w:szCs w:val="17"/>
                <w:color w:val="auto"/>
              </w:rPr>
              <w:t>qualifies as an Audit</w:t>
            </w:r>
          </w:p>
        </w:tc>
        <w:tc>
          <w:tcPr>
            <w:tcW w:w="0" w:type="dxa"/>
            <w:vAlign w:val="bottom"/>
          </w:tcPr>
          <w:p>
            <w:pPr>
              <w:spacing w:after="0"/>
              <w:rPr>
                <w:sz w:val="1"/>
                <w:szCs w:val="1"/>
                <w:color w:val="auto"/>
              </w:rPr>
            </w:pPr>
          </w:p>
        </w:tc>
      </w:tr>
      <w:tr>
        <w:trPr>
          <w:trHeight w:val="205"/>
        </w:trPr>
        <w:tc>
          <w:tcPr>
            <w:tcW w:w="9020" w:type="dxa"/>
            <w:vAlign w:val="bottom"/>
            <w:vMerge w:val="restart"/>
            <w:shd w:val="clear" w:color="auto" w:fill="D1DDE6"/>
          </w:tcPr>
          <w:p>
            <w:pPr>
              <w:ind w:left="40"/>
              <w:spacing w:after="0"/>
              <w:rPr>
                <w:sz w:val="20"/>
                <w:szCs w:val="20"/>
                <w:color w:val="auto"/>
              </w:rPr>
            </w:pPr>
            <w:r>
              <w:rPr>
                <w:rFonts w:ascii="Arial" w:cs="Arial" w:eastAsia="Arial" w:hAnsi="Arial"/>
                <w:sz w:val="14"/>
                <w:szCs w:val="14"/>
                <w:color w:val="34657F"/>
              </w:rPr>
              <w:t xml:space="preserve">●   </w:t>
            </w:r>
            <w:r>
              <w:rPr>
                <w:rFonts w:ascii="Arial" w:cs="Arial" w:eastAsia="Arial" w:hAnsi="Arial"/>
                <w:sz w:val="17"/>
                <w:szCs w:val="17"/>
                <w:color w:val="000000"/>
              </w:rPr>
              <w:t>reviewing with the Chief Compliance Officer, at least annually, the Company's compliance program</w:t>
            </w:r>
          </w:p>
        </w:tc>
        <w:tc>
          <w:tcPr>
            <w:tcW w:w="2280" w:type="dxa"/>
            <w:vAlign w:val="bottom"/>
            <w:gridSpan w:val="2"/>
          </w:tcPr>
          <w:p>
            <w:pPr>
              <w:ind w:left="40"/>
              <w:spacing w:after="0"/>
              <w:rPr>
                <w:sz w:val="20"/>
                <w:szCs w:val="20"/>
                <w:color w:val="auto"/>
              </w:rPr>
            </w:pPr>
            <w:r>
              <w:rPr>
                <w:rFonts w:ascii="Arial" w:cs="Arial" w:eastAsia="Arial" w:hAnsi="Arial"/>
                <w:sz w:val="17"/>
                <w:szCs w:val="17"/>
                <w:color w:val="auto"/>
              </w:rPr>
              <w:t>Committee Financial Expert</w:t>
            </w:r>
          </w:p>
        </w:tc>
        <w:tc>
          <w:tcPr>
            <w:tcW w:w="0" w:type="dxa"/>
            <w:vAlign w:val="bottom"/>
          </w:tcPr>
          <w:p>
            <w:pPr>
              <w:spacing w:after="0"/>
              <w:rPr>
                <w:sz w:val="1"/>
                <w:szCs w:val="1"/>
                <w:color w:val="auto"/>
              </w:rPr>
            </w:pPr>
          </w:p>
        </w:tc>
      </w:tr>
      <w:tr>
        <w:trPr>
          <w:trHeight w:val="154"/>
        </w:trPr>
        <w:tc>
          <w:tcPr>
            <w:tcW w:w="9020" w:type="dxa"/>
            <w:vAlign w:val="bottom"/>
            <w:vMerge w:val="continue"/>
            <w:shd w:val="clear" w:color="auto" w:fill="D1DDE6"/>
          </w:tcPr>
          <w:p>
            <w:pPr>
              <w:spacing w:after="0"/>
              <w:rPr>
                <w:sz w:val="13"/>
                <w:szCs w:val="13"/>
                <w:color w:val="auto"/>
              </w:rPr>
            </w:pPr>
          </w:p>
        </w:tc>
        <w:tc>
          <w:tcPr>
            <w:tcW w:w="5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21"/>
        </w:trPr>
        <w:tc>
          <w:tcPr>
            <w:tcW w:w="9020" w:type="dxa"/>
            <w:vAlign w:val="bottom"/>
            <w:shd w:val="clear" w:color="auto" w:fill="D1DDE6"/>
          </w:tcPr>
          <w:p>
            <w:pPr>
              <w:ind w:left="40"/>
              <w:spacing w:after="0"/>
              <w:rPr>
                <w:sz w:val="20"/>
                <w:szCs w:val="20"/>
                <w:color w:val="auto"/>
              </w:rPr>
            </w:pPr>
            <w:r>
              <w:rPr>
                <w:rFonts w:ascii="Arial" w:cs="Arial" w:eastAsia="Arial" w:hAnsi="Arial"/>
                <w:sz w:val="14"/>
                <w:szCs w:val="14"/>
                <w:color w:val="34657F"/>
              </w:rPr>
              <w:t xml:space="preserve">●   </w:t>
            </w:r>
            <w:r>
              <w:rPr>
                <w:rFonts w:ascii="Arial" w:cs="Arial" w:eastAsia="Arial" w:hAnsi="Arial"/>
                <w:sz w:val="17"/>
                <w:szCs w:val="17"/>
                <w:color w:val="000000"/>
              </w:rPr>
              <w:t>discussing guidelines and policies regarding risk assessment and risk management</w:t>
            </w:r>
          </w:p>
        </w:tc>
        <w:tc>
          <w:tcPr>
            <w:tcW w:w="5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8"/>
        </w:trPr>
        <w:tc>
          <w:tcPr>
            <w:tcW w:w="9020" w:type="dxa"/>
            <w:vAlign w:val="bottom"/>
            <w:shd w:val="clear" w:color="auto" w:fill="D1DDE6"/>
          </w:tcPr>
          <w:p>
            <w:pPr>
              <w:ind w:left="40"/>
              <w:spacing w:after="0"/>
              <w:rPr>
                <w:sz w:val="20"/>
                <w:szCs w:val="20"/>
                <w:color w:val="auto"/>
              </w:rPr>
            </w:pPr>
            <w:r>
              <w:rPr>
                <w:rFonts w:ascii="Arial" w:cs="Arial" w:eastAsia="Arial" w:hAnsi="Arial"/>
                <w:sz w:val="14"/>
                <w:szCs w:val="14"/>
                <w:color w:val="34657F"/>
              </w:rPr>
              <w:t xml:space="preserve">●   </w:t>
            </w:r>
            <w:r>
              <w:rPr>
                <w:rFonts w:ascii="Arial" w:cs="Arial" w:eastAsia="Arial" w:hAnsi="Arial"/>
                <w:sz w:val="17"/>
                <w:szCs w:val="17"/>
                <w:color w:val="000000"/>
              </w:rPr>
              <w:t>reviewing any significant issues raised by the internal audit function and, as appropriate, management's actions for</w:t>
            </w:r>
          </w:p>
        </w:tc>
        <w:tc>
          <w:tcPr>
            <w:tcW w:w="5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9020" w:type="dxa"/>
            <w:vAlign w:val="bottom"/>
            <w:shd w:val="clear" w:color="auto" w:fill="D1DDE6"/>
          </w:tcPr>
          <w:p>
            <w:pPr>
              <w:ind w:left="280"/>
              <w:spacing w:after="0"/>
              <w:rPr>
                <w:sz w:val="20"/>
                <w:szCs w:val="20"/>
                <w:color w:val="auto"/>
              </w:rPr>
            </w:pPr>
            <w:r>
              <w:rPr>
                <w:rFonts w:ascii="Arial" w:cs="Arial" w:eastAsia="Arial" w:hAnsi="Arial"/>
                <w:sz w:val="17"/>
                <w:szCs w:val="17"/>
                <w:color w:val="auto"/>
              </w:rPr>
              <w:t>remediation</w:t>
            </w:r>
          </w:p>
        </w:tc>
        <w:tc>
          <w:tcPr>
            <w:tcW w:w="5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8"/>
        </w:trPr>
        <w:tc>
          <w:tcPr>
            <w:tcW w:w="9020" w:type="dxa"/>
            <w:vAlign w:val="bottom"/>
            <w:shd w:val="clear" w:color="auto" w:fill="D1DDE6"/>
          </w:tcPr>
          <w:p>
            <w:pPr>
              <w:ind w:left="40"/>
              <w:spacing w:after="0"/>
              <w:rPr>
                <w:sz w:val="20"/>
                <w:szCs w:val="20"/>
                <w:color w:val="auto"/>
              </w:rPr>
            </w:pPr>
            <w:r>
              <w:rPr>
                <w:rFonts w:ascii="Arial" w:cs="Arial" w:eastAsia="Arial" w:hAnsi="Arial"/>
                <w:sz w:val="14"/>
                <w:szCs w:val="14"/>
                <w:color w:val="34657F"/>
              </w:rPr>
              <w:t xml:space="preserve">●   </w:t>
            </w:r>
            <w:r>
              <w:rPr>
                <w:rFonts w:ascii="Arial" w:cs="Arial" w:eastAsia="Arial" w:hAnsi="Arial"/>
                <w:sz w:val="17"/>
                <w:szCs w:val="17"/>
                <w:color w:val="000000"/>
              </w:rPr>
              <w:t>establishing and periodically reviewing and discussing with management the Company's procedures for the</w:t>
            </w:r>
          </w:p>
        </w:tc>
        <w:tc>
          <w:tcPr>
            <w:tcW w:w="5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9020" w:type="dxa"/>
            <w:vAlign w:val="bottom"/>
            <w:shd w:val="clear" w:color="auto" w:fill="D1DDE6"/>
          </w:tcPr>
          <w:p>
            <w:pPr>
              <w:ind w:left="280"/>
              <w:spacing w:after="0"/>
              <w:rPr>
                <w:sz w:val="20"/>
                <w:szCs w:val="20"/>
                <w:color w:val="auto"/>
              </w:rPr>
            </w:pPr>
            <w:r>
              <w:rPr>
                <w:rFonts w:ascii="Arial" w:cs="Arial" w:eastAsia="Arial" w:hAnsi="Arial"/>
                <w:sz w:val="17"/>
                <w:szCs w:val="17"/>
                <w:color w:val="auto"/>
              </w:rPr>
              <w:t>receipt, retention and treatment of complaints regarding accounting, internal accounting controls or auditing matters</w:t>
            </w:r>
          </w:p>
        </w:tc>
        <w:tc>
          <w:tcPr>
            <w:tcW w:w="5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1"/>
        </w:trPr>
        <w:tc>
          <w:tcPr>
            <w:tcW w:w="9020" w:type="dxa"/>
            <w:vAlign w:val="bottom"/>
            <w:shd w:val="clear" w:color="auto" w:fill="D1DDE6"/>
          </w:tcPr>
          <w:p>
            <w:pPr>
              <w:spacing w:after="0"/>
              <w:rPr>
                <w:sz w:val="7"/>
                <w:szCs w:val="7"/>
                <w:color w:val="auto"/>
              </w:rPr>
            </w:pPr>
          </w:p>
        </w:tc>
        <w:tc>
          <w:tcPr>
            <w:tcW w:w="540" w:type="dxa"/>
            <w:vAlign w:val="bottom"/>
          </w:tcPr>
          <w:p>
            <w:pPr>
              <w:spacing w:after="0"/>
              <w:rPr>
                <w:sz w:val="7"/>
                <w:szCs w:val="7"/>
                <w:color w:val="auto"/>
              </w:rPr>
            </w:pPr>
          </w:p>
        </w:tc>
        <w:tc>
          <w:tcPr>
            <w:tcW w:w="17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138430</wp:posOffset>
            </wp:positionV>
            <wp:extent cx="7261860" cy="227965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61860" cy="2279650"/>
                    </a:xfrm>
                    <a:prstGeom prst="rect">
                      <a:avLst/>
                    </a:prstGeom>
                    <a:noFill/>
                  </pic:spPr>
                </pic:pic>
              </a:graphicData>
            </a:graphic>
          </wp:anchor>
        </w:drawing>
      </w:r>
    </w:p>
    <w:p>
      <w:pPr>
        <w:spacing w:after="0" w:line="208" w:lineRule="exact"/>
        <w:rPr>
          <w:sz w:val="20"/>
          <w:szCs w:val="20"/>
          <w:color w:val="auto"/>
        </w:rPr>
      </w:pPr>
    </w:p>
    <w:p>
      <w:pPr>
        <w:ind w:left="40"/>
        <w:spacing w:after="0"/>
        <w:rPr>
          <w:sz w:val="20"/>
          <w:szCs w:val="20"/>
          <w:color w:val="auto"/>
        </w:rPr>
      </w:pPr>
      <w:r>
        <w:rPr>
          <w:rFonts w:ascii="Arial" w:cs="Arial" w:eastAsia="Arial" w:hAnsi="Arial"/>
          <w:sz w:val="24"/>
          <w:szCs w:val="24"/>
          <w:b w:val="1"/>
          <w:bCs w:val="1"/>
          <w:color w:val="34657F"/>
        </w:rPr>
        <w:t>Compensation Committee</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9020" w:type="dxa"/>
            <w:vAlign w:val="bottom"/>
            <w:shd w:val="clear" w:color="auto" w:fill="D1DDE6"/>
          </w:tcPr>
          <w:p>
            <w:pPr>
              <w:ind w:left="40"/>
              <w:spacing w:after="0"/>
              <w:rPr>
                <w:sz w:val="20"/>
                <w:szCs w:val="20"/>
                <w:color w:val="auto"/>
              </w:rPr>
            </w:pPr>
            <w:r>
              <w:rPr>
                <w:rFonts w:ascii="Arial" w:cs="Arial" w:eastAsia="Arial" w:hAnsi="Arial"/>
                <w:sz w:val="17"/>
                <w:szCs w:val="17"/>
                <w:b w:val="1"/>
                <w:bCs w:val="1"/>
                <w:color w:val="34657F"/>
              </w:rPr>
              <w:t>Roles and Responsibilities</w:t>
            </w:r>
          </w:p>
        </w:tc>
        <w:tc>
          <w:tcPr>
            <w:tcW w:w="2420" w:type="dxa"/>
            <w:vAlign w:val="bottom"/>
            <w:gridSpan w:val="2"/>
          </w:tcPr>
          <w:p>
            <w:pPr>
              <w:ind w:left="40"/>
              <w:spacing w:after="0"/>
              <w:rPr>
                <w:sz w:val="20"/>
                <w:szCs w:val="20"/>
                <w:color w:val="auto"/>
              </w:rPr>
            </w:pPr>
            <w:r>
              <w:rPr>
                <w:rFonts w:ascii="Arial" w:cs="Arial" w:eastAsia="Arial" w:hAnsi="Arial"/>
                <w:sz w:val="17"/>
                <w:szCs w:val="17"/>
                <w:b w:val="1"/>
                <w:bCs w:val="1"/>
                <w:color w:val="34657F"/>
              </w:rPr>
              <w:t>Committee Members</w:t>
            </w:r>
          </w:p>
        </w:tc>
        <w:tc>
          <w:tcPr>
            <w:tcW w:w="0" w:type="dxa"/>
            <w:vAlign w:val="bottom"/>
          </w:tcPr>
          <w:p>
            <w:pPr>
              <w:spacing w:after="0"/>
              <w:rPr>
                <w:sz w:val="1"/>
                <w:szCs w:val="1"/>
                <w:color w:val="auto"/>
              </w:rPr>
            </w:pPr>
          </w:p>
        </w:tc>
      </w:tr>
      <w:tr>
        <w:trPr>
          <w:trHeight w:val="306"/>
        </w:trPr>
        <w:tc>
          <w:tcPr>
            <w:tcW w:w="9020" w:type="dxa"/>
            <w:vAlign w:val="bottom"/>
            <w:shd w:val="clear" w:color="auto" w:fill="D1DDE6"/>
          </w:tcPr>
          <w:p>
            <w:pPr>
              <w:ind w:left="40"/>
              <w:spacing w:after="0"/>
              <w:rPr>
                <w:sz w:val="20"/>
                <w:szCs w:val="20"/>
                <w:color w:val="auto"/>
              </w:rPr>
            </w:pPr>
            <w:r>
              <w:rPr>
                <w:rFonts w:ascii="Arial" w:cs="Arial" w:eastAsia="Arial" w:hAnsi="Arial"/>
                <w:sz w:val="17"/>
                <w:szCs w:val="17"/>
                <w:color w:val="auto"/>
              </w:rPr>
              <w:t>Assist the Board in overseeing the Company's compensation policies and practices by:</w:t>
            </w:r>
          </w:p>
        </w:tc>
        <w:tc>
          <w:tcPr>
            <w:tcW w:w="2420" w:type="dxa"/>
            <w:vAlign w:val="bottom"/>
            <w:gridSpan w:val="2"/>
          </w:tcPr>
          <w:p>
            <w:pPr>
              <w:ind w:left="40"/>
              <w:spacing w:after="0"/>
              <w:rPr>
                <w:sz w:val="20"/>
                <w:szCs w:val="20"/>
                <w:color w:val="auto"/>
              </w:rPr>
            </w:pPr>
            <w:r>
              <w:rPr>
                <w:rFonts w:ascii="Arial" w:cs="Arial" w:eastAsia="Arial" w:hAnsi="Arial"/>
                <w:sz w:val="17"/>
                <w:szCs w:val="17"/>
                <w:color w:val="auto"/>
              </w:rPr>
              <w:t>Thomas M. Schoewe (chair)</w:t>
            </w:r>
          </w:p>
        </w:tc>
        <w:tc>
          <w:tcPr>
            <w:tcW w:w="0" w:type="dxa"/>
            <w:vAlign w:val="bottom"/>
          </w:tcPr>
          <w:p>
            <w:pPr>
              <w:spacing w:after="0"/>
              <w:rPr>
                <w:sz w:val="1"/>
                <w:szCs w:val="1"/>
                <w:color w:val="auto"/>
              </w:rPr>
            </w:pPr>
          </w:p>
        </w:tc>
      </w:tr>
      <w:tr>
        <w:trPr>
          <w:trHeight w:val="192"/>
        </w:trPr>
        <w:tc>
          <w:tcPr>
            <w:tcW w:w="9020" w:type="dxa"/>
            <w:vAlign w:val="bottom"/>
            <w:vMerge w:val="restart"/>
            <w:shd w:val="clear" w:color="auto" w:fill="D1DDE6"/>
          </w:tcPr>
          <w:p>
            <w:pPr>
              <w:ind w:left="40"/>
              <w:spacing w:after="0"/>
              <w:rPr>
                <w:sz w:val="20"/>
                <w:szCs w:val="20"/>
                <w:color w:val="auto"/>
              </w:rPr>
            </w:pPr>
            <w:r>
              <w:rPr>
                <w:rFonts w:ascii="Arial" w:cs="Arial" w:eastAsia="Arial" w:hAnsi="Arial"/>
                <w:sz w:val="14"/>
                <w:szCs w:val="14"/>
                <w:color w:val="34657F"/>
              </w:rPr>
              <w:t xml:space="preserve">●   </w:t>
            </w:r>
            <w:r>
              <w:rPr>
                <w:rFonts w:ascii="Arial" w:cs="Arial" w:eastAsia="Arial" w:hAnsi="Arial"/>
                <w:sz w:val="17"/>
                <w:szCs w:val="17"/>
                <w:color w:val="000000"/>
              </w:rPr>
              <w:t>approving the compensation for elected officers (other than the Chief Executive Officer, whose compensation is</w:t>
            </w:r>
          </w:p>
        </w:tc>
        <w:tc>
          <w:tcPr>
            <w:tcW w:w="2420" w:type="dxa"/>
            <w:vAlign w:val="bottom"/>
            <w:gridSpan w:val="2"/>
          </w:tcPr>
          <w:p>
            <w:pPr>
              <w:ind w:left="40"/>
              <w:spacing w:after="0" w:line="193" w:lineRule="exact"/>
              <w:rPr>
                <w:sz w:val="20"/>
                <w:szCs w:val="20"/>
                <w:color w:val="auto"/>
              </w:rPr>
            </w:pPr>
            <w:r>
              <w:rPr>
                <w:rFonts w:ascii="Arial" w:cs="Arial" w:eastAsia="Arial" w:hAnsi="Arial"/>
                <w:sz w:val="17"/>
                <w:szCs w:val="17"/>
                <w:color w:val="auto"/>
              </w:rPr>
              <w:t>Marianne C. Brown</w:t>
            </w:r>
          </w:p>
        </w:tc>
        <w:tc>
          <w:tcPr>
            <w:tcW w:w="0" w:type="dxa"/>
            <w:vAlign w:val="bottom"/>
          </w:tcPr>
          <w:p>
            <w:pPr>
              <w:spacing w:after="0"/>
              <w:rPr>
                <w:sz w:val="1"/>
                <w:szCs w:val="1"/>
                <w:color w:val="auto"/>
              </w:rPr>
            </w:pPr>
          </w:p>
        </w:tc>
      </w:tr>
      <w:tr>
        <w:trPr>
          <w:trHeight w:val="128"/>
        </w:trPr>
        <w:tc>
          <w:tcPr>
            <w:tcW w:w="9020" w:type="dxa"/>
            <w:vAlign w:val="bottom"/>
            <w:vMerge w:val="continue"/>
            <w:shd w:val="clear" w:color="auto" w:fill="D1DDE6"/>
          </w:tcPr>
          <w:p>
            <w:pPr>
              <w:spacing w:after="0"/>
              <w:rPr>
                <w:sz w:val="11"/>
                <w:szCs w:val="11"/>
                <w:color w:val="auto"/>
              </w:rPr>
            </w:pPr>
          </w:p>
        </w:tc>
        <w:tc>
          <w:tcPr>
            <w:tcW w:w="2420" w:type="dxa"/>
            <w:vAlign w:val="bottom"/>
            <w:gridSpan w:val="2"/>
            <w:vMerge w:val="restart"/>
          </w:tcPr>
          <w:p>
            <w:pPr>
              <w:ind w:left="40"/>
              <w:spacing w:after="0" w:line="193" w:lineRule="exact"/>
              <w:rPr>
                <w:sz w:val="20"/>
                <w:szCs w:val="20"/>
                <w:color w:val="auto"/>
              </w:rPr>
            </w:pPr>
            <w:r>
              <w:rPr>
                <w:rFonts w:ascii="Arial" w:cs="Arial" w:eastAsia="Arial" w:hAnsi="Arial"/>
                <w:sz w:val="17"/>
                <w:szCs w:val="17"/>
                <w:color w:val="auto"/>
              </w:rPr>
              <w:t>Donald E. Felsinger</w:t>
            </w:r>
          </w:p>
        </w:tc>
        <w:tc>
          <w:tcPr>
            <w:tcW w:w="0" w:type="dxa"/>
            <w:vAlign w:val="bottom"/>
          </w:tcPr>
          <w:p>
            <w:pPr>
              <w:spacing w:after="0"/>
              <w:rPr>
                <w:sz w:val="1"/>
                <w:szCs w:val="1"/>
                <w:color w:val="auto"/>
              </w:rPr>
            </w:pPr>
          </w:p>
        </w:tc>
      </w:tr>
      <w:tr>
        <w:trPr>
          <w:trHeight w:val="64"/>
        </w:trPr>
        <w:tc>
          <w:tcPr>
            <w:tcW w:w="9020" w:type="dxa"/>
            <w:vAlign w:val="bottom"/>
            <w:vMerge w:val="restart"/>
            <w:shd w:val="clear" w:color="auto" w:fill="D1DDE6"/>
          </w:tcPr>
          <w:p>
            <w:pPr>
              <w:ind w:left="280"/>
              <w:spacing w:after="0"/>
              <w:rPr>
                <w:sz w:val="20"/>
                <w:szCs w:val="20"/>
                <w:color w:val="auto"/>
              </w:rPr>
            </w:pPr>
            <w:r>
              <w:rPr>
                <w:rFonts w:ascii="Arial" w:cs="Arial" w:eastAsia="Arial" w:hAnsi="Arial"/>
                <w:sz w:val="17"/>
                <w:szCs w:val="17"/>
                <w:color w:val="auto"/>
              </w:rPr>
              <w:t>recommended by the Committee and approved by all the independent directors)</w:t>
            </w:r>
          </w:p>
        </w:tc>
        <w:tc>
          <w:tcPr>
            <w:tcW w:w="24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1"/>
        </w:trPr>
        <w:tc>
          <w:tcPr>
            <w:tcW w:w="9020" w:type="dxa"/>
            <w:vAlign w:val="bottom"/>
            <w:vMerge w:val="continue"/>
            <w:shd w:val="clear" w:color="auto" w:fill="D1DDE6"/>
          </w:tcPr>
          <w:p>
            <w:pPr>
              <w:spacing w:after="0"/>
              <w:rPr>
                <w:sz w:val="12"/>
                <w:szCs w:val="12"/>
                <w:color w:val="auto"/>
              </w:rPr>
            </w:pPr>
          </w:p>
        </w:tc>
        <w:tc>
          <w:tcPr>
            <w:tcW w:w="2420" w:type="dxa"/>
            <w:vAlign w:val="bottom"/>
            <w:gridSpan w:val="2"/>
            <w:vMerge w:val="restart"/>
          </w:tcPr>
          <w:p>
            <w:pPr>
              <w:ind w:left="40"/>
              <w:spacing w:after="0" w:line="193" w:lineRule="exact"/>
              <w:rPr>
                <w:sz w:val="20"/>
                <w:szCs w:val="20"/>
                <w:color w:val="auto"/>
              </w:rPr>
            </w:pPr>
            <w:r>
              <w:rPr>
                <w:rFonts w:ascii="Arial" w:cs="Arial" w:eastAsia="Arial" w:hAnsi="Arial"/>
                <w:sz w:val="17"/>
                <w:szCs w:val="17"/>
                <w:color w:val="auto"/>
              </w:rPr>
              <w:t>Bruce S. Gordon</w:t>
            </w:r>
          </w:p>
        </w:tc>
        <w:tc>
          <w:tcPr>
            <w:tcW w:w="0" w:type="dxa"/>
            <w:vAlign w:val="bottom"/>
          </w:tcPr>
          <w:p>
            <w:pPr>
              <w:spacing w:after="0"/>
              <w:rPr>
                <w:sz w:val="1"/>
                <w:szCs w:val="1"/>
                <w:color w:val="auto"/>
              </w:rPr>
            </w:pPr>
          </w:p>
        </w:tc>
      </w:tr>
      <w:tr>
        <w:trPr>
          <w:trHeight w:val="52"/>
        </w:trPr>
        <w:tc>
          <w:tcPr>
            <w:tcW w:w="9020" w:type="dxa"/>
            <w:vAlign w:val="bottom"/>
            <w:shd w:val="clear" w:color="auto" w:fill="D1DDE6"/>
          </w:tcPr>
          <w:p>
            <w:pPr>
              <w:spacing w:after="0"/>
              <w:rPr>
                <w:sz w:val="4"/>
                <w:szCs w:val="4"/>
                <w:color w:val="auto"/>
              </w:rPr>
            </w:pPr>
          </w:p>
        </w:tc>
        <w:tc>
          <w:tcPr>
            <w:tcW w:w="24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9020" w:type="dxa"/>
            <w:vAlign w:val="bottom"/>
            <w:vMerge w:val="restart"/>
            <w:shd w:val="clear" w:color="auto" w:fill="D1DDE6"/>
          </w:tcPr>
          <w:p>
            <w:pPr>
              <w:ind w:left="40"/>
              <w:spacing w:after="0"/>
              <w:rPr>
                <w:sz w:val="20"/>
                <w:szCs w:val="20"/>
                <w:color w:val="auto"/>
              </w:rPr>
            </w:pPr>
            <w:r>
              <w:rPr>
                <w:rFonts w:ascii="Arial" w:cs="Arial" w:eastAsia="Arial" w:hAnsi="Arial"/>
                <w:sz w:val="14"/>
                <w:szCs w:val="14"/>
                <w:color w:val="34657F"/>
              </w:rPr>
              <w:t xml:space="preserve">●   </w:t>
            </w:r>
            <w:r>
              <w:rPr>
                <w:rFonts w:ascii="Arial" w:cs="Arial" w:eastAsia="Arial" w:hAnsi="Arial"/>
                <w:sz w:val="17"/>
                <w:szCs w:val="17"/>
                <w:color w:val="000000"/>
              </w:rPr>
              <w:t>establishing stock ownership guidelines and reviewing ownership levels on an annual basis</w:t>
            </w:r>
          </w:p>
        </w:tc>
        <w:tc>
          <w:tcPr>
            <w:tcW w:w="2420" w:type="dxa"/>
            <w:vAlign w:val="bottom"/>
            <w:gridSpan w:val="2"/>
          </w:tcPr>
          <w:p>
            <w:pPr>
              <w:ind w:left="40"/>
              <w:spacing w:after="0" w:line="193" w:lineRule="exact"/>
              <w:rPr>
                <w:sz w:val="20"/>
                <w:szCs w:val="20"/>
                <w:color w:val="auto"/>
              </w:rPr>
            </w:pPr>
            <w:r>
              <w:rPr>
                <w:rFonts w:ascii="Arial" w:cs="Arial" w:eastAsia="Arial" w:hAnsi="Arial"/>
                <w:sz w:val="17"/>
                <w:szCs w:val="17"/>
                <w:color w:val="auto"/>
              </w:rPr>
              <w:t>Karl J. Krapek</w:t>
            </w:r>
          </w:p>
        </w:tc>
        <w:tc>
          <w:tcPr>
            <w:tcW w:w="0" w:type="dxa"/>
            <w:vAlign w:val="bottom"/>
          </w:tcPr>
          <w:p>
            <w:pPr>
              <w:spacing w:after="0"/>
              <w:rPr>
                <w:sz w:val="1"/>
                <w:szCs w:val="1"/>
                <w:color w:val="auto"/>
              </w:rPr>
            </w:pPr>
          </w:p>
        </w:tc>
      </w:tr>
      <w:tr>
        <w:trPr>
          <w:trHeight w:val="76"/>
        </w:trPr>
        <w:tc>
          <w:tcPr>
            <w:tcW w:w="9020" w:type="dxa"/>
            <w:vAlign w:val="bottom"/>
            <w:vMerge w:val="continue"/>
            <w:shd w:val="clear" w:color="auto" w:fill="D1DDE6"/>
          </w:tcPr>
          <w:p>
            <w:pPr>
              <w:spacing w:after="0"/>
              <w:rPr>
                <w:sz w:val="6"/>
                <w:szCs w:val="6"/>
                <w:color w:val="auto"/>
              </w:rPr>
            </w:pPr>
          </w:p>
        </w:tc>
        <w:tc>
          <w:tcPr>
            <w:tcW w:w="2420" w:type="dxa"/>
            <w:vAlign w:val="bottom"/>
            <w:gridSpan w:val="2"/>
            <w:vMerge w:val="restart"/>
          </w:tcPr>
          <w:p>
            <w:pPr>
              <w:ind w:left="40"/>
              <w:spacing w:after="0"/>
              <w:rPr>
                <w:sz w:val="20"/>
                <w:szCs w:val="20"/>
                <w:color w:val="auto"/>
              </w:rPr>
            </w:pPr>
            <w:r>
              <w:rPr>
                <w:rFonts w:ascii="Arial" w:cs="Arial" w:eastAsia="Arial" w:hAnsi="Arial"/>
                <w:sz w:val="17"/>
                <w:szCs w:val="17"/>
                <w:color w:val="auto"/>
              </w:rPr>
              <w:t>Gary Roughead</w:t>
            </w:r>
          </w:p>
        </w:tc>
        <w:tc>
          <w:tcPr>
            <w:tcW w:w="0" w:type="dxa"/>
            <w:vAlign w:val="bottom"/>
          </w:tcPr>
          <w:p>
            <w:pPr>
              <w:spacing w:after="0"/>
              <w:rPr>
                <w:sz w:val="1"/>
                <w:szCs w:val="1"/>
                <w:color w:val="auto"/>
              </w:rPr>
            </w:pPr>
          </w:p>
        </w:tc>
      </w:tr>
      <w:tr>
        <w:trPr>
          <w:trHeight w:val="128"/>
        </w:trPr>
        <w:tc>
          <w:tcPr>
            <w:tcW w:w="9020" w:type="dxa"/>
            <w:vAlign w:val="bottom"/>
            <w:vMerge w:val="restart"/>
            <w:shd w:val="clear" w:color="auto" w:fill="D1DDE6"/>
          </w:tcPr>
          <w:p>
            <w:pPr>
              <w:ind w:left="40"/>
              <w:spacing w:after="0"/>
              <w:rPr>
                <w:sz w:val="20"/>
                <w:szCs w:val="20"/>
                <w:color w:val="auto"/>
              </w:rPr>
            </w:pPr>
            <w:r>
              <w:rPr>
                <w:rFonts w:ascii="Arial" w:cs="Arial" w:eastAsia="Arial" w:hAnsi="Arial"/>
                <w:sz w:val="14"/>
                <w:szCs w:val="14"/>
                <w:color w:val="34657F"/>
              </w:rPr>
              <w:t xml:space="preserve">●   </w:t>
            </w:r>
            <w:r>
              <w:rPr>
                <w:rFonts w:ascii="Arial" w:cs="Arial" w:eastAsia="Arial" w:hAnsi="Arial"/>
                <w:sz w:val="17"/>
                <w:szCs w:val="17"/>
                <w:color w:val="000000"/>
              </w:rPr>
              <w:t>administering incentive and equity compensation plans and approving payments or grants under these plans for</w:t>
            </w:r>
          </w:p>
        </w:tc>
        <w:tc>
          <w:tcPr>
            <w:tcW w:w="24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9020" w:type="dxa"/>
            <w:vAlign w:val="bottom"/>
            <w:vMerge w:val="continue"/>
            <w:shd w:val="clear" w:color="auto" w:fill="D1DDE6"/>
          </w:tcPr>
          <w:p>
            <w:pPr>
              <w:spacing w:after="0"/>
              <w:rPr>
                <w:sz w:val="15"/>
                <w:szCs w:val="15"/>
                <w:color w:val="auto"/>
              </w:rPr>
            </w:pPr>
          </w:p>
        </w:tc>
        <w:tc>
          <w:tcPr>
            <w:tcW w:w="2420" w:type="dxa"/>
            <w:vAlign w:val="bottom"/>
            <w:gridSpan w:val="2"/>
            <w:vMerge w:val="restart"/>
          </w:tcPr>
          <w:p>
            <w:pPr>
              <w:ind w:left="40"/>
              <w:spacing w:after="0"/>
              <w:rPr>
                <w:sz w:val="20"/>
                <w:szCs w:val="20"/>
                <w:color w:val="auto"/>
              </w:rPr>
            </w:pPr>
            <w:r>
              <w:rPr>
                <w:rFonts w:ascii="Arial" w:cs="Arial" w:eastAsia="Arial" w:hAnsi="Arial"/>
                <w:sz w:val="17"/>
                <w:szCs w:val="17"/>
                <w:b w:val="1"/>
                <w:bCs w:val="1"/>
                <w:color w:val="34657F"/>
              </w:rPr>
              <w:t>Number of meetings in</w:t>
            </w:r>
          </w:p>
        </w:tc>
        <w:tc>
          <w:tcPr>
            <w:tcW w:w="0" w:type="dxa"/>
            <w:vAlign w:val="bottom"/>
          </w:tcPr>
          <w:p>
            <w:pPr>
              <w:spacing w:after="0"/>
              <w:rPr>
                <w:sz w:val="1"/>
                <w:szCs w:val="1"/>
                <w:color w:val="auto"/>
              </w:rPr>
            </w:pPr>
          </w:p>
        </w:tc>
      </w:tr>
      <w:tr>
        <w:trPr>
          <w:trHeight w:val="70"/>
        </w:trPr>
        <w:tc>
          <w:tcPr>
            <w:tcW w:w="9020" w:type="dxa"/>
            <w:vAlign w:val="bottom"/>
            <w:vMerge w:val="restart"/>
            <w:shd w:val="clear" w:color="auto" w:fill="D1DDE6"/>
          </w:tcPr>
          <w:p>
            <w:pPr>
              <w:ind w:left="280"/>
              <w:spacing w:after="0"/>
              <w:rPr>
                <w:sz w:val="20"/>
                <w:szCs w:val="20"/>
                <w:color w:val="auto"/>
              </w:rPr>
            </w:pPr>
            <w:r>
              <w:rPr>
                <w:rFonts w:ascii="Arial" w:cs="Arial" w:eastAsia="Arial" w:hAnsi="Arial"/>
                <w:sz w:val="17"/>
                <w:szCs w:val="17"/>
                <w:color w:val="auto"/>
              </w:rPr>
              <w:t>elected officers (other than the Chief Executive Officer)</w:t>
            </w:r>
          </w:p>
        </w:tc>
        <w:tc>
          <w:tcPr>
            <w:tcW w:w="24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9020" w:type="dxa"/>
            <w:vAlign w:val="bottom"/>
            <w:vMerge w:val="continue"/>
            <w:shd w:val="clear" w:color="auto" w:fill="D1DDE6"/>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7"/>
                <w:szCs w:val="17"/>
                <w:b w:val="1"/>
                <w:bCs w:val="1"/>
                <w:color w:val="34657F"/>
              </w:rPr>
              <w:t>2018:</w:t>
            </w:r>
          </w:p>
        </w:tc>
        <w:tc>
          <w:tcPr>
            <w:tcW w:w="1880" w:type="dxa"/>
            <w:vAlign w:val="bottom"/>
            <w:vMerge w:val="restart"/>
          </w:tcPr>
          <w:p>
            <w:pPr>
              <w:jc w:val="right"/>
              <w:ind w:right="1655"/>
              <w:spacing w:after="0"/>
              <w:rPr>
                <w:sz w:val="20"/>
                <w:szCs w:val="20"/>
                <w:color w:val="auto"/>
              </w:rPr>
            </w:pPr>
            <w:r>
              <w:rPr>
                <w:rFonts w:ascii="Arial" w:cs="Arial" w:eastAsia="Arial" w:hAnsi="Arial"/>
                <w:sz w:val="17"/>
                <w:szCs w:val="17"/>
                <w:color w:val="auto"/>
              </w:rPr>
              <w:t>7</w:t>
            </w:r>
          </w:p>
        </w:tc>
        <w:tc>
          <w:tcPr>
            <w:tcW w:w="0" w:type="dxa"/>
            <w:vAlign w:val="bottom"/>
          </w:tcPr>
          <w:p>
            <w:pPr>
              <w:spacing w:after="0"/>
              <w:rPr>
                <w:sz w:val="1"/>
                <w:szCs w:val="1"/>
                <w:color w:val="auto"/>
              </w:rPr>
            </w:pPr>
          </w:p>
        </w:tc>
      </w:tr>
      <w:tr>
        <w:trPr>
          <w:trHeight w:val="90"/>
        </w:trPr>
        <w:tc>
          <w:tcPr>
            <w:tcW w:w="9020" w:type="dxa"/>
            <w:vAlign w:val="bottom"/>
            <w:shd w:val="clear" w:color="auto" w:fill="D1DDE6"/>
          </w:tcPr>
          <w:p>
            <w:pPr>
              <w:spacing w:after="0"/>
              <w:rPr>
                <w:sz w:val="7"/>
                <w:szCs w:val="7"/>
                <w:color w:val="auto"/>
              </w:rPr>
            </w:pPr>
          </w:p>
        </w:tc>
        <w:tc>
          <w:tcPr>
            <w:tcW w:w="540" w:type="dxa"/>
            <w:vAlign w:val="bottom"/>
            <w:vMerge w:val="continue"/>
          </w:tcPr>
          <w:p>
            <w:pPr>
              <w:spacing w:after="0"/>
              <w:rPr>
                <w:sz w:val="7"/>
                <w:szCs w:val="7"/>
                <w:color w:val="auto"/>
              </w:rPr>
            </w:pPr>
          </w:p>
        </w:tc>
        <w:tc>
          <w:tcPr>
            <w:tcW w:w="18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2"/>
        </w:trPr>
        <w:tc>
          <w:tcPr>
            <w:tcW w:w="9020" w:type="dxa"/>
            <w:vAlign w:val="bottom"/>
            <w:shd w:val="clear" w:color="auto" w:fill="D1DDE6"/>
          </w:tcPr>
          <w:p>
            <w:pPr>
              <w:ind w:left="40"/>
              <w:spacing w:after="0"/>
              <w:rPr>
                <w:sz w:val="20"/>
                <w:szCs w:val="20"/>
                <w:color w:val="auto"/>
              </w:rPr>
            </w:pPr>
            <w:r>
              <w:rPr>
                <w:rFonts w:ascii="Arial" w:cs="Arial" w:eastAsia="Arial" w:hAnsi="Arial"/>
                <w:sz w:val="14"/>
                <w:szCs w:val="14"/>
                <w:color w:val="34657F"/>
              </w:rPr>
              <w:t xml:space="preserve">●   </w:t>
            </w:r>
            <w:r>
              <w:rPr>
                <w:rFonts w:ascii="Arial" w:cs="Arial" w:eastAsia="Arial" w:hAnsi="Arial"/>
                <w:sz w:val="17"/>
                <w:szCs w:val="17"/>
                <w:color w:val="000000"/>
              </w:rPr>
              <w:t>recommending for approval compensation for the non-employee directors, after consultation with the independent</w:t>
            </w:r>
          </w:p>
        </w:tc>
        <w:tc>
          <w:tcPr>
            <w:tcW w:w="2420" w:type="dxa"/>
            <w:vAlign w:val="bottom"/>
            <w:gridSpan w:val="2"/>
          </w:tcPr>
          <w:p>
            <w:pPr>
              <w:ind w:left="40"/>
              <w:spacing w:after="0"/>
              <w:rPr>
                <w:sz w:val="20"/>
                <w:szCs w:val="20"/>
                <w:color w:val="auto"/>
              </w:rPr>
            </w:pPr>
            <w:r>
              <w:rPr>
                <w:rFonts w:ascii="Arial" w:cs="Arial" w:eastAsia="Arial" w:hAnsi="Arial"/>
                <w:sz w:val="17"/>
                <w:szCs w:val="17"/>
                <w:b w:val="1"/>
                <w:bCs w:val="1"/>
                <w:color w:val="34657F"/>
              </w:rPr>
              <w:t>Independence</w:t>
            </w:r>
          </w:p>
        </w:tc>
        <w:tc>
          <w:tcPr>
            <w:tcW w:w="0" w:type="dxa"/>
            <w:vAlign w:val="bottom"/>
          </w:tcPr>
          <w:p>
            <w:pPr>
              <w:spacing w:after="0"/>
              <w:rPr>
                <w:sz w:val="1"/>
                <w:szCs w:val="1"/>
                <w:color w:val="auto"/>
              </w:rPr>
            </w:pPr>
          </w:p>
        </w:tc>
      </w:tr>
      <w:tr>
        <w:trPr>
          <w:trHeight w:val="205"/>
        </w:trPr>
        <w:tc>
          <w:tcPr>
            <w:tcW w:w="9020" w:type="dxa"/>
            <w:vAlign w:val="bottom"/>
            <w:shd w:val="clear" w:color="auto" w:fill="D1DDE6"/>
          </w:tcPr>
          <w:p>
            <w:pPr>
              <w:ind w:left="280"/>
              <w:spacing w:after="0"/>
              <w:rPr>
                <w:sz w:val="20"/>
                <w:szCs w:val="20"/>
                <w:color w:val="auto"/>
              </w:rPr>
            </w:pPr>
            <w:r>
              <w:rPr>
                <w:rFonts w:ascii="Arial" w:cs="Arial" w:eastAsia="Arial" w:hAnsi="Arial"/>
                <w:sz w:val="17"/>
                <w:szCs w:val="17"/>
                <w:color w:val="auto"/>
              </w:rPr>
              <w:t>compensation consultant</w:t>
            </w:r>
          </w:p>
        </w:tc>
        <w:tc>
          <w:tcPr>
            <w:tcW w:w="2420" w:type="dxa"/>
            <w:vAlign w:val="bottom"/>
            <w:gridSpan w:val="2"/>
            <w:vMerge w:val="restart"/>
          </w:tcPr>
          <w:p>
            <w:pPr>
              <w:ind w:left="40"/>
              <w:spacing w:after="0"/>
              <w:rPr>
                <w:sz w:val="20"/>
                <w:szCs w:val="20"/>
                <w:color w:val="auto"/>
              </w:rPr>
            </w:pPr>
            <w:r>
              <w:rPr>
                <w:rFonts w:ascii="Arial" w:cs="Arial" w:eastAsia="Arial" w:hAnsi="Arial"/>
                <w:sz w:val="17"/>
                <w:szCs w:val="17"/>
                <w:color w:val="auto"/>
              </w:rPr>
              <w:t>All members are independent</w:t>
            </w:r>
          </w:p>
        </w:tc>
        <w:tc>
          <w:tcPr>
            <w:tcW w:w="0" w:type="dxa"/>
            <w:vAlign w:val="bottom"/>
          </w:tcPr>
          <w:p>
            <w:pPr>
              <w:spacing w:after="0"/>
              <w:rPr>
                <w:sz w:val="1"/>
                <w:szCs w:val="1"/>
                <w:color w:val="auto"/>
              </w:rPr>
            </w:pPr>
          </w:p>
        </w:tc>
      </w:tr>
      <w:tr>
        <w:trPr>
          <w:trHeight w:val="127"/>
        </w:trPr>
        <w:tc>
          <w:tcPr>
            <w:tcW w:w="9020" w:type="dxa"/>
            <w:vAlign w:val="bottom"/>
            <w:vMerge w:val="restart"/>
            <w:shd w:val="clear" w:color="auto" w:fill="D1DDE6"/>
          </w:tcPr>
          <w:p>
            <w:pPr>
              <w:ind w:left="40"/>
              <w:spacing w:after="0"/>
              <w:rPr>
                <w:sz w:val="20"/>
                <w:szCs w:val="20"/>
                <w:color w:val="auto"/>
              </w:rPr>
            </w:pPr>
            <w:r>
              <w:rPr>
                <w:rFonts w:ascii="Arial" w:cs="Arial" w:eastAsia="Arial" w:hAnsi="Arial"/>
                <w:sz w:val="14"/>
                <w:szCs w:val="14"/>
                <w:color w:val="34657F"/>
              </w:rPr>
              <w:t xml:space="preserve">●   </w:t>
            </w:r>
            <w:r>
              <w:rPr>
                <w:rFonts w:ascii="Arial" w:cs="Arial" w:eastAsia="Arial" w:hAnsi="Arial"/>
                <w:sz w:val="17"/>
                <w:szCs w:val="17"/>
                <w:color w:val="000000"/>
              </w:rPr>
              <w:t>producing an annual report on executive compensation for inclusion in the proxy statement</w:t>
            </w:r>
          </w:p>
        </w:tc>
        <w:tc>
          <w:tcPr>
            <w:tcW w:w="24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9020" w:type="dxa"/>
            <w:vAlign w:val="bottom"/>
            <w:vMerge w:val="continue"/>
            <w:shd w:val="clear" w:color="auto" w:fill="D1DDE6"/>
          </w:tcPr>
          <w:p>
            <w:pPr>
              <w:spacing w:after="0"/>
              <w:rPr>
                <w:sz w:val="15"/>
                <w:szCs w:val="15"/>
                <w:color w:val="auto"/>
              </w:rPr>
            </w:pPr>
          </w:p>
        </w:tc>
        <w:tc>
          <w:tcPr>
            <w:tcW w:w="54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1"/>
        </w:trPr>
        <w:tc>
          <w:tcPr>
            <w:tcW w:w="9020" w:type="dxa"/>
            <w:vAlign w:val="bottom"/>
            <w:shd w:val="clear" w:color="auto" w:fill="D1DDE6"/>
          </w:tcPr>
          <w:p>
            <w:pPr>
              <w:ind w:left="40"/>
              <w:spacing w:after="0"/>
              <w:rPr>
                <w:sz w:val="20"/>
                <w:szCs w:val="20"/>
                <w:color w:val="auto"/>
              </w:rPr>
            </w:pPr>
            <w:r>
              <w:rPr>
                <w:rFonts w:ascii="Arial" w:cs="Arial" w:eastAsia="Arial" w:hAnsi="Arial"/>
                <w:sz w:val="14"/>
                <w:szCs w:val="14"/>
                <w:color w:val="34657F"/>
              </w:rPr>
              <w:t xml:space="preserve">●   </w:t>
            </w:r>
            <w:r>
              <w:rPr>
                <w:rFonts w:ascii="Arial" w:cs="Arial" w:eastAsia="Arial" w:hAnsi="Arial"/>
                <w:sz w:val="17"/>
                <w:szCs w:val="17"/>
                <w:color w:val="000000"/>
              </w:rPr>
              <w:t>providing support to the Board in carrying out its overall responsibilities related to executive compensation</w:t>
            </w:r>
          </w:p>
        </w:tc>
        <w:tc>
          <w:tcPr>
            <w:tcW w:w="5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1"/>
        </w:trPr>
        <w:tc>
          <w:tcPr>
            <w:tcW w:w="9020" w:type="dxa"/>
            <w:vAlign w:val="bottom"/>
            <w:tcBorders>
              <w:bottom w:val="single" w:sz="8" w:color="007398"/>
            </w:tcBorders>
            <w:shd w:val="clear" w:color="auto" w:fill="D1DDE6"/>
          </w:tcPr>
          <w:p>
            <w:pPr>
              <w:spacing w:after="0"/>
              <w:rPr>
                <w:sz w:val="7"/>
                <w:szCs w:val="7"/>
                <w:color w:val="auto"/>
              </w:rPr>
            </w:pPr>
          </w:p>
        </w:tc>
        <w:tc>
          <w:tcPr>
            <w:tcW w:w="2420" w:type="dxa"/>
            <w:vAlign w:val="bottom"/>
            <w:tcBorders>
              <w:bottom w:val="single" w:sz="8" w:color="007398"/>
            </w:tcBorders>
            <w:gridSpan w:val="2"/>
          </w:tcPr>
          <w:p>
            <w:pPr>
              <w:spacing w:after="0"/>
              <w:rPr>
                <w:sz w:val="7"/>
                <w:szCs w:val="7"/>
                <w:color w:val="auto"/>
              </w:rPr>
            </w:pPr>
          </w:p>
        </w:tc>
        <w:tc>
          <w:tcPr>
            <w:tcW w:w="0" w:type="dxa"/>
            <w:vAlign w:val="bottom"/>
          </w:tcPr>
          <w:p>
            <w:pPr>
              <w:spacing w:after="0"/>
              <w:rPr>
                <w:sz w:val="1"/>
                <w:szCs w:val="1"/>
                <w:color w:val="auto"/>
              </w:rPr>
            </w:pPr>
          </w:p>
        </w:tc>
      </w:tr>
      <w:tr>
        <w:trPr>
          <w:trHeight w:val="623"/>
        </w:trPr>
        <w:tc>
          <w:tcPr>
            <w:tcW w:w="11440" w:type="dxa"/>
            <w:vAlign w:val="bottom"/>
            <w:gridSpan w:val="3"/>
          </w:tcPr>
          <w:p>
            <w:pPr>
              <w:ind w:left="5740"/>
              <w:spacing w:after="0"/>
              <w:rPr>
                <w:sz w:val="20"/>
                <w:szCs w:val="20"/>
                <w:color w:val="auto"/>
              </w:rPr>
            </w:pPr>
            <w:r>
              <w:rPr>
                <w:rFonts w:ascii="Arial" w:cs="Arial" w:eastAsia="Arial" w:hAnsi="Arial"/>
                <w:sz w:val="14"/>
                <w:szCs w:val="14"/>
                <w:color w:val="34657F"/>
                <w:w w:val="97"/>
              </w:rPr>
              <w:t xml:space="preserve">NOTICE OF 2019 ANNUAL MEETING OF SHAREHOLDERS AND PROXY STATEMENT </w:t>
            </w:r>
            <w:r>
              <w:rPr>
                <w:rFonts w:ascii="Arial" w:cs="Arial" w:eastAsia="Arial" w:hAnsi="Arial"/>
                <w:sz w:val="14"/>
                <w:szCs w:val="14"/>
                <w:color w:val="000000"/>
                <w:w w:val="97"/>
              </w:rPr>
              <w:t>I 17</w:t>
            </w:r>
          </w:p>
        </w:tc>
        <w:tc>
          <w:tcPr>
            <w:tcW w:w="0" w:type="dxa"/>
            <w:vAlign w:val="bottom"/>
          </w:tcPr>
          <w:p>
            <w:pPr>
              <w:spacing w:after="0"/>
              <w:rPr>
                <w:sz w:val="1"/>
                <w:szCs w:val="1"/>
                <w:color w:val="auto"/>
              </w:rPr>
            </w:pPr>
          </w:p>
        </w:tc>
      </w:tr>
    </w:tbl>
    <w:p>
      <w:pPr>
        <w:sectPr>
          <w:pgSz w:w="11900" w:h="16838" w:orient="portrait"/>
          <w:cols w:equalWidth="0" w:num="1">
            <w:col w:w="11440"/>
          </w:cols>
          <w:pgMar w:left="240" w:top="671" w:right="219" w:bottom="1440" w:gutter="0" w:footer="0" w:header="0"/>
        </w:sectPr>
      </w:pPr>
    </w:p>
    <w:bookmarkStart w:id="23" w:name="page24"/>
    <w:bookmarkEnd w:id="23"/>
    <w:p>
      <w:pPr>
        <w:ind w:left="20"/>
        <w:spacing w:after="0"/>
        <w:rPr>
          <w:sz w:val="20"/>
          <w:szCs w:val="20"/>
          <w:color w:val="auto"/>
        </w:rPr>
      </w:pPr>
      <w:r>
        <w:rPr>
          <w:rFonts w:ascii="Arial" w:cs="Arial" w:eastAsia="Arial" w:hAnsi="Arial"/>
          <w:sz w:val="21"/>
          <w:szCs w:val="21"/>
          <w:b w:val="1"/>
          <w:bCs w:val="1"/>
          <w:color w:val="FFFFFF"/>
        </w:rPr>
        <w:drawing>
          <wp:anchor simplePos="0" relativeHeight="251657728" behindDoc="1" locked="0" layoutInCell="0" allowOverlap="1">
            <wp:simplePos x="0" y="0"/>
            <wp:positionH relativeFrom="page">
              <wp:posOffset>154305</wp:posOffset>
            </wp:positionH>
            <wp:positionV relativeFrom="page">
              <wp:posOffset>365760</wp:posOffset>
            </wp:positionV>
            <wp:extent cx="7253605" cy="45593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53605" cy="455930"/>
                    </a:xfrm>
                    <a:prstGeom prst="rect">
                      <a:avLst/>
                    </a:prstGeom>
                    <a:noFill/>
                  </pic:spPr>
                </pic:pic>
              </a:graphicData>
            </a:graphic>
          </wp:anchor>
        </w:drawing>
        <w:t>CORPORATE GOVERNANCE</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tbl>
      <w:tblPr>
        <w:tblLayout w:type="fixed"/>
        <w:tblInd w:w="10" w:type="dxa"/>
        <w:tblCellMar>
          <w:top w:w="0" w:type="dxa"/>
          <w:left w:w="0" w:type="dxa"/>
          <w:bottom w:w="0" w:type="dxa"/>
          <w:right w:w="0" w:type="dxa"/>
        </w:tblCellMar>
      </w:tblPr>
      <w:tr>
        <w:trPr>
          <w:trHeight w:val="331"/>
        </w:trPr>
        <w:tc>
          <w:tcPr>
            <w:tcW w:w="9020" w:type="dxa"/>
            <w:vAlign w:val="bottom"/>
            <w:tcBorders>
              <w:top w:val="single" w:sz="8" w:color="426DA9"/>
              <w:left w:val="single" w:sz="8" w:color="426DA9"/>
            </w:tcBorders>
          </w:tcPr>
          <w:p>
            <w:pPr>
              <w:ind w:left="40"/>
              <w:spacing w:after="0"/>
              <w:rPr>
                <w:sz w:val="20"/>
                <w:szCs w:val="20"/>
                <w:color w:val="auto"/>
              </w:rPr>
            </w:pPr>
            <w:r>
              <w:rPr>
                <w:rFonts w:ascii="Arial" w:cs="Arial" w:eastAsia="Arial" w:hAnsi="Arial"/>
                <w:sz w:val="24"/>
                <w:szCs w:val="24"/>
                <w:b w:val="1"/>
                <w:bCs w:val="1"/>
                <w:color w:val="34657F"/>
              </w:rPr>
              <w:t>Governance Committee</w:t>
            </w:r>
          </w:p>
        </w:tc>
        <w:tc>
          <w:tcPr>
            <w:tcW w:w="520" w:type="dxa"/>
            <w:vAlign w:val="bottom"/>
            <w:tcBorders>
              <w:top w:val="single" w:sz="8" w:color="426DA9"/>
            </w:tcBorders>
          </w:tcPr>
          <w:p>
            <w:pPr>
              <w:spacing w:after="0"/>
              <w:rPr>
                <w:sz w:val="24"/>
                <w:szCs w:val="24"/>
                <w:color w:val="auto"/>
              </w:rPr>
            </w:pPr>
          </w:p>
        </w:tc>
        <w:tc>
          <w:tcPr>
            <w:tcW w:w="1900" w:type="dxa"/>
            <w:vAlign w:val="bottom"/>
            <w:tcBorders>
              <w:top w:val="single" w:sz="8" w:color="426DA9"/>
              <w:right w:val="single" w:sz="8" w:color="426DA9"/>
            </w:tcBorders>
          </w:tcPr>
          <w:p>
            <w:pPr>
              <w:spacing w:after="0"/>
              <w:rPr>
                <w:sz w:val="24"/>
                <w:szCs w:val="24"/>
                <w:color w:val="auto"/>
              </w:rPr>
            </w:pPr>
          </w:p>
        </w:tc>
        <w:tc>
          <w:tcPr>
            <w:tcW w:w="0" w:type="dxa"/>
            <w:vAlign w:val="bottom"/>
          </w:tcPr>
          <w:p>
            <w:pPr>
              <w:spacing w:after="0"/>
              <w:rPr>
                <w:sz w:val="1"/>
                <w:szCs w:val="1"/>
                <w:color w:val="auto"/>
              </w:rPr>
            </w:pPr>
          </w:p>
        </w:tc>
      </w:tr>
      <w:tr>
        <w:trPr>
          <w:trHeight w:val="92"/>
        </w:trPr>
        <w:tc>
          <w:tcPr>
            <w:tcW w:w="9020" w:type="dxa"/>
            <w:vAlign w:val="bottom"/>
            <w:tcBorders>
              <w:left w:val="single" w:sz="8" w:color="426DA9"/>
              <w:bottom w:val="single" w:sz="8" w:color="426DA9"/>
            </w:tcBorders>
          </w:tcPr>
          <w:p>
            <w:pPr>
              <w:spacing w:after="0"/>
              <w:rPr>
                <w:sz w:val="7"/>
                <w:szCs w:val="7"/>
                <w:color w:val="auto"/>
              </w:rPr>
            </w:pPr>
          </w:p>
        </w:tc>
        <w:tc>
          <w:tcPr>
            <w:tcW w:w="2420" w:type="dxa"/>
            <w:vAlign w:val="bottom"/>
            <w:tcBorders>
              <w:bottom w:val="single" w:sz="8" w:color="426DA9"/>
              <w:right w:val="single" w:sz="8" w:color="426DA9"/>
            </w:tcBorders>
            <w:gridSpan w:val="2"/>
          </w:tcPr>
          <w:p>
            <w:pPr>
              <w:spacing w:after="0"/>
              <w:rPr>
                <w:sz w:val="7"/>
                <w:szCs w:val="7"/>
                <w:color w:val="auto"/>
              </w:rPr>
            </w:pPr>
          </w:p>
        </w:tc>
        <w:tc>
          <w:tcPr>
            <w:tcW w:w="0" w:type="dxa"/>
            <w:vAlign w:val="bottom"/>
          </w:tcPr>
          <w:p>
            <w:pPr>
              <w:spacing w:after="0"/>
              <w:rPr>
                <w:sz w:val="1"/>
                <w:szCs w:val="1"/>
                <w:color w:val="auto"/>
              </w:rPr>
            </w:pPr>
          </w:p>
        </w:tc>
      </w:tr>
      <w:tr>
        <w:trPr>
          <w:trHeight w:val="222"/>
        </w:trPr>
        <w:tc>
          <w:tcPr>
            <w:tcW w:w="9020" w:type="dxa"/>
            <w:vAlign w:val="bottom"/>
            <w:tcBorders>
              <w:left w:val="single" w:sz="8" w:color="426DA9"/>
            </w:tcBorders>
            <w:shd w:val="clear" w:color="auto" w:fill="D1DDE6"/>
          </w:tcPr>
          <w:p>
            <w:pPr>
              <w:ind w:left="40"/>
              <w:spacing w:after="0"/>
              <w:rPr>
                <w:sz w:val="20"/>
                <w:szCs w:val="20"/>
                <w:color w:val="auto"/>
              </w:rPr>
            </w:pPr>
            <w:r>
              <w:rPr>
                <w:rFonts w:ascii="Arial" w:cs="Arial" w:eastAsia="Arial" w:hAnsi="Arial"/>
                <w:sz w:val="17"/>
                <w:szCs w:val="17"/>
                <w:b w:val="1"/>
                <w:bCs w:val="1"/>
                <w:color w:val="34657F"/>
              </w:rPr>
              <w:t>Roles and Responsibilities</w:t>
            </w:r>
          </w:p>
        </w:tc>
        <w:tc>
          <w:tcPr>
            <w:tcW w:w="2420" w:type="dxa"/>
            <w:vAlign w:val="bottom"/>
            <w:tcBorders>
              <w:right w:val="single" w:sz="8" w:color="426DA9"/>
            </w:tcBorders>
            <w:gridSpan w:val="2"/>
          </w:tcPr>
          <w:p>
            <w:pPr>
              <w:ind w:left="40"/>
              <w:spacing w:after="0"/>
              <w:rPr>
                <w:sz w:val="20"/>
                <w:szCs w:val="20"/>
                <w:color w:val="auto"/>
              </w:rPr>
            </w:pPr>
            <w:r>
              <w:rPr>
                <w:rFonts w:ascii="Arial" w:cs="Arial" w:eastAsia="Arial" w:hAnsi="Arial"/>
                <w:sz w:val="17"/>
                <w:szCs w:val="17"/>
                <w:b w:val="1"/>
                <w:bCs w:val="1"/>
                <w:color w:val="34657F"/>
              </w:rPr>
              <w:t>Committee Members</w:t>
            </w:r>
          </w:p>
        </w:tc>
        <w:tc>
          <w:tcPr>
            <w:tcW w:w="0" w:type="dxa"/>
            <w:vAlign w:val="bottom"/>
          </w:tcPr>
          <w:p>
            <w:pPr>
              <w:spacing w:after="0"/>
              <w:rPr>
                <w:sz w:val="1"/>
                <w:szCs w:val="1"/>
                <w:color w:val="auto"/>
              </w:rPr>
            </w:pPr>
          </w:p>
        </w:tc>
      </w:tr>
      <w:tr>
        <w:trPr>
          <w:trHeight w:val="308"/>
        </w:trPr>
        <w:tc>
          <w:tcPr>
            <w:tcW w:w="9020" w:type="dxa"/>
            <w:vAlign w:val="bottom"/>
            <w:tcBorders>
              <w:left w:val="single" w:sz="8" w:color="426DA9"/>
            </w:tcBorders>
            <w:shd w:val="clear" w:color="auto" w:fill="D1DDE6"/>
          </w:tcPr>
          <w:p>
            <w:pPr>
              <w:ind w:left="40"/>
              <w:spacing w:after="0"/>
              <w:rPr>
                <w:sz w:val="20"/>
                <w:szCs w:val="20"/>
                <w:color w:val="auto"/>
              </w:rPr>
            </w:pPr>
            <w:r>
              <w:rPr>
                <w:rFonts w:ascii="Arial" w:cs="Arial" w:eastAsia="Arial" w:hAnsi="Arial"/>
                <w:sz w:val="17"/>
                <w:szCs w:val="17"/>
                <w:color w:val="auto"/>
              </w:rPr>
              <w:t>Assist the Board in overseeing the Company's corporate governance practices by:</w:t>
            </w:r>
          </w:p>
        </w:tc>
        <w:tc>
          <w:tcPr>
            <w:tcW w:w="2420" w:type="dxa"/>
            <w:vAlign w:val="bottom"/>
            <w:tcBorders>
              <w:right w:val="single" w:sz="8" w:color="426DA9"/>
            </w:tcBorders>
            <w:gridSpan w:val="2"/>
          </w:tcPr>
          <w:p>
            <w:pPr>
              <w:ind w:left="40"/>
              <w:spacing w:after="0"/>
              <w:rPr>
                <w:sz w:val="20"/>
                <w:szCs w:val="20"/>
                <w:color w:val="auto"/>
              </w:rPr>
            </w:pPr>
            <w:r>
              <w:rPr>
                <w:rFonts w:ascii="Arial" w:cs="Arial" w:eastAsia="Arial" w:hAnsi="Arial"/>
                <w:sz w:val="17"/>
                <w:szCs w:val="17"/>
                <w:color w:val="auto"/>
              </w:rPr>
              <w:t>Madeleine A. Kleiner (chair)</w:t>
            </w:r>
          </w:p>
        </w:tc>
        <w:tc>
          <w:tcPr>
            <w:tcW w:w="0" w:type="dxa"/>
            <w:vAlign w:val="bottom"/>
          </w:tcPr>
          <w:p>
            <w:pPr>
              <w:spacing w:after="0"/>
              <w:rPr>
                <w:sz w:val="1"/>
                <w:szCs w:val="1"/>
                <w:color w:val="auto"/>
              </w:rPr>
            </w:pPr>
          </w:p>
        </w:tc>
      </w:tr>
      <w:tr>
        <w:trPr>
          <w:trHeight w:val="192"/>
        </w:trPr>
        <w:tc>
          <w:tcPr>
            <w:tcW w:w="9020" w:type="dxa"/>
            <w:vAlign w:val="bottom"/>
            <w:tcBorders>
              <w:left w:val="single" w:sz="8" w:color="426DA9"/>
            </w:tcBorders>
            <w:vMerge w:val="restart"/>
            <w:shd w:val="clear" w:color="auto" w:fill="D1DDE6"/>
          </w:tcPr>
          <w:p>
            <w:pPr>
              <w:ind w:left="40"/>
              <w:spacing w:after="0"/>
              <w:rPr>
                <w:sz w:val="20"/>
                <w:szCs w:val="20"/>
                <w:color w:val="auto"/>
              </w:rPr>
            </w:pPr>
            <w:r>
              <w:rPr>
                <w:rFonts w:ascii="Arial" w:cs="Arial" w:eastAsia="Arial" w:hAnsi="Arial"/>
                <w:sz w:val="14"/>
                <w:szCs w:val="14"/>
                <w:color w:val="34657F"/>
              </w:rPr>
              <w:t xml:space="preserve">●   </w:t>
            </w:r>
            <w:r>
              <w:rPr>
                <w:rFonts w:ascii="Arial" w:cs="Arial" w:eastAsia="Arial" w:hAnsi="Arial"/>
                <w:sz w:val="17"/>
                <w:szCs w:val="17"/>
                <w:color w:val="000000"/>
              </w:rPr>
              <w:t>regularly reviewing the Company's corporate governance policies and practices, including the Principles of</w:t>
            </w:r>
          </w:p>
        </w:tc>
        <w:tc>
          <w:tcPr>
            <w:tcW w:w="2420" w:type="dxa"/>
            <w:vAlign w:val="bottom"/>
            <w:tcBorders>
              <w:right w:val="single" w:sz="8" w:color="426DA9"/>
            </w:tcBorders>
            <w:gridSpan w:val="2"/>
          </w:tcPr>
          <w:p>
            <w:pPr>
              <w:ind w:left="40"/>
              <w:spacing w:after="0" w:line="193" w:lineRule="exact"/>
              <w:rPr>
                <w:sz w:val="20"/>
                <w:szCs w:val="20"/>
                <w:color w:val="auto"/>
              </w:rPr>
            </w:pPr>
            <w:r>
              <w:rPr>
                <w:rFonts w:ascii="Arial" w:cs="Arial" w:eastAsia="Arial" w:hAnsi="Arial"/>
                <w:sz w:val="17"/>
                <w:szCs w:val="17"/>
                <w:color w:val="auto"/>
              </w:rPr>
              <w:t>Donald E. Felsinger</w:t>
            </w:r>
          </w:p>
        </w:tc>
        <w:tc>
          <w:tcPr>
            <w:tcW w:w="0" w:type="dxa"/>
            <w:vAlign w:val="bottom"/>
          </w:tcPr>
          <w:p>
            <w:pPr>
              <w:spacing w:after="0"/>
              <w:rPr>
                <w:sz w:val="1"/>
                <w:szCs w:val="1"/>
                <w:color w:val="auto"/>
              </w:rPr>
            </w:pPr>
          </w:p>
        </w:tc>
      </w:tr>
      <w:tr>
        <w:trPr>
          <w:trHeight w:val="128"/>
        </w:trPr>
        <w:tc>
          <w:tcPr>
            <w:tcW w:w="9020" w:type="dxa"/>
            <w:vAlign w:val="bottom"/>
            <w:tcBorders>
              <w:left w:val="single" w:sz="8" w:color="426DA9"/>
            </w:tcBorders>
            <w:vMerge w:val="continue"/>
            <w:shd w:val="clear" w:color="auto" w:fill="D1DDE6"/>
          </w:tcPr>
          <w:p>
            <w:pPr>
              <w:spacing w:after="0"/>
              <w:rPr>
                <w:sz w:val="11"/>
                <w:szCs w:val="11"/>
                <w:color w:val="auto"/>
              </w:rPr>
            </w:pPr>
          </w:p>
        </w:tc>
        <w:tc>
          <w:tcPr>
            <w:tcW w:w="2420" w:type="dxa"/>
            <w:vAlign w:val="bottom"/>
            <w:tcBorders>
              <w:right w:val="single" w:sz="8" w:color="426DA9"/>
            </w:tcBorders>
            <w:gridSpan w:val="2"/>
            <w:vMerge w:val="restart"/>
          </w:tcPr>
          <w:p>
            <w:pPr>
              <w:ind w:left="40"/>
              <w:spacing w:after="0" w:line="193" w:lineRule="exact"/>
              <w:rPr>
                <w:sz w:val="20"/>
                <w:szCs w:val="20"/>
                <w:color w:val="auto"/>
              </w:rPr>
            </w:pPr>
            <w:r>
              <w:rPr>
                <w:rFonts w:ascii="Arial" w:cs="Arial" w:eastAsia="Arial" w:hAnsi="Arial"/>
                <w:sz w:val="17"/>
                <w:szCs w:val="17"/>
                <w:color w:val="auto"/>
              </w:rPr>
              <w:t>Ann M. Fudge</w:t>
            </w:r>
          </w:p>
        </w:tc>
        <w:tc>
          <w:tcPr>
            <w:tcW w:w="0" w:type="dxa"/>
            <w:vAlign w:val="bottom"/>
          </w:tcPr>
          <w:p>
            <w:pPr>
              <w:spacing w:after="0"/>
              <w:rPr>
                <w:sz w:val="1"/>
                <w:szCs w:val="1"/>
                <w:color w:val="auto"/>
              </w:rPr>
            </w:pPr>
          </w:p>
        </w:tc>
      </w:tr>
      <w:tr>
        <w:trPr>
          <w:trHeight w:val="64"/>
        </w:trPr>
        <w:tc>
          <w:tcPr>
            <w:tcW w:w="9020" w:type="dxa"/>
            <w:vAlign w:val="bottom"/>
            <w:tcBorders>
              <w:left w:val="single" w:sz="8" w:color="426DA9"/>
            </w:tcBorders>
            <w:vMerge w:val="restart"/>
            <w:shd w:val="clear" w:color="auto" w:fill="D1DDE6"/>
          </w:tcPr>
          <w:p>
            <w:pPr>
              <w:ind w:left="280"/>
              <w:spacing w:after="0"/>
              <w:rPr>
                <w:sz w:val="20"/>
                <w:szCs w:val="20"/>
                <w:color w:val="auto"/>
              </w:rPr>
            </w:pPr>
            <w:r>
              <w:rPr>
                <w:rFonts w:ascii="Arial" w:cs="Arial" w:eastAsia="Arial" w:hAnsi="Arial"/>
                <w:sz w:val="17"/>
                <w:szCs w:val="17"/>
                <w:color w:val="auto"/>
              </w:rPr>
              <w:t>Corporate Governance and the Company's Bylaws</w:t>
            </w:r>
          </w:p>
        </w:tc>
        <w:tc>
          <w:tcPr>
            <w:tcW w:w="2420" w:type="dxa"/>
            <w:vAlign w:val="bottom"/>
            <w:tcBorders>
              <w:right w:val="single" w:sz="8" w:color="426DA9"/>
            </w:tcBorders>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1"/>
        </w:trPr>
        <w:tc>
          <w:tcPr>
            <w:tcW w:w="9020" w:type="dxa"/>
            <w:vAlign w:val="bottom"/>
            <w:tcBorders>
              <w:left w:val="single" w:sz="8" w:color="426DA9"/>
            </w:tcBorders>
            <w:vMerge w:val="continue"/>
            <w:shd w:val="clear" w:color="auto" w:fill="D1DDE6"/>
          </w:tcPr>
          <w:p>
            <w:pPr>
              <w:spacing w:after="0"/>
              <w:rPr>
                <w:sz w:val="12"/>
                <w:szCs w:val="12"/>
                <w:color w:val="auto"/>
              </w:rPr>
            </w:pPr>
          </w:p>
        </w:tc>
        <w:tc>
          <w:tcPr>
            <w:tcW w:w="2420" w:type="dxa"/>
            <w:vAlign w:val="bottom"/>
            <w:tcBorders>
              <w:right w:val="single" w:sz="8" w:color="426DA9"/>
            </w:tcBorders>
            <w:gridSpan w:val="2"/>
            <w:vMerge w:val="restart"/>
          </w:tcPr>
          <w:p>
            <w:pPr>
              <w:ind w:left="40"/>
              <w:spacing w:after="0" w:line="193" w:lineRule="exact"/>
              <w:rPr>
                <w:sz w:val="20"/>
                <w:szCs w:val="20"/>
                <w:color w:val="auto"/>
              </w:rPr>
            </w:pPr>
            <w:r>
              <w:rPr>
                <w:rFonts w:ascii="Arial" w:cs="Arial" w:eastAsia="Arial" w:hAnsi="Arial"/>
                <w:sz w:val="17"/>
                <w:szCs w:val="17"/>
                <w:color w:val="auto"/>
              </w:rPr>
              <w:t>William H. Hernandez</w:t>
            </w:r>
          </w:p>
        </w:tc>
        <w:tc>
          <w:tcPr>
            <w:tcW w:w="0" w:type="dxa"/>
            <w:vAlign w:val="bottom"/>
          </w:tcPr>
          <w:p>
            <w:pPr>
              <w:spacing w:after="0"/>
              <w:rPr>
                <w:sz w:val="1"/>
                <w:szCs w:val="1"/>
                <w:color w:val="auto"/>
              </w:rPr>
            </w:pPr>
          </w:p>
        </w:tc>
      </w:tr>
      <w:tr>
        <w:trPr>
          <w:trHeight w:val="52"/>
        </w:trPr>
        <w:tc>
          <w:tcPr>
            <w:tcW w:w="9020" w:type="dxa"/>
            <w:vAlign w:val="bottom"/>
            <w:tcBorders>
              <w:left w:val="single" w:sz="8" w:color="426DA9"/>
            </w:tcBorders>
            <w:shd w:val="clear" w:color="auto" w:fill="D1DDE6"/>
          </w:tcPr>
          <w:p>
            <w:pPr>
              <w:spacing w:after="0"/>
              <w:rPr>
                <w:sz w:val="4"/>
                <w:szCs w:val="4"/>
                <w:color w:val="auto"/>
              </w:rPr>
            </w:pPr>
          </w:p>
        </w:tc>
        <w:tc>
          <w:tcPr>
            <w:tcW w:w="2420" w:type="dxa"/>
            <w:vAlign w:val="bottom"/>
            <w:tcBorders>
              <w:right w:val="single" w:sz="8" w:color="426DA9"/>
            </w:tcBorders>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9"/>
        </w:trPr>
        <w:tc>
          <w:tcPr>
            <w:tcW w:w="9020" w:type="dxa"/>
            <w:vAlign w:val="bottom"/>
            <w:tcBorders>
              <w:left w:val="single" w:sz="8" w:color="426DA9"/>
            </w:tcBorders>
            <w:shd w:val="clear" w:color="auto" w:fill="D1DDE6"/>
          </w:tcPr>
          <w:p>
            <w:pPr>
              <w:ind w:left="40"/>
              <w:spacing w:after="0"/>
              <w:rPr>
                <w:sz w:val="20"/>
                <w:szCs w:val="20"/>
                <w:color w:val="auto"/>
              </w:rPr>
            </w:pPr>
            <w:r>
              <w:rPr>
                <w:rFonts w:ascii="Arial" w:cs="Arial" w:eastAsia="Arial" w:hAnsi="Arial"/>
                <w:sz w:val="14"/>
                <w:szCs w:val="14"/>
                <w:color w:val="34657F"/>
              </w:rPr>
              <w:t xml:space="preserve">●   </w:t>
            </w:r>
            <w:r>
              <w:rPr>
                <w:rFonts w:ascii="Arial" w:cs="Arial" w:eastAsia="Arial" w:hAnsi="Arial"/>
                <w:sz w:val="17"/>
                <w:szCs w:val="17"/>
                <w:color w:val="000000"/>
              </w:rPr>
              <w:t>regularly reviewing and considering corporate governance developments, emerging trends and best practices and</w:t>
            </w:r>
          </w:p>
        </w:tc>
        <w:tc>
          <w:tcPr>
            <w:tcW w:w="2420" w:type="dxa"/>
            <w:vAlign w:val="bottom"/>
            <w:tcBorders>
              <w:right w:val="single" w:sz="8" w:color="426DA9"/>
            </w:tcBorders>
            <w:gridSpan w:val="2"/>
          </w:tcPr>
          <w:p>
            <w:pPr>
              <w:ind w:left="40"/>
              <w:spacing w:after="0"/>
              <w:rPr>
                <w:sz w:val="20"/>
                <w:szCs w:val="20"/>
                <w:color w:val="auto"/>
              </w:rPr>
            </w:pPr>
            <w:r>
              <w:rPr>
                <w:rFonts w:ascii="Arial" w:cs="Arial" w:eastAsia="Arial" w:hAnsi="Arial"/>
                <w:sz w:val="17"/>
                <w:szCs w:val="17"/>
                <w:color w:val="auto"/>
              </w:rPr>
              <w:t>Karl J. Krapek</w:t>
            </w:r>
          </w:p>
        </w:tc>
        <w:tc>
          <w:tcPr>
            <w:tcW w:w="0" w:type="dxa"/>
            <w:vAlign w:val="bottom"/>
          </w:tcPr>
          <w:p>
            <w:pPr>
              <w:spacing w:after="0"/>
              <w:rPr>
                <w:sz w:val="1"/>
                <w:szCs w:val="1"/>
                <w:color w:val="auto"/>
              </w:rPr>
            </w:pPr>
          </w:p>
        </w:tc>
      </w:tr>
      <w:tr>
        <w:trPr>
          <w:trHeight w:val="192"/>
        </w:trPr>
        <w:tc>
          <w:tcPr>
            <w:tcW w:w="9020" w:type="dxa"/>
            <w:vAlign w:val="bottom"/>
            <w:tcBorders>
              <w:left w:val="single" w:sz="8" w:color="426DA9"/>
            </w:tcBorders>
            <w:vMerge w:val="restart"/>
            <w:shd w:val="clear" w:color="auto" w:fill="D1DDE6"/>
          </w:tcPr>
          <w:p>
            <w:pPr>
              <w:ind w:left="280"/>
              <w:spacing w:after="0"/>
              <w:rPr>
                <w:sz w:val="20"/>
                <w:szCs w:val="20"/>
                <w:color w:val="auto"/>
              </w:rPr>
            </w:pPr>
            <w:r>
              <w:rPr>
                <w:rFonts w:ascii="Arial" w:cs="Arial" w:eastAsia="Arial" w:hAnsi="Arial"/>
                <w:sz w:val="17"/>
                <w:szCs w:val="17"/>
                <w:color w:val="auto"/>
              </w:rPr>
              <w:t>recommending changes to the Board</w:t>
            </w:r>
          </w:p>
        </w:tc>
        <w:tc>
          <w:tcPr>
            <w:tcW w:w="2420" w:type="dxa"/>
            <w:vAlign w:val="bottom"/>
            <w:tcBorders>
              <w:right w:val="single" w:sz="8" w:color="426DA9"/>
            </w:tcBorders>
            <w:gridSpan w:val="2"/>
          </w:tcPr>
          <w:p>
            <w:pPr>
              <w:ind w:left="40"/>
              <w:spacing w:after="0" w:line="193" w:lineRule="exact"/>
              <w:rPr>
                <w:sz w:val="20"/>
                <w:szCs w:val="20"/>
                <w:color w:val="auto"/>
              </w:rPr>
            </w:pPr>
            <w:r>
              <w:rPr>
                <w:rFonts w:ascii="Arial" w:cs="Arial" w:eastAsia="Arial" w:hAnsi="Arial"/>
                <w:sz w:val="17"/>
                <w:szCs w:val="17"/>
                <w:color w:val="auto"/>
              </w:rPr>
              <w:t>James S. Turley</w:t>
            </w:r>
          </w:p>
        </w:tc>
        <w:tc>
          <w:tcPr>
            <w:tcW w:w="0" w:type="dxa"/>
            <w:vAlign w:val="bottom"/>
          </w:tcPr>
          <w:p>
            <w:pPr>
              <w:spacing w:after="0"/>
              <w:rPr>
                <w:sz w:val="1"/>
                <w:szCs w:val="1"/>
                <w:color w:val="auto"/>
              </w:rPr>
            </w:pPr>
          </w:p>
        </w:tc>
      </w:tr>
      <w:tr>
        <w:trPr>
          <w:trHeight w:val="50"/>
        </w:trPr>
        <w:tc>
          <w:tcPr>
            <w:tcW w:w="9020" w:type="dxa"/>
            <w:vAlign w:val="bottom"/>
            <w:tcBorders>
              <w:left w:val="single" w:sz="8" w:color="426DA9"/>
            </w:tcBorders>
            <w:vMerge w:val="continue"/>
            <w:shd w:val="clear" w:color="auto" w:fill="D1DDE6"/>
          </w:tcPr>
          <w:p>
            <w:pPr>
              <w:spacing w:after="0"/>
              <w:rPr>
                <w:sz w:val="4"/>
                <w:szCs w:val="4"/>
                <w:color w:val="auto"/>
              </w:rPr>
            </w:pPr>
          </w:p>
        </w:tc>
        <w:tc>
          <w:tcPr>
            <w:tcW w:w="2420" w:type="dxa"/>
            <w:vAlign w:val="bottom"/>
            <w:tcBorders>
              <w:right w:val="single" w:sz="8" w:color="426DA9"/>
            </w:tcBorders>
            <w:gridSpan w:val="2"/>
            <w:vMerge w:val="restart"/>
          </w:tcPr>
          <w:p>
            <w:pPr>
              <w:ind w:left="40"/>
              <w:spacing w:after="0"/>
              <w:rPr>
                <w:sz w:val="20"/>
                <w:szCs w:val="20"/>
                <w:color w:val="auto"/>
              </w:rPr>
            </w:pPr>
            <w:r>
              <w:rPr>
                <w:rFonts w:ascii="Arial" w:cs="Arial" w:eastAsia="Arial" w:hAnsi="Arial"/>
                <w:sz w:val="17"/>
                <w:szCs w:val="17"/>
                <w:b w:val="1"/>
                <w:bCs w:val="1"/>
                <w:color w:val="34657F"/>
              </w:rPr>
              <w:t>Number of meetings in</w:t>
            </w:r>
          </w:p>
        </w:tc>
        <w:tc>
          <w:tcPr>
            <w:tcW w:w="0" w:type="dxa"/>
            <w:vAlign w:val="bottom"/>
          </w:tcPr>
          <w:p>
            <w:pPr>
              <w:spacing w:after="0"/>
              <w:rPr>
                <w:sz w:val="1"/>
                <w:szCs w:val="1"/>
                <w:color w:val="auto"/>
              </w:rPr>
            </w:pPr>
          </w:p>
        </w:tc>
      </w:tr>
      <w:tr>
        <w:trPr>
          <w:trHeight w:val="186"/>
        </w:trPr>
        <w:tc>
          <w:tcPr>
            <w:tcW w:w="9020" w:type="dxa"/>
            <w:vAlign w:val="bottom"/>
            <w:tcBorders>
              <w:left w:val="single" w:sz="8" w:color="426DA9"/>
            </w:tcBorders>
            <w:vMerge w:val="restart"/>
            <w:shd w:val="clear" w:color="auto" w:fill="D1DDE6"/>
          </w:tcPr>
          <w:p>
            <w:pPr>
              <w:ind w:left="40"/>
              <w:spacing w:after="0"/>
              <w:rPr>
                <w:sz w:val="20"/>
                <w:szCs w:val="20"/>
                <w:color w:val="auto"/>
              </w:rPr>
            </w:pPr>
            <w:r>
              <w:rPr>
                <w:rFonts w:ascii="Arial" w:cs="Arial" w:eastAsia="Arial" w:hAnsi="Arial"/>
                <w:sz w:val="14"/>
                <w:szCs w:val="14"/>
                <w:color w:val="34657F"/>
              </w:rPr>
              <w:t xml:space="preserve">●   </w:t>
            </w:r>
            <w:r>
              <w:rPr>
                <w:rFonts w:ascii="Arial" w:cs="Arial" w:eastAsia="Arial" w:hAnsi="Arial"/>
                <w:sz w:val="17"/>
                <w:szCs w:val="17"/>
                <w:color w:val="000000"/>
              </w:rPr>
              <w:t>reviewing and making recommendations with respect to shareholder proposals and the results of shareholder</w:t>
            </w:r>
          </w:p>
        </w:tc>
        <w:tc>
          <w:tcPr>
            <w:tcW w:w="2420" w:type="dxa"/>
            <w:vAlign w:val="bottom"/>
            <w:tcBorders>
              <w:right w:val="single" w:sz="8" w:color="426DA9"/>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9020" w:type="dxa"/>
            <w:vAlign w:val="bottom"/>
            <w:tcBorders>
              <w:left w:val="single" w:sz="8" w:color="426DA9"/>
            </w:tcBorders>
            <w:vMerge w:val="continue"/>
            <w:shd w:val="clear" w:color="auto" w:fill="D1DDE6"/>
          </w:tcPr>
          <w:p>
            <w:pPr>
              <w:spacing w:after="0"/>
              <w:rPr>
                <w:sz w:val="10"/>
                <w:szCs w:val="10"/>
                <w:color w:val="auto"/>
              </w:rPr>
            </w:pPr>
          </w:p>
        </w:tc>
        <w:tc>
          <w:tcPr>
            <w:tcW w:w="520" w:type="dxa"/>
            <w:vAlign w:val="bottom"/>
            <w:vMerge w:val="restart"/>
          </w:tcPr>
          <w:p>
            <w:pPr>
              <w:ind w:left="40"/>
              <w:spacing w:after="0"/>
              <w:rPr>
                <w:sz w:val="20"/>
                <w:szCs w:val="20"/>
                <w:color w:val="auto"/>
              </w:rPr>
            </w:pPr>
            <w:r>
              <w:rPr>
                <w:rFonts w:ascii="Arial" w:cs="Arial" w:eastAsia="Arial" w:hAnsi="Arial"/>
                <w:sz w:val="17"/>
                <w:szCs w:val="17"/>
                <w:b w:val="1"/>
                <w:bCs w:val="1"/>
                <w:color w:val="34657F"/>
              </w:rPr>
              <w:t>2018:</w:t>
            </w:r>
          </w:p>
        </w:tc>
        <w:tc>
          <w:tcPr>
            <w:tcW w:w="1900" w:type="dxa"/>
            <w:vAlign w:val="bottom"/>
            <w:tcBorders>
              <w:right w:val="single" w:sz="8" w:color="426DA9"/>
            </w:tcBorders>
            <w:vMerge w:val="restart"/>
          </w:tcPr>
          <w:p>
            <w:pPr>
              <w:jc w:val="right"/>
              <w:ind w:right="1675"/>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102"/>
        </w:trPr>
        <w:tc>
          <w:tcPr>
            <w:tcW w:w="9020" w:type="dxa"/>
            <w:vAlign w:val="bottom"/>
            <w:tcBorders>
              <w:left w:val="single" w:sz="8" w:color="426DA9"/>
            </w:tcBorders>
            <w:vMerge w:val="restart"/>
            <w:shd w:val="clear" w:color="auto" w:fill="D1DDE6"/>
          </w:tcPr>
          <w:p>
            <w:pPr>
              <w:ind w:left="280"/>
              <w:spacing w:after="0"/>
              <w:rPr>
                <w:sz w:val="20"/>
                <w:szCs w:val="20"/>
                <w:color w:val="auto"/>
              </w:rPr>
            </w:pPr>
            <w:r>
              <w:rPr>
                <w:rFonts w:ascii="Arial" w:cs="Arial" w:eastAsia="Arial" w:hAnsi="Arial"/>
                <w:sz w:val="17"/>
                <w:szCs w:val="17"/>
                <w:color w:val="auto"/>
              </w:rPr>
              <w:t>proposals, if any, voted on at a shareholders meeting</w:t>
            </w:r>
          </w:p>
        </w:tc>
        <w:tc>
          <w:tcPr>
            <w:tcW w:w="520" w:type="dxa"/>
            <w:vAlign w:val="bottom"/>
            <w:vMerge w:val="continue"/>
          </w:tcPr>
          <w:p>
            <w:pPr>
              <w:spacing w:after="0"/>
              <w:rPr>
                <w:sz w:val="8"/>
                <w:szCs w:val="8"/>
                <w:color w:val="auto"/>
              </w:rPr>
            </w:pPr>
          </w:p>
        </w:tc>
        <w:tc>
          <w:tcPr>
            <w:tcW w:w="1900" w:type="dxa"/>
            <w:vAlign w:val="bottom"/>
            <w:tcBorders>
              <w:right w:val="single" w:sz="8" w:color="426DA9"/>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9020" w:type="dxa"/>
            <w:vAlign w:val="bottom"/>
            <w:tcBorders>
              <w:left w:val="single" w:sz="8" w:color="426DA9"/>
            </w:tcBorders>
            <w:vMerge w:val="continue"/>
            <w:shd w:val="clear" w:color="auto" w:fill="D1DDE6"/>
          </w:tcPr>
          <w:p>
            <w:pPr>
              <w:spacing w:after="0"/>
              <w:rPr>
                <w:sz w:val="8"/>
                <w:szCs w:val="8"/>
                <w:color w:val="auto"/>
              </w:rPr>
            </w:pPr>
          </w:p>
        </w:tc>
        <w:tc>
          <w:tcPr>
            <w:tcW w:w="2420" w:type="dxa"/>
            <w:vAlign w:val="bottom"/>
            <w:tcBorders>
              <w:right w:val="single" w:sz="8" w:color="426DA9"/>
            </w:tcBorders>
            <w:gridSpan w:val="2"/>
            <w:vMerge w:val="restart"/>
          </w:tcPr>
          <w:p>
            <w:pPr>
              <w:ind w:left="40"/>
              <w:spacing w:after="0"/>
              <w:rPr>
                <w:sz w:val="20"/>
                <w:szCs w:val="20"/>
                <w:color w:val="auto"/>
              </w:rPr>
            </w:pPr>
            <w:r>
              <w:rPr>
                <w:rFonts w:ascii="Arial" w:cs="Arial" w:eastAsia="Arial" w:hAnsi="Arial"/>
                <w:sz w:val="17"/>
                <w:szCs w:val="17"/>
                <w:b w:val="1"/>
                <w:bCs w:val="1"/>
                <w:color w:val="34657F"/>
              </w:rPr>
              <w:t>Independence</w:t>
            </w:r>
          </w:p>
        </w:tc>
        <w:tc>
          <w:tcPr>
            <w:tcW w:w="0" w:type="dxa"/>
            <w:vAlign w:val="bottom"/>
          </w:tcPr>
          <w:p>
            <w:pPr>
              <w:spacing w:after="0"/>
              <w:rPr>
                <w:sz w:val="1"/>
                <w:szCs w:val="1"/>
                <w:color w:val="auto"/>
              </w:rPr>
            </w:pPr>
          </w:p>
        </w:tc>
      </w:tr>
      <w:tr>
        <w:trPr>
          <w:trHeight w:val="179"/>
        </w:trPr>
        <w:tc>
          <w:tcPr>
            <w:tcW w:w="9020" w:type="dxa"/>
            <w:vAlign w:val="bottom"/>
            <w:tcBorders>
              <w:left w:val="single" w:sz="8" w:color="426DA9"/>
            </w:tcBorders>
            <w:vMerge w:val="restart"/>
            <w:shd w:val="clear" w:color="auto" w:fill="D1DDE6"/>
          </w:tcPr>
          <w:p>
            <w:pPr>
              <w:ind w:left="40"/>
              <w:spacing w:after="0"/>
              <w:rPr>
                <w:sz w:val="20"/>
                <w:szCs w:val="20"/>
                <w:color w:val="auto"/>
              </w:rPr>
            </w:pPr>
            <w:r>
              <w:rPr>
                <w:rFonts w:ascii="Arial" w:cs="Arial" w:eastAsia="Arial" w:hAnsi="Arial"/>
                <w:sz w:val="14"/>
                <w:szCs w:val="14"/>
                <w:color w:val="34657F"/>
              </w:rPr>
              <w:t xml:space="preserve">●   </w:t>
            </w:r>
            <w:r>
              <w:rPr>
                <w:rFonts w:ascii="Arial" w:cs="Arial" w:eastAsia="Arial" w:hAnsi="Arial"/>
                <w:sz w:val="17"/>
                <w:szCs w:val="17"/>
                <w:color w:val="000000"/>
              </w:rPr>
              <w:t>regularly reviewing and making recommendations to the Board regarding the composition and size of the Board</w:t>
            </w:r>
          </w:p>
        </w:tc>
        <w:tc>
          <w:tcPr>
            <w:tcW w:w="2420" w:type="dxa"/>
            <w:vAlign w:val="bottom"/>
            <w:tcBorders>
              <w:right w:val="single" w:sz="8" w:color="426DA9"/>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9020" w:type="dxa"/>
            <w:vAlign w:val="bottom"/>
            <w:tcBorders>
              <w:left w:val="single" w:sz="8" w:color="426DA9"/>
            </w:tcBorders>
            <w:vMerge w:val="continue"/>
            <w:shd w:val="clear" w:color="auto" w:fill="D1DDE6"/>
          </w:tcPr>
          <w:p>
            <w:pPr>
              <w:spacing w:after="0"/>
              <w:rPr>
                <w:sz w:val="11"/>
                <w:szCs w:val="11"/>
                <w:color w:val="auto"/>
              </w:rPr>
            </w:pPr>
          </w:p>
        </w:tc>
        <w:tc>
          <w:tcPr>
            <w:tcW w:w="2420" w:type="dxa"/>
            <w:vAlign w:val="bottom"/>
            <w:tcBorders>
              <w:right w:val="single" w:sz="8" w:color="426DA9"/>
            </w:tcBorders>
            <w:gridSpan w:val="2"/>
            <w:vMerge w:val="restart"/>
          </w:tcPr>
          <w:p>
            <w:pPr>
              <w:ind w:left="40"/>
              <w:spacing w:after="0"/>
              <w:rPr>
                <w:sz w:val="20"/>
                <w:szCs w:val="20"/>
                <w:color w:val="auto"/>
              </w:rPr>
            </w:pPr>
            <w:r>
              <w:rPr>
                <w:rFonts w:ascii="Arial" w:cs="Arial" w:eastAsia="Arial" w:hAnsi="Arial"/>
                <w:sz w:val="17"/>
                <w:szCs w:val="17"/>
                <w:color w:val="auto"/>
              </w:rPr>
              <w:t>All members are independent</w:t>
            </w:r>
          </w:p>
        </w:tc>
        <w:tc>
          <w:tcPr>
            <w:tcW w:w="0" w:type="dxa"/>
            <w:vAlign w:val="bottom"/>
          </w:tcPr>
          <w:p>
            <w:pPr>
              <w:spacing w:after="0"/>
              <w:rPr>
                <w:sz w:val="1"/>
                <w:szCs w:val="1"/>
                <w:color w:val="auto"/>
              </w:rPr>
            </w:pPr>
          </w:p>
        </w:tc>
      </w:tr>
      <w:tr>
        <w:trPr>
          <w:trHeight w:val="205"/>
        </w:trPr>
        <w:tc>
          <w:tcPr>
            <w:tcW w:w="9020" w:type="dxa"/>
            <w:vAlign w:val="bottom"/>
            <w:tcBorders>
              <w:left w:val="single" w:sz="8" w:color="426DA9"/>
            </w:tcBorders>
            <w:shd w:val="clear" w:color="auto" w:fill="D1DDE6"/>
          </w:tcPr>
          <w:p>
            <w:pPr>
              <w:ind w:left="280"/>
              <w:spacing w:after="0"/>
              <w:rPr>
                <w:sz w:val="20"/>
                <w:szCs w:val="20"/>
                <w:color w:val="auto"/>
              </w:rPr>
            </w:pPr>
            <w:r>
              <w:rPr>
                <w:rFonts w:ascii="Arial" w:cs="Arial" w:eastAsia="Arial" w:hAnsi="Arial"/>
                <w:sz w:val="17"/>
                <w:szCs w:val="17"/>
                <w:color w:val="auto"/>
              </w:rPr>
              <w:t>and the criteria for Board membership, which should include, among other things, diversity, experience and integrity</w:t>
            </w:r>
          </w:p>
        </w:tc>
        <w:tc>
          <w:tcPr>
            <w:tcW w:w="2420" w:type="dxa"/>
            <w:vAlign w:val="bottom"/>
            <w:tcBorders>
              <w:right w:val="single" w:sz="8" w:color="426DA9"/>
            </w:tcBorders>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08"/>
        </w:trPr>
        <w:tc>
          <w:tcPr>
            <w:tcW w:w="9020" w:type="dxa"/>
            <w:vAlign w:val="bottom"/>
            <w:tcBorders>
              <w:left w:val="single" w:sz="8" w:color="426DA9"/>
            </w:tcBorders>
            <w:shd w:val="clear" w:color="auto" w:fill="D1DDE6"/>
          </w:tcPr>
          <w:p>
            <w:pPr>
              <w:ind w:left="40"/>
              <w:spacing w:after="0"/>
              <w:rPr>
                <w:sz w:val="20"/>
                <w:szCs w:val="20"/>
                <w:color w:val="auto"/>
              </w:rPr>
            </w:pPr>
            <w:r>
              <w:rPr>
                <w:rFonts w:ascii="Arial" w:cs="Arial" w:eastAsia="Arial" w:hAnsi="Arial"/>
                <w:sz w:val="14"/>
                <w:szCs w:val="14"/>
                <w:color w:val="34657F"/>
              </w:rPr>
              <w:t xml:space="preserve">●   </w:t>
            </w:r>
            <w:r>
              <w:rPr>
                <w:rFonts w:ascii="Arial" w:cs="Arial" w:eastAsia="Arial" w:hAnsi="Arial"/>
                <w:sz w:val="17"/>
                <w:szCs w:val="17"/>
                <w:color w:val="000000"/>
              </w:rPr>
              <w:t>providing effective board succession planning, identifying and recommending to the Board qualified potential</w:t>
            </w:r>
          </w:p>
        </w:tc>
        <w:tc>
          <w:tcPr>
            <w:tcW w:w="520" w:type="dxa"/>
            <w:vAlign w:val="bottom"/>
          </w:tcPr>
          <w:p>
            <w:pPr>
              <w:spacing w:after="0"/>
              <w:rPr>
                <w:sz w:val="24"/>
                <w:szCs w:val="24"/>
                <w:color w:val="auto"/>
              </w:rPr>
            </w:pPr>
          </w:p>
        </w:tc>
        <w:tc>
          <w:tcPr>
            <w:tcW w:w="1900" w:type="dxa"/>
            <w:vAlign w:val="bottom"/>
            <w:tcBorders>
              <w:right w:val="single" w:sz="8" w:color="426DA9"/>
            </w:tcBorders>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9020" w:type="dxa"/>
            <w:vAlign w:val="bottom"/>
            <w:tcBorders>
              <w:left w:val="single" w:sz="8" w:color="426DA9"/>
            </w:tcBorders>
            <w:shd w:val="clear" w:color="auto" w:fill="D1DDE6"/>
          </w:tcPr>
          <w:p>
            <w:pPr>
              <w:ind w:left="280"/>
              <w:spacing w:after="0" w:line="193" w:lineRule="exact"/>
              <w:rPr>
                <w:sz w:val="20"/>
                <w:szCs w:val="20"/>
                <w:color w:val="auto"/>
              </w:rPr>
            </w:pPr>
            <w:r>
              <w:rPr>
                <w:rFonts w:ascii="Arial" w:cs="Arial" w:eastAsia="Arial" w:hAnsi="Arial"/>
                <w:sz w:val="17"/>
                <w:szCs w:val="17"/>
                <w:color w:val="auto"/>
              </w:rPr>
              <w:t>candidates to serve on the Board and its committees and, if applicable, meeting with proxy access nominees</w:t>
            </w:r>
          </w:p>
        </w:tc>
        <w:tc>
          <w:tcPr>
            <w:tcW w:w="520" w:type="dxa"/>
            <w:vAlign w:val="bottom"/>
          </w:tcPr>
          <w:p>
            <w:pPr>
              <w:spacing w:after="0"/>
              <w:rPr>
                <w:sz w:val="16"/>
                <w:szCs w:val="16"/>
                <w:color w:val="auto"/>
              </w:rPr>
            </w:pPr>
          </w:p>
        </w:tc>
        <w:tc>
          <w:tcPr>
            <w:tcW w:w="1900" w:type="dxa"/>
            <w:vAlign w:val="bottom"/>
            <w:tcBorders>
              <w:right w:val="single" w:sz="8" w:color="426DA9"/>
            </w:tcBorders>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9020" w:type="dxa"/>
            <w:vAlign w:val="bottom"/>
            <w:tcBorders>
              <w:left w:val="single" w:sz="8" w:color="426DA9"/>
            </w:tcBorders>
            <w:shd w:val="clear" w:color="auto" w:fill="D1DDE6"/>
          </w:tcPr>
          <w:p>
            <w:pPr>
              <w:ind w:left="280"/>
              <w:spacing w:after="0"/>
              <w:rPr>
                <w:sz w:val="20"/>
                <w:szCs w:val="20"/>
                <w:color w:val="auto"/>
              </w:rPr>
            </w:pPr>
            <w:r>
              <w:rPr>
                <w:rFonts w:ascii="Arial" w:cs="Arial" w:eastAsia="Arial" w:hAnsi="Arial"/>
                <w:sz w:val="17"/>
                <w:szCs w:val="17"/>
                <w:color w:val="auto"/>
              </w:rPr>
              <w:t>nominated through the Company's proxy access bylaw provision</w:t>
            </w:r>
          </w:p>
        </w:tc>
        <w:tc>
          <w:tcPr>
            <w:tcW w:w="520" w:type="dxa"/>
            <w:vAlign w:val="bottom"/>
          </w:tcPr>
          <w:p>
            <w:pPr>
              <w:spacing w:after="0"/>
              <w:rPr>
                <w:sz w:val="17"/>
                <w:szCs w:val="17"/>
                <w:color w:val="auto"/>
              </w:rPr>
            </w:pPr>
          </w:p>
        </w:tc>
        <w:tc>
          <w:tcPr>
            <w:tcW w:w="1900" w:type="dxa"/>
            <w:vAlign w:val="bottom"/>
            <w:tcBorders>
              <w:right w:val="single" w:sz="8" w:color="426DA9"/>
            </w:tcBorders>
          </w:tcPr>
          <w:p>
            <w:pPr>
              <w:spacing w:after="0"/>
              <w:rPr>
                <w:sz w:val="17"/>
                <w:szCs w:val="17"/>
                <w:color w:val="auto"/>
              </w:rPr>
            </w:pPr>
          </w:p>
        </w:tc>
        <w:tc>
          <w:tcPr>
            <w:tcW w:w="0" w:type="dxa"/>
            <w:vAlign w:val="bottom"/>
          </w:tcPr>
          <w:p>
            <w:pPr>
              <w:spacing w:after="0"/>
              <w:rPr>
                <w:sz w:val="1"/>
                <w:szCs w:val="1"/>
                <w:color w:val="auto"/>
              </w:rPr>
            </w:pPr>
          </w:p>
        </w:tc>
      </w:tr>
      <w:tr>
        <w:trPr>
          <w:trHeight w:val="308"/>
        </w:trPr>
        <w:tc>
          <w:tcPr>
            <w:tcW w:w="9020" w:type="dxa"/>
            <w:vAlign w:val="bottom"/>
            <w:tcBorders>
              <w:left w:val="single" w:sz="8" w:color="426DA9"/>
            </w:tcBorders>
            <w:shd w:val="clear" w:color="auto" w:fill="D1DDE6"/>
          </w:tcPr>
          <w:p>
            <w:pPr>
              <w:ind w:left="40"/>
              <w:spacing w:after="0"/>
              <w:rPr>
                <w:sz w:val="20"/>
                <w:szCs w:val="20"/>
                <w:color w:val="auto"/>
              </w:rPr>
            </w:pPr>
            <w:r>
              <w:rPr>
                <w:rFonts w:ascii="Arial" w:cs="Arial" w:eastAsia="Arial" w:hAnsi="Arial"/>
                <w:sz w:val="14"/>
                <w:szCs w:val="14"/>
                <w:color w:val="34657F"/>
              </w:rPr>
              <w:t xml:space="preserve">●   </w:t>
            </w:r>
            <w:r>
              <w:rPr>
                <w:rFonts w:ascii="Arial" w:cs="Arial" w:eastAsia="Arial" w:hAnsi="Arial"/>
                <w:sz w:val="17"/>
                <w:szCs w:val="17"/>
                <w:color w:val="000000"/>
              </w:rPr>
              <w:t>reviewing and determining whether a director's service on another board or elsewhere is likely to interfere with the</w:t>
            </w:r>
          </w:p>
        </w:tc>
        <w:tc>
          <w:tcPr>
            <w:tcW w:w="520" w:type="dxa"/>
            <w:vAlign w:val="bottom"/>
          </w:tcPr>
          <w:p>
            <w:pPr>
              <w:spacing w:after="0"/>
              <w:rPr>
                <w:sz w:val="24"/>
                <w:szCs w:val="24"/>
                <w:color w:val="auto"/>
              </w:rPr>
            </w:pPr>
          </w:p>
        </w:tc>
        <w:tc>
          <w:tcPr>
            <w:tcW w:w="1900" w:type="dxa"/>
            <w:vAlign w:val="bottom"/>
            <w:tcBorders>
              <w:right w:val="single" w:sz="8" w:color="426DA9"/>
            </w:tcBorders>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9020" w:type="dxa"/>
            <w:vAlign w:val="bottom"/>
            <w:tcBorders>
              <w:left w:val="single" w:sz="8" w:color="426DA9"/>
            </w:tcBorders>
            <w:shd w:val="clear" w:color="auto" w:fill="D1DDE6"/>
          </w:tcPr>
          <w:p>
            <w:pPr>
              <w:ind w:left="280"/>
              <w:spacing w:after="0"/>
              <w:rPr>
                <w:sz w:val="20"/>
                <w:szCs w:val="20"/>
                <w:color w:val="auto"/>
              </w:rPr>
            </w:pPr>
            <w:r>
              <w:rPr>
                <w:rFonts w:ascii="Arial" w:cs="Arial" w:eastAsia="Arial" w:hAnsi="Arial"/>
                <w:sz w:val="17"/>
                <w:szCs w:val="17"/>
                <w:color w:val="auto"/>
              </w:rPr>
              <w:t>director's duties and responsibilities as a member of the Board</w:t>
            </w:r>
          </w:p>
        </w:tc>
        <w:tc>
          <w:tcPr>
            <w:tcW w:w="520" w:type="dxa"/>
            <w:vAlign w:val="bottom"/>
          </w:tcPr>
          <w:p>
            <w:pPr>
              <w:spacing w:after="0"/>
              <w:rPr>
                <w:sz w:val="17"/>
                <w:szCs w:val="17"/>
                <w:color w:val="auto"/>
              </w:rPr>
            </w:pPr>
          </w:p>
        </w:tc>
        <w:tc>
          <w:tcPr>
            <w:tcW w:w="1900" w:type="dxa"/>
            <w:vAlign w:val="bottom"/>
            <w:tcBorders>
              <w:right w:val="single" w:sz="8" w:color="426DA9"/>
            </w:tcBorders>
          </w:tcPr>
          <w:p>
            <w:pPr>
              <w:spacing w:after="0"/>
              <w:rPr>
                <w:sz w:val="17"/>
                <w:szCs w:val="17"/>
                <w:color w:val="auto"/>
              </w:rPr>
            </w:pPr>
          </w:p>
        </w:tc>
        <w:tc>
          <w:tcPr>
            <w:tcW w:w="0" w:type="dxa"/>
            <w:vAlign w:val="bottom"/>
          </w:tcPr>
          <w:p>
            <w:pPr>
              <w:spacing w:after="0"/>
              <w:rPr>
                <w:sz w:val="1"/>
                <w:szCs w:val="1"/>
                <w:color w:val="auto"/>
              </w:rPr>
            </w:pPr>
          </w:p>
        </w:tc>
      </w:tr>
      <w:tr>
        <w:trPr>
          <w:trHeight w:val="308"/>
        </w:trPr>
        <w:tc>
          <w:tcPr>
            <w:tcW w:w="9020" w:type="dxa"/>
            <w:vAlign w:val="bottom"/>
            <w:tcBorders>
              <w:left w:val="single" w:sz="8" w:color="426DA9"/>
            </w:tcBorders>
            <w:shd w:val="clear" w:color="auto" w:fill="D1DDE6"/>
          </w:tcPr>
          <w:p>
            <w:pPr>
              <w:ind w:left="40"/>
              <w:spacing w:after="0"/>
              <w:rPr>
                <w:sz w:val="20"/>
                <w:szCs w:val="20"/>
                <w:color w:val="auto"/>
              </w:rPr>
            </w:pPr>
            <w:r>
              <w:rPr>
                <w:rFonts w:ascii="Arial" w:cs="Arial" w:eastAsia="Arial" w:hAnsi="Arial"/>
                <w:sz w:val="14"/>
                <w:szCs w:val="14"/>
                <w:color w:val="34657F"/>
              </w:rPr>
              <w:t xml:space="preserve">●   </w:t>
            </w:r>
            <w:r>
              <w:rPr>
                <w:rFonts w:ascii="Arial" w:cs="Arial" w:eastAsia="Arial" w:hAnsi="Arial"/>
                <w:sz w:val="17"/>
                <w:szCs w:val="17"/>
                <w:color w:val="000000"/>
              </w:rPr>
              <w:t>reviewing and recommending board, director and committee evaluation processes and coordinating the process</w:t>
            </w:r>
          </w:p>
        </w:tc>
        <w:tc>
          <w:tcPr>
            <w:tcW w:w="520" w:type="dxa"/>
            <w:vAlign w:val="bottom"/>
          </w:tcPr>
          <w:p>
            <w:pPr>
              <w:spacing w:after="0"/>
              <w:rPr>
                <w:sz w:val="24"/>
                <w:szCs w:val="24"/>
                <w:color w:val="auto"/>
              </w:rPr>
            </w:pPr>
          </w:p>
        </w:tc>
        <w:tc>
          <w:tcPr>
            <w:tcW w:w="1900" w:type="dxa"/>
            <w:vAlign w:val="bottom"/>
            <w:tcBorders>
              <w:right w:val="single" w:sz="8" w:color="426DA9"/>
            </w:tcBorders>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9020" w:type="dxa"/>
            <w:vAlign w:val="bottom"/>
            <w:tcBorders>
              <w:left w:val="single" w:sz="8" w:color="426DA9"/>
            </w:tcBorders>
            <w:shd w:val="clear" w:color="auto" w:fill="D1DDE6"/>
          </w:tcPr>
          <w:p>
            <w:pPr>
              <w:ind w:left="280"/>
              <w:spacing w:after="0"/>
              <w:rPr>
                <w:sz w:val="20"/>
                <w:szCs w:val="20"/>
                <w:color w:val="auto"/>
              </w:rPr>
            </w:pPr>
            <w:r>
              <w:rPr>
                <w:rFonts w:ascii="Arial" w:cs="Arial" w:eastAsia="Arial" w:hAnsi="Arial"/>
                <w:sz w:val="17"/>
                <w:szCs w:val="17"/>
                <w:color w:val="auto"/>
              </w:rPr>
              <w:t>for the Board to evaluate its performance</w:t>
            </w:r>
          </w:p>
        </w:tc>
        <w:tc>
          <w:tcPr>
            <w:tcW w:w="520" w:type="dxa"/>
            <w:vAlign w:val="bottom"/>
          </w:tcPr>
          <w:p>
            <w:pPr>
              <w:spacing w:after="0"/>
              <w:rPr>
                <w:sz w:val="17"/>
                <w:szCs w:val="17"/>
                <w:color w:val="auto"/>
              </w:rPr>
            </w:pPr>
          </w:p>
        </w:tc>
        <w:tc>
          <w:tcPr>
            <w:tcW w:w="1900" w:type="dxa"/>
            <w:vAlign w:val="bottom"/>
            <w:tcBorders>
              <w:right w:val="single" w:sz="8" w:color="426DA9"/>
            </w:tcBorders>
          </w:tcPr>
          <w:p>
            <w:pPr>
              <w:spacing w:after="0"/>
              <w:rPr>
                <w:sz w:val="17"/>
                <w:szCs w:val="17"/>
                <w:color w:val="auto"/>
              </w:rPr>
            </w:pPr>
          </w:p>
        </w:tc>
        <w:tc>
          <w:tcPr>
            <w:tcW w:w="0" w:type="dxa"/>
            <w:vAlign w:val="bottom"/>
          </w:tcPr>
          <w:p>
            <w:pPr>
              <w:spacing w:after="0"/>
              <w:rPr>
                <w:sz w:val="1"/>
                <w:szCs w:val="1"/>
                <w:color w:val="auto"/>
              </w:rPr>
            </w:pPr>
          </w:p>
        </w:tc>
      </w:tr>
      <w:tr>
        <w:trPr>
          <w:trHeight w:val="91"/>
        </w:trPr>
        <w:tc>
          <w:tcPr>
            <w:tcW w:w="9020" w:type="dxa"/>
            <w:vAlign w:val="bottom"/>
            <w:tcBorders>
              <w:left w:val="single" w:sz="8" w:color="426DA9"/>
              <w:bottom w:val="single" w:sz="8" w:color="426DA9"/>
            </w:tcBorders>
            <w:shd w:val="clear" w:color="auto" w:fill="D1DDE6"/>
          </w:tcPr>
          <w:p>
            <w:pPr>
              <w:spacing w:after="0"/>
              <w:rPr>
                <w:sz w:val="7"/>
                <w:szCs w:val="7"/>
                <w:color w:val="auto"/>
              </w:rPr>
            </w:pPr>
          </w:p>
        </w:tc>
        <w:tc>
          <w:tcPr>
            <w:tcW w:w="520" w:type="dxa"/>
            <w:vAlign w:val="bottom"/>
            <w:tcBorders>
              <w:bottom w:val="single" w:sz="8" w:color="426DA9"/>
            </w:tcBorders>
          </w:tcPr>
          <w:p>
            <w:pPr>
              <w:spacing w:after="0"/>
              <w:rPr>
                <w:sz w:val="7"/>
                <w:szCs w:val="7"/>
                <w:color w:val="auto"/>
              </w:rPr>
            </w:pPr>
          </w:p>
        </w:tc>
        <w:tc>
          <w:tcPr>
            <w:tcW w:w="1900" w:type="dxa"/>
            <w:vAlign w:val="bottom"/>
            <w:tcBorders>
              <w:bottom w:val="single" w:sz="8" w:color="426DA9"/>
              <w:right w:val="single" w:sz="8" w:color="426DA9"/>
            </w:tcBorders>
          </w:tcPr>
          <w:p>
            <w:pPr>
              <w:spacing w:after="0"/>
              <w:rPr>
                <w:sz w:val="7"/>
                <w:szCs w:val="7"/>
                <w:color w:val="auto"/>
              </w:rPr>
            </w:pPr>
          </w:p>
        </w:tc>
        <w:tc>
          <w:tcPr>
            <w:tcW w:w="0" w:type="dxa"/>
            <w:vAlign w:val="bottom"/>
          </w:tcPr>
          <w:p>
            <w:pPr>
              <w:spacing w:after="0"/>
              <w:rPr>
                <w:sz w:val="1"/>
                <w:szCs w:val="1"/>
                <w:color w:val="auto"/>
              </w:rPr>
            </w:pPr>
          </w:p>
        </w:tc>
      </w:tr>
      <w:tr>
        <w:trPr>
          <w:trHeight w:val="198"/>
        </w:trPr>
        <w:tc>
          <w:tcPr>
            <w:tcW w:w="9020" w:type="dxa"/>
            <w:vAlign w:val="bottom"/>
            <w:tcBorders>
              <w:bottom w:val="single" w:sz="8" w:color="426DA9"/>
            </w:tcBorders>
          </w:tcPr>
          <w:p>
            <w:pPr>
              <w:spacing w:after="0"/>
              <w:rPr>
                <w:sz w:val="17"/>
                <w:szCs w:val="17"/>
                <w:color w:val="auto"/>
              </w:rPr>
            </w:pPr>
          </w:p>
        </w:tc>
        <w:tc>
          <w:tcPr>
            <w:tcW w:w="520" w:type="dxa"/>
            <w:vAlign w:val="bottom"/>
            <w:tcBorders>
              <w:bottom w:val="single" w:sz="8" w:color="426DA9"/>
            </w:tcBorders>
          </w:tcPr>
          <w:p>
            <w:pPr>
              <w:spacing w:after="0"/>
              <w:rPr>
                <w:sz w:val="17"/>
                <w:szCs w:val="17"/>
                <w:color w:val="auto"/>
              </w:rPr>
            </w:pPr>
          </w:p>
        </w:tc>
        <w:tc>
          <w:tcPr>
            <w:tcW w:w="1900" w:type="dxa"/>
            <w:vAlign w:val="bottom"/>
            <w:tcBorders>
              <w:bottom w:val="single" w:sz="8" w:color="426DA9"/>
            </w:tcBorders>
          </w:tcPr>
          <w:p>
            <w:pPr>
              <w:spacing w:after="0"/>
              <w:rPr>
                <w:sz w:val="17"/>
                <w:szCs w:val="17"/>
                <w:color w:val="auto"/>
              </w:rPr>
            </w:pPr>
          </w:p>
        </w:tc>
        <w:tc>
          <w:tcPr>
            <w:tcW w:w="0" w:type="dxa"/>
            <w:vAlign w:val="bottom"/>
          </w:tcPr>
          <w:p>
            <w:pPr>
              <w:spacing w:after="0"/>
              <w:rPr>
                <w:sz w:val="1"/>
                <w:szCs w:val="1"/>
                <w:color w:val="auto"/>
              </w:rPr>
            </w:pPr>
          </w:p>
        </w:tc>
      </w:tr>
      <w:tr>
        <w:trPr>
          <w:trHeight w:val="319"/>
        </w:trPr>
        <w:tc>
          <w:tcPr>
            <w:tcW w:w="9020" w:type="dxa"/>
            <w:vAlign w:val="bottom"/>
            <w:tcBorders>
              <w:left w:val="single" w:sz="8" w:color="426DA9"/>
              <w:bottom w:val="single" w:sz="8" w:color="426DA9"/>
            </w:tcBorders>
          </w:tcPr>
          <w:p>
            <w:pPr>
              <w:ind w:left="40"/>
              <w:spacing w:after="0"/>
              <w:rPr>
                <w:sz w:val="20"/>
                <w:szCs w:val="20"/>
                <w:color w:val="auto"/>
              </w:rPr>
            </w:pPr>
            <w:r>
              <w:rPr>
                <w:rFonts w:ascii="Arial" w:cs="Arial" w:eastAsia="Arial" w:hAnsi="Arial"/>
                <w:sz w:val="24"/>
                <w:szCs w:val="24"/>
                <w:b w:val="1"/>
                <w:bCs w:val="1"/>
                <w:color w:val="34657F"/>
              </w:rPr>
              <w:t>Policy Committee</w:t>
            </w:r>
          </w:p>
        </w:tc>
        <w:tc>
          <w:tcPr>
            <w:tcW w:w="520" w:type="dxa"/>
            <w:vAlign w:val="bottom"/>
            <w:tcBorders>
              <w:bottom w:val="single" w:sz="8" w:color="426DA9"/>
            </w:tcBorders>
          </w:tcPr>
          <w:p>
            <w:pPr>
              <w:spacing w:after="0"/>
              <w:rPr>
                <w:sz w:val="24"/>
                <w:szCs w:val="24"/>
                <w:color w:val="auto"/>
              </w:rPr>
            </w:pPr>
          </w:p>
        </w:tc>
        <w:tc>
          <w:tcPr>
            <w:tcW w:w="1900" w:type="dxa"/>
            <w:vAlign w:val="bottom"/>
            <w:tcBorders>
              <w:bottom w:val="single" w:sz="8" w:color="426DA9"/>
              <w:right w:val="single" w:sz="8" w:color="426DA9"/>
            </w:tcBorders>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9020" w:type="dxa"/>
            <w:vAlign w:val="bottom"/>
            <w:tcBorders>
              <w:left w:val="single" w:sz="8" w:color="426DA9"/>
            </w:tcBorders>
            <w:shd w:val="clear" w:color="auto" w:fill="D1DDE6"/>
          </w:tcPr>
          <w:p>
            <w:pPr>
              <w:ind w:left="40"/>
              <w:spacing w:after="0"/>
              <w:rPr>
                <w:sz w:val="20"/>
                <w:szCs w:val="20"/>
                <w:color w:val="auto"/>
              </w:rPr>
            </w:pPr>
            <w:r>
              <w:rPr>
                <w:rFonts w:ascii="Arial" w:cs="Arial" w:eastAsia="Arial" w:hAnsi="Arial"/>
                <w:sz w:val="17"/>
                <w:szCs w:val="17"/>
                <w:b w:val="1"/>
                <w:bCs w:val="1"/>
                <w:color w:val="34657F"/>
              </w:rPr>
              <w:t>Roles and Responsibilities</w:t>
            </w:r>
          </w:p>
        </w:tc>
        <w:tc>
          <w:tcPr>
            <w:tcW w:w="2420" w:type="dxa"/>
            <w:vAlign w:val="bottom"/>
            <w:tcBorders>
              <w:right w:val="single" w:sz="8" w:color="426DA9"/>
            </w:tcBorders>
            <w:gridSpan w:val="2"/>
          </w:tcPr>
          <w:p>
            <w:pPr>
              <w:ind w:left="40"/>
              <w:spacing w:after="0"/>
              <w:rPr>
                <w:sz w:val="20"/>
                <w:szCs w:val="20"/>
                <w:color w:val="auto"/>
              </w:rPr>
            </w:pPr>
            <w:r>
              <w:rPr>
                <w:rFonts w:ascii="Arial" w:cs="Arial" w:eastAsia="Arial" w:hAnsi="Arial"/>
                <w:sz w:val="17"/>
                <w:szCs w:val="17"/>
                <w:b w:val="1"/>
                <w:bCs w:val="1"/>
                <w:color w:val="34657F"/>
              </w:rPr>
              <w:t>Committee Members</w:t>
            </w:r>
          </w:p>
        </w:tc>
        <w:tc>
          <w:tcPr>
            <w:tcW w:w="0" w:type="dxa"/>
            <w:vAlign w:val="bottom"/>
          </w:tcPr>
          <w:p>
            <w:pPr>
              <w:spacing w:after="0"/>
              <w:rPr>
                <w:sz w:val="1"/>
                <w:szCs w:val="1"/>
                <w:color w:val="auto"/>
              </w:rPr>
            </w:pPr>
          </w:p>
        </w:tc>
      </w:tr>
      <w:tr>
        <w:trPr>
          <w:trHeight w:val="308"/>
        </w:trPr>
        <w:tc>
          <w:tcPr>
            <w:tcW w:w="9020" w:type="dxa"/>
            <w:vAlign w:val="bottom"/>
            <w:tcBorders>
              <w:left w:val="single" w:sz="8" w:color="426DA9"/>
            </w:tcBorders>
            <w:shd w:val="clear" w:color="auto" w:fill="D1DDE6"/>
          </w:tcPr>
          <w:p>
            <w:pPr>
              <w:ind w:left="40"/>
              <w:spacing w:after="0"/>
              <w:rPr>
                <w:sz w:val="20"/>
                <w:szCs w:val="20"/>
                <w:color w:val="auto"/>
              </w:rPr>
            </w:pPr>
            <w:r>
              <w:rPr>
                <w:rFonts w:ascii="Arial" w:cs="Arial" w:eastAsia="Arial" w:hAnsi="Arial"/>
                <w:sz w:val="17"/>
                <w:szCs w:val="17"/>
                <w:color w:val="auto"/>
              </w:rPr>
              <w:t>Assist the Board in overseeing policy, government relations and corporate responsibility by:</w:t>
            </w:r>
          </w:p>
        </w:tc>
        <w:tc>
          <w:tcPr>
            <w:tcW w:w="2420" w:type="dxa"/>
            <w:vAlign w:val="bottom"/>
            <w:tcBorders>
              <w:right w:val="single" w:sz="8" w:color="426DA9"/>
            </w:tcBorders>
            <w:gridSpan w:val="2"/>
          </w:tcPr>
          <w:p>
            <w:pPr>
              <w:ind w:left="40"/>
              <w:spacing w:after="0"/>
              <w:rPr>
                <w:sz w:val="20"/>
                <w:szCs w:val="20"/>
                <w:color w:val="auto"/>
              </w:rPr>
            </w:pPr>
            <w:r>
              <w:rPr>
                <w:rFonts w:ascii="Arial" w:cs="Arial" w:eastAsia="Arial" w:hAnsi="Arial"/>
                <w:sz w:val="17"/>
                <w:szCs w:val="17"/>
                <w:color w:val="auto"/>
              </w:rPr>
              <w:t>Gary Roughead (chair)</w:t>
            </w:r>
          </w:p>
        </w:tc>
        <w:tc>
          <w:tcPr>
            <w:tcW w:w="0" w:type="dxa"/>
            <w:vAlign w:val="bottom"/>
          </w:tcPr>
          <w:p>
            <w:pPr>
              <w:spacing w:after="0"/>
              <w:rPr>
                <w:sz w:val="1"/>
                <w:szCs w:val="1"/>
                <w:color w:val="auto"/>
              </w:rPr>
            </w:pPr>
          </w:p>
        </w:tc>
      </w:tr>
      <w:tr>
        <w:trPr>
          <w:trHeight w:val="192"/>
        </w:trPr>
        <w:tc>
          <w:tcPr>
            <w:tcW w:w="9020" w:type="dxa"/>
            <w:vAlign w:val="bottom"/>
            <w:tcBorders>
              <w:left w:val="single" w:sz="8" w:color="426DA9"/>
            </w:tcBorders>
            <w:vMerge w:val="restart"/>
            <w:shd w:val="clear" w:color="auto" w:fill="D1DDE6"/>
          </w:tcPr>
          <w:p>
            <w:pPr>
              <w:ind w:left="40"/>
              <w:spacing w:after="0"/>
              <w:rPr>
                <w:sz w:val="20"/>
                <w:szCs w:val="20"/>
                <w:color w:val="auto"/>
              </w:rPr>
            </w:pPr>
            <w:r>
              <w:rPr>
                <w:rFonts w:ascii="Arial" w:cs="Arial" w:eastAsia="Arial" w:hAnsi="Arial"/>
                <w:sz w:val="14"/>
                <w:szCs w:val="14"/>
                <w:color w:val="34657F"/>
              </w:rPr>
              <w:t xml:space="preserve">●  </w:t>
            </w:r>
            <w:r>
              <w:rPr>
                <w:rFonts w:ascii="Arial" w:cs="Arial" w:eastAsia="Arial" w:hAnsi="Arial"/>
                <w:sz w:val="17"/>
                <w:szCs w:val="17"/>
                <w:color w:val="000000"/>
              </w:rPr>
              <w:t>identifying and evaluating global security, political, budgetary and other issues and trends that could impact the</w:t>
            </w:r>
          </w:p>
        </w:tc>
        <w:tc>
          <w:tcPr>
            <w:tcW w:w="2420" w:type="dxa"/>
            <w:vAlign w:val="bottom"/>
            <w:tcBorders>
              <w:right w:val="single" w:sz="8" w:color="426DA9"/>
            </w:tcBorders>
            <w:gridSpan w:val="2"/>
          </w:tcPr>
          <w:p>
            <w:pPr>
              <w:ind w:left="40"/>
              <w:spacing w:after="0" w:line="193" w:lineRule="exact"/>
              <w:rPr>
                <w:sz w:val="20"/>
                <w:szCs w:val="20"/>
                <w:color w:val="auto"/>
              </w:rPr>
            </w:pPr>
            <w:r>
              <w:rPr>
                <w:rFonts w:ascii="Arial" w:cs="Arial" w:eastAsia="Arial" w:hAnsi="Arial"/>
                <w:sz w:val="17"/>
                <w:szCs w:val="17"/>
                <w:color w:val="auto"/>
              </w:rPr>
              <w:t>Marianne C. Brown</w:t>
            </w:r>
          </w:p>
        </w:tc>
        <w:tc>
          <w:tcPr>
            <w:tcW w:w="0" w:type="dxa"/>
            <w:vAlign w:val="bottom"/>
          </w:tcPr>
          <w:p>
            <w:pPr>
              <w:spacing w:after="0"/>
              <w:rPr>
                <w:sz w:val="1"/>
                <w:szCs w:val="1"/>
                <w:color w:val="auto"/>
              </w:rPr>
            </w:pPr>
          </w:p>
        </w:tc>
      </w:tr>
      <w:tr>
        <w:trPr>
          <w:trHeight w:val="128"/>
        </w:trPr>
        <w:tc>
          <w:tcPr>
            <w:tcW w:w="9020" w:type="dxa"/>
            <w:vAlign w:val="bottom"/>
            <w:tcBorders>
              <w:left w:val="single" w:sz="8" w:color="426DA9"/>
            </w:tcBorders>
            <w:vMerge w:val="continue"/>
            <w:shd w:val="clear" w:color="auto" w:fill="D1DDE6"/>
          </w:tcPr>
          <w:p>
            <w:pPr>
              <w:spacing w:after="0"/>
              <w:rPr>
                <w:sz w:val="11"/>
                <w:szCs w:val="11"/>
                <w:color w:val="auto"/>
              </w:rPr>
            </w:pPr>
          </w:p>
        </w:tc>
        <w:tc>
          <w:tcPr>
            <w:tcW w:w="2420" w:type="dxa"/>
            <w:vAlign w:val="bottom"/>
            <w:tcBorders>
              <w:right w:val="single" w:sz="8" w:color="426DA9"/>
            </w:tcBorders>
            <w:gridSpan w:val="2"/>
            <w:vMerge w:val="restart"/>
          </w:tcPr>
          <w:p>
            <w:pPr>
              <w:ind w:left="40"/>
              <w:spacing w:after="0" w:line="193" w:lineRule="exact"/>
              <w:rPr>
                <w:sz w:val="20"/>
                <w:szCs w:val="20"/>
                <w:color w:val="auto"/>
              </w:rPr>
            </w:pPr>
            <w:r>
              <w:rPr>
                <w:rFonts w:ascii="Arial" w:cs="Arial" w:eastAsia="Arial" w:hAnsi="Arial"/>
                <w:sz w:val="17"/>
                <w:szCs w:val="17"/>
                <w:color w:val="auto"/>
              </w:rPr>
              <w:t>Bruce S. Gordon</w:t>
            </w:r>
          </w:p>
        </w:tc>
        <w:tc>
          <w:tcPr>
            <w:tcW w:w="0" w:type="dxa"/>
            <w:vAlign w:val="bottom"/>
          </w:tcPr>
          <w:p>
            <w:pPr>
              <w:spacing w:after="0"/>
              <w:rPr>
                <w:sz w:val="1"/>
                <w:szCs w:val="1"/>
                <w:color w:val="auto"/>
              </w:rPr>
            </w:pPr>
          </w:p>
        </w:tc>
      </w:tr>
      <w:tr>
        <w:trPr>
          <w:trHeight w:val="64"/>
        </w:trPr>
        <w:tc>
          <w:tcPr>
            <w:tcW w:w="9020" w:type="dxa"/>
            <w:vAlign w:val="bottom"/>
            <w:tcBorders>
              <w:left w:val="single" w:sz="8" w:color="426DA9"/>
            </w:tcBorders>
            <w:vMerge w:val="restart"/>
            <w:shd w:val="clear" w:color="auto" w:fill="D1DDE6"/>
          </w:tcPr>
          <w:p>
            <w:pPr>
              <w:ind w:left="280"/>
              <w:spacing w:after="0"/>
              <w:rPr>
                <w:sz w:val="20"/>
                <w:szCs w:val="20"/>
                <w:color w:val="auto"/>
              </w:rPr>
            </w:pPr>
            <w:r>
              <w:rPr>
                <w:rFonts w:ascii="Arial" w:cs="Arial" w:eastAsia="Arial" w:hAnsi="Arial"/>
                <w:sz w:val="17"/>
                <w:szCs w:val="17"/>
                <w:color w:val="auto"/>
              </w:rPr>
              <w:t>Company's business activities and performance</w:t>
            </w:r>
          </w:p>
        </w:tc>
        <w:tc>
          <w:tcPr>
            <w:tcW w:w="2420" w:type="dxa"/>
            <w:vAlign w:val="bottom"/>
            <w:tcBorders>
              <w:right w:val="single" w:sz="8" w:color="426DA9"/>
            </w:tcBorders>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1"/>
        </w:trPr>
        <w:tc>
          <w:tcPr>
            <w:tcW w:w="9020" w:type="dxa"/>
            <w:vAlign w:val="bottom"/>
            <w:tcBorders>
              <w:left w:val="single" w:sz="8" w:color="426DA9"/>
            </w:tcBorders>
            <w:vMerge w:val="continue"/>
            <w:shd w:val="clear" w:color="auto" w:fill="D1DDE6"/>
          </w:tcPr>
          <w:p>
            <w:pPr>
              <w:spacing w:after="0"/>
              <w:rPr>
                <w:sz w:val="12"/>
                <w:szCs w:val="12"/>
                <w:color w:val="auto"/>
              </w:rPr>
            </w:pPr>
          </w:p>
        </w:tc>
        <w:tc>
          <w:tcPr>
            <w:tcW w:w="2420" w:type="dxa"/>
            <w:vAlign w:val="bottom"/>
            <w:tcBorders>
              <w:right w:val="single" w:sz="8" w:color="426DA9"/>
            </w:tcBorders>
            <w:gridSpan w:val="2"/>
            <w:vMerge w:val="restart"/>
          </w:tcPr>
          <w:p>
            <w:pPr>
              <w:ind w:left="40"/>
              <w:spacing w:after="0" w:line="193" w:lineRule="exact"/>
              <w:rPr>
                <w:sz w:val="20"/>
                <w:szCs w:val="20"/>
                <w:color w:val="auto"/>
              </w:rPr>
            </w:pPr>
            <w:r>
              <w:rPr>
                <w:rFonts w:ascii="Arial" w:cs="Arial" w:eastAsia="Arial" w:hAnsi="Arial"/>
                <w:sz w:val="17"/>
                <w:szCs w:val="17"/>
                <w:color w:val="auto"/>
              </w:rPr>
              <w:t>Thomas M. Schoewe</w:t>
            </w:r>
          </w:p>
        </w:tc>
        <w:tc>
          <w:tcPr>
            <w:tcW w:w="0" w:type="dxa"/>
            <w:vAlign w:val="bottom"/>
          </w:tcPr>
          <w:p>
            <w:pPr>
              <w:spacing w:after="0"/>
              <w:rPr>
                <w:sz w:val="1"/>
                <w:szCs w:val="1"/>
                <w:color w:val="auto"/>
              </w:rPr>
            </w:pPr>
          </w:p>
        </w:tc>
      </w:tr>
      <w:tr>
        <w:trPr>
          <w:trHeight w:val="52"/>
        </w:trPr>
        <w:tc>
          <w:tcPr>
            <w:tcW w:w="9020" w:type="dxa"/>
            <w:vAlign w:val="bottom"/>
            <w:tcBorders>
              <w:left w:val="single" w:sz="8" w:color="426DA9"/>
            </w:tcBorders>
            <w:shd w:val="clear" w:color="auto" w:fill="D1DDE6"/>
          </w:tcPr>
          <w:p>
            <w:pPr>
              <w:spacing w:after="0"/>
              <w:rPr>
                <w:sz w:val="4"/>
                <w:szCs w:val="4"/>
                <w:color w:val="auto"/>
              </w:rPr>
            </w:pPr>
          </w:p>
        </w:tc>
        <w:tc>
          <w:tcPr>
            <w:tcW w:w="2420" w:type="dxa"/>
            <w:vAlign w:val="bottom"/>
            <w:tcBorders>
              <w:right w:val="single" w:sz="8" w:color="426DA9"/>
            </w:tcBorders>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5"/>
        </w:trPr>
        <w:tc>
          <w:tcPr>
            <w:tcW w:w="9020" w:type="dxa"/>
            <w:vAlign w:val="bottom"/>
            <w:tcBorders>
              <w:left w:val="single" w:sz="8" w:color="426DA9"/>
            </w:tcBorders>
            <w:vMerge w:val="restart"/>
            <w:shd w:val="clear" w:color="auto" w:fill="D1DDE6"/>
          </w:tcPr>
          <w:p>
            <w:pPr>
              <w:ind w:left="40"/>
              <w:spacing w:after="0"/>
              <w:rPr>
                <w:sz w:val="20"/>
                <w:szCs w:val="20"/>
                <w:color w:val="auto"/>
              </w:rPr>
            </w:pPr>
            <w:r>
              <w:rPr>
                <w:rFonts w:ascii="Arial" w:cs="Arial" w:eastAsia="Arial" w:hAnsi="Arial"/>
                <w:sz w:val="14"/>
                <w:szCs w:val="14"/>
                <w:color w:val="34657F"/>
              </w:rPr>
              <w:t xml:space="preserve">●   </w:t>
            </w:r>
            <w:r>
              <w:rPr>
                <w:rFonts w:ascii="Arial" w:cs="Arial" w:eastAsia="Arial" w:hAnsi="Arial"/>
                <w:sz w:val="17"/>
                <w:szCs w:val="17"/>
                <w:color w:val="000000"/>
              </w:rPr>
              <w:t>reviewing and providing oversight over the Company's ethics and corporate responsibility policies and programs</w:t>
            </w:r>
          </w:p>
        </w:tc>
        <w:tc>
          <w:tcPr>
            <w:tcW w:w="2420" w:type="dxa"/>
            <w:vAlign w:val="bottom"/>
            <w:tcBorders>
              <w:right w:val="single" w:sz="8" w:color="426DA9"/>
            </w:tcBorders>
            <w:gridSpan w:val="2"/>
          </w:tcPr>
          <w:p>
            <w:pPr>
              <w:ind w:left="40"/>
              <w:spacing w:after="0"/>
              <w:rPr>
                <w:sz w:val="20"/>
                <w:szCs w:val="20"/>
                <w:color w:val="auto"/>
              </w:rPr>
            </w:pPr>
            <w:r>
              <w:rPr>
                <w:rFonts w:ascii="Arial" w:cs="Arial" w:eastAsia="Arial" w:hAnsi="Arial"/>
                <w:sz w:val="17"/>
                <w:szCs w:val="17"/>
                <w:color w:val="auto"/>
              </w:rPr>
              <w:t>Mark A. Welsh III</w:t>
            </w:r>
          </w:p>
        </w:tc>
        <w:tc>
          <w:tcPr>
            <w:tcW w:w="0" w:type="dxa"/>
            <w:vAlign w:val="bottom"/>
          </w:tcPr>
          <w:p>
            <w:pPr>
              <w:spacing w:after="0"/>
              <w:rPr>
                <w:sz w:val="1"/>
                <w:szCs w:val="1"/>
                <w:color w:val="auto"/>
              </w:rPr>
            </w:pPr>
          </w:p>
        </w:tc>
      </w:tr>
      <w:tr>
        <w:trPr>
          <w:trHeight w:val="64"/>
        </w:trPr>
        <w:tc>
          <w:tcPr>
            <w:tcW w:w="9020" w:type="dxa"/>
            <w:vAlign w:val="bottom"/>
            <w:tcBorders>
              <w:left w:val="single" w:sz="8" w:color="426DA9"/>
            </w:tcBorders>
            <w:vMerge w:val="continue"/>
            <w:shd w:val="clear" w:color="auto" w:fill="D1DDE6"/>
          </w:tcPr>
          <w:p>
            <w:pPr>
              <w:spacing w:after="0"/>
              <w:rPr>
                <w:sz w:val="5"/>
                <w:szCs w:val="5"/>
                <w:color w:val="auto"/>
              </w:rPr>
            </w:pPr>
          </w:p>
        </w:tc>
        <w:tc>
          <w:tcPr>
            <w:tcW w:w="2420" w:type="dxa"/>
            <w:vAlign w:val="bottom"/>
            <w:tcBorders>
              <w:right w:val="single" w:sz="8" w:color="426DA9"/>
            </w:tcBorders>
            <w:gridSpan w:val="2"/>
            <w:vMerge w:val="restart"/>
          </w:tcPr>
          <w:p>
            <w:pPr>
              <w:ind w:left="40"/>
              <w:spacing w:after="0"/>
              <w:rPr>
                <w:sz w:val="20"/>
                <w:szCs w:val="20"/>
                <w:color w:val="auto"/>
              </w:rPr>
            </w:pPr>
            <w:r>
              <w:rPr>
                <w:rFonts w:ascii="Arial" w:cs="Arial" w:eastAsia="Arial" w:hAnsi="Arial"/>
                <w:sz w:val="17"/>
                <w:szCs w:val="17"/>
                <w:b w:val="1"/>
                <w:bCs w:val="1"/>
                <w:color w:val="34657F"/>
              </w:rPr>
              <w:t>Number of meetings in 2018:</w:t>
            </w:r>
          </w:p>
        </w:tc>
        <w:tc>
          <w:tcPr>
            <w:tcW w:w="0" w:type="dxa"/>
            <w:vAlign w:val="bottom"/>
          </w:tcPr>
          <w:p>
            <w:pPr>
              <w:spacing w:after="0"/>
              <w:rPr>
                <w:sz w:val="1"/>
                <w:szCs w:val="1"/>
                <w:color w:val="auto"/>
              </w:rPr>
            </w:pPr>
          </w:p>
        </w:tc>
      </w:tr>
      <w:tr>
        <w:trPr>
          <w:trHeight w:val="206"/>
        </w:trPr>
        <w:tc>
          <w:tcPr>
            <w:tcW w:w="9020" w:type="dxa"/>
            <w:vAlign w:val="bottom"/>
            <w:tcBorders>
              <w:left w:val="single" w:sz="8" w:color="426DA9"/>
            </w:tcBorders>
            <w:vMerge w:val="restart"/>
            <w:shd w:val="clear" w:color="auto" w:fill="D1DDE6"/>
          </w:tcPr>
          <w:p>
            <w:pPr>
              <w:ind w:left="40"/>
              <w:spacing w:after="0"/>
              <w:rPr>
                <w:sz w:val="20"/>
                <w:szCs w:val="20"/>
                <w:color w:val="auto"/>
              </w:rPr>
            </w:pPr>
            <w:r>
              <w:rPr>
                <w:rFonts w:ascii="Arial" w:cs="Arial" w:eastAsia="Arial" w:hAnsi="Arial"/>
                <w:sz w:val="14"/>
                <w:szCs w:val="14"/>
                <w:color w:val="34657F"/>
              </w:rPr>
              <w:t xml:space="preserve">●   </w:t>
            </w:r>
            <w:r>
              <w:rPr>
                <w:rFonts w:ascii="Arial" w:cs="Arial" w:eastAsia="Arial" w:hAnsi="Arial"/>
                <w:sz w:val="17"/>
                <w:szCs w:val="17"/>
                <w:color w:val="000000"/>
              </w:rPr>
              <w:t>reviewing the Company's public relations branding strategy</w:t>
            </w:r>
          </w:p>
        </w:tc>
        <w:tc>
          <w:tcPr>
            <w:tcW w:w="2420" w:type="dxa"/>
            <w:vAlign w:val="bottom"/>
            <w:tcBorders>
              <w:right w:val="single" w:sz="8" w:color="426DA9"/>
            </w:tcBorders>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15"/>
        </w:trPr>
        <w:tc>
          <w:tcPr>
            <w:tcW w:w="9020" w:type="dxa"/>
            <w:vAlign w:val="bottom"/>
            <w:tcBorders>
              <w:left w:val="single" w:sz="8" w:color="426DA9"/>
            </w:tcBorders>
            <w:vMerge w:val="continue"/>
            <w:shd w:val="clear" w:color="auto" w:fill="D1DDE6"/>
          </w:tcPr>
          <w:p>
            <w:pPr>
              <w:spacing w:after="0"/>
              <w:rPr>
                <w:sz w:val="9"/>
                <w:szCs w:val="9"/>
                <w:color w:val="auto"/>
              </w:rPr>
            </w:pPr>
          </w:p>
        </w:tc>
        <w:tc>
          <w:tcPr>
            <w:tcW w:w="520" w:type="dxa"/>
            <w:vAlign w:val="bottom"/>
            <w:vMerge w:val="restart"/>
          </w:tcPr>
          <w:p>
            <w:pPr>
              <w:ind w:left="40"/>
              <w:spacing w:after="0"/>
              <w:rPr>
                <w:sz w:val="20"/>
                <w:szCs w:val="20"/>
                <w:color w:val="auto"/>
              </w:rPr>
            </w:pPr>
            <w:r>
              <w:rPr>
                <w:rFonts w:ascii="Arial" w:cs="Arial" w:eastAsia="Arial" w:hAnsi="Arial"/>
                <w:sz w:val="17"/>
                <w:szCs w:val="17"/>
                <w:color w:val="auto"/>
              </w:rPr>
              <w:t>4</w:t>
            </w:r>
          </w:p>
        </w:tc>
        <w:tc>
          <w:tcPr>
            <w:tcW w:w="1900" w:type="dxa"/>
            <w:vAlign w:val="bottom"/>
            <w:tcBorders>
              <w:right w:val="single" w:sz="8" w:color="426DA9"/>
            </w:tcBorders>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9020" w:type="dxa"/>
            <w:vAlign w:val="bottom"/>
            <w:tcBorders>
              <w:left w:val="single" w:sz="8" w:color="426DA9"/>
            </w:tcBorders>
            <w:shd w:val="clear" w:color="auto" w:fill="D1DDE6"/>
          </w:tcPr>
          <w:p>
            <w:pPr>
              <w:spacing w:after="0"/>
              <w:rPr>
                <w:sz w:val="7"/>
                <w:szCs w:val="7"/>
                <w:color w:val="auto"/>
              </w:rPr>
            </w:pPr>
          </w:p>
        </w:tc>
        <w:tc>
          <w:tcPr>
            <w:tcW w:w="520" w:type="dxa"/>
            <w:vAlign w:val="bottom"/>
            <w:vMerge w:val="continue"/>
          </w:tcPr>
          <w:p>
            <w:pPr>
              <w:spacing w:after="0"/>
              <w:rPr>
                <w:sz w:val="7"/>
                <w:szCs w:val="7"/>
                <w:color w:val="auto"/>
              </w:rPr>
            </w:pPr>
          </w:p>
        </w:tc>
        <w:tc>
          <w:tcPr>
            <w:tcW w:w="1900" w:type="dxa"/>
            <w:vAlign w:val="bottom"/>
            <w:tcBorders>
              <w:right w:val="single" w:sz="8" w:color="426DA9"/>
            </w:tcBorders>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9020" w:type="dxa"/>
            <w:vAlign w:val="bottom"/>
            <w:tcBorders>
              <w:left w:val="single" w:sz="8" w:color="426DA9"/>
            </w:tcBorders>
            <w:shd w:val="clear" w:color="auto" w:fill="D1DDE6"/>
          </w:tcPr>
          <w:p>
            <w:pPr>
              <w:ind w:left="40"/>
              <w:spacing w:after="0"/>
              <w:rPr>
                <w:sz w:val="20"/>
                <w:szCs w:val="20"/>
                <w:color w:val="auto"/>
              </w:rPr>
            </w:pPr>
            <w:r>
              <w:rPr>
                <w:rFonts w:ascii="Arial" w:cs="Arial" w:eastAsia="Arial" w:hAnsi="Arial"/>
                <w:sz w:val="14"/>
                <w:szCs w:val="14"/>
                <w:color w:val="34657F"/>
              </w:rPr>
              <w:t xml:space="preserve">●   </w:t>
            </w:r>
            <w:r>
              <w:rPr>
                <w:rFonts w:ascii="Arial" w:cs="Arial" w:eastAsia="Arial" w:hAnsi="Arial"/>
                <w:sz w:val="17"/>
                <w:szCs w:val="17"/>
                <w:color w:val="000000"/>
              </w:rPr>
              <w:t>reviewing and monitoring the Company's government relations strategy and political action committee</w:t>
            </w:r>
          </w:p>
        </w:tc>
        <w:tc>
          <w:tcPr>
            <w:tcW w:w="2420" w:type="dxa"/>
            <w:vAlign w:val="bottom"/>
            <w:tcBorders>
              <w:right w:val="single" w:sz="8" w:color="426DA9"/>
            </w:tcBorders>
            <w:gridSpan w:val="2"/>
          </w:tcPr>
          <w:p>
            <w:pPr>
              <w:ind w:left="40"/>
              <w:spacing w:after="0"/>
              <w:rPr>
                <w:sz w:val="20"/>
                <w:szCs w:val="20"/>
                <w:color w:val="auto"/>
              </w:rPr>
            </w:pPr>
            <w:r>
              <w:rPr>
                <w:rFonts w:ascii="Arial" w:cs="Arial" w:eastAsia="Arial" w:hAnsi="Arial"/>
                <w:sz w:val="17"/>
                <w:szCs w:val="17"/>
                <w:b w:val="1"/>
                <w:bCs w:val="1"/>
                <w:color w:val="34657F"/>
              </w:rPr>
              <w:t>Independence</w:t>
            </w:r>
          </w:p>
        </w:tc>
        <w:tc>
          <w:tcPr>
            <w:tcW w:w="0" w:type="dxa"/>
            <w:vAlign w:val="bottom"/>
          </w:tcPr>
          <w:p>
            <w:pPr>
              <w:spacing w:after="0"/>
              <w:rPr>
                <w:sz w:val="1"/>
                <w:szCs w:val="1"/>
                <w:color w:val="auto"/>
              </w:rPr>
            </w:pPr>
          </w:p>
        </w:tc>
      </w:tr>
      <w:tr>
        <w:trPr>
          <w:trHeight w:val="282"/>
        </w:trPr>
        <w:tc>
          <w:tcPr>
            <w:tcW w:w="9020" w:type="dxa"/>
            <w:vAlign w:val="bottom"/>
            <w:tcBorders>
              <w:left w:val="single" w:sz="8" w:color="426DA9"/>
            </w:tcBorders>
            <w:shd w:val="clear" w:color="auto" w:fill="D1DDE6"/>
          </w:tcPr>
          <w:p>
            <w:pPr>
              <w:ind w:left="40"/>
              <w:spacing w:after="0"/>
              <w:rPr>
                <w:sz w:val="20"/>
                <w:szCs w:val="20"/>
                <w:color w:val="auto"/>
              </w:rPr>
            </w:pPr>
            <w:r>
              <w:rPr>
                <w:rFonts w:ascii="Arial" w:cs="Arial" w:eastAsia="Arial" w:hAnsi="Arial"/>
                <w:sz w:val="14"/>
                <w:szCs w:val="14"/>
                <w:color w:val="34657F"/>
              </w:rPr>
              <w:t xml:space="preserve">●   </w:t>
            </w:r>
            <w:r>
              <w:rPr>
                <w:rFonts w:ascii="Arial" w:cs="Arial" w:eastAsia="Arial" w:hAnsi="Arial"/>
                <w:sz w:val="17"/>
                <w:szCs w:val="17"/>
                <w:color w:val="000000"/>
              </w:rPr>
              <w:t>reviewing the Company's community relations activities</w:t>
            </w:r>
          </w:p>
        </w:tc>
        <w:tc>
          <w:tcPr>
            <w:tcW w:w="2420" w:type="dxa"/>
            <w:vAlign w:val="bottom"/>
            <w:tcBorders>
              <w:right w:val="single" w:sz="8" w:color="426DA9"/>
            </w:tcBorders>
            <w:gridSpan w:val="2"/>
          </w:tcPr>
          <w:p>
            <w:pPr>
              <w:ind w:left="40"/>
              <w:spacing w:after="0"/>
              <w:rPr>
                <w:sz w:val="20"/>
                <w:szCs w:val="20"/>
                <w:color w:val="auto"/>
              </w:rPr>
            </w:pPr>
            <w:r>
              <w:rPr>
                <w:rFonts w:ascii="Arial" w:cs="Arial" w:eastAsia="Arial" w:hAnsi="Arial"/>
                <w:sz w:val="17"/>
                <w:szCs w:val="17"/>
                <w:color w:val="auto"/>
              </w:rPr>
              <w:t>All members are independent</w:t>
            </w:r>
          </w:p>
        </w:tc>
        <w:tc>
          <w:tcPr>
            <w:tcW w:w="0" w:type="dxa"/>
            <w:vAlign w:val="bottom"/>
          </w:tcPr>
          <w:p>
            <w:pPr>
              <w:spacing w:after="0"/>
              <w:rPr>
                <w:sz w:val="1"/>
                <w:szCs w:val="1"/>
                <w:color w:val="auto"/>
              </w:rPr>
            </w:pPr>
          </w:p>
        </w:tc>
      </w:tr>
      <w:tr>
        <w:trPr>
          <w:trHeight w:val="308"/>
        </w:trPr>
        <w:tc>
          <w:tcPr>
            <w:tcW w:w="9020" w:type="dxa"/>
            <w:vAlign w:val="bottom"/>
            <w:tcBorders>
              <w:left w:val="single" w:sz="8" w:color="426DA9"/>
            </w:tcBorders>
            <w:shd w:val="clear" w:color="auto" w:fill="D1DDE6"/>
          </w:tcPr>
          <w:p>
            <w:pPr>
              <w:ind w:left="40"/>
              <w:spacing w:after="0"/>
              <w:rPr>
                <w:sz w:val="20"/>
                <w:szCs w:val="20"/>
                <w:color w:val="auto"/>
              </w:rPr>
            </w:pPr>
            <w:r>
              <w:rPr>
                <w:rFonts w:ascii="Arial" w:cs="Arial" w:eastAsia="Arial" w:hAnsi="Arial"/>
                <w:sz w:val="14"/>
                <w:szCs w:val="14"/>
                <w:color w:val="34657F"/>
              </w:rPr>
              <w:t xml:space="preserve">●   </w:t>
            </w:r>
            <w:r>
              <w:rPr>
                <w:rFonts w:ascii="Arial" w:cs="Arial" w:eastAsia="Arial" w:hAnsi="Arial"/>
                <w:sz w:val="17"/>
                <w:szCs w:val="17"/>
                <w:color w:val="000000"/>
              </w:rPr>
              <w:t>reviewing and providing oversight of the Company's environmental sustainability program</w:t>
            </w:r>
          </w:p>
        </w:tc>
        <w:tc>
          <w:tcPr>
            <w:tcW w:w="520" w:type="dxa"/>
            <w:vAlign w:val="bottom"/>
          </w:tcPr>
          <w:p>
            <w:pPr>
              <w:spacing w:after="0"/>
              <w:rPr>
                <w:sz w:val="24"/>
                <w:szCs w:val="24"/>
                <w:color w:val="auto"/>
              </w:rPr>
            </w:pPr>
          </w:p>
        </w:tc>
        <w:tc>
          <w:tcPr>
            <w:tcW w:w="1900" w:type="dxa"/>
            <w:vAlign w:val="bottom"/>
            <w:tcBorders>
              <w:right w:val="single" w:sz="8" w:color="426DA9"/>
            </w:tcBorders>
          </w:tcPr>
          <w:p>
            <w:pPr>
              <w:spacing w:after="0"/>
              <w:rPr>
                <w:sz w:val="24"/>
                <w:szCs w:val="24"/>
                <w:color w:val="auto"/>
              </w:rPr>
            </w:pPr>
          </w:p>
        </w:tc>
        <w:tc>
          <w:tcPr>
            <w:tcW w:w="0" w:type="dxa"/>
            <w:vAlign w:val="bottom"/>
          </w:tcPr>
          <w:p>
            <w:pPr>
              <w:spacing w:after="0"/>
              <w:rPr>
                <w:sz w:val="1"/>
                <w:szCs w:val="1"/>
                <w:color w:val="auto"/>
              </w:rPr>
            </w:pPr>
          </w:p>
        </w:tc>
      </w:tr>
      <w:tr>
        <w:trPr>
          <w:trHeight w:val="91"/>
        </w:trPr>
        <w:tc>
          <w:tcPr>
            <w:tcW w:w="9020" w:type="dxa"/>
            <w:vAlign w:val="bottom"/>
            <w:tcBorders>
              <w:left w:val="single" w:sz="8" w:color="426DA9"/>
              <w:bottom w:val="single" w:sz="8" w:color="426DA9"/>
            </w:tcBorders>
            <w:shd w:val="clear" w:color="auto" w:fill="D1DDE6"/>
          </w:tcPr>
          <w:p>
            <w:pPr>
              <w:spacing w:after="0"/>
              <w:rPr>
                <w:sz w:val="7"/>
                <w:szCs w:val="7"/>
                <w:color w:val="auto"/>
              </w:rPr>
            </w:pPr>
          </w:p>
        </w:tc>
        <w:tc>
          <w:tcPr>
            <w:tcW w:w="520" w:type="dxa"/>
            <w:vAlign w:val="bottom"/>
            <w:tcBorders>
              <w:bottom w:val="single" w:sz="8" w:color="426DA9"/>
            </w:tcBorders>
          </w:tcPr>
          <w:p>
            <w:pPr>
              <w:spacing w:after="0"/>
              <w:rPr>
                <w:sz w:val="7"/>
                <w:szCs w:val="7"/>
                <w:color w:val="auto"/>
              </w:rPr>
            </w:pPr>
          </w:p>
        </w:tc>
        <w:tc>
          <w:tcPr>
            <w:tcW w:w="1900" w:type="dxa"/>
            <w:vAlign w:val="bottom"/>
            <w:tcBorders>
              <w:bottom w:val="single" w:sz="8" w:color="426DA9"/>
              <w:right w:val="single" w:sz="8" w:color="426DA9"/>
            </w:tcBorders>
          </w:tcPr>
          <w:p>
            <w:pPr>
              <w:spacing w:after="0"/>
              <w:rPr>
                <w:sz w:val="7"/>
                <w:szCs w:val="7"/>
                <w:color w:val="auto"/>
              </w:rPr>
            </w:pPr>
          </w:p>
        </w:tc>
        <w:tc>
          <w:tcPr>
            <w:tcW w:w="0" w:type="dxa"/>
            <w:vAlign w:val="bottom"/>
          </w:tcPr>
          <w:p>
            <w:pPr>
              <w:spacing w:after="0"/>
              <w:rPr>
                <w:sz w:val="1"/>
                <w:szCs w:val="1"/>
                <w:color w:val="auto"/>
              </w:rPr>
            </w:pPr>
          </w:p>
        </w:tc>
      </w:tr>
      <w:tr>
        <w:trPr>
          <w:trHeight w:val="427"/>
        </w:trPr>
        <w:tc>
          <w:tcPr>
            <w:tcW w:w="9020" w:type="dxa"/>
            <w:vAlign w:val="bottom"/>
          </w:tcPr>
          <w:p>
            <w:pPr>
              <w:spacing w:after="0"/>
              <w:rPr>
                <w:sz w:val="20"/>
                <w:szCs w:val="20"/>
                <w:color w:val="auto"/>
              </w:rPr>
            </w:pPr>
            <w:r>
              <w:rPr>
                <w:rFonts w:ascii="Arial" w:cs="Arial" w:eastAsia="Arial" w:hAnsi="Arial"/>
                <w:sz w:val="17"/>
                <w:szCs w:val="17"/>
                <w:color w:val="auto"/>
              </w:rPr>
              <w:t xml:space="preserve">18 </w:t>
            </w:r>
            <w:r>
              <w:rPr>
                <w:rFonts w:ascii="Arial" w:cs="Arial" w:eastAsia="Arial" w:hAnsi="Arial"/>
                <w:sz w:val="13"/>
                <w:szCs w:val="13"/>
                <w:color w:val="auto"/>
              </w:rPr>
              <w:t>I</w:t>
            </w:r>
            <w:r>
              <w:rPr>
                <w:rFonts w:ascii="Arial" w:cs="Arial" w:eastAsia="Arial" w:hAnsi="Arial"/>
                <w:sz w:val="17"/>
                <w:szCs w:val="17"/>
                <w:color w:val="auto"/>
              </w:rPr>
              <w:t xml:space="preserve"> </w:t>
            </w:r>
            <w:r>
              <w:rPr>
                <w:rFonts w:ascii="Arial" w:cs="Arial" w:eastAsia="Arial" w:hAnsi="Arial"/>
                <w:sz w:val="13"/>
                <w:szCs w:val="13"/>
                <w:color w:val="34657F"/>
              </w:rPr>
              <w:t>NOTICE OF 2019 ANNUAL MEETING OF SHAREHOLDERS AND PROXY STATEMENT</w:t>
            </w:r>
          </w:p>
        </w:tc>
        <w:tc>
          <w:tcPr>
            <w:tcW w:w="5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671" w:right="219" w:bottom="1440" w:gutter="0" w:footer="0" w:header="0"/>
        </w:sectPr>
      </w:pPr>
    </w:p>
    <w:bookmarkStart w:id="24" w:name="page25"/>
    <w:bookmarkEnd w:id="24"/>
    <w:p>
      <w:pPr>
        <w:ind w:left="20"/>
        <w:spacing w:after="0"/>
        <w:rPr>
          <w:sz w:val="20"/>
          <w:szCs w:val="20"/>
          <w:color w:val="auto"/>
        </w:rPr>
      </w:pPr>
      <w:r>
        <w:rPr>
          <w:rFonts w:ascii="Arial" w:cs="Arial" w:eastAsia="Arial" w:hAnsi="Arial"/>
          <w:sz w:val="21"/>
          <w:szCs w:val="21"/>
          <w:b w:val="1"/>
          <w:bCs w:val="1"/>
          <w:color w:val="FFFFFF"/>
        </w:rPr>
        <w:drawing>
          <wp:anchor simplePos="0" relativeHeight="251657728" behindDoc="1" locked="0" layoutInCell="0" allowOverlap="1">
            <wp:simplePos x="0" y="0"/>
            <wp:positionH relativeFrom="page">
              <wp:posOffset>154305</wp:posOffset>
            </wp:positionH>
            <wp:positionV relativeFrom="page">
              <wp:posOffset>365760</wp:posOffset>
            </wp:positionV>
            <wp:extent cx="7253605" cy="45593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53605" cy="455930"/>
                    </a:xfrm>
                    <a:prstGeom prst="rect">
                      <a:avLst/>
                    </a:prstGeom>
                    <a:noFill/>
                  </pic:spPr>
                </pic:pic>
              </a:graphicData>
            </a:graphic>
          </wp:anchor>
        </w:drawing>
        <w:t>CORPORATE GOVERNANCE</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20"/>
        <w:spacing w:after="0"/>
        <w:rPr>
          <w:sz w:val="20"/>
          <w:szCs w:val="20"/>
          <w:color w:val="auto"/>
        </w:rPr>
      </w:pPr>
      <w:r>
        <w:rPr>
          <w:rFonts w:ascii="Arial" w:cs="Arial" w:eastAsia="Arial" w:hAnsi="Arial"/>
          <w:sz w:val="24"/>
          <w:szCs w:val="24"/>
          <w:b w:val="1"/>
          <w:bCs w:val="1"/>
          <w:color w:val="auto"/>
        </w:rPr>
        <w:t>Board Meetings and Executive Sessions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38100</wp:posOffset>
            </wp:positionV>
            <wp:extent cx="7253605" cy="1651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pacing w:after="0" w:line="142" w:lineRule="exact"/>
        <w:rPr>
          <w:sz w:val="20"/>
          <w:szCs w:val="20"/>
          <w:color w:val="auto"/>
        </w:rPr>
      </w:pPr>
    </w:p>
    <w:p>
      <w:pPr>
        <w:ind w:right="300"/>
        <w:spacing w:after="0" w:line="263" w:lineRule="auto"/>
        <w:rPr>
          <w:sz w:val="20"/>
          <w:szCs w:val="20"/>
          <w:color w:val="auto"/>
        </w:rPr>
      </w:pPr>
      <w:r>
        <w:rPr>
          <w:rFonts w:ascii="Arial" w:cs="Arial" w:eastAsia="Arial" w:hAnsi="Arial"/>
          <w:sz w:val="17"/>
          <w:szCs w:val="17"/>
          <w:color w:val="auto"/>
        </w:rPr>
        <w:t>The Board meets no fewer than nine times each year (including via telephonic meetings). Special meetings of the Board may be called from time to time as appropriate. On an annual basis, the Board holds an extended meeting to review our long-term strategy.</w:t>
      </w:r>
    </w:p>
    <w:p>
      <w:pPr>
        <w:spacing w:after="0" w:line="59" w:lineRule="exact"/>
        <w:rPr>
          <w:sz w:val="20"/>
          <w:szCs w:val="20"/>
          <w:color w:val="auto"/>
        </w:rPr>
      </w:pPr>
    </w:p>
    <w:p>
      <w:pPr>
        <w:ind w:right="140"/>
        <w:spacing w:after="0" w:line="263" w:lineRule="auto"/>
        <w:rPr>
          <w:sz w:val="20"/>
          <w:szCs w:val="20"/>
          <w:color w:val="auto"/>
        </w:rPr>
      </w:pPr>
      <w:r>
        <w:rPr>
          <w:rFonts w:ascii="Arial" w:cs="Arial" w:eastAsia="Arial" w:hAnsi="Arial"/>
          <w:sz w:val="17"/>
          <w:szCs w:val="17"/>
          <w:color w:val="auto"/>
        </w:rPr>
        <w:t>The Board holds its meetings at Company locations other than our corporate headquarters on a regular basis to provide the directors with a first-hand view of different elements of our business and an opportunity to interact with local management.</w:t>
      </w:r>
    </w:p>
    <w:p>
      <w:pPr>
        <w:spacing w:after="0" w:line="59" w:lineRule="exact"/>
        <w:rPr>
          <w:sz w:val="20"/>
          <w:szCs w:val="20"/>
          <w:color w:val="auto"/>
        </w:rPr>
      </w:pPr>
    </w:p>
    <w:p>
      <w:pPr>
        <w:ind w:right="40"/>
        <w:spacing w:after="0" w:line="253" w:lineRule="auto"/>
        <w:rPr>
          <w:sz w:val="20"/>
          <w:szCs w:val="20"/>
          <w:color w:val="auto"/>
        </w:rPr>
      </w:pPr>
      <w:r>
        <w:rPr>
          <w:rFonts w:ascii="Arial" w:cs="Arial" w:eastAsia="Arial" w:hAnsi="Arial"/>
          <w:sz w:val="17"/>
          <w:szCs w:val="17"/>
          <w:color w:val="auto"/>
        </w:rPr>
        <w:t>The Board meets in executive session (with the directors only and then with the independent directors only) following each in-person Board meeting and on other occasions as needed. The non-executive Chairperson or the Lead Independent Director presides over the executive sessions of the independent directors. The Audit Committee meets in executive session at each in-person Audit Committee meeting, and regularly requests separate executive sessions with representatives of our independent auditor and our senior management, including our Chief Financial Officer, General Counsel and our Vice President, Internal Audit. The Compensation Committee also meets in executive session from time to time and regularly receives a report from the Compensation Committee's independent compensation consultant. The Governance and Policy Committees also meet in executive session as they deem necessary.</w:t>
      </w:r>
    </w:p>
    <w:p>
      <w:pPr>
        <w:spacing w:after="0" w:line="196" w:lineRule="exact"/>
        <w:rPr>
          <w:sz w:val="20"/>
          <w:szCs w:val="20"/>
          <w:color w:val="auto"/>
        </w:rPr>
      </w:pPr>
    </w:p>
    <w:p>
      <w:pPr>
        <w:ind w:left="20"/>
        <w:spacing w:after="0"/>
        <w:rPr>
          <w:sz w:val="20"/>
          <w:szCs w:val="20"/>
          <w:color w:val="auto"/>
        </w:rPr>
      </w:pPr>
      <w:r>
        <w:rPr>
          <w:rFonts w:ascii="Arial" w:cs="Arial" w:eastAsia="Arial" w:hAnsi="Arial"/>
          <w:sz w:val="24"/>
          <w:szCs w:val="24"/>
          <w:b w:val="1"/>
          <w:bCs w:val="1"/>
          <w:color w:val="auto"/>
        </w:rPr>
        <w:t>Meeting Attendance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38100</wp:posOffset>
            </wp:positionV>
            <wp:extent cx="7253605" cy="1651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pacing w:after="0" w:line="142" w:lineRule="exact"/>
        <w:rPr>
          <w:sz w:val="20"/>
          <w:szCs w:val="20"/>
          <w:color w:val="auto"/>
        </w:rPr>
      </w:pPr>
    </w:p>
    <w:p>
      <w:pPr>
        <w:ind w:right="80"/>
        <w:spacing w:after="0" w:line="257" w:lineRule="auto"/>
        <w:rPr>
          <w:sz w:val="20"/>
          <w:szCs w:val="20"/>
          <w:color w:val="auto"/>
        </w:rPr>
      </w:pPr>
      <w:r>
        <w:rPr>
          <w:rFonts w:ascii="Arial" w:cs="Arial" w:eastAsia="Arial" w:hAnsi="Arial"/>
          <w:sz w:val="17"/>
          <w:szCs w:val="17"/>
          <w:color w:val="auto"/>
        </w:rPr>
        <w:t>During 2018, the Board held 10 meetings. Each incumbent director serving in 2018 attended 75% or more of the total number of Board and committee meetings he or she was eligible to attend. Board members are expected to attend each annual meeting, except where the failure to attend is due to unavoidable circumstances. All of our then-serving directors attended the 2018 Annual Meeting.</w:t>
      </w:r>
    </w:p>
    <w:p>
      <w:pPr>
        <w:spacing w:after="0" w:line="190" w:lineRule="exact"/>
        <w:rPr>
          <w:sz w:val="20"/>
          <w:szCs w:val="20"/>
          <w:color w:val="auto"/>
        </w:rPr>
      </w:pPr>
    </w:p>
    <w:p>
      <w:pPr>
        <w:ind w:left="20"/>
        <w:spacing w:after="0"/>
        <w:rPr>
          <w:sz w:val="20"/>
          <w:szCs w:val="20"/>
          <w:color w:val="auto"/>
        </w:rPr>
      </w:pPr>
      <w:r>
        <w:rPr>
          <w:rFonts w:ascii="Arial" w:cs="Arial" w:eastAsia="Arial" w:hAnsi="Arial"/>
          <w:sz w:val="24"/>
          <w:szCs w:val="24"/>
          <w:b w:val="1"/>
          <w:bCs w:val="1"/>
          <w:color w:val="auto"/>
        </w:rPr>
        <w:t>Director Independence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38100</wp:posOffset>
            </wp:positionV>
            <wp:extent cx="7253605" cy="1651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pacing w:after="0" w:line="142" w:lineRule="exact"/>
        <w:rPr>
          <w:sz w:val="20"/>
          <w:szCs w:val="20"/>
          <w:color w:val="auto"/>
        </w:rPr>
      </w:pPr>
    </w:p>
    <w:p>
      <w:pPr>
        <w:ind w:right="100"/>
        <w:spacing w:after="0" w:line="254" w:lineRule="auto"/>
        <w:rPr>
          <w:sz w:val="20"/>
          <w:szCs w:val="20"/>
          <w:color w:val="auto"/>
        </w:rPr>
      </w:pPr>
      <w:r>
        <w:rPr>
          <w:rFonts w:ascii="Arial" w:cs="Arial" w:eastAsia="Arial" w:hAnsi="Arial"/>
          <w:sz w:val="17"/>
          <w:szCs w:val="17"/>
          <w:color w:val="auto"/>
        </w:rPr>
        <w:t>The Board has established an objective that at least 75% of our directors be independent directors. The Board and the Governance Committee annually review the relevant relationships or arrangements between the Company and our directors or parties related to the directors in determining whether such directors are independent. No director is considered independent unless the Board has determined that the director meets the independence requirements under applicable New York Stock Exchange (NYSE) and SEC rules and under our categorical independence standards, which are described in our Principles of Corporate Governance. For a director to be considered independent, the Board must determine that a director has no material relationship with the Company other than as a director.</w:t>
      </w:r>
    </w:p>
    <w:p>
      <w:pPr>
        <w:spacing w:after="0" w:line="66" w:lineRule="exact"/>
        <w:rPr>
          <w:sz w:val="20"/>
          <w:szCs w:val="20"/>
          <w:color w:val="auto"/>
        </w:rPr>
      </w:pPr>
    </w:p>
    <w:p>
      <w:pPr>
        <w:spacing w:after="0"/>
        <w:rPr>
          <w:sz w:val="20"/>
          <w:szCs w:val="20"/>
          <w:color w:val="auto"/>
        </w:rPr>
      </w:pPr>
      <w:r>
        <w:rPr>
          <w:rFonts w:ascii="Arial" w:cs="Arial" w:eastAsia="Arial" w:hAnsi="Arial"/>
          <w:sz w:val="17"/>
          <w:szCs w:val="17"/>
          <w:color w:val="auto"/>
        </w:rPr>
        <w:t>Our Principles of Corporate Governance provide that a director may be found not to qualify as an independent director if the director:</w:t>
      </w:r>
    </w:p>
    <w:p>
      <w:pPr>
        <w:spacing w:after="0" w:line="112" w:lineRule="exact"/>
        <w:rPr>
          <w:sz w:val="20"/>
          <w:szCs w:val="20"/>
          <w:color w:val="auto"/>
        </w:rPr>
      </w:pPr>
    </w:p>
    <w:p>
      <w:pPr>
        <w:ind w:left="320" w:right="120" w:hanging="317"/>
        <w:spacing w:after="0" w:line="272" w:lineRule="auto"/>
        <w:tabs>
          <w:tab w:leader="none" w:pos="320" w:val="left"/>
        </w:tabs>
        <w:numPr>
          <w:ilvl w:val="0"/>
          <w:numId w:val="25"/>
        </w:numPr>
        <w:rPr>
          <w:rFonts w:ascii="Arial" w:cs="Arial" w:eastAsia="Arial" w:hAnsi="Arial"/>
          <w:sz w:val="21"/>
          <w:szCs w:val="21"/>
          <w:color w:val="34657F"/>
        </w:rPr>
      </w:pPr>
      <w:r>
        <w:rPr>
          <w:rFonts w:ascii="Arial" w:cs="Arial" w:eastAsia="Arial" w:hAnsi="Arial"/>
          <w:sz w:val="17"/>
          <w:szCs w:val="17"/>
          <w:color w:val="auto"/>
        </w:rPr>
        <w:t>has within the prior three years been a director, executive officer or trustee of a charitable organization that received annual contributions from the Company exceeding the greater of $1 million or 2% of the charitable organization's annual gross revenues, where the gifts were not normal matching charitable gifts, did not go through normal corporate charitable donation approval processes or were made "on behalf of" a director;</w:t>
      </w:r>
    </w:p>
    <w:p>
      <w:pPr>
        <w:spacing w:after="0" w:line="90" w:lineRule="exact"/>
        <w:rPr>
          <w:rFonts w:ascii="Arial" w:cs="Arial" w:eastAsia="Arial" w:hAnsi="Arial"/>
          <w:sz w:val="21"/>
          <w:szCs w:val="21"/>
          <w:color w:val="34657F"/>
        </w:rPr>
      </w:pPr>
    </w:p>
    <w:p>
      <w:pPr>
        <w:ind w:left="320" w:right="60" w:hanging="317"/>
        <w:spacing w:after="0" w:line="280" w:lineRule="auto"/>
        <w:tabs>
          <w:tab w:leader="none" w:pos="320" w:val="left"/>
        </w:tabs>
        <w:numPr>
          <w:ilvl w:val="0"/>
          <w:numId w:val="25"/>
        </w:numPr>
        <w:rPr>
          <w:rFonts w:ascii="Arial" w:cs="Arial" w:eastAsia="Arial" w:hAnsi="Arial"/>
          <w:sz w:val="21"/>
          <w:szCs w:val="21"/>
          <w:color w:val="34657F"/>
        </w:rPr>
      </w:pPr>
      <w:r>
        <w:rPr>
          <w:rFonts w:ascii="Arial" w:cs="Arial" w:eastAsia="Arial" w:hAnsi="Arial"/>
          <w:sz w:val="17"/>
          <w:szCs w:val="17"/>
          <w:color w:val="auto"/>
        </w:rPr>
        <w:t>has, or has an immediate family member who has, within the prior three years been employed by, a partner in or otherwise affiliated with any law firm or investment bank in which the director's or the immediate family member's compensation was contingent on the services performed for the Company or in which the director or the immediate family member personally performed services for the Company and the annual fees paid by the Company during the preceding fiscal year exceeded the greater of $1 million or 2% of the gross annual revenues of such firm; or</w:t>
      </w:r>
    </w:p>
    <w:p>
      <w:pPr>
        <w:spacing w:after="0" w:line="85" w:lineRule="exact"/>
        <w:rPr>
          <w:rFonts w:ascii="Arial" w:cs="Arial" w:eastAsia="Arial" w:hAnsi="Arial"/>
          <w:sz w:val="21"/>
          <w:szCs w:val="21"/>
          <w:color w:val="34657F"/>
        </w:rPr>
      </w:pPr>
    </w:p>
    <w:p>
      <w:pPr>
        <w:jc w:val="both"/>
        <w:ind w:left="320" w:right="500" w:hanging="317"/>
        <w:spacing w:after="0" w:line="272" w:lineRule="auto"/>
        <w:tabs>
          <w:tab w:leader="none" w:pos="320" w:val="left"/>
        </w:tabs>
        <w:numPr>
          <w:ilvl w:val="0"/>
          <w:numId w:val="25"/>
        </w:numPr>
        <w:rPr>
          <w:rFonts w:ascii="Arial" w:cs="Arial" w:eastAsia="Arial" w:hAnsi="Arial"/>
          <w:sz w:val="21"/>
          <w:szCs w:val="21"/>
          <w:color w:val="34657F"/>
        </w:rPr>
      </w:pPr>
      <w:r>
        <w:rPr>
          <w:rFonts w:ascii="Arial" w:cs="Arial" w:eastAsia="Arial" w:hAnsi="Arial"/>
          <w:sz w:val="17"/>
          <w:szCs w:val="17"/>
          <w:color w:val="auto"/>
        </w:rPr>
        <w:t>has, or has an immediate family member who has, within the prior three years owned, either directly or indirectly as a partner, shareholder or officer of another company, more than 5% of the equity of an organization that has a material business relationship with (including significant purchasers of goods or services), or more than 5% ownership in, the Company.</w:t>
      </w:r>
    </w:p>
    <w:p>
      <w:pPr>
        <w:spacing w:after="0" w:line="301" w:lineRule="exact"/>
        <w:rPr>
          <w:sz w:val="20"/>
          <w:szCs w:val="20"/>
          <w:color w:val="auto"/>
        </w:rPr>
      </w:pPr>
    </w:p>
    <w:p>
      <w:pPr>
        <w:jc w:val="right"/>
        <w:spacing w:after="0"/>
        <w:rPr>
          <w:sz w:val="20"/>
          <w:szCs w:val="20"/>
          <w:color w:val="auto"/>
        </w:rPr>
      </w:pPr>
      <w:r>
        <w:rPr>
          <w:rFonts w:ascii="Arial" w:cs="Arial" w:eastAsia="Arial" w:hAnsi="Arial"/>
          <w:sz w:val="14"/>
          <w:szCs w:val="14"/>
          <w:color w:val="34657F"/>
        </w:rPr>
        <w:t xml:space="preserve">NOTICE OF 2019 ANNUAL MEETING OF SHAREHOLDERS AND PROXY STATEMENT </w:t>
      </w:r>
      <w:r>
        <w:rPr>
          <w:rFonts w:ascii="Arial" w:cs="Arial" w:eastAsia="Arial" w:hAnsi="Arial"/>
          <w:sz w:val="14"/>
          <w:szCs w:val="14"/>
          <w:color w:val="000000"/>
        </w:rPr>
        <w:t>I 19</w:t>
      </w:r>
    </w:p>
    <w:p>
      <w:pPr>
        <w:sectPr>
          <w:pgSz w:w="11900" w:h="16838" w:orient="portrait"/>
          <w:cols w:equalWidth="0" w:num="1">
            <w:col w:w="11420"/>
          </w:cols>
          <w:pgMar w:left="240" w:top="671" w:right="239" w:bottom="1440" w:gutter="0" w:footer="0" w:header="0"/>
        </w:sectPr>
      </w:pPr>
    </w:p>
    <w:bookmarkStart w:id="25" w:name="page26"/>
    <w:bookmarkEnd w:id="25"/>
    <w:p>
      <w:pPr>
        <w:ind w:left="20"/>
        <w:spacing w:after="0"/>
        <w:rPr>
          <w:sz w:val="20"/>
          <w:szCs w:val="20"/>
          <w:color w:val="auto"/>
        </w:rPr>
      </w:pPr>
      <w:r>
        <w:rPr>
          <w:rFonts w:ascii="Arial" w:cs="Arial" w:eastAsia="Arial" w:hAnsi="Arial"/>
          <w:sz w:val="21"/>
          <w:szCs w:val="21"/>
          <w:b w:val="1"/>
          <w:bCs w:val="1"/>
          <w:color w:val="FFFFFF"/>
        </w:rPr>
        <w:drawing>
          <wp:anchor simplePos="0" relativeHeight="251657728" behindDoc="1" locked="0" layoutInCell="0" allowOverlap="1">
            <wp:simplePos x="0" y="0"/>
            <wp:positionH relativeFrom="page">
              <wp:posOffset>154305</wp:posOffset>
            </wp:positionH>
            <wp:positionV relativeFrom="page">
              <wp:posOffset>365760</wp:posOffset>
            </wp:positionV>
            <wp:extent cx="7253605" cy="45593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53605" cy="455930"/>
                    </a:xfrm>
                    <a:prstGeom prst="rect">
                      <a:avLst/>
                    </a:prstGeom>
                    <a:noFill/>
                  </pic:spPr>
                </pic:pic>
              </a:graphicData>
            </a:graphic>
          </wp:anchor>
        </w:drawing>
        <w:t>CORPORATE GOVERNANCE</w:t>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Independence Determination</w:t>
      </w:r>
    </w:p>
    <w:p>
      <w:pPr>
        <w:spacing w:after="0" w:line="103" w:lineRule="exact"/>
        <w:rPr>
          <w:sz w:val="20"/>
          <w:szCs w:val="20"/>
          <w:color w:val="auto"/>
        </w:rPr>
      </w:pPr>
    </w:p>
    <w:p>
      <w:pPr>
        <w:ind w:right="140"/>
        <w:spacing w:after="0" w:line="263" w:lineRule="auto"/>
        <w:rPr>
          <w:sz w:val="20"/>
          <w:szCs w:val="20"/>
          <w:color w:val="auto"/>
        </w:rPr>
      </w:pPr>
      <w:r>
        <w:rPr>
          <w:rFonts w:ascii="Arial" w:cs="Arial" w:eastAsia="Arial" w:hAnsi="Arial"/>
          <w:sz w:val="17"/>
          <w:szCs w:val="17"/>
          <w:color w:val="auto"/>
        </w:rPr>
        <w:t>In connection with their annual independence review, the Board and Governance Committee considered the following relationships with organizations to which we have made payments or from which we have received payments in the usual course of our business in 2018.</w:t>
      </w:r>
    </w:p>
    <w:p>
      <w:pPr>
        <w:spacing w:after="0" w:line="48" w:lineRule="exact"/>
        <w:rPr>
          <w:sz w:val="20"/>
          <w:szCs w:val="20"/>
          <w:color w:val="auto"/>
        </w:rPr>
      </w:pPr>
    </w:p>
    <w:p>
      <w:pPr>
        <w:ind w:left="320" w:hanging="317"/>
        <w:spacing w:after="0"/>
        <w:tabs>
          <w:tab w:leader="none" w:pos="320" w:val="left"/>
        </w:tabs>
        <w:numPr>
          <w:ilvl w:val="0"/>
          <w:numId w:val="26"/>
        </w:numPr>
        <w:rPr>
          <w:rFonts w:ascii="Arial" w:cs="Arial" w:eastAsia="Arial" w:hAnsi="Arial"/>
          <w:sz w:val="21"/>
          <w:szCs w:val="21"/>
          <w:color w:val="34657F"/>
        </w:rPr>
      </w:pPr>
      <w:r>
        <w:rPr>
          <w:rFonts w:ascii="Arial" w:cs="Arial" w:eastAsia="Arial" w:hAnsi="Arial"/>
          <w:sz w:val="17"/>
          <w:szCs w:val="17"/>
          <w:color w:val="auto"/>
        </w:rPr>
        <w:t>Mr. Felsinger's service as a member of the Board of Directors of Archer-Daniels-Midland;</w:t>
      </w:r>
    </w:p>
    <w:p>
      <w:pPr>
        <w:spacing w:after="0" w:line="79" w:lineRule="exact"/>
        <w:rPr>
          <w:rFonts w:ascii="Arial" w:cs="Arial" w:eastAsia="Arial" w:hAnsi="Arial"/>
          <w:sz w:val="21"/>
          <w:szCs w:val="21"/>
          <w:color w:val="34657F"/>
        </w:rPr>
      </w:pPr>
    </w:p>
    <w:p>
      <w:pPr>
        <w:ind w:left="320" w:hanging="317"/>
        <w:spacing w:after="0"/>
        <w:tabs>
          <w:tab w:leader="none" w:pos="320" w:val="left"/>
        </w:tabs>
        <w:numPr>
          <w:ilvl w:val="0"/>
          <w:numId w:val="26"/>
        </w:numPr>
        <w:rPr>
          <w:rFonts w:ascii="Arial" w:cs="Arial" w:eastAsia="Arial" w:hAnsi="Arial"/>
          <w:sz w:val="21"/>
          <w:szCs w:val="21"/>
          <w:color w:val="34657F"/>
        </w:rPr>
      </w:pPr>
      <w:r>
        <w:rPr>
          <w:rFonts w:ascii="Arial" w:cs="Arial" w:eastAsia="Arial" w:hAnsi="Arial"/>
          <w:sz w:val="17"/>
          <w:szCs w:val="17"/>
          <w:color w:val="auto"/>
        </w:rPr>
        <w:t>Mr. Gordon's service as a member of the Board of Directors of CBS Corporation;</w:t>
      </w:r>
    </w:p>
    <w:p>
      <w:pPr>
        <w:spacing w:after="0" w:line="79" w:lineRule="exact"/>
        <w:rPr>
          <w:rFonts w:ascii="Arial" w:cs="Arial" w:eastAsia="Arial" w:hAnsi="Arial"/>
          <w:sz w:val="21"/>
          <w:szCs w:val="21"/>
          <w:color w:val="34657F"/>
        </w:rPr>
      </w:pPr>
    </w:p>
    <w:p>
      <w:pPr>
        <w:ind w:left="320" w:hanging="317"/>
        <w:spacing w:after="0"/>
        <w:tabs>
          <w:tab w:leader="none" w:pos="320" w:val="left"/>
        </w:tabs>
        <w:numPr>
          <w:ilvl w:val="0"/>
          <w:numId w:val="26"/>
        </w:numPr>
        <w:rPr>
          <w:rFonts w:ascii="Arial" w:cs="Arial" w:eastAsia="Arial" w:hAnsi="Arial"/>
          <w:sz w:val="21"/>
          <w:szCs w:val="21"/>
          <w:color w:val="34657F"/>
        </w:rPr>
      </w:pPr>
      <w:r>
        <w:rPr>
          <w:rFonts w:ascii="Arial" w:cs="Arial" w:eastAsia="Arial" w:hAnsi="Arial"/>
          <w:sz w:val="17"/>
          <w:szCs w:val="17"/>
          <w:color w:val="auto"/>
        </w:rPr>
        <w:t>Mr. Hernandez's service as a member of the Board of Directors of Albemarle Corporation;</w:t>
      </w:r>
    </w:p>
    <w:p>
      <w:pPr>
        <w:spacing w:after="0" w:line="115" w:lineRule="exact"/>
        <w:rPr>
          <w:rFonts w:ascii="Arial" w:cs="Arial" w:eastAsia="Arial" w:hAnsi="Arial"/>
          <w:sz w:val="21"/>
          <w:szCs w:val="21"/>
          <w:color w:val="34657F"/>
        </w:rPr>
      </w:pPr>
    </w:p>
    <w:p>
      <w:pPr>
        <w:ind w:left="320" w:right="700" w:hanging="317"/>
        <w:spacing w:after="0" w:line="253" w:lineRule="auto"/>
        <w:tabs>
          <w:tab w:leader="none" w:pos="320" w:val="left"/>
        </w:tabs>
        <w:numPr>
          <w:ilvl w:val="0"/>
          <w:numId w:val="26"/>
        </w:numPr>
        <w:rPr>
          <w:rFonts w:ascii="Arial" w:cs="Arial" w:eastAsia="Arial" w:hAnsi="Arial"/>
          <w:sz w:val="21"/>
          <w:szCs w:val="21"/>
          <w:color w:val="34657F"/>
        </w:rPr>
      </w:pPr>
      <w:r>
        <w:rPr>
          <w:rFonts w:ascii="Arial" w:cs="Arial" w:eastAsia="Arial" w:hAnsi="Arial"/>
          <w:sz w:val="17"/>
          <w:szCs w:val="17"/>
          <w:color w:val="auto"/>
        </w:rPr>
        <w:t>Admiral Roughead's service as a member of the Board of Directors of the Center for a New American Security, a trustee of Johns Hopkins University and a member of the Board of Managers of Johns Hopkins University Applied Physics Lab;</w:t>
      </w:r>
    </w:p>
    <w:p>
      <w:pPr>
        <w:spacing w:after="0" w:line="66" w:lineRule="exact"/>
        <w:rPr>
          <w:rFonts w:ascii="Arial" w:cs="Arial" w:eastAsia="Arial" w:hAnsi="Arial"/>
          <w:sz w:val="21"/>
          <w:szCs w:val="21"/>
          <w:color w:val="34657F"/>
        </w:rPr>
      </w:pPr>
    </w:p>
    <w:p>
      <w:pPr>
        <w:ind w:left="320" w:hanging="317"/>
        <w:spacing w:after="0"/>
        <w:tabs>
          <w:tab w:leader="none" w:pos="320" w:val="left"/>
        </w:tabs>
        <w:numPr>
          <w:ilvl w:val="0"/>
          <w:numId w:val="26"/>
        </w:numPr>
        <w:rPr>
          <w:rFonts w:ascii="Arial" w:cs="Arial" w:eastAsia="Arial" w:hAnsi="Arial"/>
          <w:sz w:val="21"/>
          <w:szCs w:val="21"/>
          <w:color w:val="34657F"/>
        </w:rPr>
      </w:pPr>
      <w:r>
        <w:rPr>
          <w:rFonts w:ascii="Arial" w:cs="Arial" w:eastAsia="Arial" w:hAnsi="Arial"/>
          <w:sz w:val="17"/>
          <w:szCs w:val="17"/>
          <w:color w:val="auto"/>
        </w:rPr>
        <w:t>Mr. Schoewe's service as a member of the Board of Directors of General Motors; and</w:t>
      </w:r>
    </w:p>
    <w:p>
      <w:pPr>
        <w:spacing w:after="0" w:line="79" w:lineRule="exact"/>
        <w:rPr>
          <w:rFonts w:ascii="Arial" w:cs="Arial" w:eastAsia="Arial" w:hAnsi="Arial"/>
          <w:sz w:val="21"/>
          <w:szCs w:val="21"/>
          <w:color w:val="34657F"/>
        </w:rPr>
      </w:pPr>
    </w:p>
    <w:p>
      <w:pPr>
        <w:ind w:left="320" w:hanging="317"/>
        <w:spacing w:after="0"/>
        <w:tabs>
          <w:tab w:leader="none" w:pos="320" w:val="left"/>
        </w:tabs>
        <w:numPr>
          <w:ilvl w:val="0"/>
          <w:numId w:val="26"/>
        </w:numPr>
        <w:rPr>
          <w:rFonts w:ascii="Arial" w:cs="Arial" w:eastAsia="Arial" w:hAnsi="Arial"/>
          <w:sz w:val="21"/>
          <w:szCs w:val="21"/>
          <w:color w:val="34657F"/>
        </w:rPr>
      </w:pPr>
      <w:r>
        <w:rPr>
          <w:rFonts w:ascii="Arial" w:cs="Arial" w:eastAsia="Arial" w:hAnsi="Arial"/>
          <w:sz w:val="17"/>
          <w:szCs w:val="17"/>
          <w:color w:val="auto"/>
        </w:rPr>
        <w:t>Mr. Turley's service as a member of the Board of Directors of Citigroup and Emerson Electric.</w:t>
      </w:r>
    </w:p>
    <w:p>
      <w:pPr>
        <w:spacing w:after="0" w:line="90" w:lineRule="exact"/>
        <w:rPr>
          <w:sz w:val="20"/>
          <w:szCs w:val="20"/>
          <w:color w:val="auto"/>
        </w:rPr>
      </w:pPr>
    </w:p>
    <w:p>
      <w:pPr>
        <w:ind w:right="60"/>
        <w:spacing w:after="0" w:line="254" w:lineRule="auto"/>
        <w:rPr>
          <w:sz w:val="20"/>
          <w:szCs w:val="20"/>
          <w:color w:val="auto"/>
        </w:rPr>
      </w:pPr>
      <w:r>
        <w:rPr>
          <w:rFonts w:ascii="Arial" w:cs="Arial" w:eastAsia="Arial" w:hAnsi="Arial"/>
          <w:sz w:val="17"/>
          <w:szCs w:val="17"/>
          <w:color w:val="auto"/>
        </w:rPr>
        <w:t>The Board of Directors considered that Ms. Fudge, Mr. Gordon, Ms. Kleiner, Mr. Turley and General Welsh served as members of the boards of, or are otherwise affiliated with, organizations to which the Company and/or the Northrop Grumman Foundation (Foundation) made contributions during 2018 in the usual course of our charitable contributions program, as well as in connection with our matching gifts program (which limits the contributions to $10,000 per year per director). The amounts paid were below the applicable thresholds under NYSE rules and our Principles of Corporate Governance.</w:t>
      </w:r>
    </w:p>
    <w:p>
      <w:pPr>
        <w:spacing w:after="0" w:line="68" w:lineRule="exact"/>
        <w:rPr>
          <w:sz w:val="20"/>
          <w:szCs w:val="20"/>
          <w:color w:val="auto"/>
        </w:rPr>
      </w:pPr>
    </w:p>
    <w:p>
      <w:pPr>
        <w:ind w:right="140"/>
        <w:spacing w:after="0" w:line="255" w:lineRule="auto"/>
        <w:rPr>
          <w:sz w:val="20"/>
          <w:szCs w:val="20"/>
          <w:color w:val="auto"/>
        </w:rPr>
      </w:pPr>
      <w:r>
        <w:rPr>
          <w:rFonts w:ascii="Arial" w:cs="Arial" w:eastAsia="Arial" w:hAnsi="Arial"/>
          <w:sz w:val="17"/>
          <w:szCs w:val="17"/>
          <w:color w:val="auto"/>
        </w:rPr>
        <w:t>Following its review and the recommendation of the Governance Committee, the Board affirmatively determined that all of the directors, except Mr. Bush and Ms. Warden, are independent. The independent directors constitute approximately 85% of the members of our Board. The Board previously determined that Victor H. Fazio, who served as a director until his retirement from the Board effective the date of the 2018 Annual Meeting, was independent during the time he was a director.</w:t>
      </w:r>
    </w:p>
    <w:p>
      <w:pPr>
        <w:spacing w:after="0" w:line="193" w:lineRule="exact"/>
        <w:rPr>
          <w:sz w:val="20"/>
          <w:szCs w:val="20"/>
          <w:color w:val="auto"/>
        </w:rPr>
      </w:pPr>
    </w:p>
    <w:p>
      <w:pPr>
        <w:ind w:left="20"/>
        <w:spacing w:after="0"/>
        <w:rPr>
          <w:sz w:val="20"/>
          <w:szCs w:val="20"/>
          <w:color w:val="auto"/>
        </w:rPr>
      </w:pPr>
      <w:r>
        <w:rPr>
          <w:rFonts w:ascii="Arial" w:cs="Arial" w:eastAsia="Arial" w:hAnsi="Arial"/>
          <w:sz w:val="24"/>
          <w:szCs w:val="24"/>
          <w:b w:val="1"/>
          <w:bCs w:val="1"/>
          <w:color w:val="auto"/>
        </w:rPr>
        <w:t>Director Election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38100</wp:posOffset>
            </wp:positionV>
            <wp:extent cx="7253605" cy="1651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pacing w:after="0" w:line="142" w:lineRule="exact"/>
        <w:rPr>
          <w:sz w:val="20"/>
          <w:szCs w:val="20"/>
          <w:color w:val="auto"/>
        </w:rPr>
      </w:pPr>
    </w:p>
    <w:p>
      <w:pPr>
        <w:ind w:right="220"/>
        <w:spacing w:after="0" w:line="255" w:lineRule="auto"/>
        <w:rPr>
          <w:sz w:val="20"/>
          <w:szCs w:val="20"/>
          <w:color w:val="auto"/>
        </w:rPr>
      </w:pPr>
      <w:r>
        <w:rPr>
          <w:rFonts w:ascii="Arial" w:cs="Arial" w:eastAsia="Arial" w:hAnsi="Arial"/>
          <w:sz w:val="17"/>
          <w:szCs w:val="17"/>
          <w:color w:val="auto"/>
        </w:rPr>
        <w:t>Our Bylaws and Certificate of Incorporation provide for the annual election of directors. Each director will hold office until the next annual meeting of shareholders or until his or her earlier resignation or removal. Generally, in order to be elected, a director must receive more votes cast "for" than "against" his or her election, unless one or more shareholders provide notice of an intention to nominate one or more candidates to compete with the Board's nominees for election in accordance with the procedures set forth in the Company's corporate governance documents.</w:t>
      </w:r>
    </w:p>
    <w:p>
      <w:pPr>
        <w:spacing w:after="0" w:line="193" w:lineRule="exact"/>
        <w:rPr>
          <w:sz w:val="20"/>
          <w:szCs w:val="20"/>
          <w:color w:val="auto"/>
        </w:rPr>
      </w:pPr>
    </w:p>
    <w:p>
      <w:pPr>
        <w:ind w:left="20"/>
        <w:spacing w:after="0"/>
        <w:rPr>
          <w:sz w:val="20"/>
          <w:szCs w:val="20"/>
          <w:color w:val="auto"/>
        </w:rPr>
      </w:pPr>
      <w:r>
        <w:rPr>
          <w:rFonts w:ascii="Arial" w:cs="Arial" w:eastAsia="Arial" w:hAnsi="Arial"/>
          <w:sz w:val="24"/>
          <w:szCs w:val="24"/>
          <w:b w:val="1"/>
          <w:bCs w:val="1"/>
          <w:color w:val="auto"/>
        </w:rPr>
        <w:t>Board Composition and Director Nominations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38100</wp:posOffset>
            </wp:positionV>
            <wp:extent cx="7253605" cy="1651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pacing w:after="0" w:line="142"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The Governance Committee actively considers the composition and diversity of the Board to ensure it is well positioned to serve the best interests of the Company and our shareholders. The Governance Committee regularly assesses what skills, experiences and other attributes can best contribute to the effective operation of the Board, particularly in light of the evolving needs of the Company. The Governance Committee identifies director candidates from a wide range of sources and may employ a third-party search firm to assist in the process.</w:t>
      </w:r>
    </w:p>
    <w:p>
      <w:pPr>
        <w:spacing w:after="0" w:line="67" w:lineRule="exact"/>
        <w:rPr>
          <w:sz w:val="20"/>
          <w:szCs w:val="20"/>
          <w:color w:val="auto"/>
        </w:rPr>
      </w:pPr>
    </w:p>
    <w:p>
      <w:pPr>
        <w:ind w:right="220"/>
        <w:spacing w:after="0" w:line="255" w:lineRule="auto"/>
        <w:rPr>
          <w:sz w:val="20"/>
          <w:szCs w:val="20"/>
          <w:color w:val="auto"/>
        </w:rPr>
      </w:pPr>
      <w:r>
        <w:rPr>
          <w:rFonts w:ascii="Arial" w:cs="Arial" w:eastAsia="Arial" w:hAnsi="Arial"/>
          <w:sz w:val="17"/>
          <w:szCs w:val="17"/>
          <w:color w:val="auto"/>
        </w:rPr>
        <w:t>The Governance Committee evaluates potential director candidates on the basis of the candidate's background, qualifications and experience. The Governance Committee carefully considers whether each potential candidate would be able to fulfill his or her duties to the Company consistent with Delaware law and the Company’s governing documents, including the Principles of Corporate Governance. The Committee recommends to the full Board nominees for election.</w:t>
      </w:r>
    </w:p>
    <w:p>
      <w:pPr>
        <w:spacing w:after="0" w:line="67" w:lineRule="exact"/>
        <w:rPr>
          <w:sz w:val="20"/>
          <w:szCs w:val="20"/>
          <w:color w:val="auto"/>
        </w:rPr>
      </w:pPr>
    </w:p>
    <w:p>
      <w:pPr>
        <w:ind w:right="540"/>
        <w:spacing w:after="0" w:line="254" w:lineRule="auto"/>
        <w:rPr>
          <w:sz w:val="20"/>
          <w:szCs w:val="20"/>
          <w:color w:val="auto"/>
        </w:rPr>
      </w:pPr>
      <w:r>
        <w:rPr>
          <w:rFonts w:ascii="Arial" w:cs="Arial" w:eastAsia="Arial" w:hAnsi="Arial"/>
          <w:sz w:val="17"/>
          <w:szCs w:val="17"/>
          <w:color w:val="auto"/>
        </w:rPr>
        <w:t>Shareholders may recommend director candidates for consideration by the Governance Committee pursuant to our Principles of Corporate Governance. The Governance Committee considers such director candidates recommended by shareholders similarly to other potential director candidates brought to the attention of the Governance Committee. Shareholder recommendations for director candidates under our Principles of Corporate Governance must be addressed to the Governance Committee in care of the Corporate Secretary. In addition, and as discussed immediately below, shareholders may also directly nominate director candidates in accordance with our Bylaws.</w:t>
      </w:r>
    </w:p>
    <w:p>
      <w:pPr>
        <w:spacing w:after="0" w:line="299"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20 </w:t>
      </w:r>
      <w:r>
        <w:rPr>
          <w:rFonts w:ascii="Arial" w:cs="Arial" w:eastAsia="Arial" w:hAnsi="Arial"/>
          <w:sz w:val="13"/>
          <w:szCs w:val="13"/>
          <w:color w:val="auto"/>
        </w:rPr>
        <w:t>I</w:t>
      </w:r>
      <w:r>
        <w:rPr>
          <w:rFonts w:ascii="Arial" w:cs="Arial" w:eastAsia="Arial" w:hAnsi="Arial"/>
          <w:sz w:val="17"/>
          <w:szCs w:val="17"/>
          <w:color w:val="auto"/>
        </w:rPr>
        <w:t xml:space="preserve"> </w:t>
      </w:r>
      <w:r>
        <w:rPr>
          <w:rFonts w:ascii="Arial" w:cs="Arial" w:eastAsia="Arial" w:hAnsi="Arial"/>
          <w:sz w:val="13"/>
          <w:szCs w:val="13"/>
          <w:color w:val="34657F"/>
        </w:rPr>
        <w:t>NOTICE OF 2019 ANNUAL MEETING OF SHAREHOLDERS AND PROXY STATEMENT</w:t>
      </w:r>
    </w:p>
    <w:p>
      <w:pPr>
        <w:sectPr>
          <w:pgSz w:w="11900" w:h="16838" w:orient="portrait"/>
          <w:cols w:equalWidth="0" w:num="1">
            <w:col w:w="11420"/>
          </w:cols>
          <w:pgMar w:left="240" w:top="671" w:right="239" w:bottom="1440" w:gutter="0" w:footer="0" w:header="0"/>
        </w:sectPr>
      </w:pPr>
    </w:p>
    <w:bookmarkStart w:id="26" w:name="page27"/>
    <w:bookmarkEnd w:id="26"/>
    <w:p>
      <w:pPr>
        <w:ind w:left="20"/>
        <w:spacing w:after="0"/>
        <w:rPr>
          <w:sz w:val="20"/>
          <w:szCs w:val="20"/>
          <w:color w:val="auto"/>
        </w:rPr>
      </w:pPr>
      <w:r>
        <w:rPr>
          <w:rFonts w:ascii="Arial" w:cs="Arial" w:eastAsia="Arial" w:hAnsi="Arial"/>
          <w:sz w:val="21"/>
          <w:szCs w:val="21"/>
          <w:b w:val="1"/>
          <w:bCs w:val="1"/>
          <w:color w:val="FFFFFF"/>
        </w:rPr>
        <w:drawing>
          <wp:anchor simplePos="0" relativeHeight="251657728" behindDoc="1" locked="0" layoutInCell="0" allowOverlap="1">
            <wp:simplePos x="0" y="0"/>
            <wp:positionH relativeFrom="page">
              <wp:posOffset>154305</wp:posOffset>
            </wp:positionH>
            <wp:positionV relativeFrom="page">
              <wp:posOffset>365760</wp:posOffset>
            </wp:positionV>
            <wp:extent cx="7253605" cy="45593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53605" cy="455930"/>
                    </a:xfrm>
                    <a:prstGeom prst="rect">
                      <a:avLst/>
                    </a:prstGeom>
                    <a:noFill/>
                  </pic:spPr>
                </pic:pic>
              </a:graphicData>
            </a:graphic>
          </wp:anchor>
        </w:drawing>
        <w:t>CORPORATE GOVERNANCE</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Board carefully considered and adopted a strong and balanced proxy access framework</w:t>
      </w:r>
    </w:p>
    <w:p>
      <w:pPr>
        <w:spacing w:after="0" w:line="107" w:lineRule="exact"/>
        <w:rPr>
          <w:sz w:val="20"/>
          <w:szCs w:val="20"/>
          <w:color w:val="auto"/>
        </w:rPr>
      </w:pPr>
    </w:p>
    <w:p>
      <w:pPr>
        <w:jc w:val="both"/>
        <w:ind w:right="160"/>
        <w:spacing w:after="0" w:line="255" w:lineRule="auto"/>
        <w:rPr>
          <w:sz w:val="20"/>
          <w:szCs w:val="20"/>
          <w:color w:val="auto"/>
        </w:rPr>
      </w:pPr>
      <w:r>
        <w:rPr>
          <w:rFonts w:ascii="Arial" w:cs="Arial" w:eastAsia="Arial" w:hAnsi="Arial"/>
          <w:sz w:val="17"/>
          <w:szCs w:val="17"/>
          <w:color w:val="auto"/>
        </w:rPr>
        <w:t>For more than a year, the Board carefully considered the issue of proxy access. The Board and management engaged extensively with shareholders and monitored developments and best practices regarding proxy access. Management solicited and received input from shareholders, our customers and other stakeholders. The Board amended our Bylaws to provide our shareholders the right to proxy access, reflecting this extensive consideration and input.</w:t>
      </w:r>
    </w:p>
    <w:p>
      <w:pPr>
        <w:spacing w:after="0" w:line="67" w:lineRule="exact"/>
        <w:rPr>
          <w:sz w:val="20"/>
          <w:szCs w:val="20"/>
          <w:color w:val="auto"/>
        </w:rPr>
      </w:pPr>
    </w:p>
    <w:p>
      <w:pPr>
        <w:spacing w:after="0" w:line="254" w:lineRule="auto"/>
        <w:rPr>
          <w:sz w:val="20"/>
          <w:szCs w:val="20"/>
          <w:color w:val="auto"/>
        </w:rPr>
      </w:pPr>
      <w:r>
        <w:rPr>
          <w:rFonts w:ascii="Arial" w:cs="Arial" w:eastAsia="Arial" w:hAnsi="Arial"/>
          <w:sz w:val="17"/>
          <w:szCs w:val="17"/>
          <w:color w:val="auto"/>
        </w:rPr>
        <w:t>Under the Company’s proxy access bylaws, a shareholder, or a group of up to 20 shareholders, that has maintained continuous ownership of 3% or more of the Company's outstanding common stock for at least three years may include in the Company's proxy materials director nominees constituting up to the greater of two nominees or nominees constituting 20% of the number of directors in office. Director nominees may receive compensation from third parties for their candidacy, up to the total annual compensation paid to directors of the Company, as well as reimbursement for reasonable expenses, provided there is full disclosure of such compensation. Under the Company’s bylaw provisions, directors are treated similarly, whether nominated through proxy access or otherwise, and held to the same high fiduciary standards to serve all shareholders.</w:t>
      </w:r>
    </w:p>
    <w:p>
      <w:pPr>
        <w:spacing w:after="0" w:line="66"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The Company's Bylaws provide our shareholders with broad and meaningful access to the Company’s proxy materials while enhancing transparency, protecting the interests of all shareholders and ensuring good governance. The terms of the Company’s proxy access bylaw provisions are also broadly consistent with the terms of proxy access bylaws adopted by other Fortune 500 companies, reflecting best practices.</w:t>
      </w:r>
    </w:p>
    <w:p>
      <w:pPr>
        <w:spacing w:after="0" w:line="190" w:lineRule="exact"/>
        <w:rPr>
          <w:sz w:val="20"/>
          <w:szCs w:val="20"/>
          <w:color w:val="auto"/>
        </w:rPr>
      </w:pPr>
    </w:p>
    <w:p>
      <w:pPr>
        <w:ind w:left="20"/>
        <w:spacing w:after="0"/>
        <w:rPr>
          <w:sz w:val="20"/>
          <w:szCs w:val="20"/>
          <w:color w:val="auto"/>
        </w:rPr>
      </w:pPr>
      <w:r>
        <w:rPr>
          <w:rFonts w:ascii="Arial" w:cs="Arial" w:eastAsia="Arial" w:hAnsi="Arial"/>
          <w:sz w:val="24"/>
          <w:szCs w:val="24"/>
          <w:b w:val="1"/>
          <w:bCs w:val="1"/>
          <w:color w:val="auto"/>
        </w:rPr>
        <w:t>Director 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38100</wp:posOffset>
            </wp:positionV>
            <wp:extent cx="7253605" cy="1651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pacing w:after="0" w:line="142" w:lineRule="exact"/>
        <w:rPr>
          <w:sz w:val="20"/>
          <w:szCs w:val="20"/>
          <w:color w:val="auto"/>
        </w:rPr>
      </w:pPr>
    </w:p>
    <w:p>
      <w:pPr>
        <w:ind w:right="20"/>
        <w:spacing w:after="0" w:line="257" w:lineRule="auto"/>
        <w:rPr>
          <w:sz w:val="20"/>
          <w:szCs w:val="20"/>
          <w:color w:val="auto"/>
        </w:rPr>
      </w:pPr>
      <w:r>
        <w:rPr>
          <w:rFonts w:ascii="Arial" w:cs="Arial" w:eastAsia="Arial" w:hAnsi="Arial"/>
          <w:sz w:val="17"/>
          <w:szCs w:val="17"/>
          <w:color w:val="auto"/>
        </w:rPr>
        <w:t>The Governance Committee is responsible for establishing the criteria for Board membership. In nominating directors, the Governance Committee bears in mind that the foremost responsibility of a director is to represent the interests of our shareholders as a whole. The activities and associations of candidates are reviewed for any legal impediment, conflict of interest or other consideration that might prevent or interfere with service on our Board.</w:t>
      </w:r>
    </w:p>
    <w:p>
      <w:pPr>
        <w:spacing w:after="0" w:line="64" w:lineRule="exact"/>
        <w:rPr>
          <w:sz w:val="20"/>
          <w:szCs w:val="20"/>
          <w:color w:val="auto"/>
        </w:rPr>
      </w:pPr>
    </w:p>
    <w:p>
      <w:pPr>
        <w:spacing w:after="0"/>
        <w:rPr>
          <w:sz w:val="20"/>
          <w:szCs w:val="20"/>
          <w:color w:val="auto"/>
        </w:rPr>
      </w:pPr>
      <w:r>
        <w:rPr>
          <w:rFonts w:ascii="Arial" w:cs="Arial" w:eastAsia="Arial" w:hAnsi="Arial"/>
          <w:sz w:val="17"/>
          <w:szCs w:val="17"/>
          <w:color w:val="auto"/>
        </w:rPr>
        <w:t>In evaluating candidates, the Governance Committee considers:</w:t>
      </w:r>
    </w:p>
    <w:p>
      <w:pPr>
        <w:spacing w:after="0" w:line="75" w:lineRule="exact"/>
        <w:rPr>
          <w:sz w:val="20"/>
          <w:szCs w:val="20"/>
          <w:color w:val="auto"/>
        </w:rPr>
      </w:pPr>
    </w:p>
    <w:p>
      <w:pPr>
        <w:ind w:left="320" w:hanging="317"/>
        <w:spacing w:after="0"/>
        <w:tabs>
          <w:tab w:leader="none" w:pos="320" w:val="left"/>
        </w:tabs>
        <w:numPr>
          <w:ilvl w:val="0"/>
          <w:numId w:val="27"/>
        </w:numPr>
        <w:rPr>
          <w:rFonts w:ascii="Arial" w:cs="Arial" w:eastAsia="Arial" w:hAnsi="Arial"/>
          <w:sz w:val="21"/>
          <w:szCs w:val="21"/>
          <w:color w:val="34657F"/>
        </w:rPr>
      </w:pPr>
      <w:r>
        <w:rPr>
          <w:rFonts w:ascii="Arial" w:cs="Arial" w:eastAsia="Arial" w:hAnsi="Arial"/>
          <w:sz w:val="17"/>
          <w:szCs w:val="17"/>
          <w:color w:val="auto"/>
        </w:rPr>
        <w:t>the personal integrity and the professional reputation of the individual;</w:t>
      </w:r>
    </w:p>
    <w:p>
      <w:pPr>
        <w:spacing w:after="0" w:line="79" w:lineRule="exact"/>
        <w:rPr>
          <w:rFonts w:ascii="Arial" w:cs="Arial" w:eastAsia="Arial" w:hAnsi="Arial"/>
          <w:sz w:val="21"/>
          <w:szCs w:val="21"/>
          <w:color w:val="34657F"/>
        </w:rPr>
      </w:pPr>
    </w:p>
    <w:p>
      <w:pPr>
        <w:ind w:left="320" w:hanging="317"/>
        <w:spacing w:after="0"/>
        <w:tabs>
          <w:tab w:leader="none" w:pos="320" w:val="left"/>
        </w:tabs>
        <w:numPr>
          <w:ilvl w:val="0"/>
          <w:numId w:val="27"/>
        </w:numPr>
        <w:rPr>
          <w:rFonts w:ascii="Arial" w:cs="Arial" w:eastAsia="Arial" w:hAnsi="Arial"/>
          <w:sz w:val="21"/>
          <w:szCs w:val="21"/>
          <w:color w:val="34657F"/>
        </w:rPr>
      </w:pPr>
      <w:r>
        <w:rPr>
          <w:rFonts w:ascii="Arial" w:cs="Arial" w:eastAsia="Arial" w:hAnsi="Arial"/>
          <w:sz w:val="17"/>
          <w:szCs w:val="17"/>
          <w:color w:val="auto"/>
        </w:rPr>
        <w:t>the education, professional background and particular skills and experience most beneficial to service on our Board;</w:t>
      </w:r>
    </w:p>
    <w:p>
      <w:pPr>
        <w:spacing w:after="0" w:line="79" w:lineRule="exact"/>
        <w:rPr>
          <w:rFonts w:ascii="Arial" w:cs="Arial" w:eastAsia="Arial" w:hAnsi="Arial"/>
          <w:sz w:val="21"/>
          <w:szCs w:val="21"/>
          <w:color w:val="34657F"/>
        </w:rPr>
      </w:pPr>
    </w:p>
    <w:p>
      <w:pPr>
        <w:ind w:left="320" w:hanging="317"/>
        <w:spacing w:after="0"/>
        <w:tabs>
          <w:tab w:leader="none" w:pos="320" w:val="left"/>
        </w:tabs>
        <w:numPr>
          <w:ilvl w:val="0"/>
          <w:numId w:val="27"/>
        </w:numPr>
        <w:rPr>
          <w:rFonts w:ascii="Arial" w:cs="Arial" w:eastAsia="Arial" w:hAnsi="Arial"/>
          <w:sz w:val="21"/>
          <w:szCs w:val="21"/>
          <w:color w:val="34657F"/>
        </w:rPr>
      </w:pPr>
      <w:r>
        <w:rPr>
          <w:rFonts w:ascii="Arial" w:cs="Arial" w:eastAsia="Arial" w:hAnsi="Arial"/>
          <w:sz w:val="17"/>
          <w:szCs w:val="17"/>
          <w:color w:val="auto"/>
        </w:rPr>
        <w:t>how the nominee brings diversity, experience and skills valuable to the Company and Board at the time; and</w:t>
      </w:r>
    </w:p>
    <w:p>
      <w:pPr>
        <w:spacing w:after="0" w:line="115" w:lineRule="exact"/>
        <w:rPr>
          <w:rFonts w:ascii="Arial" w:cs="Arial" w:eastAsia="Arial" w:hAnsi="Arial"/>
          <w:sz w:val="21"/>
          <w:szCs w:val="21"/>
          <w:color w:val="34657F"/>
        </w:rPr>
      </w:pPr>
    </w:p>
    <w:p>
      <w:pPr>
        <w:ind w:left="320" w:right="500" w:hanging="317"/>
        <w:spacing w:after="0" w:line="253" w:lineRule="auto"/>
        <w:tabs>
          <w:tab w:leader="none" w:pos="320" w:val="left"/>
        </w:tabs>
        <w:numPr>
          <w:ilvl w:val="0"/>
          <w:numId w:val="27"/>
        </w:numPr>
        <w:rPr>
          <w:rFonts w:ascii="Arial" w:cs="Arial" w:eastAsia="Arial" w:hAnsi="Arial"/>
          <w:sz w:val="21"/>
          <w:szCs w:val="21"/>
          <w:color w:val="34657F"/>
        </w:rPr>
      </w:pPr>
      <w:r>
        <w:rPr>
          <w:rFonts w:ascii="Arial" w:cs="Arial" w:eastAsia="Arial" w:hAnsi="Arial"/>
          <w:sz w:val="17"/>
          <w:szCs w:val="17"/>
          <w:color w:val="auto"/>
        </w:rPr>
        <w:t>whether a director candidate is willing to submit to and obtain a background check necessary for obtaining and retaining a top secret security clearance.</w:t>
      </w:r>
    </w:p>
    <w:p>
      <w:pPr>
        <w:spacing w:after="0" w:line="78" w:lineRule="exact"/>
        <w:rPr>
          <w:sz w:val="20"/>
          <w:szCs w:val="20"/>
          <w:color w:val="auto"/>
        </w:rPr>
      </w:pPr>
    </w:p>
    <w:p>
      <w:pPr>
        <w:jc w:val="both"/>
        <w:ind w:right="180"/>
        <w:spacing w:after="0" w:line="257" w:lineRule="auto"/>
        <w:rPr>
          <w:sz w:val="20"/>
          <w:szCs w:val="20"/>
          <w:color w:val="auto"/>
        </w:rPr>
      </w:pPr>
      <w:r>
        <w:rPr>
          <w:rFonts w:ascii="Arial" w:cs="Arial" w:eastAsia="Arial" w:hAnsi="Arial"/>
          <w:sz w:val="17"/>
          <w:szCs w:val="17"/>
          <w:color w:val="auto"/>
        </w:rPr>
        <w:t>In evaluating director candidates, the Governance Committee aims to foster diversity of thought on our Board. The Governance Committee seeks to ensure diversity, including in race and gender, as well as in perspective, professional experience, education, skill and other qualities that contribute to our Board and the long-term interests of our Company and shareholders.</w:t>
      </w:r>
    </w:p>
    <w:p>
      <w:pPr>
        <w:spacing w:after="0" w:line="190" w:lineRule="exact"/>
        <w:rPr>
          <w:sz w:val="20"/>
          <w:szCs w:val="20"/>
          <w:color w:val="auto"/>
        </w:rPr>
      </w:pPr>
    </w:p>
    <w:p>
      <w:pPr>
        <w:ind w:left="20"/>
        <w:spacing w:after="0"/>
        <w:rPr>
          <w:sz w:val="20"/>
          <w:szCs w:val="20"/>
          <w:color w:val="auto"/>
        </w:rPr>
      </w:pPr>
      <w:r>
        <w:rPr>
          <w:rFonts w:ascii="Arial" w:cs="Arial" w:eastAsia="Arial" w:hAnsi="Arial"/>
          <w:sz w:val="24"/>
          <w:szCs w:val="24"/>
          <w:b w:val="1"/>
          <w:bCs w:val="1"/>
          <w:color w:val="auto"/>
        </w:rPr>
        <w:t>Director Orientation and Continuing Education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38100</wp:posOffset>
            </wp:positionV>
            <wp:extent cx="7253605" cy="1651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pacing w:after="0" w:line="142" w:lineRule="exact"/>
        <w:rPr>
          <w:sz w:val="20"/>
          <w:szCs w:val="20"/>
          <w:color w:val="auto"/>
        </w:rPr>
      </w:pPr>
    </w:p>
    <w:p>
      <w:pPr>
        <w:ind w:right="40"/>
        <w:spacing w:after="0" w:line="255" w:lineRule="auto"/>
        <w:rPr>
          <w:sz w:val="20"/>
          <w:szCs w:val="20"/>
          <w:color w:val="auto"/>
        </w:rPr>
      </w:pPr>
      <w:r>
        <w:rPr>
          <w:rFonts w:ascii="Arial" w:cs="Arial" w:eastAsia="Arial" w:hAnsi="Arial"/>
          <w:sz w:val="17"/>
          <w:szCs w:val="17"/>
          <w:color w:val="auto"/>
        </w:rPr>
        <w:t>All new directors to the Board receive in-person orientation and training that is individually tailored, taking into account the director's experience, background, education and committee assignments. The orientation program is led by members of senior management and covers a review of our strategy and operating plans, financial statements, corporate governance and key policies and practices, as well as the roles and responsibilities of our directors.</w:t>
      </w:r>
    </w:p>
    <w:p>
      <w:pPr>
        <w:spacing w:after="0" w:line="67" w:lineRule="exact"/>
        <w:rPr>
          <w:sz w:val="20"/>
          <w:szCs w:val="20"/>
          <w:color w:val="auto"/>
        </w:rPr>
      </w:pPr>
    </w:p>
    <w:p>
      <w:pPr>
        <w:ind w:right="40"/>
        <w:spacing w:after="0" w:line="255" w:lineRule="auto"/>
        <w:rPr>
          <w:sz w:val="20"/>
          <w:szCs w:val="20"/>
          <w:color w:val="auto"/>
        </w:rPr>
      </w:pPr>
      <w:r>
        <w:rPr>
          <w:rFonts w:ascii="Arial" w:cs="Arial" w:eastAsia="Arial" w:hAnsi="Arial"/>
          <w:sz w:val="17"/>
          <w:szCs w:val="17"/>
          <w:color w:val="auto"/>
        </w:rPr>
        <w:t>All directors receive regular in-person training regarding our Company policies and procedures, and broad exposure to our operations and the teams. Members of senior management review with the Board the operating plan for each of our business sectors and the Company as a whole. The Board also conducts periodic site visits to our facilities as part of its regularly scheduled Board meetings. These visits allow directors to interact with a broader group of our executives and employees and gain firsthand insights into our operations.</w:t>
      </w:r>
    </w:p>
    <w:p>
      <w:pPr>
        <w:spacing w:after="0" w:line="67" w:lineRule="exact"/>
        <w:rPr>
          <w:sz w:val="20"/>
          <w:szCs w:val="20"/>
          <w:color w:val="auto"/>
        </w:rPr>
      </w:pPr>
    </w:p>
    <w:p>
      <w:pPr>
        <w:ind w:right="360"/>
        <w:spacing w:after="0" w:line="263" w:lineRule="auto"/>
        <w:rPr>
          <w:sz w:val="20"/>
          <w:szCs w:val="20"/>
          <w:color w:val="auto"/>
        </w:rPr>
      </w:pPr>
      <w:r>
        <w:rPr>
          <w:rFonts w:ascii="Arial" w:cs="Arial" w:eastAsia="Arial" w:hAnsi="Arial"/>
          <w:sz w:val="17"/>
          <w:szCs w:val="17"/>
          <w:color w:val="auto"/>
        </w:rPr>
        <w:t>Directors may also attend outside director and other continuing education programs to assist them in staying current on developments in corporate governance, our industry, the global environment and issues critical to the operation of public company boards.</w:t>
      </w:r>
    </w:p>
    <w:p>
      <w:pPr>
        <w:spacing w:after="0" w:line="295" w:lineRule="exact"/>
        <w:rPr>
          <w:sz w:val="20"/>
          <w:szCs w:val="20"/>
          <w:color w:val="auto"/>
        </w:rPr>
      </w:pPr>
    </w:p>
    <w:p>
      <w:pPr>
        <w:jc w:val="right"/>
        <w:spacing w:after="0"/>
        <w:rPr>
          <w:sz w:val="20"/>
          <w:szCs w:val="20"/>
          <w:color w:val="auto"/>
        </w:rPr>
      </w:pPr>
      <w:r>
        <w:rPr>
          <w:rFonts w:ascii="Arial" w:cs="Arial" w:eastAsia="Arial" w:hAnsi="Arial"/>
          <w:sz w:val="14"/>
          <w:szCs w:val="14"/>
          <w:color w:val="34657F"/>
        </w:rPr>
        <w:t xml:space="preserve">NOTICE OF 2019 ANNUAL MEETING OF SHAREHOLDERS AND PROXY STATEMENT </w:t>
      </w:r>
      <w:r>
        <w:rPr>
          <w:rFonts w:ascii="Arial" w:cs="Arial" w:eastAsia="Arial" w:hAnsi="Arial"/>
          <w:sz w:val="14"/>
          <w:szCs w:val="14"/>
          <w:color w:val="000000"/>
        </w:rPr>
        <w:t>I 21</w:t>
      </w:r>
    </w:p>
    <w:p>
      <w:pPr>
        <w:sectPr>
          <w:pgSz w:w="11900" w:h="16838" w:orient="portrait"/>
          <w:cols w:equalWidth="0" w:num="1">
            <w:col w:w="11420"/>
          </w:cols>
          <w:pgMar w:left="240" w:top="671" w:right="239" w:bottom="1440" w:gutter="0" w:footer="0" w:header="0"/>
        </w:sectPr>
      </w:pPr>
    </w:p>
    <w:bookmarkStart w:id="27" w:name="page28"/>
    <w:bookmarkEnd w:id="27"/>
    <w:p>
      <w:pPr>
        <w:ind w:left="20"/>
        <w:spacing w:after="0"/>
        <w:rPr>
          <w:sz w:val="20"/>
          <w:szCs w:val="20"/>
          <w:color w:val="auto"/>
        </w:rPr>
      </w:pPr>
      <w:r>
        <w:rPr>
          <w:rFonts w:ascii="Arial" w:cs="Arial" w:eastAsia="Arial" w:hAnsi="Arial"/>
          <w:sz w:val="21"/>
          <w:szCs w:val="21"/>
          <w:b w:val="1"/>
          <w:bCs w:val="1"/>
          <w:color w:val="FFFFFF"/>
        </w:rPr>
        <w:drawing>
          <wp:anchor simplePos="0" relativeHeight="251657728" behindDoc="1" locked="0" layoutInCell="0" allowOverlap="1">
            <wp:simplePos x="0" y="0"/>
            <wp:positionH relativeFrom="page">
              <wp:posOffset>154305</wp:posOffset>
            </wp:positionH>
            <wp:positionV relativeFrom="page">
              <wp:posOffset>365760</wp:posOffset>
            </wp:positionV>
            <wp:extent cx="7253605" cy="45593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53605" cy="455930"/>
                    </a:xfrm>
                    <a:prstGeom prst="rect">
                      <a:avLst/>
                    </a:prstGeom>
                    <a:noFill/>
                  </pic:spPr>
                </pic:pic>
              </a:graphicData>
            </a:graphic>
          </wp:anchor>
        </w:drawing>
        <w:t>CORPORATE GOVERNANCE</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20"/>
        <w:spacing w:after="0"/>
        <w:rPr>
          <w:sz w:val="20"/>
          <w:szCs w:val="20"/>
          <w:color w:val="auto"/>
        </w:rPr>
      </w:pPr>
      <w:r>
        <w:rPr>
          <w:rFonts w:ascii="Arial" w:cs="Arial" w:eastAsia="Arial" w:hAnsi="Arial"/>
          <w:sz w:val="24"/>
          <w:szCs w:val="24"/>
          <w:b w:val="1"/>
          <w:bCs w:val="1"/>
          <w:color w:val="auto"/>
        </w:rPr>
        <w:t>Board Membership and External Relationships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38100</wp:posOffset>
            </wp:positionV>
            <wp:extent cx="7253605" cy="1651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pacing w:after="0" w:line="142" w:lineRule="exact"/>
        <w:rPr>
          <w:sz w:val="20"/>
          <w:szCs w:val="20"/>
          <w:color w:val="auto"/>
        </w:rPr>
      </w:pPr>
    </w:p>
    <w:p>
      <w:pPr>
        <w:ind w:right="20"/>
        <w:spacing w:after="0" w:line="253" w:lineRule="auto"/>
        <w:rPr>
          <w:sz w:val="20"/>
          <w:szCs w:val="20"/>
          <w:color w:val="auto"/>
        </w:rPr>
      </w:pPr>
      <w:r>
        <w:rPr>
          <w:rFonts w:ascii="Arial" w:cs="Arial" w:eastAsia="Arial" w:hAnsi="Arial"/>
          <w:sz w:val="17"/>
          <w:szCs w:val="17"/>
          <w:color w:val="auto"/>
        </w:rPr>
        <w:t>Directors are required to ensure that their other commitments, including for example, other board memberships, employment, partnerships and consulting arrangements, do not interfere with their duties and responsibilities as members of the Board. Directors provide notice to the General Counsel prior to accepting an invitation to serve on the board of any other organization, and the General Counsel advises the Chairperson of the Governance Committee (or the Chairperson of the Board, if notice is from the Chairperson of the Governance Committee). A director should not accept service on such other board unless advised by the Chairperson of the Governance Committee (or Chairperson of the Board, as appropriate) that such engagement will not unacceptably create conflicts of interest or regulatory issues, conflict with Company policies or otherwise interfere with the director's duties and responsibilities as a member of the Board. Directors are also required promptly to inform the General Counsel if an actual or potential conflict of interest arises, or they are concerned that a conflict may arise or circumstances could otherwise interfere with their duties and responsibilities as a director. Directors are required to seek to avoid even an appearance of an improper conflict of interest.</w:t>
      </w:r>
    </w:p>
    <w:p>
      <w:pPr>
        <w:spacing w:after="0" w:line="68" w:lineRule="exact"/>
        <w:rPr>
          <w:sz w:val="20"/>
          <w:szCs w:val="20"/>
          <w:color w:val="auto"/>
        </w:rPr>
      </w:pPr>
    </w:p>
    <w:p>
      <w:pPr>
        <w:ind w:right="40"/>
        <w:spacing w:after="0" w:line="254" w:lineRule="auto"/>
        <w:rPr>
          <w:sz w:val="20"/>
          <w:szCs w:val="20"/>
          <w:color w:val="auto"/>
        </w:rPr>
      </w:pPr>
      <w:r>
        <w:rPr>
          <w:rFonts w:ascii="Arial" w:cs="Arial" w:eastAsia="Arial" w:hAnsi="Arial"/>
          <w:sz w:val="17"/>
          <w:szCs w:val="17"/>
          <w:color w:val="auto"/>
        </w:rPr>
        <w:t>Directors may not serve on more than three other boards of publicly traded companies in addition to our Board without the written approval of the Chairperson of the Governance Committee (or Chairperson of the Board, as appropriate). A director who is a full-time employee of our Company may not serve on the board of more than two other public companies unless approved by the Board. When a director's principal occupation or business association changes substantially during his or her tenure as a director, the Board expects the director to tender his or her resignation for consideration by the Governance Committee, which subsequently will recommend to the Board what action to take.</w:t>
      </w:r>
    </w:p>
    <w:p>
      <w:pPr>
        <w:spacing w:after="0" w:line="68" w:lineRule="exact"/>
        <w:rPr>
          <w:sz w:val="20"/>
          <w:szCs w:val="20"/>
          <w:color w:val="auto"/>
        </w:rPr>
      </w:pPr>
    </w:p>
    <w:p>
      <w:pPr>
        <w:ind w:right="120"/>
        <w:spacing w:after="0" w:line="263" w:lineRule="auto"/>
        <w:rPr>
          <w:sz w:val="20"/>
          <w:szCs w:val="20"/>
          <w:color w:val="auto"/>
        </w:rPr>
      </w:pPr>
      <w:r>
        <w:rPr>
          <w:rFonts w:ascii="Arial" w:cs="Arial" w:eastAsia="Arial" w:hAnsi="Arial"/>
          <w:sz w:val="17"/>
          <w:szCs w:val="17"/>
          <w:color w:val="auto"/>
        </w:rPr>
        <w:t>We have a retirement policy whereby a director will retire at the annual meeting following his or her 75th birthday, unless the Board determines, based on special circumstances, that it is in the Company's best interest to request that the director serve beyond such date.</w:t>
      </w:r>
    </w:p>
    <w:p>
      <w:pPr>
        <w:spacing w:after="0" w:line="185" w:lineRule="exact"/>
        <w:rPr>
          <w:sz w:val="20"/>
          <w:szCs w:val="20"/>
          <w:color w:val="auto"/>
        </w:rPr>
      </w:pPr>
    </w:p>
    <w:p>
      <w:pPr>
        <w:ind w:left="20"/>
        <w:spacing w:after="0"/>
        <w:rPr>
          <w:sz w:val="20"/>
          <w:szCs w:val="20"/>
          <w:color w:val="auto"/>
        </w:rPr>
      </w:pPr>
      <w:r>
        <w:rPr>
          <w:rFonts w:ascii="Arial" w:cs="Arial" w:eastAsia="Arial" w:hAnsi="Arial"/>
          <w:sz w:val="24"/>
          <w:szCs w:val="24"/>
          <w:b w:val="1"/>
          <w:bCs w:val="1"/>
          <w:color w:val="auto"/>
        </w:rPr>
        <w:t>Effect of Failure to Receive the Required Vote or Obtain and Retain Security Clearance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38100</wp:posOffset>
            </wp:positionV>
            <wp:extent cx="7253605" cy="1651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pacing w:after="0" w:line="142"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Each director is required to tender a resignation that will be effective upon (i) the failure to receive the required vote at any future meeting at which such director faces re-election, the failure to obtain top secret security clearance within 12 months of election or appointment to the Board or the failure to retain a top secret security clearance once obtained and (ii) the Board's acceptance of such resignation. If an incumbent director fails to receive the required vote for re-election or fails to obtain and retain a top secret security clearance, the Governance Committee will consider whether the Board should accept the director's resignation and will submit a recommendation for prompt consideration by the Board. The Board will decide whether to accept or reject a resignation within 90 days, unless the Board determines that compelling circumstances require additional time. The Governance Committee and the Board may consider any factor they deem relevant in deciding whether to accept a resignation, including, without limitation, any harm to our Company that may result from accepting the resignation, and the underlying reasons for the action at issue.</w:t>
      </w:r>
    </w:p>
    <w:p>
      <w:pPr>
        <w:spacing w:after="0" w:line="196" w:lineRule="exact"/>
        <w:rPr>
          <w:sz w:val="20"/>
          <w:szCs w:val="20"/>
          <w:color w:val="auto"/>
        </w:rPr>
      </w:pPr>
    </w:p>
    <w:p>
      <w:pPr>
        <w:ind w:left="20"/>
        <w:spacing w:after="0"/>
        <w:rPr>
          <w:sz w:val="20"/>
          <w:szCs w:val="20"/>
          <w:color w:val="auto"/>
        </w:rPr>
      </w:pPr>
      <w:r>
        <w:rPr>
          <w:rFonts w:ascii="Arial" w:cs="Arial" w:eastAsia="Arial" w:hAnsi="Arial"/>
          <w:sz w:val="24"/>
          <w:szCs w:val="24"/>
          <w:b w:val="1"/>
          <w:bCs w:val="1"/>
          <w:color w:val="auto"/>
        </w:rPr>
        <w:t>Board and Committee Self-Evaluation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38100</wp:posOffset>
            </wp:positionV>
            <wp:extent cx="7253605" cy="1651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pacing w:after="0" w:line="142" w:lineRule="exact"/>
        <w:rPr>
          <w:sz w:val="20"/>
          <w:szCs w:val="20"/>
          <w:color w:val="auto"/>
        </w:rPr>
      </w:pPr>
    </w:p>
    <w:p>
      <w:pPr>
        <w:ind w:right="360"/>
        <w:spacing w:after="0" w:line="263" w:lineRule="auto"/>
        <w:rPr>
          <w:sz w:val="20"/>
          <w:szCs w:val="20"/>
          <w:color w:val="auto"/>
        </w:rPr>
      </w:pPr>
      <w:r>
        <w:rPr>
          <w:rFonts w:ascii="Arial" w:cs="Arial" w:eastAsia="Arial" w:hAnsi="Arial"/>
          <w:sz w:val="17"/>
          <w:szCs w:val="17"/>
          <w:color w:val="auto"/>
        </w:rPr>
        <w:t>The Board and each Committee conduct annually thorough self-assessment processes. These processes are intended to ensure and enhance the effective operation of the Board.</w:t>
      </w:r>
    </w:p>
    <w:p>
      <w:pPr>
        <w:spacing w:after="0" w:line="59" w:lineRule="exact"/>
        <w:rPr>
          <w:sz w:val="20"/>
          <w:szCs w:val="20"/>
          <w:color w:val="auto"/>
        </w:rPr>
      </w:pPr>
    </w:p>
    <w:p>
      <w:pPr>
        <w:ind w:right="420"/>
        <w:spacing w:after="0" w:line="257" w:lineRule="auto"/>
        <w:rPr>
          <w:sz w:val="20"/>
          <w:szCs w:val="20"/>
          <w:color w:val="auto"/>
        </w:rPr>
      </w:pPr>
      <w:r>
        <w:rPr>
          <w:rFonts w:ascii="Arial" w:cs="Arial" w:eastAsia="Arial" w:hAnsi="Arial"/>
          <w:sz w:val="17"/>
          <w:szCs w:val="17"/>
          <w:color w:val="auto"/>
        </w:rPr>
        <w:t>The self-assessment of the Board is overseen by the Governance Committee. As part of this assessment, the Lead Independent Director and Chairperson of the Governance Committee facilitate a broad discussion of Board performance, held in executive session. Among other topics, the Board considers:</w:t>
      </w:r>
    </w:p>
    <w:p>
      <w:pPr>
        <w:spacing w:after="0" w:line="53" w:lineRule="exact"/>
        <w:rPr>
          <w:sz w:val="20"/>
          <w:szCs w:val="20"/>
          <w:color w:val="auto"/>
        </w:rPr>
      </w:pPr>
    </w:p>
    <w:p>
      <w:pPr>
        <w:ind w:left="320" w:hanging="317"/>
        <w:spacing w:after="0"/>
        <w:tabs>
          <w:tab w:leader="none" w:pos="320" w:val="left"/>
        </w:tabs>
        <w:numPr>
          <w:ilvl w:val="0"/>
          <w:numId w:val="28"/>
        </w:numPr>
        <w:rPr>
          <w:rFonts w:ascii="Arial" w:cs="Arial" w:eastAsia="Arial" w:hAnsi="Arial"/>
          <w:sz w:val="21"/>
          <w:szCs w:val="21"/>
          <w:color w:val="34657F"/>
        </w:rPr>
      </w:pPr>
      <w:r>
        <w:rPr>
          <w:rFonts w:ascii="Arial" w:cs="Arial" w:eastAsia="Arial" w:hAnsi="Arial"/>
          <w:sz w:val="17"/>
          <w:szCs w:val="17"/>
          <w:color w:val="auto"/>
        </w:rPr>
        <w:t>the Board's effectiveness in evaluating and monitoring the Company's business plan, long-term strategy and risks;</w:t>
      </w:r>
    </w:p>
    <w:p>
      <w:pPr>
        <w:spacing w:after="0" w:line="79" w:lineRule="exact"/>
        <w:rPr>
          <w:rFonts w:ascii="Arial" w:cs="Arial" w:eastAsia="Arial" w:hAnsi="Arial"/>
          <w:sz w:val="21"/>
          <w:szCs w:val="21"/>
          <w:color w:val="34657F"/>
        </w:rPr>
      </w:pPr>
    </w:p>
    <w:p>
      <w:pPr>
        <w:ind w:left="320" w:hanging="317"/>
        <w:spacing w:after="0"/>
        <w:tabs>
          <w:tab w:leader="none" w:pos="320" w:val="left"/>
        </w:tabs>
        <w:numPr>
          <w:ilvl w:val="0"/>
          <w:numId w:val="28"/>
        </w:numPr>
        <w:rPr>
          <w:rFonts w:ascii="Arial" w:cs="Arial" w:eastAsia="Arial" w:hAnsi="Arial"/>
          <w:sz w:val="21"/>
          <w:szCs w:val="21"/>
          <w:color w:val="34657F"/>
        </w:rPr>
      </w:pPr>
      <w:r>
        <w:rPr>
          <w:rFonts w:ascii="Arial" w:cs="Arial" w:eastAsia="Arial" w:hAnsi="Arial"/>
          <w:sz w:val="17"/>
          <w:szCs w:val="17"/>
          <w:color w:val="auto"/>
        </w:rPr>
        <w:t>whether strategic and critical issues are being addressed by the Board in a timely manner;</w:t>
      </w:r>
    </w:p>
    <w:p>
      <w:pPr>
        <w:spacing w:after="0" w:line="79" w:lineRule="exact"/>
        <w:rPr>
          <w:rFonts w:ascii="Arial" w:cs="Arial" w:eastAsia="Arial" w:hAnsi="Arial"/>
          <w:sz w:val="21"/>
          <w:szCs w:val="21"/>
          <w:color w:val="34657F"/>
        </w:rPr>
      </w:pPr>
    </w:p>
    <w:p>
      <w:pPr>
        <w:ind w:left="320" w:hanging="317"/>
        <w:spacing w:after="0"/>
        <w:tabs>
          <w:tab w:leader="none" w:pos="320" w:val="left"/>
        </w:tabs>
        <w:numPr>
          <w:ilvl w:val="0"/>
          <w:numId w:val="28"/>
        </w:numPr>
        <w:rPr>
          <w:rFonts w:ascii="Arial" w:cs="Arial" w:eastAsia="Arial" w:hAnsi="Arial"/>
          <w:sz w:val="21"/>
          <w:szCs w:val="21"/>
          <w:color w:val="34657F"/>
        </w:rPr>
      </w:pPr>
      <w:r>
        <w:rPr>
          <w:rFonts w:ascii="Arial" w:cs="Arial" w:eastAsia="Arial" w:hAnsi="Arial"/>
          <w:sz w:val="17"/>
          <w:szCs w:val="17"/>
          <w:color w:val="auto"/>
        </w:rPr>
        <w:t>whether the Board’s expectations and concerns are openly communicated to and discussed with the Chief Executive Officer;</w:t>
      </w:r>
    </w:p>
    <w:p>
      <w:pPr>
        <w:spacing w:after="0" w:line="79" w:lineRule="exact"/>
        <w:rPr>
          <w:rFonts w:ascii="Arial" w:cs="Arial" w:eastAsia="Arial" w:hAnsi="Arial"/>
          <w:sz w:val="21"/>
          <w:szCs w:val="21"/>
          <w:color w:val="34657F"/>
        </w:rPr>
      </w:pPr>
    </w:p>
    <w:p>
      <w:pPr>
        <w:ind w:left="320" w:hanging="317"/>
        <w:spacing w:after="0"/>
        <w:tabs>
          <w:tab w:leader="none" w:pos="320" w:val="left"/>
        </w:tabs>
        <w:numPr>
          <w:ilvl w:val="0"/>
          <w:numId w:val="28"/>
        </w:numPr>
        <w:rPr>
          <w:rFonts w:ascii="Arial" w:cs="Arial" w:eastAsia="Arial" w:hAnsi="Arial"/>
          <w:sz w:val="21"/>
          <w:szCs w:val="21"/>
          <w:color w:val="34657F"/>
        </w:rPr>
      </w:pPr>
      <w:r>
        <w:rPr>
          <w:rFonts w:ascii="Arial" w:cs="Arial" w:eastAsia="Arial" w:hAnsi="Arial"/>
          <w:sz w:val="17"/>
          <w:szCs w:val="17"/>
          <w:color w:val="auto"/>
        </w:rPr>
        <w:t>whether there is adequate contact between the Board and members of senior management;</w:t>
      </w:r>
    </w:p>
    <w:p>
      <w:pPr>
        <w:spacing w:after="0" w:line="79" w:lineRule="exact"/>
        <w:rPr>
          <w:rFonts w:ascii="Arial" w:cs="Arial" w:eastAsia="Arial" w:hAnsi="Arial"/>
          <w:sz w:val="21"/>
          <w:szCs w:val="21"/>
          <w:color w:val="34657F"/>
        </w:rPr>
      </w:pPr>
    </w:p>
    <w:p>
      <w:pPr>
        <w:ind w:left="320" w:hanging="317"/>
        <w:spacing w:after="0"/>
        <w:tabs>
          <w:tab w:leader="none" w:pos="320" w:val="left"/>
        </w:tabs>
        <w:numPr>
          <w:ilvl w:val="0"/>
          <w:numId w:val="28"/>
        </w:numPr>
        <w:rPr>
          <w:rFonts w:ascii="Arial" w:cs="Arial" w:eastAsia="Arial" w:hAnsi="Arial"/>
          <w:sz w:val="21"/>
          <w:szCs w:val="21"/>
          <w:color w:val="34657F"/>
        </w:rPr>
      </w:pPr>
      <w:r>
        <w:rPr>
          <w:rFonts w:ascii="Arial" w:cs="Arial" w:eastAsia="Arial" w:hAnsi="Arial"/>
          <w:sz w:val="17"/>
          <w:szCs w:val="17"/>
          <w:color w:val="auto"/>
        </w:rPr>
        <w:t>whether the directors collectively operate effectively as a Board;</w:t>
      </w:r>
    </w:p>
    <w:p>
      <w:pPr>
        <w:spacing w:after="0" w:line="79" w:lineRule="exact"/>
        <w:rPr>
          <w:rFonts w:ascii="Arial" w:cs="Arial" w:eastAsia="Arial" w:hAnsi="Arial"/>
          <w:sz w:val="21"/>
          <w:szCs w:val="21"/>
          <w:color w:val="34657F"/>
        </w:rPr>
      </w:pPr>
    </w:p>
    <w:p>
      <w:pPr>
        <w:ind w:left="320" w:hanging="317"/>
        <w:spacing w:after="0"/>
        <w:tabs>
          <w:tab w:leader="none" w:pos="320" w:val="left"/>
        </w:tabs>
        <w:numPr>
          <w:ilvl w:val="0"/>
          <w:numId w:val="28"/>
        </w:numPr>
        <w:rPr>
          <w:rFonts w:ascii="Arial" w:cs="Arial" w:eastAsia="Arial" w:hAnsi="Arial"/>
          <w:sz w:val="21"/>
          <w:szCs w:val="21"/>
          <w:color w:val="34657F"/>
        </w:rPr>
      </w:pPr>
      <w:r>
        <w:rPr>
          <w:rFonts w:ascii="Arial" w:cs="Arial" w:eastAsia="Arial" w:hAnsi="Arial"/>
          <w:sz w:val="17"/>
          <w:szCs w:val="17"/>
          <w:color w:val="auto"/>
        </w:rPr>
        <w:t>whether the individual directors have the appropriate mix of attributes and skills to fulfill their duties as directors of the Company;</w:t>
      </w:r>
    </w:p>
    <w:p>
      <w:pPr>
        <w:spacing w:after="0" w:line="321"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22 </w:t>
      </w:r>
      <w:r>
        <w:rPr>
          <w:rFonts w:ascii="Arial" w:cs="Arial" w:eastAsia="Arial" w:hAnsi="Arial"/>
          <w:sz w:val="13"/>
          <w:szCs w:val="13"/>
          <w:color w:val="auto"/>
        </w:rPr>
        <w:t>I</w:t>
      </w:r>
      <w:r>
        <w:rPr>
          <w:rFonts w:ascii="Arial" w:cs="Arial" w:eastAsia="Arial" w:hAnsi="Arial"/>
          <w:sz w:val="17"/>
          <w:szCs w:val="17"/>
          <w:color w:val="auto"/>
        </w:rPr>
        <w:t xml:space="preserve"> </w:t>
      </w:r>
      <w:r>
        <w:rPr>
          <w:rFonts w:ascii="Arial" w:cs="Arial" w:eastAsia="Arial" w:hAnsi="Arial"/>
          <w:sz w:val="13"/>
          <w:szCs w:val="13"/>
          <w:color w:val="34657F"/>
        </w:rPr>
        <w:t>NOTICE OF 2019 ANNUAL MEETING OF SHAREHOLDERS AND PROXY STATEMENT</w:t>
      </w:r>
    </w:p>
    <w:p>
      <w:pPr>
        <w:sectPr>
          <w:pgSz w:w="11900" w:h="16838" w:orient="portrait"/>
          <w:cols w:equalWidth="0" w:num="1">
            <w:col w:w="11420"/>
          </w:cols>
          <w:pgMar w:left="240" w:top="671" w:right="239" w:bottom="1440" w:gutter="0" w:footer="0" w:header="0"/>
        </w:sectPr>
      </w:pPr>
    </w:p>
    <w:bookmarkStart w:id="28" w:name="page29"/>
    <w:bookmarkEnd w:id="28"/>
    <w:p>
      <w:pPr>
        <w:ind w:left="20"/>
        <w:spacing w:after="0"/>
        <w:rPr>
          <w:sz w:val="20"/>
          <w:szCs w:val="20"/>
          <w:color w:val="auto"/>
        </w:rPr>
      </w:pPr>
      <w:r>
        <w:rPr>
          <w:rFonts w:ascii="Arial" w:cs="Arial" w:eastAsia="Arial" w:hAnsi="Arial"/>
          <w:sz w:val="21"/>
          <w:szCs w:val="21"/>
          <w:b w:val="1"/>
          <w:bCs w:val="1"/>
          <w:color w:val="FFFFFF"/>
        </w:rPr>
        <w:drawing>
          <wp:anchor simplePos="0" relativeHeight="251657728" behindDoc="1" locked="0" layoutInCell="0" allowOverlap="1">
            <wp:simplePos x="0" y="0"/>
            <wp:positionH relativeFrom="page">
              <wp:posOffset>154305</wp:posOffset>
            </wp:positionH>
            <wp:positionV relativeFrom="page">
              <wp:posOffset>365760</wp:posOffset>
            </wp:positionV>
            <wp:extent cx="7253605" cy="45593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53605" cy="455930"/>
                    </a:xfrm>
                    <a:prstGeom prst="rect">
                      <a:avLst/>
                    </a:prstGeom>
                    <a:noFill/>
                  </pic:spPr>
                </pic:pic>
              </a:graphicData>
            </a:graphic>
          </wp:anchor>
        </w:drawing>
        <w:t>CORPORATE GOVERNANCE</w:t>
      </w:r>
    </w:p>
    <w:p>
      <w:pPr>
        <w:spacing w:after="0" w:line="200" w:lineRule="exact"/>
        <w:rPr>
          <w:sz w:val="20"/>
          <w:szCs w:val="20"/>
          <w:color w:val="auto"/>
        </w:rPr>
      </w:pPr>
    </w:p>
    <w:p>
      <w:pPr>
        <w:spacing w:after="0" w:line="399" w:lineRule="exact"/>
        <w:rPr>
          <w:sz w:val="20"/>
          <w:szCs w:val="20"/>
          <w:color w:val="auto"/>
        </w:rPr>
      </w:pPr>
    </w:p>
    <w:p>
      <w:pPr>
        <w:ind w:left="320" w:hanging="317"/>
        <w:spacing w:after="0"/>
        <w:tabs>
          <w:tab w:leader="none" w:pos="320" w:val="left"/>
        </w:tabs>
        <w:numPr>
          <w:ilvl w:val="0"/>
          <w:numId w:val="29"/>
        </w:numPr>
        <w:rPr>
          <w:rFonts w:ascii="Arial" w:cs="Arial" w:eastAsia="Arial" w:hAnsi="Arial"/>
          <w:sz w:val="21"/>
          <w:szCs w:val="21"/>
          <w:color w:val="34657F"/>
        </w:rPr>
      </w:pPr>
      <w:r>
        <w:rPr>
          <w:rFonts w:ascii="Arial" w:cs="Arial" w:eastAsia="Arial" w:hAnsi="Arial"/>
          <w:sz w:val="17"/>
          <w:szCs w:val="17"/>
          <w:color w:val="auto"/>
        </w:rPr>
        <w:t>whether there are adequate opportunities to raise questions and comments on issues, both inside and outside of Board meetings;</w:t>
      </w:r>
    </w:p>
    <w:p>
      <w:pPr>
        <w:spacing w:after="0" w:line="79" w:lineRule="exact"/>
        <w:rPr>
          <w:rFonts w:ascii="Arial" w:cs="Arial" w:eastAsia="Arial" w:hAnsi="Arial"/>
          <w:sz w:val="21"/>
          <w:szCs w:val="21"/>
          <w:color w:val="34657F"/>
        </w:rPr>
      </w:pPr>
    </w:p>
    <w:p>
      <w:pPr>
        <w:ind w:left="320" w:hanging="317"/>
        <w:spacing w:after="0"/>
        <w:tabs>
          <w:tab w:leader="none" w:pos="320" w:val="left"/>
        </w:tabs>
        <w:numPr>
          <w:ilvl w:val="0"/>
          <w:numId w:val="29"/>
        </w:numPr>
        <w:rPr>
          <w:rFonts w:ascii="Arial" w:cs="Arial" w:eastAsia="Arial" w:hAnsi="Arial"/>
          <w:sz w:val="21"/>
          <w:szCs w:val="21"/>
          <w:color w:val="34657F"/>
        </w:rPr>
      </w:pPr>
      <w:r>
        <w:rPr>
          <w:rFonts w:ascii="Arial" w:cs="Arial" w:eastAsia="Arial" w:hAnsi="Arial"/>
          <w:sz w:val="17"/>
          <w:szCs w:val="17"/>
          <w:color w:val="auto"/>
        </w:rPr>
        <w:t>whether the Board has focused adequately on succession planning; and</w:t>
      </w:r>
    </w:p>
    <w:p>
      <w:pPr>
        <w:spacing w:after="0" w:line="79" w:lineRule="exact"/>
        <w:rPr>
          <w:rFonts w:ascii="Arial" w:cs="Arial" w:eastAsia="Arial" w:hAnsi="Arial"/>
          <w:sz w:val="21"/>
          <w:szCs w:val="21"/>
          <w:color w:val="34657F"/>
        </w:rPr>
      </w:pPr>
    </w:p>
    <w:p>
      <w:pPr>
        <w:ind w:left="320" w:hanging="317"/>
        <w:spacing w:after="0"/>
        <w:tabs>
          <w:tab w:leader="none" w:pos="320" w:val="left"/>
        </w:tabs>
        <w:numPr>
          <w:ilvl w:val="0"/>
          <w:numId w:val="29"/>
        </w:numPr>
        <w:rPr>
          <w:rFonts w:ascii="Arial" w:cs="Arial" w:eastAsia="Arial" w:hAnsi="Arial"/>
          <w:sz w:val="21"/>
          <w:szCs w:val="21"/>
          <w:color w:val="34657F"/>
        </w:rPr>
      </w:pPr>
      <w:r>
        <w:rPr>
          <w:rFonts w:ascii="Arial" w:cs="Arial" w:eastAsia="Arial" w:hAnsi="Arial"/>
          <w:sz w:val="17"/>
          <w:szCs w:val="17"/>
          <w:color w:val="auto"/>
        </w:rPr>
        <w:t>whether the Board is adequately responsive to shareholder communication.</w:t>
      </w:r>
    </w:p>
    <w:p>
      <w:pPr>
        <w:spacing w:after="0" w:line="90" w:lineRule="exact"/>
        <w:rPr>
          <w:sz w:val="20"/>
          <w:szCs w:val="20"/>
          <w:color w:val="auto"/>
        </w:rPr>
      </w:pPr>
    </w:p>
    <w:p>
      <w:pPr>
        <w:ind w:right="220"/>
        <w:spacing w:after="0" w:line="263" w:lineRule="auto"/>
        <w:rPr>
          <w:sz w:val="20"/>
          <w:szCs w:val="20"/>
          <w:color w:val="auto"/>
        </w:rPr>
      </w:pPr>
      <w:r>
        <w:rPr>
          <w:rFonts w:ascii="Arial" w:cs="Arial" w:eastAsia="Arial" w:hAnsi="Arial"/>
          <w:sz w:val="17"/>
          <w:szCs w:val="17"/>
          <w:color w:val="auto"/>
        </w:rPr>
        <w:t>Following this review, the Board discusses the results and identifies opportunities for improvement, including any necessary steps to implement such improvements.</w:t>
      </w:r>
    </w:p>
    <w:p>
      <w:pPr>
        <w:spacing w:after="0" w:line="59" w:lineRule="exact"/>
        <w:rPr>
          <w:sz w:val="20"/>
          <w:szCs w:val="20"/>
          <w:color w:val="auto"/>
        </w:rPr>
      </w:pPr>
    </w:p>
    <w:p>
      <w:pPr>
        <w:ind w:right="100"/>
        <w:spacing w:after="0" w:line="263" w:lineRule="auto"/>
        <w:rPr>
          <w:sz w:val="20"/>
          <w:szCs w:val="20"/>
          <w:color w:val="auto"/>
        </w:rPr>
      </w:pPr>
      <w:r>
        <w:rPr>
          <w:rFonts w:ascii="Arial" w:cs="Arial" w:eastAsia="Arial" w:hAnsi="Arial"/>
          <w:sz w:val="17"/>
          <w:szCs w:val="17"/>
          <w:color w:val="auto"/>
        </w:rPr>
        <w:t>Also as part of the annual self-assessment process, each non-employee director completes an individual director evaluation for each of the other non-employee directors. These assessments include, among other topics, each non-employee director’s:</w:t>
      </w:r>
    </w:p>
    <w:p>
      <w:pPr>
        <w:spacing w:after="0" w:line="48" w:lineRule="exact"/>
        <w:rPr>
          <w:sz w:val="20"/>
          <w:szCs w:val="20"/>
          <w:color w:val="auto"/>
        </w:rPr>
      </w:pPr>
    </w:p>
    <w:p>
      <w:pPr>
        <w:ind w:left="320" w:hanging="317"/>
        <w:spacing w:after="0"/>
        <w:tabs>
          <w:tab w:leader="none" w:pos="320" w:val="left"/>
        </w:tabs>
        <w:numPr>
          <w:ilvl w:val="0"/>
          <w:numId w:val="30"/>
        </w:numPr>
        <w:rPr>
          <w:rFonts w:ascii="Arial" w:cs="Arial" w:eastAsia="Arial" w:hAnsi="Arial"/>
          <w:sz w:val="21"/>
          <w:szCs w:val="21"/>
          <w:color w:val="34657F"/>
        </w:rPr>
      </w:pPr>
      <w:r>
        <w:rPr>
          <w:rFonts w:ascii="Arial" w:cs="Arial" w:eastAsia="Arial" w:hAnsi="Arial"/>
          <w:sz w:val="17"/>
          <w:szCs w:val="17"/>
          <w:color w:val="auto"/>
        </w:rPr>
        <w:t>understanding of the Company’s overall business and risk profile and its significant financial opportunities and plans;</w:t>
      </w:r>
    </w:p>
    <w:p>
      <w:pPr>
        <w:spacing w:after="0" w:line="79" w:lineRule="exact"/>
        <w:rPr>
          <w:rFonts w:ascii="Arial" w:cs="Arial" w:eastAsia="Arial" w:hAnsi="Arial"/>
          <w:sz w:val="21"/>
          <w:szCs w:val="21"/>
          <w:color w:val="34657F"/>
        </w:rPr>
      </w:pPr>
    </w:p>
    <w:p>
      <w:pPr>
        <w:ind w:left="320" w:hanging="317"/>
        <w:spacing w:after="0"/>
        <w:tabs>
          <w:tab w:leader="none" w:pos="320" w:val="left"/>
        </w:tabs>
        <w:numPr>
          <w:ilvl w:val="0"/>
          <w:numId w:val="30"/>
        </w:numPr>
        <w:rPr>
          <w:rFonts w:ascii="Arial" w:cs="Arial" w:eastAsia="Arial" w:hAnsi="Arial"/>
          <w:sz w:val="21"/>
          <w:szCs w:val="21"/>
          <w:color w:val="34657F"/>
        </w:rPr>
      </w:pPr>
      <w:r>
        <w:rPr>
          <w:rFonts w:ascii="Arial" w:cs="Arial" w:eastAsia="Arial" w:hAnsi="Arial"/>
          <w:sz w:val="17"/>
          <w:szCs w:val="17"/>
          <w:color w:val="auto"/>
        </w:rPr>
        <w:t>engagement during meetings and other Board functions;</w:t>
      </w:r>
    </w:p>
    <w:p>
      <w:pPr>
        <w:spacing w:after="0" w:line="79" w:lineRule="exact"/>
        <w:rPr>
          <w:rFonts w:ascii="Arial" w:cs="Arial" w:eastAsia="Arial" w:hAnsi="Arial"/>
          <w:sz w:val="21"/>
          <w:szCs w:val="21"/>
          <w:color w:val="34657F"/>
        </w:rPr>
      </w:pPr>
    </w:p>
    <w:p>
      <w:pPr>
        <w:ind w:left="320" w:hanging="317"/>
        <w:spacing w:after="0"/>
        <w:tabs>
          <w:tab w:leader="none" w:pos="320" w:val="left"/>
        </w:tabs>
        <w:numPr>
          <w:ilvl w:val="0"/>
          <w:numId w:val="30"/>
        </w:numPr>
        <w:rPr>
          <w:rFonts w:ascii="Arial" w:cs="Arial" w:eastAsia="Arial" w:hAnsi="Arial"/>
          <w:sz w:val="21"/>
          <w:szCs w:val="21"/>
          <w:color w:val="34657F"/>
        </w:rPr>
      </w:pPr>
      <w:r>
        <w:rPr>
          <w:rFonts w:ascii="Arial" w:cs="Arial" w:eastAsia="Arial" w:hAnsi="Arial"/>
          <w:sz w:val="17"/>
          <w:szCs w:val="17"/>
          <w:color w:val="auto"/>
        </w:rPr>
        <w:t>analysis of benefits and risks of courses of action considered by the Board; and</w:t>
      </w:r>
    </w:p>
    <w:p>
      <w:pPr>
        <w:spacing w:after="0" w:line="79" w:lineRule="exact"/>
        <w:rPr>
          <w:rFonts w:ascii="Arial" w:cs="Arial" w:eastAsia="Arial" w:hAnsi="Arial"/>
          <w:sz w:val="21"/>
          <w:szCs w:val="21"/>
          <w:color w:val="34657F"/>
        </w:rPr>
      </w:pPr>
    </w:p>
    <w:p>
      <w:pPr>
        <w:ind w:left="320" w:hanging="317"/>
        <w:spacing w:after="0"/>
        <w:tabs>
          <w:tab w:leader="none" w:pos="320" w:val="left"/>
        </w:tabs>
        <w:numPr>
          <w:ilvl w:val="0"/>
          <w:numId w:val="30"/>
        </w:numPr>
        <w:rPr>
          <w:rFonts w:ascii="Arial" w:cs="Arial" w:eastAsia="Arial" w:hAnsi="Arial"/>
          <w:sz w:val="21"/>
          <w:szCs w:val="21"/>
          <w:color w:val="34657F"/>
        </w:rPr>
      </w:pPr>
      <w:r>
        <w:rPr>
          <w:rFonts w:ascii="Arial" w:cs="Arial" w:eastAsia="Arial" w:hAnsi="Arial"/>
          <w:sz w:val="17"/>
          <w:szCs w:val="17"/>
          <w:color w:val="auto"/>
        </w:rPr>
        <w:t>appropriate respect for the views of other Board members.</w:t>
      </w:r>
    </w:p>
    <w:p>
      <w:pPr>
        <w:spacing w:after="0" w:line="90" w:lineRule="exact"/>
        <w:rPr>
          <w:sz w:val="20"/>
          <w:szCs w:val="20"/>
          <w:color w:val="auto"/>
        </w:rPr>
      </w:pPr>
    </w:p>
    <w:p>
      <w:pPr>
        <w:ind w:right="80"/>
        <w:spacing w:after="0" w:line="255" w:lineRule="auto"/>
        <w:rPr>
          <w:sz w:val="20"/>
          <w:szCs w:val="20"/>
          <w:color w:val="auto"/>
        </w:rPr>
      </w:pPr>
      <w:r>
        <w:rPr>
          <w:rFonts w:ascii="Arial" w:cs="Arial" w:eastAsia="Arial" w:hAnsi="Arial"/>
          <w:sz w:val="17"/>
          <w:szCs w:val="17"/>
          <w:color w:val="auto"/>
        </w:rPr>
        <w:t>The Lead Independent Director or the Chairperson of the Governance Committee meets with each non-employee director individually to discuss the results of his or her assessment, including comments provided by other non-employee directors. The Lead Independent Director or the Chairperson of the Governance Committee reports generally on the overall results of these discussions to the Board in executive session. These evaluations also assist the Governance Committee with its recommendation for directors to be renominated for election to the Board of Directors.</w:t>
      </w:r>
    </w:p>
    <w:p>
      <w:pPr>
        <w:spacing w:after="0" w:line="67" w:lineRule="exact"/>
        <w:rPr>
          <w:sz w:val="20"/>
          <w:szCs w:val="20"/>
          <w:color w:val="auto"/>
        </w:rPr>
      </w:pPr>
    </w:p>
    <w:p>
      <w:pPr>
        <w:ind w:right="40"/>
        <w:spacing w:after="0" w:line="255" w:lineRule="auto"/>
        <w:rPr>
          <w:sz w:val="20"/>
          <w:szCs w:val="20"/>
          <w:color w:val="auto"/>
        </w:rPr>
      </w:pPr>
      <w:r>
        <w:rPr>
          <w:rFonts w:ascii="Arial" w:cs="Arial" w:eastAsia="Arial" w:hAnsi="Arial"/>
          <w:sz w:val="17"/>
          <w:szCs w:val="17"/>
          <w:color w:val="auto"/>
        </w:rPr>
        <w:t>Each of the Committees also conducts an annual self-assessment. During an executive session led by the Committee chairperson, the Committee discusses, among other topics: whether the quality of participation and discussion at the Committee meetings is effective in facilitating the Committee’s obligations under its charter; the opportunity to engage in strategic discussion; and whether the Committee is covering the right topics in the right amount of detail. Following this discussion, the Committee develops and implements a list of action items, as appropriate.</w:t>
      </w:r>
    </w:p>
    <w:p>
      <w:pPr>
        <w:spacing w:after="0" w:line="193" w:lineRule="exact"/>
        <w:rPr>
          <w:sz w:val="20"/>
          <w:szCs w:val="20"/>
          <w:color w:val="auto"/>
        </w:rPr>
      </w:pPr>
    </w:p>
    <w:p>
      <w:pPr>
        <w:ind w:left="20"/>
        <w:spacing w:after="0"/>
        <w:rPr>
          <w:sz w:val="20"/>
          <w:szCs w:val="20"/>
          <w:color w:val="auto"/>
        </w:rPr>
      </w:pPr>
      <w:r>
        <w:rPr>
          <w:rFonts w:ascii="Arial" w:cs="Arial" w:eastAsia="Arial" w:hAnsi="Arial"/>
          <w:sz w:val="24"/>
          <w:szCs w:val="24"/>
          <w:b w:val="1"/>
          <w:bCs w:val="1"/>
          <w:color w:val="auto"/>
        </w:rPr>
        <w:t>Succession Planning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38100</wp:posOffset>
            </wp:positionV>
            <wp:extent cx="7253605" cy="1651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pacing w:after="0" w:line="142" w:lineRule="exact"/>
        <w:rPr>
          <w:sz w:val="20"/>
          <w:szCs w:val="20"/>
          <w:color w:val="auto"/>
        </w:rPr>
      </w:pPr>
    </w:p>
    <w:p>
      <w:pPr>
        <w:ind w:right="620"/>
        <w:spacing w:after="0" w:line="263" w:lineRule="auto"/>
        <w:rPr>
          <w:sz w:val="20"/>
          <w:szCs w:val="20"/>
          <w:color w:val="auto"/>
        </w:rPr>
      </w:pPr>
      <w:r>
        <w:rPr>
          <w:rFonts w:ascii="Arial" w:cs="Arial" w:eastAsia="Arial" w:hAnsi="Arial"/>
          <w:sz w:val="17"/>
          <w:szCs w:val="17"/>
          <w:color w:val="auto"/>
        </w:rPr>
        <w:t>The Board believes that providing for strong and effective continuity of leadership is critical to the success of our Company. The Board commits significant resources to succession planning, with processes in place for the Board:</w:t>
      </w:r>
    </w:p>
    <w:p>
      <w:pPr>
        <w:spacing w:after="0" w:line="48" w:lineRule="exact"/>
        <w:rPr>
          <w:sz w:val="20"/>
          <w:szCs w:val="20"/>
          <w:color w:val="auto"/>
        </w:rPr>
      </w:pPr>
    </w:p>
    <w:p>
      <w:pPr>
        <w:ind w:left="320" w:hanging="317"/>
        <w:spacing w:after="0"/>
        <w:tabs>
          <w:tab w:leader="none" w:pos="320" w:val="left"/>
        </w:tabs>
        <w:numPr>
          <w:ilvl w:val="0"/>
          <w:numId w:val="31"/>
        </w:numPr>
        <w:rPr>
          <w:rFonts w:ascii="Arial" w:cs="Arial" w:eastAsia="Arial" w:hAnsi="Arial"/>
          <w:sz w:val="21"/>
          <w:szCs w:val="21"/>
          <w:color w:val="34657F"/>
        </w:rPr>
      </w:pPr>
      <w:r>
        <w:rPr>
          <w:rFonts w:ascii="Arial" w:cs="Arial" w:eastAsia="Arial" w:hAnsi="Arial"/>
          <w:sz w:val="17"/>
          <w:szCs w:val="17"/>
          <w:color w:val="auto"/>
        </w:rPr>
        <w:t>to evaluate the Chief Executive Officer annually based on a specific set of performance objectives;</w:t>
      </w:r>
    </w:p>
    <w:p>
      <w:pPr>
        <w:spacing w:after="0" w:line="115" w:lineRule="exact"/>
        <w:rPr>
          <w:rFonts w:ascii="Arial" w:cs="Arial" w:eastAsia="Arial" w:hAnsi="Arial"/>
          <w:sz w:val="21"/>
          <w:szCs w:val="21"/>
          <w:color w:val="34657F"/>
        </w:rPr>
      </w:pPr>
    </w:p>
    <w:p>
      <w:pPr>
        <w:ind w:left="320" w:right="160" w:hanging="317"/>
        <w:spacing w:after="0" w:line="253" w:lineRule="auto"/>
        <w:tabs>
          <w:tab w:leader="none" w:pos="320" w:val="left"/>
        </w:tabs>
        <w:numPr>
          <w:ilvl w:val="0"/>
          <w:numId w:val="31"/>
        </w:numPr>
        <w:rPr>
          <w:rFonts w:ascii="Arial" w:cs="Arial" w:eastAsia="Arial" w:hAnsi="Arial"/>
          <w:sz w:val="21"/>
          <w:szCs w:val="21"/>
          <w:color w:val="34657F"/>
        </w:rPr>
      </w:pPr>
      <w:r>
        <w:rPr>
          <w:rFonts w:ascii="Arial" w:cs="Arial" w:eastAsia="Arial" w:hAnsi="Arial"/>
          <w:sz w:val="17"/>
          <w:szCs w:val="17"/>
          <w:color w:val="auto"/>
        </w:rPr>
        <w:t>to work with the Chief Executive Officer to support and ensure the development of potential succession candidates for the Chief Executive Officer and other leadership positions;</w:t>
      </w:r>
    </w:p>
    <w:p>
      <w:pPr>
        <w:spacing w:after="0" w:line="103" w:lineRule="exact"/>
        <w:rPr>
          <w:rFonts w:ascii="Arial" w:cs="Arial" w:eastAsia="Arial" w:hAnsi="Arial"/>
          <w:sz w:val="21"/>
          <w:szCs w:val="21"/>
          <w:color w:val="34657F"/>
        </w:rPr>
      </w:pPr>
    </w:p>
    <w:p>
      <w:pPr>
        <w:ind w:left="320" w:right="380" w:hanging="317"/>
        <w:spacing w:after="0" w:line="253" w:lineRule="auto"/>
        <w:tabs>
          <w:tab w:leader="none" w:pos="320" w:val="left"/>
        </w:tabs>
        <w:numPr>
          <w:ilvl w:val="0"/>
          <w:numId w:val="31"/>
        </w:numPr>
        <w:rPr>
          <w:rFonts w:ascii="Arial" w:cs="Arial" w:eastAsia="Arial" w:hAnsi="Arial"/>
          <w:sz w:val="21"/>
          <w:szCs w:val="21"/>
          <w:color w:val="34657F"/>
        </w:rPr>
      </w:pPr>
      <w:r>
        <w:rPr>
          <w:rFonts w:ascii="Arial" w:cs="Arial" w:eastAsia="Arial" w:hAnsi="Arial"/>
          <w:sz w:val="17"/>
          <w:szCs w:val="17"/>
          <w:color w:val="auto"/>
        </w:rPr>
        <w:t>to discuss with the Chief Executive Officer annually an assessment of persons considered potential successors to various senior management positions; and</w:t>
      </w:r>
    </w:p>
    <w:p>
      <w:pPr>
        <w:spacing w:after="0" w:line="66" w:lineRule="exact"/>
        <w:rPr>
          <w:rFonts w:ascii="Arial" w:cs="Arial" w:eastAsia="Arial" w:hAnsi="Arial"/>
          <w:sz w:val="21"/>
          <w:szCs w:val="21"/>
          <w:color w:val="34657F"/>
        </w:rPr>
      </w:pPr>
    </w:p>
    <w:p>
      <w:pPr>
        <w:ind w:left="320" w:hanging="317"/>
        <w:spacing w:after="0"/>
        <w:tabs>
          <w:tab w:leader="none" w:pos="320" w:val="left"/>
        </w:tabs>
        <w:numPr>
          <w:ilvl w:val="0"/>
          <w:numId w:val="31"/>
        </w:numPr>
        <w:rPr>
          <w:rFonts w:ascii="Arial" w:cs="Arial" w:eastAsia="Arial" w:hAnsi="Arial"/>
          <w:sz w:val="21"/>
          <w:szCs w:val="21"/>
          <w:color w:val="34657F"/>
        </w:rPr>
      </w:pPr>
      <w:r>
        <w:rPr>
          <w:rFonts w:ascii="Arial" w:cs="Arial" w:eastAsia="Arial" w:hAnsi="Arial"/>
          <w:sz w:val="17"/>
          <w:szCs w:val="17"/>
          <w:color w:val="auto"/>
        </w:rPr>
        <w:t>robustly to consider, plan for and ensure successful transitions of leadership.</w:t>
      </w:r>
    </w:p>
    <w:p>
      <w:pPr>
        <w:spacing w:after="0" w:line="216" w:lineRule="exact"/>
        <w:rPr>
          <w:sz w:val="20"/>
          <w:szCs w:val="20"/>
          <w:color w:val="auto"/>
        </w:rPr>
      </w:pPr>
    </w:p>
    <w:p>
      <w:pPr>
        <w:ind w:left="20"/>
        <w:spacing w:after="0"/>
        <w:rPr>
          <w:sz w:val="20"/>
          <w:szCs w:val="20"/>
          <w:color w:val="auto"/>
        </w:rPr>
      </w:pPr>
      <w:r>
        <w:rPr>
          <w:rFonts w:ascii="Arial" w:cs="Arial" w:eastAsia="Arial" w:hAnsi="Arial"/>
          <w:sz w:val="24"/>
          <w:szCs w:val="24"/>
          <w:b w:val="1"/>
          <w:bCs w:val="1"/>
          <w:color w:val="auto"/>
        </w:rPr>
        <w:t>Departure and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38100</wp:posOffset>
            </wp:positionV>
            <wp:extent cx="7253605" cy="1651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pacing w:after="0" w:line="219" w:lineRule="exact"/>
        <w:rPr>
          <w:sz w:val="20"/>
          <w:szCs w:val="20"/>
          <w:color w:val="auto"/>
        </w:rPr>
      </w:pPr>
    </w:p>
    <w:p>
      <w:pPr>
        <w:ind w:right="320"/>
        <w:spacing w:after="0" w:line="263" w:lineRule="auto"/>
        <w:rPr>
          <w:sz w:val="20"/>
          <w:szCs w:val="20"/>
          <w:color w:val="auto"/>
        </w:rPr>
      </w:pPr>
      <w:r>
        <w:rPr>
          <w:rFonts w:ascii="Arial" w:cs="Arial" w:eastAsia="Arial" w:hAnsi="Arial"/>
          <w:sz w:val="17"/>
          <w:szCs w:val="17"/>
          <w:color w:val="auto"/>
        </w:rPr>
        <w:t>Victor H. Fazio, a director who served during 2018, did not stand for re-election at the 2018 Annual Meeting and retired from the Board effective the date of the 2018 Annual Meeting.</w:t>
      </w:r>
    </w:p>
    <w:p>
      <w:pPr>
        <w:spacing w:after="0" w:line="59" w:lineRule="exact"/>
        <w:rPr>
          <w:sz w:val="20"/>
          <w:szCs w:val="20"/>
          <w:color w:val="auto"/>
        </w:rPr>
      </w:pPr>
    </w:p>
    <w:p>
      <w:pPr>
        <w:spacing w:after="0"/>
        <w:rPr>
          <w:sz w:val="20"/>
          <w:szCs w:val="20"/>
          <w:color w:val="auto"/>
        </w:rPr>
      </w:pPr>
      <w:r>
        <w:rPr>
          <w:rFonts w:ascii="Arial" w:cs="Arial" w:eastAsia="Arial" w:hAnsi="Arial"/>
          <w:sz w:val="17"/>
          <w:szCs w:val="17"/>
          <w:color w:val="auto"/>
        </w:rPr>
        <w:t>On July 12, 2018, Kathy J. Warden was appointed to the Board.</w:t>
      </w:r>
    </w:p>
    <w:p>
      <w:pPr>
        <w:spacing w:after="0" w:line="87" w:lineRule="exact"/>
        <w:rPr>
          <w:sz w:val="20"/>
          <w:szCs w:val="20"/>
          <w:color w:val="auto"/>
        </w:rPr>
      </w:pPr>
    </w:p>
    <w:p>
      <w:pPr>
        <w:ind w:right="340"/>
        <w:spacing w:after="0" w:line="257" w:lineRule="auto"/>
        <w:rPr>
          <w:sz w:val="20"/>
          <w:szCs w:val="20"/>
          <w:color w:val="auto"/>
        </w:rPr>
      </w:pPr>
      <w:r>
        <w:rPr>
          <w:rFonts w:ascii="Arial" w:cs="Arial" w:eastAsia="Arial" w:hAnsi="Arial"/>
          <w:sz w:val="17"/>
          <w:szCs w:val="17"/>
          <w:color w:val="auto"/>
        </w:rPr>
        <w:t>Mr. Bush has announced that he will retire from the Company on July 31, 2019. Consistent with the requirements of the Company's Principles of Corporate Governance, Mr. Bush has stated his intention to submit his resignation from the Board of Directors at the time of his retirement from the Company. The Board has approved the reduction in the number of directors from 13 to 12 effective upon Mr. Bush's resignation.</w:t>
      </w:r>
    </w:p>
    <w:p>
      <w:pPr>
        <w:spacing w:after="0" w:line="200" w:lineRule="exact"/>
        <w:rPr>
          <w:sz w:val="20"/>
          <w:szCs w:val="20"/>
          <w:color w:val="auto"/>
        </w:rPr>
      </w:pPr>
    </w:p>
    <w:p>
      <w:pPr>
        <w:spacing w:after="0" w:line="382" w:lineRule="exact"/>
        <w:rPr>
          <w:sz w:val="20"/>
          <w:szCs w:val="20"/>
          <w:color w:val="auto"/>
        </w:rPr>
      </w:pPr>
    </w:p>
    <w:p>
      <w:pPr>
        <w:jc w:val="right"/>
        <w:spacing w:after="0"/>
        <w:rPr>
          <w:sz w:val="20"/>
          <w:szCs w:val="20"/>
          <w:color w:val="auto"/>
        </w:rPr>
      </w:pPr>
      <w:r>
        <w:rPr>
          <w:rFonts w:ascii="Arial" w:cs="Arial" w:eastAsia="Arial" w:hAnsi="Arial"/>
          <w:sz w:val="14"/>
          <w:szCs w:val="14"/>
          <w:color w:val="34657F"/>
        </w:rPr>
        <w:t xml:space="preserve">NOTICE OF 2019 ANNUAL MEETING OF SHAREHOLDERS AND PROXY STATEMENT </w:t>
      </w:r>
      <w:r>
        <w:rPr>
          <w:rFonts w:ascii="Arial" w:cs="Arial" w:eastAsia="Arial" w:hAnsi="Arial"/>
          <w:sz w:val="14"/>
          <w:szCs w:val="14"/>
          <w:color w:val="000000"/>
        </w:rPr>
        <w:t>I 23</w:t>
      </w:r>
    </w:p>
    <w:p>
      <w:pPr>
        <w:sectPr>
          <w:pgSz w:w="11900" w:h="16838" w:orient="portrait"/>
          <w:cols w:equalWidth="0" w:num="1">
            <w:col w:w="11420"/>
          </w:cols>
          <w:pgMar w:left="240" w:top="671" w:right="239" w:bottom="1440" w:gutter="0" w:footer="0" w:header="0"/>
        </w:sectPr>
      </w:pPr>
    </w:p>
    <w:bookmarkStart w:id="29" w:name="page30"/>
    <w:bookmarkEnd w:id="29"/>
    <w:p>
      <w:pPr>
        <w:ind w:left="20"/>
        <w:spacing w:after="0"/>
        <w:rPr>
          <w:sz w:val="20"/>
          <w:szCs w:val="20"/>
          <w:color w:val="auto"/>
        </w:rPr>
      </w:pPr>
      <w:r>
        <w:rPr>
          <w:rFonts w:ascii="Arial" w:cs="Arial" w:eastAsia="Arial" w:hAnsi="Arial"/>
          <w:sz w:val="21"/>
          <w:szCs w:val="21"/>
          <w:b w:val="1"/>
          <w:bCs w:val="1"/>
          <w:color w:val="FFFFFF"/>
        </w:rPr>
        <w:drawing>
          <wp:anchor simplePos="0" relativeHeight="251657728" behindDoc="1" locked="0" layoutInCell="0" allowOverlap="1">
            <wp:simplePos x="0" y="0"/>
            <wp:positionH relativeFrom="page">
              <wp:posOffset>154305</wp:posOffset>
            </wp:positionH>
            <wp:positionV relativeFrom="page">
              <wp:posOffset>365760</wp:posOffset>
            </wp:positionV>
            <wp:extent cx="7253605" cy="45593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53605" cy="455930"/>
                    </a:xfrm>
                    <a:prstGeom prst="rect">
                      <a:avLst/>
                    </a:prstGeom>
                    <a:noFill/>
                  </pic:spPr>
                </pic:pic>
              </a:graphicData>
            </a:graphic>
          </wp:anchor>
        </w:drawing>
        <w:t>CORPORATE GOVERNANCE</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20"/>
        <w:spacing w:after="0"/>
        <w:rPr>
          <w:sz w:val="20"/>
          <w:szCs w:val="20"/>
          <w:color w:val="auto"/>
        </w:rPr>
      </w:pPr>
      <w:r>
        <w:rPr>
          <w:rFonts w:ascii="Arial" w:cs="Arial" w:eastAsia="Arial" w:hAnsi="Arial"/>
          <w:sz w:val="24"/>
          <w:szCs w:val="24"/>
          <w:b w:val="1"/>
          <w:bCs w:val="1"/>
          <w:color w:val="auto"/>
        </w:rPr>
        <w:t>Communications with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38100</wp:posOffset>
            </wp:positionV>
            <wp:extent cx="7253605" cy="1651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pacing w:after="0" w:line="142" w:lineRule="exact"/>
        <w:rPr>
          <w:sz w:val="20"/>
          <w:szCs w:val="20"/>
          <w:color w:val="auto"/>
        </w:rPr>
      </w:pPr>
    </w:p>
    <w:p>
      <w:pPr>
        <w:ind w:right="220"/>
        <w:spacing w:after="0" w:line="254" w:lineRule="auto"/>
        <w:rPr>
          <w:sz w:val="20"/>
          <w:szCs w:val="20"/>
          <w:color w:val="auto"/>
        </w:rPr>
      </w:pPr>
      <w:r>
        <w:rPr>
          <w:rFonts w:ascii="Arial" w:cs="Arial" w:eastAsia="Arial" w:hAnsi="Arial"/>
          <w:sz w:val="17"/>
          <w:szCs w:val="17"/>
          <w:color w:val="auto"/>
        </w:rPr>
        <w:t xml:space="preserve">Any interested person may communicate with any of our directors, our Board as a group, our non-employee directors as a group or our Lead Independent Director through the Corporate Secretary by writing to the following address: </w:t>
      </w:r>
      <w:r>
        <w:rPr>
          <w:rFonts w:ascii="Arial" w:cs="Arial" w:eastAsia="Arial" w:hAnsi="Arial"/>
          <w:sz w:val="17"/>
          <w:szCs w:val="17"/>
          <w:b w:val="1"/>
          <w:bCs w:val="1"/>
          <w:i w:val="1"/>
          <w:iCs w:val="1"/>
          <w:color w:val="auto"/>
        </w:rPr>
        <w:t>Office of the Corporate Secretary, Northrop Grumman</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Corporation, 2980 Fairview Park Drive, Falls Church, Virginia 22042</w:t>
      </w:r>
      <w:r>
        <w:rPr>
          <w:rFonts w:ascii="Arial" w:cs="Arial" w:eastAsia="Arial" w:hAnsi="Arial"/>
          <w:sz w:val="17"/>
          <w:szCs w:val="17"/>
          <w:color w:val="auto"/>
        </w:rPr>
        <w:t>. The Corporate Secretary will forward correspondence to the director 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directors to whom it is addressed, except for job inquiries, surveys, business solicitations or advertisements and other inappropriate material. The Corporate Secretary may forward certain correspondence elsewhere within our Company for review and possible response.</w:t>
      </w:r>
    </w:p>
    <w:p>
      <w:pPr>
        <w:spacing w:after="0" w:line="68" w:lineRule="exact"/>
        <w:rPr>
          <w:sz w:val="20"/>
          <w:szCs w:val="20"/>
          <w:color w:val="auto"/>
        </w:rPr>
      </w:pPr>
    </w:p>
    <w:p>
      <w:pPr>
        <w:ind w:right="160"/>
        <w:spacing w:after="0" w:line="257" w:lineRule="auto"/>
        <w:rPr>
          <w:sz w:val="20"/>
          <w:szCs w:val="20"/>
          <w:color w:val="auto"/>
        </w:rPr>
      </w:pPr>
      <w:r>
        <w:rPr>
          <w:rFonts w:ascii="Arial" w:cs="Arial" w:eastAsia="Arial" w:hAnsi="Arial"/>
          <w:sz w:val="17"/>
          <w:szCs w:val="17"/>
          <w:color w:val="auto"/>
        </w:rPr>
        <w:t>Interested persons may also report any concerns relating to accounting matters, internal accounting controls or auditing matters to non-management directors (including anonymously) by writing directly to the Chairperson of the Audit Committee</w:t>
      </w:r>
      <w:r>
        <w:rPr>
          <w:rFonts w:ascii="Arial" w:cs="Arial" w:eastAsia="Arial" w:hAnsi="Arial"/>
          <w:sz w:val="17"/>
          <w:szCs w:val="17"/>
          <w:i w:val="1"/>
          <w:iCs w:val="1"/>
          <w:color w:val="auto"/>
        </w:rPr>
        <w:t>,</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Northrop Grumman Board of Directors c/o</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Corporate Ethics Office, 2980 Fairview Park Drive, Falls Church, Virginia 22042</w:t>
      </w:r>
      <w:r>
        <w:rPr>
          <w:rFonts w:ascii="Arial" w:cs="Arial" w:eastAsia="Arial" w:hAnsi="Arial"/>
          <w:sz w:val="17"/>
          <w:szCs w:val="17"/>
          <w:color w:val="auto"/>
        </w:rPr>
        <w:t>.</w:t>
      </w:r>
    </w:p>
    <w:p>
      <w:pPr>
        <w:spacing w:after="0" w:line="190" w:lineRule="exact"/>
        <w:rPr>
          <w:sz w:val="20"/>
          <w:szCs w:val="20"/>
          <w:color w:val="auto"/>
        </w:rPr>
      </w:pPr>
    </w:p>
    <w:p>
      <w:pPr>
        <w:ind w:left="20"/>
        <w:spacing w:after="0"/>
        <w:rPr>
          <w:sz w:val="20"/>
          <w:szCs w:val="20"/>
          <w:color w:val="auto"/>
        </w:rPr>
      </w:pPr>
      <w:r>
        <w:rPr>
          <w:rFonts w:ascii="Arial" w:cs="Arial" w:eastAsia="Arial" w:hAnsi="Arial"/>
          <w:sz w:val="24"/>
          <w:szCs w:val="24"/>
          <w:b w:val="1"/>
          <w:bCs w:val="1"/>
          <w:color w:val="auto"/>
        </w:rPr>
        <w:t>Corporate Responsibility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38100</wp:posOffset>
            </wp:positionV>
            <wp:extent cx="7253605" cy="1651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pacing w:after="0" w:line="142"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Corporate responsibility and sustainability are critical to our business and long-term value creation for our shareholders, customers and employees. Our strong culture — founded in ethics, integrity, diversity and inclusion, and focused on sustainable performance, profitable growth, accountability, effective governance and responsible citizenship — enables our success. Strong environmental, social and governance (ESG) programs and practices help us attract and maintain the best talent, perform for our customers and create value for our shareholders.</w:t>
      </w:r>
    </w:p>
    <w:p>
      <w:pPr>
        <w:spacing w:after="0" w:line="67" w:lineRule="exact"/>
        <w:rPr>
          <w:sz w:val="20"/>
          <w:szCs w:val="20"/>
          <w:color w:val="auto"/>
        </w:rPr>
      </w:pPr>
    </w:p>
    <w:p>
      <w:pPr>
        <w:ind w:right="360"/>
        <w:spacing w:after="0" w:line="257" w:lineRule="auto"/>
        <w:rPr>
          <w:sz w:val="20"/>
          <w:szCs w:val="20"/>
          <w:color w:val="auto"/>
        </w:rPr>
      </w:pPr>
      <w:r>
        <w:rPr>
          <w:rFonts w:ascii="Arial" w:cs="Arial" w:eastAsia="Arial" w:hAnsi="Arial"/>
          <w:sz w:val="17"/>
          <w:szCs w:val="17"/>
          <w:color w:val="auto"/>
        </w:rPr>
        <w:t>The Policy Committee of our Board provides leadership and oversight of our ESG practices. The Committee provides oversight of our policies and programs related to both corporate responsibility and sustainability, and regularly reviews our community relations activities, among other responsibilities. We engage with a variety of stakeholders and regularly obtain feedback on our ESG performance.</w:t>
      </w:r>
    </w:p>
    <w:p>
      <w:pPr>
        <w:spacing w:after="0" w:line="64" w:lineRule="exact"/>
        <w:rPr>
          <w:sz w:val="20"/>
          <w:szCs w:val="20"/>
          <w:color w:val="auto"/>
        </w:rPr>
      </w:pPr>
    </w:p>
    <w:p>
      <w:pPr>
        <w:jc w:val="both"/>
        <w:ind w:right="120"/>
        <w:spacing w:after="0" w:line="255" w:lineRule="auto"/>
        <w:rPr>
          <w:sz w:val="20"/>
          <w:szCs w:val="20"/>
          <w:color w:val="auto"/>
        </w:rPr>
      </w:pPr>
      <w:r>
        <w:rPr>
          <w:rFonts w:ascii="Arial" w:cs="Arial" w:eastAsia="Arial" w:hAnsi="Arial"/>
          <w:sz w:val="17"/>
          <w:szCs w:val="17"/>
          <w:color w:val="auto"/>
        </w:rPr>
        <w:t xml:space="preserve">In 2018, we published our tenth annual corporate responsibility report (CRR). Using the GRI G4 Sustainability Reporting Guidelines, we continued to report to our stakeholders on our progress in meeting various environmental, social and governance performance indicators. You may view a copy of our annual CRR at </w:t>
      </w:r>
      <w:r>
        <w:rPr>
          <w:rFonts w:ascii="Arial" w:cs="Arial" w:eastAsia="Arial" w:hAnsi="Arial"/>
          <w:sz w:val="17"/>
          <w:szCs w:val="17"/>
          <w:i w:val="1"/>
          <w:iCs w:val="1"/>
          <w:color w:val="auto"/>
        </w:rPr>
        <w:t>crreport.northropgrumman.com</w:t>
      </w:r>
      <w:r>
        <w:rPr>
          <w:rFonts w:ascii="Arial" w:cs="Arial" w:eastAsia="Arial" w:hAnsi="Arial"/>
          <w:sz w:val="17"/>
          <w:szCs w:val="17"/>
          <w:color w:val="auto"/>
        </w:rPr>
        <w:t>. For the eighth consecutive year, we incorporated non-financial sustainability performance metrics into our annual incentive compensation program. See page 45 in the Compensation Discussion and Analysis section.</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color w:val="auto"/>
        </w:rPr>
        <w:t>We are proud that our corporate responsibility and sustainability programs received various notable recognitions in 2018. They include:</w:t>
      </w:r>
    </w:p>
    <w:p>
      <w:pPr>
        <w:spacing w:after="0" w:line="75" w:lineRule="exact"/>
        <w:rPr>
          <w:sz w:val="20"/>
          <w:szCs w:val="20"/>
          <w:color w:val="auto"/>
        </w:rPr>
      </w:pPr>
    </w:p>
    <w:p>
      <w:pPr>
        <w:ind w:left="620" w:hanging="310"/>
        <w:spacing w:after="0"/>
        <w:tabs>
          <w:tab w:leader="none" w:pos="620" w:val="left"/>
        </w:tabs>
        <w:numPr>
          <w:ilvl w:val="0"/>
          <w:numId w:val="32"/>
        </w:numPr>
        <w:rPr>
          <w:rFonts w:ascii="Arial" w:cs="Arial" w:eastAsia="Arial" w:hAnsi="Arial"/>
          <w:sz w:val="21"/>
          <w:szCs w:val="21"/>
          <w:color w:val="34657F"/>
        </w:rPr>
      </w:pPr>
      <w:r>
        <w:rPr>
          <w:rFonts w:ascii="Arial" w:cs="Arial" w:eastAsia="Arial" w:hAnsi="Arial"/>
          <w:sz w:val="17"/>
          <w:szCs w:val="17"/>
          <w:color w:val="auto"/>
        </w:rPr>
        <w:t>a leadership score of A- in CDP’s 2018 climate change program for the seventh consecutive year;</w:t>
      </w:r>
    </w:p>
    <w:p>
      <w:pPr>
        <w:spacing w:after="0" w:line="115" w:lineRule="exact"/>
        <w:rPr>
          <w:rFonts w:ascii="Arial" w:cs="Arial" w:eastAsia="Arial" w:hAnsi="Arial"/>
          <w:sz w:val="21"/>
          <w:szCs w:val="21"/>
          <w:color w:val="34657F"/>
        </w:rPr>
      </w:pPr>
    </w:p>
    <w:p>
      <w:pPr>
        <w:ind w:left="620" w:right="740" w:hanging="310"/>
        <w:spacing w:after="0" w:line="253" w:lineRule="auto"/>
        <w:tabs>
          <w:tab w:leader="none" w:pos="620" w:val="left"/>
        </w:tabs>
        <w:numPr>
          <w:ilvl w:val="0"/>
          <w:numId w:val="32"/>
        </w:numPr>
        <w:rPr>
          <w:rFonts w:ascii="Arial" w:cs="Arial" w:eastAsia="Arial" w:hAnsi="Arial"/>
          <w:sz w:val="21"/>
          <w:szCs w:val="21"/>
          <w:color w:val="34657F"/>
        </w:rPr>
      </w:pPr>
      <w:r>
        <w:rPr>
          <w:rFonts w:ascii="Arial" w:cs="Arial" w:eastAsia="Arial" w:hAnsi="Arial"/>
          <w:sz w:val="17"/>
          <w:szCs w:val="17"/>
          <w:color w:val="auto"/>
        </w:rPr>
        <w:t>the Catalyst award for our “Build the Best Culture, Leverage the Power of Women” campaign which drove significant increases in the percentage of women in our executive ranks;</w:t>
      </w:r>
    </w:p>
    <w:p>
      <w:pPr>
        <w:spacing w:after="0" w:line="66" w:lineRule="exact"/>
        <w:rPr>
          <w:rFonts w:ascii="Arial" w:cs="Arial" w:eastAsia="Arial" w:hAnsi="Arial"/>
          <w:sz w:val="21"/>
          <w:szCs w:val="21"/>
          <w:color w:val="34657F"/>
        </w:rPr>
      </w:pPr>
    </w:p>
    <w:p>
      <w:pPr>
        <w:ind w:left="620" w:hanging="310"/>
        <w:spacing w:after="0"/>
        <w:tabs>
          <w:tab w:leader="none" w:pos="620" w:val="left"/>
        </w:tabs>
        <w:numPr>
          <w:ilvl w:val="0"/>
          <w:numId w:val="32"/>
        </w:numPr>
        <w:rPr>
          <w:rFonts w:ascii="Arial" w:cs="Arial" w:eastAsia="Arial" w:hAnsi="Arial"/>
          <w:sz w:val="21"/>
          <w:szCs w:val="21"/>
          <w:color w:val="34657F"/>
        </w:rPr>
      </w:pPr>
      <w:r>
        <w:rPr>
          <w:rFonts w:ascii="Arial" w:cs="Arial" w:eastAsia="Arial" w:hAnsi="Arial"/>
          <w:sz w:val="17"/>
          <w:szCs w:val="17"/>
          <w:color w:val="auto"/>
        </w:rPr>
        <w:t>an A rating from MSCI for environmental, social and governance management and performance;</w:t>
      </w:r>
    </w:p>
    <w:p>
      <w:pPr>
        <w:spacing w:after="0" w:line="79" w:lineRule="exact"/>
        <w:rPr>
          <w:rFonts w:ascii="Arial" w:cs="Arial" w:eastAsia="Arial" w:hAnsi="Arial"/>
          <w:sz w:val="21"/>
          <w:szCs w:val="21"/>
          <w:color w:val="34657F"/>
        </w:rPr>
      </w:pPr>
    </w:p>
    <w:p>
      <w:pPr>
        <w:ind w:left="620" w:hanging="310"/>
        <w:spacing w:after="0"/>
        <w:tabs>
          <w:tab w:leader="none" w:pos="620" w:val="left"/>
        </w:tabs>
        <w:numPr>
          <w:ilvl w:val="0"/>
          <w:numId w:val="32"/>
        </w:numPr>
        <w:rPr>
          <w:rFonts w:ascii="Arial" w:cs="Arial" w:eastAsia="Arial" w:hAnsi="Arial"/>
          <w:sz w:val="21"/>
          <w:szCs w:val="21"/>
          <w:color w:val="34657F"/>
        </w:rPr>
      </w:pPr>
      <w:r>
        <w:rPr>
          <w:rFonts w:ascii="Arial" w:cs="Arial" w:eastAsia="Arial" w:hAnsi="Arial"/>
          <w:sz w:val="17"/>
          <w:szCs w:val="17"/>
          <w:color w:val="auto"/>
        </w:rPr>
        <w:t>Dow Jones Sustainability North America Index for the third consecutive year; and</w:t>
      </w:r>
    </w:p>
    <w:p>
      <w:pPr>
        <w:spacing w:after="0" w:line="79" w:lineRule="exact"/>
        <w:rPr>
          <w:rFonts w:ascii="Arial" w:cs="Arial" w:eastAsia="Arial" w:hAnsi="Arial"/>
          <w:sz w:val="21"/>
          <w:szCs w:val="21"/>
          <w:color w:val="34657F"/>
        </w:rPr>
      </w:pPr>
    </w:p>
    <w:p>
      <w:pPr>
        <w:ind w:left="620" w:hanging="310"/>
        <w:spacing w:after="0"/>
        <w:tabs>
          <w:tab w:leader="none" w:pos="620" w:val="left"/>
        </w:tabs>
        <w:numPr>
          <w:ilvl w:val="0"/>
          <w:numId w:val="32"/>
        </w:numPr>
        <w:rPr>
          <w:rFonts w:ascii="Arial" w:cs="Arial" w:eastAsia="Arial" w:hAnsi="Arial"/>
          <w:sz w:val="21"/>
          <w:szCs w:val="21"/>
          <w:color w:val="34657F"/>
        </w:rPr>
      </w:pPr>
      <w:r>
        <w:rPr>
          <w:rFonts w:ascii="Arial" w:cs="Arial" w:eastAsia="Arial" w:hAnsi="Arial"/>
          <w:sz w:val="17"/>
          <w:szCs w:val="17"/>
          <w:color w:val="auto"/>
        </w:rPr>
        <w:t>one of DiversityInc's Top 50 Companies for Diversity for the ninth year in a row.</w:t>
      </w:r>
    </w:p>
    <w:p>
      <w:pPr>
        <w:spacing w:after="0" w:line="90" w:lineRule="exact"/>
        <w:rPr>
          <w:sz w:val="20"/>
          <w:szCs w:val="20"/>
          <w:color w:val="auto"/>
        </w:rPr>
      </w:pPr>
    </w:p>
    <w:p>
      <w:pPr>
        <w:ind w:right="40"/>
        <w:spacing w:after="0" w:line="257" w:lineRule="auto"/>
        <w:rPr>
          <w:sz w:val="20"/>
          <w:szCs w:val="20"/>
          <w:color w:val="auto"/>
        </w:rPr>
      </w:pPr>
      <w:r>
        <w:rPr>
          <w:rFonts w:ascii="Arial" w:cs="Arial" w:eastAsia="Arial" w:hAnsi="Arial"/>
          <w:sz w:val="17"/>
          <w:szCs w:val="17"/>
          <w:color w:val="auto"/>
        </w:rPr>
        <w:t xml:space="preserve">Aligned with, and an integral part of, our commitment to the highest standards of ethical conduct, is our respect for human rights. This respect is embedded in our culture, and reflected in the Company’s Human Rights Policy, which was adopted in 2013 and is available on the Company’s website at </w:t>
      </w:r>
      <w:r>
        <w:rPr>
          <w:rFonts w:ascii="Arial" w:cs="Arial" w:eastAsia="Arial" w:hAnsi="Arial"/>
          <w:sz w:val="17"/>
          <w:szCs w:val="17"/>
          <w:i w:val="1"/>
          <w:iCs w:val="1"/>
          <w:color w:val="auto"/>
        </w:rPr>
        <w:t>www.northropgrumman.com/CorporateResponsibility/Pages/HumanRightsPolicy.aspx</w:t>
      </w:r>
      <w:r>
        <w:rPr>
          <w:rFonts w:ascii="Arial" w:cs="Arial" w:eastAsia="Arial" w:hAnsi="Arial"/>
          <w:sz w:val="17"/>
          <w:szCs w:val="17"/>
          <w:color w:val="auto"/>
        </w:rPr>
        <w:t>.</w:t>
      </w:r>
    </w:p>
    <w:p>
      <w:pPr>
        <w:spacing w:after="0" w:line="64"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The Human Rights Policy provides, among other things, that the Company treats employees, suppliers, customers and competitors with dignity and respect. The Company does not tolerate any discrimination in employment based on an individual’s protected status. We do not tolerate the use of child labor, forced labor, bonded labor, human trafficking or other violations of human rights. The Human Rights Policy provides employees with a well-defined reporting channel when they believe there may have been a violation of the Policy.</w:t>
      </w:r>
    </w:p>
    <w:p>
      <w:pPr>
        <w:spacing w:after="0" w:line="67" w:lineRule="exact"/>
        <w:rPr>
          <w:sz w:val="20"/>
          <w:szCs w:val="20"/>
          <w:color w:val="auto"/>
        </w:rPr>
      </w:pPr>
    </w:p>
    <w:p>
      <w:pPr>
        <w:ind w:right="380"/>
        <w:spacing w:after="0" w:line="255" w:lineRule="auto"/>
        <w:rPr>
          <w:sz w:val="20"/>
          <w:szCs w:val="20"/>
          <w:color w:val="auto"/>
        </w:rPr>
      </w:pPr>
      <w:r>
        <w:rPr>
          <w:rFonts w:ascii="Arial" w:cs="Arial" w:eastAsia="Arial" w:hAnsi="Arial"/>
          <w:sz w:val="17"/>
          <w:szCs w:val="17"/>
          <w:color w:val="auto"/>
        </w:rPr>
        <w:t>Our policy is further implemented through various of our human resources, contracting, and compliance programs. It is reinforced through communications and robust training at all levels of our Company. Both the Company’s policy and commitment are also implemented and enforced through our Standards of Business Conduct and our Supplier Standards of Business Conduct, which clearly articulates our requirement for ethical conduct and social responsibility at all tiers of our supply base.</w:t>
      </w:r>
    </w:p>
    <w:p>
      <w:pPr>
        <w:spacing w:after="0" w:line="297"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24 </w:t>
      </w:r>
      <w:r>
        <w:rPr>
          <w:rFonts w:ascii="Arial" w:cs="Arial" w:eastAsia="Arial" w:hAnsi="Arial"/>
          <w:sz w:val="13"/>
          <w:szCs w:val="13"/>
          <w:color w:val="auto"/>
        </w:rPr>
        <w:t>I</w:t>
      </w:r>
      <w:r>
        <w:rPr>
          <w:rFonts w:ascii="Arial" w:cs="Arial" w:eastAsia="Arial" w:hAnsi="Arial"/>
          <w:sz w:val="17"/>
          <w:szCs w:val="17"/>
          <w:color w:val="auto"/>
        </w:rPr>
        <w:t xml:space="preserve"> </w:t>
      </w:r>
      <w:r>
        <w:rPr>
          <w:rFonts w:ascii="Arial" w:cs="Arial" w:eastAsia="Arial" w:hAnsi="Arial"/>
          <w:sz w:val="13"/>
          <w:szCs w:val="13"/>
          <w:color w:val="34657F"/>
        </w:rPr>
        <w:t>NOTICE OF 2019 ANNUAL MEETING OF SHAREHOLDERS AND PROXY STATEMENT</w:t>
      </w:r>
    </w:p>
    <w:p>
      <w:pPr>
        <w:sectPr>
          <w:pgSz w:w="11900" w:h="16838" w:orient="portrait"/>
          <w:cols w:equalWidth="0" w:num="1">
            <w:col w:w="11380"/>
          </w:cols>
          <w:pgMar w:left="240" w:top="671" w:right="279" w:bottom="1440" w:gutter="0" w:footer="0" w:header="0"/>
        </w:sectPr>
      </w:pPr>
    </w:p>
    <w:bookmarkStart w:id="30" w:name="page31"/>
    <w:bookmarkEnd w:id="30"/>
    <w:p>
      <w:pPr>
        <w:ind w:left="20"/>
        <w:spacing w:after="0"/>
        <w:rPr>
          <w:sz w:val="20"/>
          <w:szCs w:val="20"/>
          <w:color w:val="auto"/>
        </w:rPr>
      </w:pPr>
      <w:r>
        <w:rPr>
          <w:rFonts w:ascii="Arial" w:cs="Arial" w:eastAsia="Arial" w:hAnsi="Arial"/>
          <w:sz w:val="21"/>
          <w:szCs w:val="21"/>
          <w:b w:val="1"/>
          <w:bCs w:val="1"/>
          <w:color w:val="FFFFFF"/>
        </w:rPr>
        <w:drawing>
          <wp:anchor simplePos="0" relativeHeight="251657728" behindDoc="1" locked="0" layoutInCell="0" allowOverlap="1">
            <wp:simplePos x="0" y="0"/>
            <wp:positionH relativeFrom="page">
              <wp:posOffset>154305</wp:posOffset>
            </wp:positionH>
            <wp:positionV relativeFrom="page">
              <wp:posOffset>365760</wp:posOffset>
            </wp:positionV>
            <wp:extent cx="7253605" cy="58610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53605" cy="586105"/>
                    </a:xfrm>
                    <a:prstGeom prst="rect">
                      <a:avLst/>
                    </a:prstGeom>
                    <a:noFill/>
                  </pic:spPr>
                </pic:pic>
              </a:graphicData>
            </a:graphic>
          </wp:anchor>
        </w:drawing>
        <w:t>COMPENSATION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line="254" w:lineRule="auto"/>
        <w:rPr>
          <w:sz w:val="20"/>
          <w:szCs w:val="20"/>
          <w:color w:val="auto"/>
        </w:rPr>
      </w:pPr>
      <w:r>
        <w:rPr>
          <w:rFonts w:ascii="Arial" w:cs="Arial" w:eastAsia="Arial" w:hAnsi="Arial"/>
          <w:sz w:val="17"/>
          <w:szCs w:val="17"/>
          <w:color w:val="auto"/>
        </w:rPr>
        <w:t>The Compensation Committee, with the assistance of its independent compensation consultant, is responsible for reviewing and recommending for approval the compensation of the non-employee directors. At the request of the Compensation Committee, the independent compensation consultant prepares annually a comprehensive benchmarking of our non-employee director compensation program against the compensation programs offered by our Target Industry Peer Group (the same peer group against which executive compensation is compared). Consistent with this benchmarking, the overarching approach for non-employee director compensation is to target approximately the 50th percentile of the Target Industry Peer Group and to align our director compensation with our shareholders' interests.</w:t>
      </w:r>
    </w:p>
    <w:p>
      <w:pPr>
        <w:spacing w:after="0" w:line="66" w:lineRule="exact"/>
        <w:rPr>
          <w:sz w:val="20"/>
          <w:szCs w:val="20"/>
          <w:color w:val="auto"/>
        </w:rPr>
      </w:pPr>
    </w:p>
    <w:p>
      <w:pPr>
        <w:ind w:right="180"/>
        <w:spacing w:after="0" w:line="257" w:lineRule="auto"/>
        <w:rPr>
          <w:sz w:val="20"/>
          <w:szCs w:val="20"/>
          <w:color w:val="auto"/>
        </w:rPr>
      </w:pPr>
      <w:r>
        <w:rPr>
          <w:rFonts w:ascii="Arial" w:cs="Arial" w:eastAsia="Arial" w:hAnsi="Arial"/>
          <w:sz w:val="17"/>
          <w:szCs w:val="17"/>
          <w:color w:val="auto"/>
        </w:rPr>
        <w:t>In May 2018, the Compensation Committee recommended to the Board, and the Board approved, the current non-employee director fee structure, effective May 16, 2018. The table below lists the annual fees payable to our non-employee directors from January 1, 2018 to May 15, 2018 under the prior fee structure and the annual fees payable under the current fee structure effective May 16, 2018.</w:t>
      </w:r>
    </w:p>
    <w:p>
      <w:pPr>
        <w:spacing w:after="0" w:line="193" w:lineRule="exact"/>
        <w:rPr>
          <w:sz w:val="20"/>
          <w:szCs w:val="20"/>
          <w:color w:val="auto"/>
        </w:rPr>
      </w:pPr>
    </w:p>
    <w:tbl>
      <w:tblPr>
        <w:tblLayout w:type="fixed"/>
        <w:tblInd w:w="740" w:type="dxa"/>
        <w:tblCellMar>
          <w:top w:w="0" w:type="dxa"/>
          <w:left w:w="0" w:type="dxa"/>
          <w:bottom w:w="0" w:type="dxa"/>
          <w:right w:w="0" w:type="dxa"/>
        </w:tblCellMar>
      </w:tblPr>
      <w:tr>
        <w:trPr>
          <w:trHeight w:val="189"/>
        </w:trPr>
        <w:tc>
          <w:tcPr>
            <w:tcW w:w="4500" w:type="dxa"/>
            <w:vAlign w:val="bottom"/>
            <w:shd w:val="clear" w:color="auto" w:fill="34657F"/>
          </w:tcPr>
          <w:p>
            <w:pPr>
              <w:spacing w:after="0"/>
              <w:rPr>
                <w:sz w:val="16"/>
                <w:szCs w:val="16"/>
                <w:color w:val="auto"/>
              </w:rPr>
            </w:pPr>
          </w:p>
        </w:tc>
        <w:tc>
          <w:tcPr>
            <w:tcW w:w="3200" w:type="dxa"/>
            <w:vAlign w:val="bottom"/>
            <w:shd w:val="clear" w:color="auto" w:fill="34657F"/>
          </w:tcPr>
          <w:p>
            <w:pPr>
              <w:ind w:left="1880"/>
              <w:spacing w:after="0"/>
              <w:rPr>
                <w:sz w:val="20"/>
                <w:szCs w:val="20"/>
                <w:color w:val="auto"/>
              </w:rPr>
            </w:pPr>
            <w:r>
              <w:rPr>
                <w:rFonts w:ascii="Arial" w:cs="Arial" w:eastAsia="Arial" w:hAnsi="Arial"/>
                <w:sz w:val="15"/>
                <w:szCs w:val="15"/>
                <w:b w:val="1"/>
                <w:bCs w:val="1"/>
                <w:color w:val="FFFFFF"/>
              </w:rPr>
              <w:t>Amount ($)</w:t>
            </w:r>
          </w:p>
        </w:tc>
        <w:tc>
          <w:tcPr>
            <w:tcW w:w="2260" w:type="dxa"/>
            <w:vAlign w:val="bottom"/>
            <w:shd w:val="clear" w:color="auto" w:fill="34657F"/>
          </w:tcPr>
          <w:p>
            <w:pPr>
              <w:ind w:left="620"/>
              <w:spacing w:after="0"/>
              <w:rPr>
                <w:sz w:val="20"/>
                <w:szCs w:val="20"/>
                <w:color w:val="auto"/>
              </w:rPr>
            </w:pPr>
            <w:r>
              <w:rPr>
                <w:rFonts w:ascii="Arial" w:cs="Arial" w:eastAsia="Arial" w:hAnsi="Arial"/>
                <w:sz w:val="15"/>
                <w:szCs w:val="15"/>
                <w:b w:val="1"/>
                <w:bCs w:val="1"/>
                <w:color w:val="FFFFFF"/>
              </w:rPr>
              <w:t>Amount ($)</w:t>
            </w:r>
          </w:p>
        </w:tc>
      </w:tr>
      <w:tr>
        <w:trPr>
          <w:trHeight w:val="221"/>
        </w:trPr>
        <w:tc>
          <w:tcPr>
            <w:tcW w:w="4500" w:type="dxa"/>
            <w:vAlign w:val="bottom"/>
            <w:shd w:val="clear" w:color="auto" w:fill="34657F"/>
          </w:tcPr>
          <w:p>
            <w:pPr>
              <w:ind w:left="20"/>
              <w:spacing w:after="0"/>
              <w:rPr>
                <w:sz w:val="20"/>
                <w:szCs w:val="20"/>
                <w:color w:val="auto"/>
              </w:rPr>
            </w:pPr>
            <w:r>
              <w:rPr>
                <w:rFonts w:ascii="Arial" w:cs="Arial" w:eastAsia="Arial" w:hAnsi="Arial"/>
                <w:sz w:val="15"/>
                <w:szCs w:val="15"/>
                <w:b w:val="1"/>
                <w:bCs w:val="1"/>
                <w:color w:val="FFFFFF"/>
              </w:rPr>
              <w:t>Compensation Element</w:t>
            </w:r>
          </w:p>
        </w:tc>
        <w:tc>
          <w:tcPr>
            <w:tcW w:w="3200" w:type="dxa"/>
            <w:vAlign w:val="bottom"/>
            <w:shd w:val="clear" w:color="auto" w:fill="34657F"/>
          </w:tcPr>
          <w:p>
            <w:pPr>
              <w:jc w:val="center"/>
              <w:ind w:left="1303"/>
              <w:spacing w:after="0"/>
              <w:rPr>
                <w:sz w:val="20"/>
                <w:szCs w:val="20"/>
                <w:color w:val="auto"/>
              </w:rPr>
            </w:pPr>
            <w:r>
              <w:rPr>
                <w:rFonts w:ascii="Arial" w:cs="Arial" w:eastAsia="Arial" w:hAnsi="Arial"/>
                <w:sz w:val="15"/>
                <w:szCs w:val="15"/>
                <w:b w:val="1"/>
                <w:bCs w:val="1"/>
                <w:color w:val="FFFFFF"/>
              </w:rPr>
              <w:t>(1/1/18 - 5/15/18)</w:t>
            </w:r>
          </w:p>
        </w:tc>
        <w:tc>
          <w:tcPr>
            <w:tcW w:w="2260" w:type="dxa"/>
            <w:vAlign w:val="bottom"/>
            <w:shd w:val="clear" w:color="auto" w:fill="34657F"/>
          </w:tcPr>
          <w:p>
            <w:pPr>
              <w:jc w:val="center"/>
              <w:ind w:right="143"/>
              <w:spacing w:after="0"/>
              <w:rPr>
                <w:sz w:val="20"/>
                <w:szCs w:val="20"/>
                <w:color w:val="auto"/>
              </w:rPr>
            </w:pPr>
            <w:r>
              <w:rPr>
                <w:rFonts w:ascii="Arial" w:cs="Arial" w:eastAsia="Arial" w:hAnsi="Arial"/>
                <w:sz w:val="15"/>
                <w:szCs w:val="15"/>
                <w:b w:val="1"/>
                <w:bCs w:val="1"/>
                <w:color w:val="FFFFFF"/>
              </w:rPr>
              <w:t>(5/16/18 - 12/31/18)</w:t>
            </w:r>
          </w:p>
        </w:tc>
      </w:tr>
      <w:tr>
        <w:trPr>
          <w:trHeight w:val="256"/>
        </w:trPr>
        <w:tc>
          <w:tcPr>
            <w:tcW w:w="4500" w:type="dxa"/>
            <w:vAlign w:val="bottom"/>
            <w:shd w:val="clear" w:color="auto" w:fill="D1DDE6"/>
          </w:tcPr>
          <w:p>
            <w:pPr>
              <w:ind w:left="20"/>
              <w:spacing w:after="0"/>
              <w:rPr>
                <w:sz w:val="20"/>
                <w:szCs w:val="20"/>
                <w:color w:val="auto"/>
              </w:rPr>
            </w:pPr>
            <w:r>
              <w:rPr>
                <w:rFonts w:ascii="Arial" w:cs="Arial" w:eastAsia="Arial" w:hAnsi="Arial"/>
                <w:sz w:val="15"/>
                <w:szCs w:val="15"/>
                <w:color w:val="auto"/>
              </w:rPr>
              <w:t>Annual Cash Retainer</w:t>
            </w:r>
          </w:p>
        </w:tc>
        <w:tc>
          <w:tcPr>
            <w:tcW w:w="3200" w:type="dxa"/>
            <w:vAlign w:val="bottom"/>
            <w:shd w:val="clear" w:color="auto" w:fill="D1DDE6"/>
          </w:tcPr>
          <w:p>
            <w:pPr>
              <w:jc w:val="center"/>
              <w:ind w:left="1283"/>
              <w:spacing w:after="0"/>
              <w:rPr>
                <w:sz w:val="20"/>
                <w:szCs w:val="20"/>
                <w:color w:val="auto"/>
              </w:rPr>
            </w:pPr>
            <w:r>
              <w:rPr>
                <w:rFonts w:ascii="Arial" w:cs="Arial" w:eastAsia="Arial" w:hAnsi="Arial"/>
                <w:sz w:val="15"/>
                <w:szCs w:val="15"/>
                <w:color w:val="auto"/>
              </w:rPr>
              <w:t>122,500</w:t>
            </w:r>
          </w:p>
        </w:tc>
        <w:tc>
          <w:tcPr>
            <w:tcW w:w="2260" w:type="dxa"/>
            <w:vAlign w:val="bottom"/>
            <w:shd w:val="clear" w:color="auto" w:fill="D1DDE6"/>
          </w:tcPr>
          <w:p>
            <w:pPr>
              <w:jc w:val="center"/>
              <w:ind w:right="143"/>
              <w:spacing w:after="0"/>
              <w:rPr>
                <w:sz w:val="20"/>
                <w:szCs w:val="20"/>
                <w:color w:val="auto"/>
              </w:rPr>
            </w:pPr>
            <w:r>
              <w:rPr>
                <w:rFonts w:ascii="Arial" w:cs="Arial" w:eastAsia="Arial" w:hAnsi="Arial"/>
                <w:sz w:val="15"/>
                <w:szCs w:val="15"/>
                <w:color w:val="auto"/>
              </w:rPr>
              <w:t>127,500</w:t>
            </w:r>
          </w:p>
        </w:tc>
      </w:tr>
      <w:tr>
        <w:trPr>
          <w:trHeight w:val="260"/>
        </w:trPr>
        <w:tc>
          <w:tcPr>
            <w:tcW w:w="4500" w:type="dxa"/>
            <w:vAlign w:val="bottom"/>
          </w:tcPr>
          <w:p>
            <w:pPr>
              <w:ind w:left="20"/>
              <w:spacing w:after="0"/>
              <w:rPr>
                <w:sz w:val="20"/>
                <w:szCs w:val="20"/>
                <w:color w:val="auto"/>
              </w:rPr>
            </w:pPr>
            <w:r>
              <w:rPr>
                <w:rFonts w:ascii="Arial" w:cs="Arial" w:eastAsia="Arial" w:hAnsi="Arial"/>
                <w:sz w:val="15"/>
                <w:szCs w:val="15"/>
                <w:color w:val="auto"/>
              </w:rPr>
              <w:t>Lead Independent Director Retainer</w:t>
            </w:r>
          </w:p>
        </w:tc>
        <w:tc>
          <w:tcPr>
            <w:tcW w:w="3200" w:type="dxa"/>
            <w:vAlign w:val="bottom"/>
          </w:tcPr>
          <w:p>
            <w:pPr>
              <w:jc w:val="center"/>
              <w:ind w:left="1283"/>
              <w:spacing w:after="0"/>
              <w:rPr>
                <w:sz w:val="20"/>
                <w:szCs w:val="20"/>
                <w:color w:val="auto"/>
              </w:rPr>
            </w:pPr>
            <w:r>
              <w:rPr>
                <w:rFonts w:ascii="Arial" w:cs="Arial" w:eastAsia="Arial" w:hAnsi="Arial"/>
                <w:sz w:val="15"/>
                <w:szCs w:val="15"/>
                <w:color w:val="auto"/>
              </w:rPr>
              <w:t>35,000</w:t>
            </w:r>
          </w:p>
        </w:tc>
        <w:tc>
          <w:tcPr>
            <w:tcW w:w="2260" w:type="dxa"/>
            <w:vAlign w:val="bottom"/>
          </w:tcPr>
          <w:p>
            <w:pPr>
              <w:jc w:val="center"/>
              <w:ind w:right="143"/>
              <w:spacing w:after="0"/>
              <w:rPr>
                <w:sz w:val="20"/>
                <w:szCs w:val="20"/>
                <w:color w:val="auto"/>
              </w:rPr>
            </w:pPr>
            <w:r>
              <w:rPr>
                <w:rFonts w:ascii="Arial" w:cs="Arial" w:eastAsia="Arial" w:hAnsi="Arial"/>
                <w:sz w:val="15"/>
                <w:szCs w:val="15"/>
                <w:color w:val="auto"/>
              </w:rPr>
              <w:t>35,000</w:t>
            </w:r>
          </w:p>
        </w:tc>
      </w:tr>
      <w:tr>
        <w:trPr>
          <w:trHeight w:val="278"/>
        </w:trPr>
        <w:tc>
          <w:tcPr>
            <w:tcW w:w="4500" w:type="dxa"/>
            <w:vAlign w:val="bottom"/>
            <w:shd w:val="clear" w:color="auto" w:fill="D1DDE6"/>
          </w:tcPr>
          <w:p>
            <w:pPr>
              <w:ind w:left="20"/>
              <w:spacing w:after="0"/>
              <w:rPr>
                <w:sz w:val="20"/>
                <w:szCs w:val="20"/>
                <w:color w:val="auto"/>
              </w:rPr>
            </w:pPr>
            <w:r>
              <w:rPr>
                <w:rFonts w:ascii="Arial" w:cs="Arial" w:eastAsia="Arial" w:hAnsi="Arial"/>
                <w:sz w:val="15"/>
                <w:szCs w:val="15"/>
                <w:color w:val="auto"/>
              </w:rPr>
              <w:t>Audit Committee Retainer</w:t>
            </w:r>
          </w:p>
        </w:tc>
        <w:tc>
          <w:tcPr>
            <w:tcW w:w="3200" w:type="dxa"/>
            <w:vAlign w:val="bottom"/>
            <w:shd w:val="clear" w:color="auto" w:fill="D1DDE6"/>
          </w:tcPr>
          <w:p>
            <w:pPr>
              <w:jc w:val="center"/>
              <w:ind w:left="1283"/>
              <w:spacing w:after="0"/>
              <w:rPr>
                <w:sz w:val="20"/>
                <w:szCs w:val="20"/>
                <w:color w:val="auto"/>
              </w:rPr>
            </w:pPr>
            <w:r>
              <w:rPr>
                <w:rFonts w:ascii="Arial" w:cs="Arial" w:eastAsia="Arial" w:hAnsi="Arial"/>
                <w:sz w:val="15"/>
                <w:szCs w:val="15"/>
                <w:color w:val="auto"/>
              </w:rPr>
              <w:t>10,000</w:t>
            </w:r>
          </w:p>
        </w:tc>
        <w:tc>
          <w:tcPr>
            <w:tcW w:w="2260" w:type="dxa"/>
            <w:vAlign w:val="bottom"/>
            <w:shd w:val="clear" w:color="auto" w:fill="D1DDE6"/>
          </w:tcPr>
          <w:p>
            <w:pPr>
              <w:jc w:val="center"/>
              <w:ind w:right="143"/>
              <w:spacing w:after="0"/>
              <w:rPr>
                <w:sz w:val="20"/>
                <w:szCs w:val="20"/>
                <w:color w:val="auto"/>
              </w:rPr>
            </w:pPr>
            <w:r>
              <w:rPr>
                <w:rFonts w:ascii="Arial" w:cs="Arial" w:eastAsia="Arial" w:hAnsi="Arial"/>
                <w:sz w:val="15"/>
                <w:szCs w:val="15"/>
                <w:color w:val="auto"/>
              </w:rPr>
              <w:t>10,000</w:t>
            </w:r>
          </w:p>
        </w:tc>
      </w:tr>
      <w:tr>
        <w:trPr>
          <w:trHeight w:val="260"/>
        </w:trPr>
        <w:tc>
          <w:tcPr>
            <w:tcW w:w="4500" w:type="dxa"/>
            <w:vAlign w:val="bottom"/>
          </w:tcPr>
          <w:p>
            <w:pPr>
              <w:ind w:left="20"/>
              <w:spacing w:after="0"/>
              <w:rPr>
                <w:sz w:val="20"/>
                <w:szCs w:val="20"/>
                <w:color w:val="auto"/>
              </w:rPr>
            </w:pPr>
            <w:r>
              <w:rPr>
                <w:rFonts w:ascii="Arial" w:cs="Arial" w:eastAsia="Arial" w:hAnsi="Arial"/>
                <w:sz w:val="15"/>
                <w:szCs w:val="15"/>
                <w:color w:val="auto"/>
              </w:rPr>
              <w:t>Audit Committee Chair Retainer</w:t>
            </w:r>
          </w:p>
        </w:tc>
        <w:tc>
          <w:tcPr>
            <w:tcW w:w="3200" w:type="dxa"/>
            <w:vAlign w:val="bottom"/>
          </w:tcPr>
          <w:p>
            <w:pPr>
              <w:jc w:val="center"/>
              <w:ind w:left="1283"/>
              <w:spacing w:after="0"/>
              <w:rPr>
                <w:sz w:val="20"/>
                <w:szCs w:val="20"/>
                <w:color w:val="auto"/>
              </w:rPr>
            </w:pPr>
            <w:r>
              <w:rPr>
                <w:rFonts w:ascii="Arial" w:cs="Arial" w:eastAsia="Arial" w:hAnsi="Arial"/>
                <w:sz w:val="15"/>
                <w:szCs w:val="15"/>
                <w:color w:val="auto"/>
              </w:rPr>
              <w:t>20,000</w:t>
            </w:r>
          </w:p>
        </w:tc>
        <w:tc>
          <w:tcPr>
            <w:tcW w:w="2260" w:type="dxa"/>
            <w:vAlign w:val="bottom"/>
          </w:tcPr>
          <w:p>
            <w:pPr>
              <w:jc w:val="center"/>
              <w:ind w:right="143"/>
              <w:spacing w:after="0"/>
              <w:rPr>
                <w:sz w:val="20"/>
                <w:szCs w:val="20"/>
                <w:color w:val="auto"/>
              </w:rPr>
            </w:pPr>
            <w:r>
              <w:rPr>
                <w:rFonts w:ascii="Arial" w:cs="Arial" w:eastAsia="Arial" w:hAnsi="Arial"/>
                <w:sz w:val="15"/>
                <w:szCs w:val="15"/>
                <w:color w:val="auto"/>
              </w:rPr>
              <w:t>20,000</w:t>
            </w:r>
          </w:p>
        </w:tc>
      </w:tr>
      <w:tr>
        <w:trPr>
          <w:trHeight w:val="278"/>
        </w:trPr>
        <w:tc>
          <w:tcPr>
            <w:tcW w:w="4500" w:type="dxa"/>
            <w:vAlign w:val="bottom"/>
            <w:shd w:val="clear" w:color="auto" w:fill="D1DDE6"/>
          </w:tcPr>
          <w:p>
            <w:pPr>
              <w:ind w:left="20"/>
              <w:spacing w:after="0"/>
              <w:rPr>
                <w:sz w:val="20"/>
                <w:szCs w:val="20"/>
                <w:color w:val="auto"/>
              </w:rPr>
            </w:pPr>
            <w:r>
              <w:rPr>
                <w:rFonts w:ascii="Arial" w:cs="Arial" w:eastAsia="Arial" w:hAnsi="Arial"/>
                <w:sz w:val="15"/>
                <w:szCs w:val="15"/>
                <w:color w:val="auto"/>
              </w:rPr>
              <w:t>Compensation Committee Chair Retainer</w:t>
            </w:r>
          </w:p>
        </w:tc>
        <w:tc>
          <w:tcPr>
            <w:tcW w:w="3200" w:type="dxa"/>
            <w:vAlign w:val="bottom"/>
            <w:shd w:val="clear" w:color="auto" w:fill="D1DDE6"/>
          </w:tcPr>
          <w:p>
            <w:pPr>
              <w:jc w:val="center"/>
              <w:ind w:left="1283"/>
              <w:spacing w:after="0"/>
              <w:rPr>
                <w:sz w:val="20"/>
                <w:szCs w:val="20"/>
                <w:color w:val="auto"/>
              </w:rPr>
            </w:pPr>
            <w:r>
              <w:rPr>
                <w:rFonts w:ascii="Arial" w:cs="Arial" w:eastAsia="Arial" w:hAnsi="Arial"/>
                <w:sz w:val="15"/>
                <w:szCs w:val="15"/>
                <w:color w:val="auto"/>
              </w:rPr>
              <w:t>20,000</w:t>
            </w:r>
          </w:p>
        </w:tc>
        <w:tc>
          <w:tcPr>
            <w:tcW w:w="2260" w:type="dxa"/>
            <w:vAlign w:val="bottom"/>
            <w:shd w:val="clear" w:color="auto" w:fill="D1DDE6"/>
          </w:tcPr>
          <w:p>
            <w:pPr>
              <w:jc w:val="center"/>
              <w:ind w:right="143"/>
              <w:spacing w:after="0"/>
              <w:rPr>
                <w:sz w:val="20"/>
                <w:szCs w:val="20"/>
                <w:color w:val="auto"/>
              </w:rPr>
            </w:pPr>
            <w:r>
              <w:rPr>
                <w:rFonts w:ascii="Arial" w:cs="Arial" w:eastAsia="Arial" w:hAnsi="Arial"/>
                <w:sz w:val="15"/>
                <w:szCs w:val="15"/>
                <w:color w:val="auto"/>
              </w:rPr>
              <w:t>20,000</w:t>
            </w:r>
          </w:p>
        </w:tc>
      </w:tr>
      <w:tr>
        <w:trPr>
          <w:trHeight w:val="260"/>
        </w:trPr>
        <w:tc>
          <w:tcPr>
            <w:tcW w:w="4500" w:type="dxa"/>
            <w:vAlign w:val="bottom"/>
          </w:tcPr>
          <w:p>
            <w:pPr>
              <w:ind w:left="20"/>
              <w:spacing w:after="0"/>
              <w:rPr>
                <w:sz w:val="20"/>
                <w:szCs w:val="20"/>
                <w:color w:val="auto"/>
              </w:rPr>
            </w:pPr>
            <w:r>
              <w:rPr>
                <w:rFonts w:ascii="Arial" w:cs="Arial" w:eastAsia="Arial" w:hAnsi="Arial"/>
                <w:sz w:val="15"/>
                <w:szCs w:val="15"/>
                <w:color w:val="auto"/>
              </w:rPr>
              <w:t>Governance Committee Chair Retainer</w:t>
            </w:r>
          </w:p>
        </w:tc>
        <w:tc>
          <w:tcPr>
            <w:tcW w:w="3200" w:type="dxa"/>
            <w:vAlign w:val="bottom"/>
          </w:tcPr>
          <w:p>
            <w:pPr>
              <w:jc w:val="center"/>
              <w:ind w:left="1283"/>
              <w:spacing w:after="0"/>
              <w:rPr>
                <w:sz w:val="20"/>
                <w:szCs w:val="20"/>
                <w:color w:val="auto"/>
              </w:rPr>
            </w:pPr>
            <w:r>
              <w:rPr>
                <w:rFonts w:ascii="Arial" w:cs="Arial" w:eastAsia="Arial" w:hAnsi="Arial"/>
                <w:sz w:val="15"/>
                <w:szCs w:val="15"/>
                <w:color w:val="auto"/>
              </w:rPr>
              <w:t>15,000</w:t>
            </w:r>
          </w:p>
        </w:tc>
        <w:tc>
          <w:tcPr>
            <w:tcW w:w="2260" w:type="dxa"/>
            <w:vAlign w:val="bottom"/>
          </w:tcPr>
          <w:p>
            <w:pPr>
              <w:jc w:val="center"/>
              <w:ind w:right="143"/>
              <w:spacing w:after="0"/>
              <w:rPr>
                <w:sz w:val="20"/>
                <w:szCs w:val="20"/>
                <w:color w:val="auto"/>
              </w:rPr>
            </w:pPr>
            <w:r>
              <w:rPr>
                <w:rFonts w:ascii="Arial" w:cs="Arial" w:eastAsia="Arial" w:hAnsi="Arial"/>
                <w:sz w:val="15"/>
                <w:szCs w:val="15"/>
                <w:color w:val="auto"/>
              </w:rPr>
              <w:t>20,000</w:t>
            </w:r>
          </w:p>
        </w:tc>
      </w:tr>
      <w:tr>
        <w:trPr>
          <w:trHeight w:val="278"/>
        </w:trPr>
        <w:tc>
          <w:tcPr>
            <w:tcW w:w="4500" w:type="dxa"/>
            <w:vAlign w:val="bottom"/>
            <w:shd w:val="clear" w:color="auto" w:fill="D1DDE6"/>
          </w:tcPr>
          <w:p>
            <w:pPr>
              <w:ind w:left="20"/>
              <w:spacing w:after="0"/>
              <w:rPr>
                <w:sz w:val="20"/>
                <w:szCs w:val="20"/>
                <w:color w:val="auto"/>
              </w:rPr>
            </w:pPr>
            <w:r>
              <w:rPr>
                <w:rFonts w:ascii="Arial" w:cs="Arial" w:eastAsia="Arial" w:hAnsi="Arial"/>
                <w:sz w:val="15"/>
                <w:szCs w:val="15"/>
                <w:color w:val="auto"/>
              </w:rPr>
              <w:t>Policy Committee Chair Retainer</w:t>
            </w:r>
          </w:p>
        </w:tc>
        <w:tc>
          <w:tcPr>
            <w:tcW w:w="3200" w:type="dxa"/>
            <w:vAlign w:val="bottom"/>
            <w:shd w:val="clear" w:color="auto" w:fill="D1DDE6"/>
          </w:tcPr>
          <w:p>
            <w:pPr>
              <w:jc w:val="center"/>
              <w:ind w:left="1283"/>
              <w:spacing w:after="0"/>
              <w:rPr>
                <w:sz w:val="20"/>
                <w:szCs w:val="20"/>
                <w:color w:val="auto"/>
              </w:rPr>
            </w:pPr>
            <w:r>
              <w:rPr>
                <w:rFonts w:ascii="Arial" w:cs="Arial" w:eastAsia="Arial" w:hAnsi="Arial"/>
                <w:sz w:val="15"/>
                <w:szCs w:val="15"/>
                <w:color w:val="auto"/>
              </w:rPr>
              <w:t>7,500</w:t>
            </w:r>
          </w:p>
        </w:tc>
        <w:tc>
          <w:tcPr>
            <w:tcW w:w="2260" w:type="dxa"/>
            <w:vAlign w:val="bottom"/>
            <w:shd w:val="clear" w:color="auto" w:fill="D1DDE6"/>
          </w:tcPr>
          <w:p>
            <w:pPr>
              <w:jc w:val="center"/>
              <w:ind w:right="143"/>
              <w:spacing w:after="0"/>
              <w:rPr>
                <w:sz w:val="20"/>
                <w:szCs w:val="20"/>
                <w:color w:val="auto"/>
              </w:rPr>
            </w:pPr>
            <w:r>
              <w:rPr>
                <w:rFonts w:ascii="Arial" w:cs="Arial" w:eastAsia="Arial" w:hAnsi="Arial"/>
                <w:sz w:val="15"/>
                <w:szCs w:val="15"/>
                <w:color w:val="auto"/>
              </w:rPr>
              <w:t>20,000</w:t>
            </w:r>
          </w:p>
        </w:tc>
      </w:tr>
      <w:tr>
        <w:trPr>
          <w:trHeight w:val="262"/>
        </w:trPr>
        <w:tc>
          <w:tcPr>
            <w:tcW w:w="4500" w:type="dxa"/>
            <w:vAlign w:val="bottom"/>
            <w:tcBorders>
              <w:bottom w:val="single" w:sz="8" w:color="34657F"/>
            </w:tcBorders>
          </w:tcPr>
          <w:p>
            <w:pPr>
              <w:ind w:left="20"/>
              <w:spacing w:after="0"/>
              <w:rPr>
                <w:sz w:val="20"/>
                <w:szCs w:val="20"/>
                <w:color w:val="auto"/>
              </w:rPr>
            </w:pPr>
            <w:r>
              <w:rPr>
                <w:rFonts w:ascii="Arial" w:cs="Arial" w:eastAsia="Arial" w:hAnsi="Arial"/>
                <w:sz w:val="15"/>
                <w:szCs w:val="15"/>
                <w:color w:val="auto"/>
              </w:rPr>
              <w:t>Annual Equity Grant (1)</w:t>
            </w:r>
          </w:p>
        </w:tc>
        <w:tc>
          <w:tcPr>
            <w:tcW w:w="3200" w:type="dxa"/>
            <w:vAlign w:val="bottom"/>
            <w:tcBorders>
              <w:bottom w:val="single" w:sz="8" w:color="34657F"/>
            </w:tcBorders>
          </w:tcPr>
          <w:p>
            <w:pPr>
              <w:jc w:val="center"/>
              <w:ind w:left="1283"/>
              <w:spacing w:after="0"/>
              <w:rPr>
                <w:sz w:val="20"/>
                <w:szCs w:val="20"/>
                <w:color w:val="auto"/>
              </w:rPr>
            </w:pPr>
            <w:r>
              <w:rPr>
                <w:rFonts w:ascii="Arial" w:cs="Arial" w:eastAsia="Arial" w:hAnsi="Arial"/>
                <w:sz w:val="15"/>
                <w:szCs w:val="15"/>
                <w:color w:val="auto"/>
              </w:rPr>
              <w:t>150,000</w:t>
            </w:r>
          </w:p>
        </w:tc>
        <w:tc>
          <w:tcPr>
            <w:tcW w:w="2260" w:type="dxa"/>
            <w:vAlign w:val="bottom"/>
            <w:tcBorders>
              <w:bottom w:val="single" w:sz="8" w:color="34657F"/>
            </w:tcBorders>
          </w:tcPr>
          <w:p>
            <w:pPr>
              <w:jc w:val="center"/>
              <w:ind w:right="143"/>
              <w:spacing w:after="0"/>
              <w:rPr>
                <w:sz w:val="20"/>
                <w:szCs w:val="20"/>
                <w:color w:val="auto"/>
              </w:rPr>
            </w:pPr>
            <w:r>
              <w:rPr>
                <w:rFonts w:ascii="Arial" w:cs="Arial" w:eastAsia="Arial" w:hAnsi="Arial"/>
                <w:sz w:val="15"/>
                <w:szCs w:val="15"/>
                <w:color w:val="auto"/>
              </w:rPr>
              <w:t>155,000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465455</wp:posOffset>
            </wp:positionH>
            <wp:positionV relativeFrom="paragraph">
              <wp:posOffset>-349250</wp:posOffset>
            </wp:positionV>
            <wp:extent cx="633349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333490" cy="8255"/>
                    </a:xfrm>
                    <a:prstGeom prst="rect">
                      <a:avLst/>
                    </a:prstGeom>
                    <a:noFill/>
                  </pic:spPr>
                </pic:pic>
              </a:graphicData>
            </a:graphic>
          </wp:anchor>
        </w:drawing>
        <w:drawing>
          <wp:anchor simplePos="0" relativeHeight="251657728" behindDoc="1" locked="0" layoutInCell="0" allowOverlap="1">
            <wp:simplePos x="0" y="0"/>
            <wp:positionH relativeFrom="column">
              <wp:posOffset>465455</wp:posOffset>
            </wp:positionH>
            <wp:positionV relativeFrom="paragraph">
              <wp:posOffset>-691515</wp:posOffset>
            </wp:positionV>
            <wp:extent cx="633349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333490" cy="8255"/>
                    </a:xfrm>
                    <a:prstGeom prst="rect">
                      <a:avLst/>
                    </a:prstGeom>
                    <a:noFill/>
                  </pic:spPr>
                </pic:pic>
              </a:graphicData>
            </a:graphic>
          </wp:anchor>
        </w:drawing>
        <w:drawing>
          <wp:anchor simplePos="0" relativeHeight="251657728" behindDoc="1" locked="0" layoutInCell="0" allowOverlap="1">
            <wp:simplePos x="0" y="0"/>
            <wp:positionH relativeFrom="column">
              <wp:posOffset>465455</wp:posOffset>
            </wp:positionH>
            <wp:positionV relativeFrom="paragraph">
              <wp:posOffset>-1033145</wp:posOffset>
            </wp:positionV>
            <wp:extent cx="633349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333490" cy="8255"/>
                    </a:xfrm>
                    <a:prstGeom prst="rect">
                      <a:avLst/>
                    </a:prstGeom>
                    <a:noFill/>
                  </pic:spPr>
                </pic:pic>
              </a:graphicData>
            </a:graphic>
          </wp:anchor>
        </w:drawing>
      </w:r>
    </w:p>
    <w:p>
      <w:pPr>
        <w:spacing w:after="0" w:line="123" w:lineRule="exact"/>
        <w:rPr>
          <w:sz w:val="20"/>
          <w:szCs w:val="20"/>
          <w:color w:val="auto"/>
        </w:rPr>
      </w:pPr>
    </w:p>
    <w:p>
      <w:pPr>
        <w:ind w:left="1060" w:right="1100" w:hanging="307"/>
        <w:spacing w:after="0" w:line="258" w:lineRule="auto"/>
        <w:tabs>
          <w:tab w:leader="none" w:pos="983" w:val="left"/>
        </w:tabs>
        <w:numPr>
          <w:ilvl w:val="0"/>
          <w:numId w:val="33"/>
        </w:numPr>
        <w:rPr>
          <w:rFonts w:ascii="Arial" w:cs="Arial" w:eastAsia="Arial" w:hAnsi="Arial"/>
          <w:sz w:val="15"/>
          <w:szCs w:val="15"/>
          <w:color w:val="auto"/>
        </w:rPr>
      </w:pPr>
      <w:r>
        <w:rPr>
          <w:rFonts w:ascii="Arial" w:cs="Arial" w:eastAsia="Arial" w:hAnsi="Arial"/>
          <w:sz w:val="15"/>
          <w:szCs w:val="15"/>
          <w:color w:val="auto"/>
        </w:rPr>
        <w:t>The annual equity grant is deferred into a stock unit account pursuant to the 2011 Long-Term Incentive Stock Plan (2011 Plan) as described below. The Northrop Grumman Equity Grant Program for Non-Employee Directors (Director Program) sets forth the terms and conditions of the equity awards granted to non-employee directors under the 2011 Plan.</w:t>
      </w:r>
    </w:p>
    <w:p>
      <w:pPr>
        <w:spacing w:after="0" w:line="210" w:lineRule="exact"/>
        <w:rPr>
          <w:sz w:val="20"/>
          <w:szCs w:val="20"/>
          <w:color w:val="auto"/>
        </w:rPr>
      </w:pPr>
    </w:p>
    <w:p>
      <w:pPr>
        <w:ind w:right="60"/>
        <w:spacing w:after="0" w:line="263" w:lineRule="auto"/>
        <w:rPr>
          <w:sz w:val="20"/>
          <w:szCs w:val="20"/>
          <w:color w:val="auto"/>
        </w:rPr>
      </w:pPr>
      <w:r>
        <w:rPr>
          <w:rFonts w:ascii="Arial" w:cs="Arial" w:eastAsia="Arial" w:hAnsi="Arial"/>
          <w:sz w:val="17"/>
          <w:szCs w:val="17"/>
          <w:color w:val="auto"/>
        </w:rPr>
        <w:t>Retainer fees are paid on a quarterly basis at the end of each quarter. To encourage directors to have a direct and material investment in shares of our common stock, non-employee directors are awarded an annual equity grant of $155,000 in the form of deferred stock units (Automatic Stock Units).</w:t>
      </w:r>
    </w:p>
    <w:p>
      <w:pPr>
        <w:spacing w:after="0" w:line="59" w:lineRule="exact"/>
        <w:rPr>
          <w:sz w:val="20"/>
          <w:szCs w:val="20"/>
          <w:color w:val="auto"/>
        </w:rPr>
      </w:pPr>
    </w:p>
    <w:p>
      <w:pPr>
        <w:ind w:right="20"/>
        <w:spacing w:after="0" w:line="252" w:lineRule="auto"/>
        <w:rPr>
          <w:sz w:val="20"/>
          <w:szCs w:val="20"/>
          <w:color w:val="auto"/>
        </w:rPr>
      </w:pPr>
      <w:r>
        <w:rPr>
          <w:rFonts w:ascii="Arial" w:cs="Arial" w:eastAsia="Arial" w:hAnsi="Arial"/>
          <w:sz w:val="17"/>
          <w:szCs w:val="17"/>
          <w:color w:val="auto"/>
        </w:rPr>
        <w:t>The Director Program was amended and restated effective January 1, 2016 (the Amended Director Program). Directors received an annual equity grant of Automatic Stock Units on May 17, 2017, which vested on May 17, 2018, and received an annual equity grant of Automatic Stock Units on May 16, 2018 which will vest on May 16, 2019. Under the Amended Director Program, directors may elect to have all or any portion of their Automatic Stock Units paid on (A) the earlier of (i) the beginning of a specified calendar year after the vesting date or (ii) their separation from service as a member of the Board, or (B) the vesting date. Directors may elect to defer to a later year all or a portion of their remaining cash retainer or committee retainer fees into a stock unit account as Elective Stock Units or in alternative investment options. Elective Stock Units are awarded on a calendar quarterly basis. Directors may elect to have all or a portion of their Elective Stock Units paid on the earlier of (i) the beginning of a specified calendar year or (ii) their separation from service as a member of the Board. Stock units awarded under the Amended Director Program will be paid out in an equivalent number of shares of our common stock. Deferral elections are made prior to the beginning of the year for which the retainer fees will be paid. Directors are credited with dividend equivalents in connection with the accumulated stock units until the shares of common stock related to such stock units are issued.</w:t>
      </w:r>
    </w:p>
    <w:p>
      <w:pPr>
        <w:spacing w:after="0" w:line="76" w:lineRule="exact"/>
        <w:rPr>
          <w:sz w:val="20"/>
          <w:szCs w:val="20"/>
          <w:color w:val="auto"/>
        </w:rPr>
      </w:pPr>
    </w:p>
    <w:p>
      <w:pPr>
        <w:ind w:right="20"/>
        <w:spacing w:after="0" w:line="263" w:lineRule="auto"/>
        <w:rPr>
          <w:sz w:val="20"/>
          <w:szCs w:val="20"/>
          <w:color w:val="auto"/>
        </w:rPr>
      </w:pPr>
      <w:r>
        <w:rPr>
          <w:rFonts w:ascii="Arial" w:cs="Arial" w:eastAsia="Arial" w:hAnsi="Arial"/>
          <w:sz w:val="17"/>
          <w:szCs w:val="17"/>
          <w:color w:val="auto"/>
        </w:rPr>
        <w:t>Non-employee directors are eligible to participate in our Matching Gifts Program for Education. Under this program, the Northrop Grumman Foundation matches director contributions, up to $10,000 per year per director, to eligible educational programs in accordance with the program.</w:t>
      </w:r>
    </w:p>
    <w:p>
      <w:pPr>
        <w:spacing w:after="0" w:line="185" w:lineRule="exact"/>
        <w:rPr>
          <w:sz w:val="20"/>
          <w:szCs w:val="20"/>
          <w:color w:val="auto"/>
        </w:rPr>
      </w:pPr>
    </w:p>
    <w:p>
      <w:pPr>
        <w:ind w:left="20"/>
        <w:spacing w:after="0"/>
        <w:rPr>
          <w:sz w:val="20"/>
          <w:szCs w:val="20"/>
          <w:color w:val="auto"/>
        </w:rPr>
      </w:pPr>
      <w:r>
        <w:rPr>
          <w:rFonts w:ascii="Arial" w:cs="Arial" w:eastAsia="Arial" w:hAnsi="Arial"/>
          <w:sz w:val="24"/>
          <w:szCs w:val="24"/>
          <w:b w:val="1"/>
          <w:bCs w:val="1"/>
          <w:color w:val="auto"/>
        </w:rPr>
        <w:t>Stock Ownership Requirements and Anti-Hedging and Pledging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38100</wp:posOffset>
            </wp:positionV>
            <wp:extent cx="7253605" cy="1651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pacing w:after="0" w:line="142" w:lineRule="exact"/>
        <w:rPr>
          <w:sz w:val="20"/>
          <w:szCs w:val="20"/>
          <w:color w:val="auto"/>
        </w:rPr>
      </w:pPr>
    </w:p>
    <w:p>
      <w:pPr>
        <w:jc w:val="both"/>
        <w:ind w:right="540"/>
        <w:spacing w:after="0" w:line="257" w:lineRule="auto"/>
        <w:rPr>
          <w:sz w:val="20"/>
          <w:szCs w:val="20"/>
          <w:color w:val="auto"/>
        </w:rPr>
      </w:pPr>
      <w:r>
        <w:rPr>
          <w:rFonts w:ascii="Arial" w:cs="Arial" w:eastAsia="Arial" w:hAnsi="Arial"/>
          <w:sz w:val="17"/>
          <w:szCs w:val="17"/>
          <w:color w:val="auto"/>
        </w:rPr>
        <w:t>Non-employee directors are required to own common stock of the Company in an amount equal to five times the annual cash retainer, with such ownership to be achieved within five years of the director's election to the Board. Deferred stock units and Company stock owned outright by the director count towards this requirement.</w:t>
      </w:r>
    </w:p>
    <w:p>
      <w:pPr>
        <w:spacing w:after="0" w:line="64" w:lineRule="exact"/>
        <w:rPr>
          <w:sz w:val="20"/>
          <w:szCs w:val="20"/>
          <w:color w:val="auto"/>
        </w:rPr>
      </w:pPr>
    </w:p>
    <w:p>
      <w:pPr>
        <w:ind w:right="60"/>
        <w:spacing w:after="0" w:line="257" w:lineRule="auto"/>
        <w:rPr>
          <w:sz w:val="20"/>
          <w:szCs w:val="20"/>
          <w:color w:val="auto"/>
        </w:rPr>
      </w:pPr>
      <w:r>
        <w:rPr>
          <w:rFonts w:ascii="Arial" w:cs="Arial" w:eastAsia="Arial" w:hAnsi="Arial"/>
          <w:sz w:val="17"/>
          <w:szCs w:val="17"/>
          <w:color w:val="auto"/>
        </w:rPr>
        <w:t>Company policy prohibits members of the Board of Directors from pledging or engaging in hedging transactions with respect to any of their Company stock, continuing to align the interests of our Board of Directors with those of our shareholders. None of the shares of Company common stock held by our directors are pledged or subject to any hedging transaction.</w:t>
      </w:r>
    </w:p>
    <w:p>
      <w:pPr>
        <w:spacing w:after="0" w:line="300" w:lineRule="exact"/>
        <w:rPr>
          <w:sz w:val="20"/>
          <w:szCs w:val="20"/>
          <w:color w:val="auto"/>
        </w:rPr>
      </w:pPr>
    </w:p>
    <w:p>
      <w:pPr>
        <w:ind w:left="5740"/>
        <w:spacing w:after="0"/>
        <w:rPr>
          <w:sz w:val="20"/>
          <w:szCs w:val="20"/>
          <w:color w:val="auto"/>
        </w:rPr>
      </w:pPr>
      <w:r>
        <w:rPr>
          <w:rFonts w:ascii="Arial" w:cs="Arial" w:eastAsia="Arial" w:hAnsi="Arial"/>
          <w:sz w:val="13"/>
          <w:szCs w:val="13"/>
          <w:color w:val="34657F"/>
        </w:rPr>
        <w:t xml:space="preserve">NOTICE OF 2019 ANNUAL MEETING OF SHAREHOLDERS AND PROXY STATEMENT </w:t>
      </w:r>
      <w:r>
        <w:rPr>
          <w:rFonts w:ascii="Arial" w:cs="Arial" w:eastAsia="Arial" w:hAnsi="Arial"/>
          <w:sz w:val="13"/>
          <w:szCs w:val="13"/>
          <w:color w:val="000000"/>
        </w:rPr>
        <w:t>I 25</w:t>
      </w:r>
    </w:p>
    <w:p>
      <w:pPr>
        <w:sectPr>
          <w:pgSz w:w="11900" w:h="16838" w:orient="portrait"/>
          <w:cols w:equalWidth="0" w:num="1">
            <w:col w:w="11420"/>
          </w:cols>
          <w:pgMar w:left="240" w:top="671" w:right="239" w:bottom="1440" w:gutter="0" w:footer="0" w:header="0"/>
        </w:sectPr>
      </w:pPr>
    </w:p>
    <w:bookmarkStart w:id="31" w:name="page32"/>
    <w:bookmarkEnd w:id="31"/>
    <w:p>
      <w:pPr>
        <w:ind w:left="20"/>
        <w:spacing w:after="0"/>
        <w:rPr>
          <w:sz w:val="20"/>
          <w:szCs w:val="20"/>
          <w:color w:val="auto"/>
        </w:rPr>
      </w:pPr>
      <w:r>
        <w:rPr>
          <w:rFonts w:ascii="Arial" w:cs="Arial" w:eastAsia="Arial" w:hAnsi="Arial"/>
          <w:sz w:val="21"/>
          <w:szCs w:val="21"/>
          <w:b w:val="1"/>
          <w:bCs w:val="1"/>
          <w:color w:val="FFFFFF"/>
        </w:rPr>
        <w:drawing>
          <wp:anchor simplePos="0" relativeHeight="251657728" behindDoc="1" locked="0" layoutInCell="0" allowOverlap="1">
            <wp:simplePos x="0" y="0"/>
            <wp:positionH relativeFrom="page">
              <wp:posOffset>154305</wp:posOffset>
            </wp:positionH>
            <wp:positionV relativeFrom="page">
              <wp:posOffset>365760</wp:posOffset>
            </wp:positionV>
            <wp:extent cx="7253605" cy="58610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53605" cy="586105"/>
                    </a:xfrm>
                    <a:prstGeom prst="rect">
                      <a:avLst/>
                    </a:prstGeom>
                    <a:noFill/>
                  </pic:spPr>
                </pic:pic>
              </a:graphicData>
            </a:graphic>
          </wp:anchor>
        </w:drawing>
        <w:t>COMPENSATION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20"/>
        <w:spacing w:after="0"/>
        <w:rPr>
          <w:sz w:val="20"/>
          <w:szCs w:val="20"/>
          <w:color w:val="auto"/>
        </w:rPr>
      </w:pPr>
      <w:r>
        <w:rPr>
          <w:rFonts w:ascii="Arial" w:cs="Arial" w:eastAsia="Arial" w:hAnsi="Arial"/>
          <w:sz w:val="24"/>
          <w:szCs w:val="24"/>
          <w:b w:val="1"/>
          <w:bCs w:val="1"/>
          <w:color w:val="auto"/>
        </w:rPr>
        <w:t>2018 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38100</wp:posOffset>
            </wp:positionV>
            <wp:extent cx="7253605" cy="1651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color w:val="auto"/>
        </w:rPr>
        <w:t>The table below provides information on the compensation of our non-employee directors for the year ended December 31, 2018.</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060" w:type="dxa"/>
            <w:vAlign w:val="bottom"/>
            <w:shd w:val="clear" w:color="auto" w:fill="34657F"/>
          </w:tcPr>
          <w:p>
            <w:pPr>
              <w:spacing w:after="0"/>
              <w:rPr>
                <w:sz w:val="16"/>
                <w:szCs w:val="16"/>
                <w:color w:val="auto"/>
              </w:rPr>
            </w:pPr>
          </w:p>
        </w:tc>
        <w:tc>
          <w:tcPr>
            <w:tcW w:w="3280" w:type="dxa"/>
            <w:vAlign w:val="bottom"/>
            <w:shd w:val="clear" w:color="auto" w:fill="34657F"/>
          </w:tcPr>
          <w:p>
            <w:pPr>
              <w:jc w:val="center"/>
              <w:ind w:left="1203"/>
              <w:spacing w:after="0"/>
              <w:rPr>
                <w:sz w:val="20"/>
                <w:szCs w:val="20"/>
                <w:color w:val="auto"/>
              </w:rPr>
            </w:pPr>
            <w:r>
              <w:rPr>
                <w:rFonts w:ascii="Arial" w:cs="Arial" w:eastAsia="Arial" w:hAnsi="Arial"/>
                <w:sz w:val="15"/>
                <w:szCs w:val="15"/>
                <w:b w:val="1"/>
                <w:bCs w:val="1"/>
                <w:color w:val="FFFFFF"/>
              </w:rPr>
              <w:t>Fees Earned or Paid</w:t>
            </w:r>
          </w:p>
        </w:tc>
        <w:tc>
          <w:tcPr>
            <w:tcW w:w="1340" w:type="dxa"/>
            <w:vAlign w:val="bottom"/>
            <w:shd w:val="clear" w:color="auto" w:fill="34657F"/>
          </w:tcPr>
          <w:p>
            <w:pPr>
              <w:jc w:val="center"/>
              <w:ind w:right="3"/>
              <w:spacing w:after="0"/>
              <w:rPr>
                <w:sz w:val="20"/>
                <w:szCs w:val="20"/>
                <w:color w:val="auto"/>
              </w:rPr>
            </w:pPr>
            <w:r>
              <w:rPr>
                <w:rFonts w:ascii="Arial" w:cs="Arial" w:eastAsia="Arial" w:hAnsi="Arial"/>
                <w:sz w:val="15"/>
                <w:szCs w:val="15"/>
                <w:b w:val="1"/>
                <w:bCs w:val="1"/>
                <w:color w:val="FFFFFF"/>
              </w:rPr>
              <w:t>Stock</w:t>
            </w:r>
          </w:p>
        </w:tc>
        <w:tc>
          <w:tcPr>
            <w:tcW w:w="2080" w:type="dxa"/>
            <w:vAlign w:val="bottom"/>
            <w:shd w:val="clear" w:color="auto" w:fill="34657F"/>
          </w:tcPr>
          <w:p>
            <w:pPr>
              <w:jc w:val="center"/>
              <w:ind w:right="43"/>
              <w:spacing w:after="0"/>
              <w:rPr>
                <w:sz w:val="20"/>
                <w:szCs w:val="20"/>
                <w:color w:val="auto"/>
              </w:rPr>
            </w:pPr>
            <w:r>
              <w:rPr>
                <w:rFonts w:ascii="Arial" w:cs="Arial" w:eastAsia="Arial" w:hAnsi="Arial"/>
                <w:sz w:val="15"/>
                <w:szCs w:val="15"/>
                <w:b w:val="1"/>
                <w:bCs w:val="1"/>
                <w:color w:val="FFFFFF"/>
              </w:rPr>
              <w:t>All Other</w:t>
            </w:r>
          </w:p>
        </w:tc>
        <w:tc>
          <w:tcPr>
            <w:tcW w:w="1540" w:type="dxa"/>
            <w:vAlign w:val="bottom"/>
            <w:shd w:val="clear" w:color="auto" w:fill="34657F"/>
          </w:tcPr>
          <w:p>
            <w:pPr>
              <w:spacing w:after="0"/>
              <w:rPr>
                <w:sz w:val="16"/>
                <w:szCs w:val="16"/>
                <w:color w:val="auto"/>
              </w:rPr>
            </w:pPr>
          </w:p>
        </w:tc>
      </w:tr>
      <w:tr>
        <w:trPr>
          <w:trHeight w:val="179"/>
        </w:trPr>
        <w:tc>
          <w:tcPr>
            <w:tcW w:w="3060" w:type="dxa"/>
            <w:vAlign w:val="bottom"/>
            <w:shd w:val="clear" w:color="auto" w:fill="34657F"/>
          </w:tcPr>
          <w:p>
            <w:pPr>
              <w:spacing w:after="0"/>
              <w:rPr>
                <w:sz w:val="15"/>
                <w:szCs w:val="15"/>
                <w:color w:val="auto"/>
              </w:rPr>
            </w:pPr>
          </w:p>
        </w:tc>
        <w:tc>
          <w:tcPr>
            <w:tcW w:w="3280" w:type="dxa"/>
            <w:vAlign w:val="bottom"/>
            <w:shd w:val="clear" w:color="auto" w:fill="34657F"/>
          </w:tcPr>
          <w:p>
            <w:pPr>
              <w:jc w:val="center"/>
              <w:ind w:left="1183"/>
              <w:spacing w:after="0"/>
              <w:rPr>
                <w:sz w:val="20"/>
                <w:szCs w:val="20"/>
                <w:color w:val="auto"/>
              </w:rPr>
            </w:pPr>
            <w:r>
              <w:rPr>
                <w:rFonts w:ascii="Arial" w:cs="Arial" w:eastAsia="Arial" w:hAnsi="Arial"/>
                <w:sz w:val="15"/>
                <w:szCs w:val="15"/>
                <w:b w:val="1"/>
                <w:bCs w:val="1"/>
                <w:color w:val="FFFFFF"/>
              </w:rPr>
              <w:t>in Cash (1)</w:t>
            </w:r>
          </w:p>
        </w:tc>
        <w:tc>
          <w:tcPr>
            <w:tcW w:w="1340" w:type="dxa"/>
            <w:vAlign w:val="bottom"/>
            <w:shd w:val="clear" w:color="auto" w:fill="34657F"/>
          </w:tcPr>
          <w:p>
            <w:pPr>
              <w:jc w:val="center"/>
              <w:ind w:right="3"/>
              <w:spacing w:after="0"/>
              <w:rPr>
                <w:sz w:val="20"/>
                <w:szCs w:val="20"/>
                <w:color w:val="auto"/>
              </w:rPr>
            </w:pPr>
            <w:r>
              <w:rPr>
                <w:rFonts w:ascii="Arial" w:cs="Arial" w:eastAsia="Arial" w:hAnsi="Arial"/>
                <w:sz w:val="15"/>
                <w:szCs w:val="15"/>
                <w:b w:val="1"/>
                <w:bCs w:val="1"/>
                <w:color w:val="FFFFFF"/>
              </w:rPr>
              <w:t>Awards (2)</w:t>
            </w:r>
          </w:p>
        </w:tc>
        <w:tc>
          <w:tcPr>
            <w:tcW w:w="2080" w:type="dxa"/>
            <w:vAlign w:val="bottom"/>
            <w:shd w:val="clear" w:color="auto" w:fill="34657F"/>
          </w:tcPr>
          <w:p>
            <w:pPr>
              <w:jc w:val="center"/>
              <w:ind w:right="63"/>
              <w:spacing w:after="0"/>
              <w:rPr>
                <w:sz w:val="20"/>
                <w:szCs w:val="20"/>
                <w:color w:val="auto"/>
              </w:rPr>
            </w:pPr>
            <w:r>
              <w:rPr>
                <w:rFonts w:ascii="Arial" w:cs="Arial" w:eastAsia="Arial" w:hAnsi="Arial"/>
                <w:sz w:val="15"/>
                <w:szCs w:val="15"/>
                <w:b w:val="1"/>
                <w:bCs w:val="1"/>
                <w:color w:val="FFFFFF"/>
              </w:rPr>
              <w:t>Compensation (3)</w:t>
            </w:r>
          </w:p>
        </w:tc>
        <w:tc>
          <w:tcPr>
            <w:tcW w:w="1540" w:type="dxa"/>
            <w:vAlign w:val="bottom"/>
            <w:shd w:val="clear" w:color="auto" w:fill="34657F"/>
          </w:tcPr>
          <w:p>
            <w:pPr>
              <w:ind w:left="580"/>
              <w:spacing w:after="0"/>
              <w:rPr>
                <w:sz w:val="20"/>
                <w:szCs w:val="20"/>
                <w:color w:val="auto"/>
              </w:rPr>
            </w:pPr>
            <w:r>
              <w:rPr>
                <w:rFonts w:ascii="Arial" w:cs="Arial" w:eastAsia="Arial" w:hAnsi="Arial"/>
                <w:sz w:val="15"/>
                <w:szCs w:val="15"/>
                <w:b w:val="1"/>
                <w:bCs w:val="1"/>
                <w:color w:val="FFFFFF"/>
              </w:rPr>
              <w:t>Total</w:t>
            </w:r>
          </w:p>
        </w:tc>
      </w:tr>
      <w:tr>
        <w:trPr>
          <w:trHeight w:val="221"/>
        </w:trPr>
        <w:tc>
          <w:tcPr>
            <w:tcW w:w="3060" w:type="dxa"/>
            <w:vAlign w:val="bottom"/>
            <w:shd w:val="clear" w:color="auto" w:fill="34657F"/>
          </w:tcPr>
          <w:p>
            <w:pPr>
              <w:ind w:left="20"/>
              <w:spacing w:after="0"/>
              <w:rPr>
                <w:sz w:val="20"/>
                <w:szCs w:val="20"/>
                <w:color w:val="auto"/>
              </w:rPr>
            </w:pPr>
            <w:r>
              <w:rPr>
                <w:rFonts w:ascii="Arial" w:cs="Arial" w:eastAsia="Arial" w:hAnsi="Arial"/>
                <w:sz w:val="15"/>
                <w:szCs w:val="15"/>
                <w:b w:val="1"/>
                <w:bCs w:val="1"/>
                <w:color w:val="FFFFFF"/>
              </w:rPr>
              <w:t>Name</w:t>
            </w:r>
          </w:p>
        </w:tc>
        <w:tc>
          <w:tcPr>
            <w:tcW w:w="3280" w:type="dxa"/>
            <w:vAlign w:val="bottom"/>
            <w:shd w:val="clear" w:color="auto" w:fill="34657F"/>
          </w:tcPr>
          <w:p>
            <w:pPr>
              <w:jc w:val="center"/>
              <w:ind w:left="1183"/>
              <w:spacing w:after="0"/>
              <w:rPr>
                <w:sz w:val="20"/>
                <w:szCs w:val="20"/>
                <w:color w:val="auto"/>
              </w:rPr>
            </w:pPr>
            <w:r>
              <w:rPr>
                <w:rFonts w:ascii="Arial" w:cs="Arial" w:eastAsia="Arial" w:hAnsi="Arial"/>
                <w:sz w:val="15"/>
                <w:szCs w:val="15"/>
                <w:b w:val="1"/>
                <w:bCs w:val="1"/>
                <w:color w:val="FFFFFF"/>
                <w:w w:val="97"/>
              </w:rPr>
              <w:t>($)</w:t>
            </w:r>
          </w:p>
        </w:tc>
        <w:tc>
          <w:tcPr>
            <w:tcW w:w="1340" w:type="dxa"/>
            <w:vAlign w:val="bottom"/>
            <w:shd w:val="clear" w:color="auto" w:fill="34657F"/>
          </w:tcPr>
          <w:p>
            <w:pPr>
              <w:jc w:val="center"/>
              <w:spacing w:after="0"/>
              <w:rPr>
                <w:sz w:val="20"/>
                <w:szCs w:val="20"/>
                <w:color w:val="auto"/>
              </w:rPr>
            </w:pPr>
            <w:r>
              <w:rPr>
                <w:rFonts w:ascii="Arial" w:cs="Arial" w:eastAsia="Arial" w:hAnsi="Arial"/>
                <w:sz w:val="15"/>
                <w:szCs w:val="15"/>
                <w:b w:val="1"/>
                <w:bCs w:val="1"/>
                <w:color w:val="FFFFFF"/>
              </w:rPr>
              <w:t>($)</w:t>
            </w:r>
          </w:p>
        </w:tc>
        <w:tc>
          <w:tcPr>
            <w:tcW w:w="2080" w:type="dxa"/>
            <w:vAlign w:val="bottom"/>
            <w:shd w:val="clear" w:color="auto" w:fill="34657F"/>
          </w:tcPr>
          <w:p>
            <w:pPr>
              <w:jc w:val="center"/>
              <w:ind w:right="43"/>
              <w:spacing w:after="0"/>
              <w:rPr>
                <w:sz w:val="20"/>
                <w:szCs w:val="20"/>
                <w:color w:val="auto"/>
              </w:rPr>
            </w:pPr>
            <w:r>
              <w:rPr>
                <w:rFonts w:ascii="Arial" w:cs="Arial" w:eastAsia="Arial" w:hAnsi="Arial"/>
                <w:sz w:val="15"/>
                <w:szCs w:val="15"/>
                <w:b w:val="1"/>
                <w:bCs w:val="1"/>
                <w:color w:val="FFFFFF"/>
              </w:rPr>
              <w:t>($)</w:t>
            </w:r>
          </w:p>
        </w:tc>
        <w:tc>
          <w:tcPr>
            <w:tcW w:w="1540" w:type="dxa"/>
            <w:vAlign w:val="bottom"/>
            <w:shd w:val="clear" w:color="auto" w:fill="34657F"/>
          </w:tcPr>
          <w:p>
            <w:pPr>
              <w:jc w:val="center"/>
              <w:spacing w:after="0"/>
              <w:rPr>
                <w:sz w:val="20"/>
                <w:szCs w:val="20"/>
                <w:color w:val="auto"/>
              </w:rPr>
            </w:pPr>
            <w:r>
              <w:rPr>
                <w:rFonts w:ascii="Arial" w:cs="Arial" w:eastAsia="Arial" w:hAnsi="Arial"/>
                <w:sz w:val="15"/>
                <w:szCs w:val="15"/>
                <w:b w:val="1"/>
                <w:bCs w:val="1"/>
                <w:color w:val="FFFFFF"/>
                <w:w w:val="97"/>
              </w:rPr>
              <w:t>($)</w:t>
            </w:r>
          </w:p>
        </w:tc>
      </w:tr>
      <w:tr>
        <w:trPr>
          <w:trHeight w:val="256"/>
        </w:trPr>
        <w:tc>
          <w:tcPr>
            <w:tcW w:w="3060" w:type="dxa"/>
            <w:vAlign w:val="bottom"/>
            <w:shd w:val="clear" w:color="auto" w:fill="D1DDE6"/>
          </w:tcPr>
          <w:p>
            <w:pPr>
              <w:ind w:left="20"/>
              <w:spacing w:after="0"/>
              <w:rPr>
                <w:sz w:val="20"/>
                <w:szCs w:val="20"/>
                <w:color w:val="auto"/>
              </w:rPr>
            </w:pPr>
            <w:r>
              <w:rPr>
                <w:rFonts w:ascii="Arial" w:cs="Arial" w:eastAsia="Arial" w:hAnsi="Arial"/>
                <w:sz w:val="15"/>
                <w:szCs w:val="15"/>
                <w:color w:val="auto"/>
              </w:rPr>
              <w:t>Marianne C. Brown</w:t>
            </w:r>
          </w:p>
        </w:tc>
        <w:tc>
          <w:tcPr>
            <w:tcW w:w="3280" w:type="dxa"/>
            <w:vAlign w:val="bottom"/>
            <w:shd w:val="clear" w:color="auto" w:fill="D1DDE6"/>
          </w:tcPr>
          <w:p>
            <w:pPr>
              <w:jc w:val="center"/>
              <w:ind w:left="1203"/>
              <w:spacing w:after="0"/>
              <w:rPr>
                <w:sz w:val="20"/>
                <w:szCs w:val="20"/>
                <w:color w:val="auto"/>
              </w:rPr>
            </w:pPr>
            <w:r>
              <w:rPr>
                <w:rFonts w:ascii="Arial" w:cs="Arial" w:eastAsia="Arial" w:hAnsi="Arial"/>
                <w:sz w:val="15"/>
                <w:szCs w:val="15"/>
                <w:color w:val="auto"/>
              </w:rPr>
              <w:t>129,400</w:t>
            </w:r>
          </w:p>
        </w:tc>
        <w:tc>
          <w:tcPr>
            <w:tcW w:w="1340" w:type="dxa"/>
            <w:vAlign w:val="bottom"/>
            <w:shd w:val="clear" w:color="auto" w:fill="D1DDE6"/>
          </w:tcPr>
          <w:p>
            <w:pPr>
              <w:jc w:val="center"/>
              <w:spacing w:after="0"/>
              <w:rPr>
                <w:sz w:val="20"/>
                <w:szCs w:val="20"/>
                <w:color w:val="auto"/>
              </w:rPr>
            </w:pPr>
            <w:r>
              <w:rPr>
                <w:rFonts w:ascii="Arial" w:cs="Arial" w:eastAsia="Arial" w:hAnsi="Arial"/>
                <w:sz w:val="15"/>
                <w:szCs w:val="15"/>
                <w:color w:val="auto"/>
              </w:rPr>
              <w:t>155,000</w:t>
            </w:r>
          </w:p>
        </w:tc>
        <w:tc>
          <w:tcPr>
            <w:tcW w:w="2080" w:type="dxa"/>
            <w:vAlign w:val="bottom"/>
            <w:shd w:val="clear" w:color="auto" w:fill="D1DDE6"/>
          </w:tcPr>
          <w:p>
            <w:pPr>
              <w:jc w:val="center"/>
              <w:ind w:right="43"/>
              <w:spacing w:after="0"/>
              <w:rPr>
                <w:sz w:val="20"/>
                <w:szCs w:val="20"/>
                <w:color w:val="auto"/>
              </w:rPr>
            </w:pPr>
            <w:r>
              <w:rPr>
                <w:rFonts w:ascii="Arial" w:cs="Arial" w:eastAsia="Arial" w:hAnsi="Arial"/>
                <w:sz w:val="15"/>
                <w:szCs w:val="15"/>
                <w:color w:val="auto"/>
              </w:rPr>
              <w:t>18,825</w:t>
            </w:r>
          </w:p>
        </w:tc>
        <w:tc>
          <w:tcPr>
            <w:tcW w:w="1540" w:type="dxa"/>
            <w:vAlign w:val="bottom"/>
            <w:shd w:val="clear" w:color="auto" w:fill="D1DDE6"/>
          </w:tcPr>
          <w:p>
            <w:pPr>
              <w:jc w:val="center"/>
              <w:spacing w:after="0"/>
              <w:rPr>
                <w:sz w:val="20"/>
                <w:szCs w:val="20"/>
                <w:color w:val="auto"/>
              </w:rPr>
            </w:pPr>
            <w:r>
              <w:rPr>
                <w:rFonts w:ascii="Arial" w:cs="Arial" w:eastAsia="Arial" w:hAnsi="Arial"/>
                <w:sz w:val="15"/>
                <w:szCs w:val="15"/>
                <w:color w:val="auto"/>
                <w:w w:val="99"/>
              </w:rPr>
              <w:t>303,225</w:t>
            </w:r>
          </w:p>
        </w:tc>
      </w:tr>
      <w:tr>
        <w:trPr>
          <w:trHeight w:val="247"/>
        </w:trPr>
        <w:tc>
          <w:tcPr>
            <w:tcW w:w="3060" w:type="dxa"/>
            <w:vAlign w:val="bottom"/>
          </w:tcPr>
          <w:p>
            <w:pPr>
              <w:ind w:left="20"/>
              <w:spacing w:after="0"/>
              <w:rPr>
                <w:sz w:val="20"/>
                <w:szCs w:val="20"/>
                <w:color w:val="auto"/>
              </w:rPr>
            </w:pPr>
            <w:r>
              <w:rPr>
                <w:rFonts w:ascii="Arial" w:cs="Arial" w:eastAsia="Arial" w:hAnsi="Arial"/>
                <w:sz w:val="15"/>
                <w:szCs w:val="15"/>
                <w:color w:val="auto"/>
              </w:rPr>
              <w:t>Victor H. Fazio (4)</w:t>
            </w:r>
          </w:p>
        </w:tc>
        <w:tc>
          <w:tcPr>
            <w:tcW w:w="3280" w:type="dxa"/>
            <w:vAlign w:val="bottom"/>
          </w:tcPr>
          <w:p>
            <w:pPr>
              <w:jc w:val="center"/>
              <w:ind w:left="1203"/>
              <w:spacing w:after="0"/>
              <w:rPr>
                <w:sz w:val="20"/>
                <w:szCs w:val="20"/>
                <w:color w:val="auto"/>
              </w:rPr>
            </w:pPr>
            <w:r>
              <w:rPr>
                <w:rFonts w:ascii="Arial" w:cs="Arial" w:eastAsia="Arial" w:hAnsi="Arial"/>
                <w:sz w:val="15"/>
                <w:szCs w:val="15"/>
                <w:color w:val="auto"/>
              </w:rPr>
              <w:t>50,350</w:t>
            </w:r>
          </w:p>
        </w:tc>
        <w:tc>
          <w:tcPr>
            <w:tcW w:w="1340" w:type="dxa"/>
            <w:vAlign w:val="bottom"/>
          </w:tcPr>
          <w:p>
            <w:pPr>
              <w:jc w:val="center"/>
              <w:spacing w:after="0"/>
              <w:rPr>
                <w:sz w:val="20"/>
                <w:szCs w:val="20"/>
                <w:color w:val="auto"/>
              </w:rPr>
            </w:pPr>
            <w:r>
              <w:rPr>
                <w:rFonts w:ascii="Arial" w:cs="Arial" w:eastAsia="Arial" w:hAnsi="Arial"/>
                <w:sz w:val="15"/>
                <w:szCs w:val="15"/>
                <w:color w:val="auto"/>
              </w:rPr>
              <w:t>—</w:t>
            </w:r>
          </w:p>
        </w:tc>
        <w:tc>
          <w:tcPr>
            <w:tcW w:w="2080" w:type="dxa"/>
            <w:vAlign w:val="bottom"/>
          </w:tcPr>
          <w:p>
            <w:pPr>
              <w:jc w:val="center"/>
              <w:ind w:right="63"/>
              <w:spacing w:after="0"/>
              <w:rPr>
                <w:sz w:val="20"/>
                <w:szCs w:val="20"/>
                <w:color w:val="auto"/>
              </w:rPr>
            </w:pPr>
            <w:r>
              <w:rPr>
                <w:rFonts w:ascii="Arial" w:cs="Arial" w:eastAsia="Arial" w:hAnsi="Arial"/>
                <w:sz w:val="15"/>
                <w:szCs w:val="15"/>
                <w:color w:val="auto"/>
              </w:rPr>
              <w:t>4,621</w:t>
            </w:r>
          </w:p>
        </w:tc>
        <w:tc>
          <w:tcPr>
            <w:tcW w:w="1540" w:type="dxa"/>
            <w:vAlign w:val="bottom"/>
          </w:tcPr>
          <w:p>
            <w:pPr>
              <w:jc w:val="center"/>
              <w:spacing w:after="0"/>
              <w:rPr>
                <w:sz w:val="20"/>
                <w:szCs w:val="20"/>
                <w:color w:val="auto"/>
              </w:rPr>
            </w:pPr>
            <w:r>
              <w:rPr>
                <w:rFonts w:ascii="Arial" w:cs="Arial" w:eastAsia="Arial" w:hAnsi="Arial"/>
                <w:sz w:val="15"/>
                <w:szCs w:val="15"/>
                <w:color w:val="auto"/>
              </w:rPr>
              <w:t>54,971</w:t>
            </w:r>
          </w:p>
        </w:tc>
      </w:tr>
      <w:tr>
        <w:trPr>
          <w:trHeight w:val="265"/>
        </w:trPr>
        <w:tc>
          <w:tcPr>
            <w:tcW w:w="3060" w:type="dxa"/>
            <w:vAlign w:val="bottom"/>
            <w:shd w:val="clear" w:color="auto" w:fill="D1DDE6"/>
          </w:tcPr>
          <w:p>
            <w:pPr>
              <w:ind w:left="20"/>
              <w:spacing w:after="0"/>
              <w:rPr>
                <w:sz w:val="20"/>
                <w:szCs w:val="20"/>
                <w:color w:val="auto"/>
              </w:rPr>
            </w:pPr>
            <w:r>
              <w:rPr>
                <w:rFonts w:ascii="Arial" w:cs="Arial" w:eastAsia="Arial" w:hAnsi="Arial"/>
                <w:sz w:val="15"/>
                <w:szCs w:val="15"/>
                <w:color w:val="auto"/>
              </w:rPr>
              <w:t>Donald E. Felsinger</w:t>
            </w:r>
          </w:p>
        </w:tc>
        <w:tc>
          <w:tcPr>
            <w:tcW w:w="3280" w:type="dxa"/>
            <w:vAlign w:val="bottom"/>
            <w:shd w:val="clear" w:color="auto" w:fill="D1DDE6"/>
          </w:tcPr>
          <w:p>
            <w:pPr>
              <w:jc w:val="center"/>
              <w:ind w:left="1203"/>
              <w:spacing w:after="0"/>
              <w:rPr>
                <w:sz w:val="20"/>
                <w:szCs w:val="20"/>
                <w:color w:val="auto"/>
              </w:rPr>
            </w:pPr>
            <w:r>
              <w:rPr>
                <w:rFonts w:ascii="Arial" w:cs="Arial" w:eastAsia="Arial" w:hAnsi="Arial"/>
                <w:sz w:val="15"/>
                <w:szCs w:val="15"/>
                <w:color w:val="auto"/>
              </w:rPr>
              <w:t>160,600</w:t>
            </w:r>
          </w:p>
        </w:tc>
        <w:tc>
          <w:tcPr>
            <w:tcW w:w="1340" w:type="dxa"/>
            <w:vAlign w:val="bottom"/>
            <w:shd w:val="clear" w:color="auto" w:fill="D1DDE6"/>
          </w:tcPr>
          <w:p>
            <w:pPr>
              <w:jc w:val="center"/>
              <w:spacing w:after="0"/>
              <w:rPr>
                <w:sz w:val="20"/>
                <w:szCs w:val="20"/>
                <w:color w:val="auto"/>
              </w:rPr>
            </w:pPr>
            <w:r>
              <w:rPr>
                <w:rFonts w:ascii="Arial" w:cs="Arial" w:eastAsia="Arial" w:hAnsi="Arial"/>
                <w:sz w:val="15"/>
                <w:szCs w:val="15"/>
                <w:color w:val="auto"/>
              </w:rPr>
              <w:t>155,000</w:t>
            </w:r>
          </w:p>
        </w:tc>
        <w:tc>
          <w:tcPr>
            <w:tcW w:w="2080" w:type="dxa"/>
            <w:vAlign w:val="bottom"/>
            <w:shd w:val="clear" w:color="auto" w:fill="D1DDE6"/>
          </w:tcPr>
          <w:p>
            <w:pPr>
              <w:jc w:val="center"/>
              <w:ind w:right="43"/>
              <w:spacing w:after="0"/>
              <w:rPr>
                <w:sz w:val="20"/>
                <w:szCs w:val="20"/>
                <w:color w:val="auto"/>
              </w:rPr>
            </w:pPr>
            <w:r>
              <w:rPr>
                <w:rFonts w:ascii="Arial" w:cs="Arial" w:eastAsia="Arial" w:hAnsi="Arial"/>
                <w:sz w:val="15"/>
                <w:szCs w:val="15"/>
                <w:color w:val="auto"/>
              </w:rPr>
              <w:t>36,576</w:t>
            </w:r>
          </w:p>
        </w:tc>
        <w:tc>
          <w:tcPr>
            <w:tcW w:w="1540" w:type="dxa"/>
            <w:vAlign w:val="bottom"/>
            <w:shd w:val="clear" w:color="auto" w:fill="D1DDE6"/>
          </w:tcPr>
          <w:p>
            <w:pPr>
              <w:jc w:val="center"/>
              <w:spacing w:after="0"/>
              <w:rPr>
                <w:sz w:val="20"/>
                <w:szCs w:val="20"/>
                <w:color w:val="auto"/>
              </w:rPr>
            </w:pPr>
            <w:r>
              <w:rPr>
                <w:rFonts w:ascii="Arial" w:cs="Arial" w:eastAsia="Arial" w:hAnsi="Arial"/>
                <w:sz w:val="15"/>
                <w:szCs w:val="15"/>
                <w:color w:val="auto"/>
                <w:w w:val="99"/>
              </w:rPr>
              <w:t>352,176</w:t>
            </w:r>
          </w:p>
        </w:tc>
      </w:tr>
      <w:tr>
        <w:trPr>
          <w:trHeight w:val="247"/>
        </w:trPr>
        <w:tc>
          <w:tcPr>
            <w:tcW w:w="3060" w:type="dxa"/>
            <w:vAlign w:val="bottom"/>
          </w:tcPr>
          <w:p>
            <w:pPr>
              <w:ind w:left="20"/>
              <w:spacing w:after="0"/>
              <w:rPr>
                <w:sz w:val="20"/>
                <w:szCs w:val="20"/>
                <w:color w:val="auto"/>
              </w:rPr>
            </w:pPr>
            <w:r>
              <w:rPr>
                <w:rFonts w:ascii="Arial" w:cs="Arial" w:eastAsia="Arial" w:hAnsi="Arial"/>
                <w:sz w:val="15"/>
                <w:szCs w:val="15"/>
                <w:color w:val="auto"/>
              </w:rPr>
              <w:t>Ann M. Fudge</w:t>
            </w:r>
          </w:p>
        </w:tc>
        <w:tc>
          <w:tcPr>
            <w:tcW w:w="3280" w:type="dxa"/>
            <w:vAlign w:val="bottom"/>
          </w:tcPr>
          <w:p>
            <w:pPr>
              <w:jc w:val="center"/>
              <w:ind w:left="1203"/>
              <w:spacing w:after="0"/>
              <w:rPr>
                <w:sz w:val="20"/>
                <w:szCs w:val="20"/>
                <w:color w:val="auto"/>
              </w:rPr>
            </w:pPr>
            <w:r>
              <w:rPr>
                <w:rFonts w:ascii="Arial" w:cs="Arial" w:eastAsia="Arial" w:hAnsi="Arial"/>
                <w:sz w:val="15"/>
                <w:szCs w:val="15"/>
                <w:color w:val="auto"/>
              </w:rPr>
              <w:t>135,600</w:t>
            </w:r>
          </w:p>
        </w:tc>
        <w:tc>
          <w:tcPr>
            <w:tcW w:w="1340" w:type="dxa"/>
            <w:vAlign w:val="bottom"/>
          </w:tcPr>
          <w:p>
            <w:pPr>
              <w:jc w:val="center"/>
              <w:spacing w:after="0"/>
              <w:rPr>
                <w:sz w:val="20"/>
                <w:szCs w:val="20"/>
                <w:color w:val="auto"/>
              </w:rPr>
            </w:pPr>
            <w:r>
              <w:rPr>
                <w:rFonts w:ascii="Arial" w:cs="Arial" w:eastAsia="Arial" w:hAnsi="Arial"/>
                <w:sz w:val="15"/>
                <w:szCs w:val="15"/>
                <w:color w:val="auto"/>
              </w:rPr>
              <w:t>155,000</w:t>
            </w:r>
          </w:p>
        </w:tc>
        <w:tc>
          <w:tcPr>
            <w:tcW w:w="2080" w:type="dxa"/>
            <w:vAlign w:val="bottom"/>
          </w:tcPr>
          <w:p>
            <w:pPr>
              <w:jc w:val="center"/>
              <w:ind w:right="43"/>
              <w:spacing w:after="0"/>
              <w:rPr>
                <w:sz w:val="20"/>
                <w:szCs w:val="20"/>
                <w:color w:val="auto"/>
              </w:rPr>
            </w:pPr>
            <w:r>
              <w:rPr>
                <w:rFonts w:ascii="Arial" w:cs="Arial" w:eastAsia="Arial" w:hAnsi="Arial"/>
                <w:sz w:val="15"/>
                <w:szCs w:val="15"/>
                <w:color w:val="auto"/>
              </w:rPr>
              <w:t>29,379</w:t>
            </w:r>
          </w:p>
        </w:tc>
        <w:tc>
          <w:tcPr>
            <w:tcW w:w="1540" w:type="dxa"/>
            <w:vAlign w:val="bottom"/>
          </w:tcPr>
          <w:p>
            <w:pPr>
              <w:jc w:val="center"/>
              <w:spacing w:after="0"/>
              <w:rPr>
                <w:sz w:val="20"/>
                <w:szCs w:val="20"/>
                <w:color w:val="auto"/>
              </w:rPr>
            </w:pPr>
            <w:r>
              <w:rPr>
                <w:rFonts w:ascii="Arial" w:cs="Arial" w:eastAsia="Arial" w:hAnsi="Arial"/>
                <w:sz w:val="15"/>
                <w:szCs w:val="15"/>
                <w:color w:val="auto"/>
                <w:w w:val="99"/>
              </w:rPr>
              <w:t>319,979</w:t>
            </w:r>
          </w:p>
        </w:tc>
      </w:tr>
      <w:tr>
        <w:trPr>
          <w:trHeight w:val="265"/>
        </w:trPr>
        <w:tc>
          <w:tcPr>
            <w:tcW w:w="3060" w:type="dxa"/>
            <w:vAlign w:val="bottom"/>
            <w:shd w:val="clear" w:color="auto" w:fill="D1DDE6"/>
          </w:tcPr>
          <w:p>
            <w:pPr>
              <w:ind w:left="20"/>
              <w:spacing w:after="0"/>
              <w:rPr>
                <w:sz w:val="20"/>
                <w:szCs w:val="20"/>
                <w:color w:val="auto"/>
              </w:rPr>
            </w:pPr>
            <w:r>
              <w:rPr>
                <w:rFonts w:ascii="Arial" w:cs="Arial" w:eastAsia="Arial" w:hAnsi="Arial"/>
                <w:sz w:val="15"/>
                <w:szCs w:val="15"/>
                <w:color w:val="auto"/>
              </w:rPr>
              <w:t>Bruce S. Gordon</w:t>
            </w:r>
          </w:p>
        </w:tc>
        <w:tc>
          <w:tcPr>
            <w:tcW w:w="3280" w:type="dxa"/>
            <w:vAlign w:val="bottom"/>
            <w:shd w:val="clear" w:color="auto" w:fill="D1DDE6"/>
          </w:tcPr>
          <w:p>
            <w:pPr>
              <w:jc w:val="center"/>
              <w:ind w:left="1203"/>
              <w:spacing w:after="0"/>
              <w:rPr>
                <w:sz w:val="20"/>
                <w:szCs w:val="20"/>
                <w:color w:val="auto"/>
              </w:rPr>
            </w:pPr>
            <w:r>
              <w:rPr>
                <w:rFonts w:ascii="Arial" w:cs="Arial" w:eastAsia="Arial" w:hAnsi="Arial"/>
                <w:sz w:val="15"/>
                <w:szCs w:val="15"/>
                <w:color w:val="auto"/>
              </w:rPr>
              <w:t>128,450</w:t>
            </w:r>
          </w:p>
        </w:tc>
        <w:tc>
          <w:tcPr>
            <w:tcW w:w="1340" w:type="dxa"/>
            <w:vAlign w:val="bottom"/>
            <w:shd w:val="clear" w:color="auto" w:fill="D1DDE6"/>
          </w:tcPr>
          <w:p>
            <w:pPr>
              <w:jc w:val="center"/>
              <w:spacing w:after="0"/>
              <w:rPr>
                <w:sz w:val="20"/>
                <w:szCs w:val="20"/>
                <w:color w:val="auto"/>
              </w:rPr>
            </w:pPr>
            <w:r>
              <w:rPr>
                <w:rFonts w:ascii="Arial" w:cs="Arial" w:eastAsia="Arial" w:hAnsi="Arial"/>
                <w:sz w:val="15"/>
                <w:szCs w:val="15"/>
                <w:color w:val="auto"/>
              </w:rPr>
              <w:t>155,000</w:t>
            </w:r>
          </w:p>
        </w:tc>
        <w:tc>
          <w:tcPr>
            <w:tcW w:w="2080" w:type="dxa"/>
            <w:vAlign w:val="bottom"/>
            <w:shd w:val="clear" w:color="auto" w:fill="D1DDE6"/>
          </w:tcPr>
          <w:p>
            <w:pPr>
              <w:jc w:val="center"/>
              <w:ind w:right="43"/>
              <w:spacing w:after="0"/>
              <w:rPr>
                <w:sz w:val="20"/>
                <w:szCs w:val="20"/>
                <w:color w:val="auto"/>
              </w:rPr>
            </w:pPr>
            <w:r>
              <w:rPr>
                <w:rFonts w:ascii="Arial" w:cs="Arial" w:eastAsia="Arial" w:hAnsi="Arial"/>
                <w:sz w:val="15"/>
                <w:szCs w:val="15"/>
                <w:color w:val="auto"/>
              </w:rPr>
              <w:t>39,875</w:t>
            </w:r>
          </w:p>
        </w:tc>
        <w:tc>
          <w:tcPr>
            <w:tcW w:w="1540" w:type="dxa"/>
            <w:vAlign w:val="bottom"/>
            <w:shd w:val="clear" w:color="auto" w:fill="D1DDE6"/>
          </w:tcPr>
          <w:p>
            <w:pPr>
              <w:jc w:val="center"/>
              <w:spacing w:after="0"/>
              <w:rPr>
                <w:sz w:val="20"/>
                <w:szCs w:val="20"/>
                <w:color w:val="auto"/>
              </w:rPr>
            </w:pPr>
            <w:r>
              <w:rPr>
                <w:rFonts w:ascii="Arial" w:cs="Arial" w:eastAsia="Arial" w:hAnsi="Arial"/>
                <w:sz w:val="15"/>
                <w:szCs w:val="15"/>
                <w:color w:val="auto"/>
                <w:w w:val="99"/>
              </w:rPr>
              <w:t>323,325</w:t>
            </w:r>
          </w:p>
        </w:tc>
      </w:tr>
      <w:tr>
        <w:trPr>
          <w:trHeight w:val="247"/>
        </w:trPr>
        <w:tc>
          <w:tcPr>
            <w:tcW w:w="3060" w:type="dxa"/>
            <w:vAlign w:val="bottom"/>
          </w:tcPr>
          <w:p>
            <w:pPr>
              <w:ind w:left="20"/>
              <w:spacing w:after="0"/>
              <w:rPr>
                <w:sz w:val="20"/>
                <w:szCs w:val="20"/>
                <w:color w:val="auto"/>
              </w:rPr>
            </w:pPr>
            <w:r>
              <w:rPr>
                <w:rFonts w:ascii="Arial" w:cs="Arial" w:eastAsia="Arial" w:hAnsi="Arial"/>
                <w:sz w:val="15"/>
                <w:szCs w:val="15"/>
                <w:color w:val="auto"/>
              </w:rPr>
              <w:t>William H. Hernandez</w:t>
            </w:r>
          </w:p>
        </w:tc>
        <w:tc>
          <w:tcPr>
            <w:tcW w:w="3280" w:type="dxa"/>
            <w:vAlign w:val="bottom"/>
          </w:tcPr>
          <w:p>
            <w:pPr>
              <w:jc w:val="center"/>
              <w:ind w:left="1203"/>
              <w:spacing w:after="0"/>
              <w:rPr>
                <w:sz w:val="20"/>
                <w:szCs w:val="20"/>
                <w:color w:val="auto"/>
              </w:rPr>
            </w:pPr>
            <w:r>
              <w:rPr>
                <w:rFonts w:ascii="Arial" w:cs="Arial" w:eastAsia="Arial" w:hAnsi="Arial"/>
                <w:sz w:val="15"/>
                <w:szCs w:val="15"/>
                <w:color w:val="auto"/>
              </w:rPr>
              <w:t>155,600</w:t>
            </w:r>
          </w:p>
        </w:tc>
        <w:tc>
          <w:tcPr>
            <w:tcW w:w="1340" w:type="dxa"/>
            <w:vAlign w:val="bottom"/>
          </w:tcPr>
          <w:p>
            <w:pPr>
              <w:jc w:val="center"/>
              <w:spacing w:after="0"/>
              <w:rPr>
                <w:sz w:val="20"/>
                <w:szCs w:val="20"/>
                <w:color w:val="auto"/>
              </w:rPr>
            </w:pPr>
            <w:r>
              <w:rPr>
                <w:rFonts w:ascii="Arial" w:cs="Arial" w:eastAsia="Arial" w:hAnsi="Arial"/>
                <w:sz w:val="15"/>
                <w:szCs w:val="15"/>
                <w:color w:val="auto"/>
              </w:rPr>
              <w:t>155,000</w:t>
            </w:r>
          </w:p>
        </w:tc>
        <w:tc>
          <w:tcPr>
            <w:tcW w:w="2080" w:type="dxa"/>
            <w:vAlign w:val="bottom"/>
          </w:tcPr>
          <w:p>
            <w:pPr>
              <w:jc w:val="center"/>
              <w:ind w:right="43"/>
              <w:spacing w:after="0"/>
              <w:rPr>
                <w:sz w:val="20"/>
                <w:szCs w:val="20"/>
                <w:color w:val="auto"/>
              </w:rPr>
            </w:pPr>
            <w:r>
              <w:rPr>
                <w:rFonts w:ascii="Arial" w:cs="Arial" w:eastAsia="Arial" w:hAnsi="Arial"/>
                <w:sz w:val="15"/>
                <w:szCs w:val="15"/>
                <w:color w:val="auto"/>
              </w:rPr>
              <w:t>10,799</w:t>
            </w:r>
          </w:p>
        </w:tc>
        <w:tc>
          <w:tcPr>
            <w:tcW w:w="1540" w:type="dxa"/>
            <w:vAlign w:val="bottom"/>
          </w:tcPr>
          <w:p>
            <w:pPr>
              <w:jc w:val="center"/>
              <w:spacing w:after="0"/>
              <w:rPr>
                <w:sz w:val="20"/>
                <w:szCs w:val="20"/>
                <w:color w:val="auto"/>
              </w:rPr>
            </w:pPr>
            <w:r>
              <w:rPr>
                <w:rFonts w:ascii="Arial" w:cs="Arial" w:eastAsia="Arial" w:hAnsi="Arial"/>
                <w:sz w:val="15"/>
                <w:szCs w:val="15"/>
                <w:color w:val="auto"/>
                <w:w w:val="99"/>
              </w:rPr>
              <w:t>321,399</w:t>
            </w:r>
          </w:p>
        </w:tc>
      </w:tr>
      <w:tr>
        <w:trPr>
          <w:trHeight w:val="265"/>
        </w:trPr>
        <w:tc>
          <w:tcPr>
            <w:tcW w:w="3060" w:type="dxa"/>
            <w:vAlign w:val="bottom"/>
            <w:shd w:val="clear" w:color="auto" w:fill="D1DDE6"/>
          </w:tcPr>
          <w:p>
            <w:pPr>
              <w:ind w:left="20"/>
              <w:spacing w:after="0"/>
              <w:rPr>
                <w:sz w:val="20"/>
                <w:szCs w:val="20"/>
                <w:color w:val="auto"/>
              </w:rPr>
            </w:pPr>
            <w:r>
              <w:rPr>
                <w:rFonts w:ascii="Arial" w:cs="Arial" w:eastAsia="Arial" w:hAnsi="Arial"/>
                <w:sz w:val="15"/>
                <w:szCs w:val="15"/>
                <w:color w:val="auto"/>
              </w:rPr>
              <w:t>Madeleine A. Kleiner</w:t>
            </w:r>
          </w:p>
        </w:tc>
        <w:tc>
          <w:tcPr>
            <w:tcW w:w="3280" w:type="dxa"/>
            <w:vAlign w:val="bottom"/>
            <w:shd w:val="clear" w:color="auto" w:fill="D1DDE6"/>
          </w:tcPr>
          <w:p>
            <w:pPr>
              <w:jc w:val="center"/>
              <w:ind w:left="1203"/>
              <w:spacing w:after="0"/>
              <w:rPr>
                <w:sz w:val="20"/>
                <w:szCs w:val="20"/>
                <w:color w:val="auto"/>
              </w:rPr>
            </w:pPr>
            <w:r>
              <w:rPr>
                <w:rFonts w:ascii="Arial" w:cs="Arial" w:eastAsia="Arial" w:hAnsi="Arial"/>
                <w:sz w:val="15"/>
                <w:szCs w:val="15"/>
                <w:color w:val="auto"/>
              </w:rPr>
              <w:t>153,700</w:t>
            </w:r>
          </w:p>
        </w:tc>
        <w:tc>
          <w:tcPr>
            <w:tcW w:w="1340" w:type="dxa"/>
            <w:vAlign w:val="bottom"/>
            <w:shd w:val="clear" w:color="auto" w:fill="D1DDE6"/>
          </w:tcPr>
          <w:p>
            <w:pPr>
              <w:jc w:val="center"/>
              <w:spacing w:after="0"/>
              <w:rPr>
                <w:sz w:val="20"/>
                <w:szCs w:val="20"/>
                <w:color w:val="auto"/>
              </w:rPr>
            </w:pPr>
            <w:r>
              <w:rPr>
                <w:rFonts w:ascii="Arial" w:cs="Arial" w:eastAsia="Arial" w:hAnsi="Arial"/>
                <w:sz w:val="15"/>
                <w:szCs w:val="15"/>
                <w:color w:val="auto"/>
              </w:rPr>
              <w:t>155,000</w:t>
            </w:r>
          </w:p>
        </w:tc>
        <w:tc>
          <w:tcPr>
            <w:tcW w:w="2080" w:type="dxa"/>
            <w:vAlign w:val="bottom"/>
            <w:shd w:val="clear" w:color="auto" w:fill="D1DDE6"/>
          </w:tcPr>
          <w:p>
            <w:pPr>
              <w:jc w:val="center"/>
              <w:ind w:right="43"/>
              <w:spacing w:after="0"/>
              <w:rPr>
                <w:sz w:val="20"/>
                <w:szCs w:val="20"/>
                <w:color w:val="auto"/>
              </w:rPr>
            </w:pPr>
            <w:r>
              <w:rPr>
                <w:rFonts w:ascii="Arial" w:cs="Arial" w:eastAsia="Arial" w:hAnsi="Arial"/>
                <w:sz w:val="15"/>
                <w:szCs w:val="15"/>
                <w:color w:val="auto"/>
              </w:rPr>
              <w:t>19,475</w:t>
            </w:r>
          </w:p>
        </w:tc>
        <w:tc>
          <w:tcPr>
            <w:tcW w:w="1540" w:type="dxa"/>
            <w:vAlign w:val="bottom"/>
            <w:shd w:val="clear" w:color="auto" w:fill="D1DDE6"/>
          </w:tcPr>
          <w:p>
            <w:pPr>
              <w:jc w:val="center"/>
              <w:spacing w:after="0"/>
              <w:rPr>
                <w:sz w:val="20"/>
                <w:szCs w:val="20"/>
                <w:color w:val="auto"/>
              </w:rPr>
            </w:pPr>
            <w:r>
              <w:rPr>
                <w:rFonts w:ascii="Arial" w:cs="Arial" w:eastAsia="Arial" w:hAnsi="Arial"/>
                <w:sz w:val="15"/>
                <w:szCs w:val="15"/>
                <w:color w:val="auto"/>
                <w:w w:val="99"/>
              </w:rPr>
              <w:t>328,175</w:t>
            </w:r>
          </w:p>
        </w:tc>
      </w:tr>
      <w:tr>
        <w:trPr>
          <w:trHeight w:val="247"/>
        </w:trPr>
        <w:tc>
          <w:tcPr>
            <w:tcW w:w="3060" w:type="dxa"/>
            <w:vAlign w:val="bottom"/>
          </w:tcPr>
          <w:p>
            <w:pPr>
              <w:ind w:left="20"/>
              <w:spacing w:after="0"/>
              <w:rPr>
                <w:sz w:val="20"/>
                <w:szCs w:val="20"/>
                <w:color w:val="auto"/>
              </w:rPr>
            </w:pPr>
            <w:r>
              <w:rPr>
                <w:rFonts w:ascii="Arial" w:cs="Arial" w:eastAsia="Arial" w:hAnsi="Arial"/>
                <w:sz w:val="15"/>
                <w:szCs w:val="15"/>
                <w:color w:val="auto"/>
              </w:rPr>
              <w:t>Karl J. Krapek</w:t>
            </w:r>
          </w:p>
        </w:tc>
        <w:tc>
          <w:tcPr>
            <w:tcW w:w="3280" w:type="dxa"/>
            <w:vAlign w:val="bottom"/>
          </w:tcPr>
          <w:p>
            <w:pPr>
              <w:jc w:val="center"/>
              <w:ind w:left="1203"/>
              <w:spacing w:after="0"/>
              <w:rPr>
                <w:sz w:val="20"/>
                <w:szCs w:val="20"/>
                <w:color w:val="auto"/>
              </w:rPr>
            </w:pPr>
            <w:r>
              <w:rPr>
                <w:rFonts w:ascii="Arial" w:cs="Arial" w:eastAsia="Arial" w:hAnsi="Arial"/>
                <w:sz w:val="15"/>
                <w:szCs w:val="15"/>
                <w:color w:val="auto"/>
              </w:rPr>
              <w:t>133,200</w:t>
            </w:r>
          </w:p>
        </w:tc>
        <w:tc>
          <w:tcPr>
            <w:tcW w:w="1340" w:type="dxa"/>
            <w:vAlign w:val="bottom"/>
          </w:tcPr>
          <w:p>
            <w:pPr>
              <w:jc w:val="center"/>
              <w:spacing w:after="0"/>
              <w:rPr>
                <w:sz w:val="20"/>
                <w:szCs w:val="20"/>
                <w:color w:val="auto"/>
              </w:rPr>
            </w:pPr>
            <w:r>
              <w:rPr>
                <w:rFonts w:ascii="Arial" w:cs="Arial" w:eastAsia="Arial" w:hAnsi="Arial"/>
                <w:sz w:val="15"/>
                <w:szCs w:val="15"/>
                <w:color w:val="auto"/>
              </w:rPr>
              <w:t>155,000</w:t>
            </w:r>
          </w:p>
        </w:tc>
        <w:tc>
          <w:tcPr>
            <w:tcW w:w="2080" w:type="dxa"/>
            <w:vAlign w:val="bottom"/>
          </w:tcPr>
          <w:p>
            <w:pPr>
              <w:jc w:val="center"/>
              <w:ind w:right="43"/>
              <w:spacing w:after="0"/>
              <w:rPr>
                <w:sz w:val="20"/>
                <w:szCs w:val="20"/>
                <w:color w:val="auto"/>
              </w:rPr>
            </w:pPr>
            <w:r>
              <w:rPr>
                <w:rFonts w:ascii="Arial" w:cs="Arial" w:eastAsia="Arial" w:hAnsi="Arial"/>
                <w:sz w:val="15"/>
                <w:szCs w:val="15"/>
                <w:color w:val="auto"/>
              </w:rPr>
              <w:t>22,356</w:t>
            </w:r>
          </w:p>
        </w:tc>
        <w:tc>
          <w:tcPr>
            <w:tcW w:w="1540" w:type="dxa"/>
            <w:vAlign w:val="bottom"/>
          </w:tcPr>
          <w:p>
            <w:pPr>
              <w:jc w:val="center"/>
              <w:spacing w:after="0"/>
              <w:rPr>
                <w:sz w:val="20"/>
                <w:szCs w:val="20"/>
                <w:color w:val="auto"/>
              </w:rPr>
            </w:pPr>
            <w:r>
              <w:rPr>
                <w:rFonts w:ascii="Arial" w:cs="Arial" w:eastAsia="Arial" w:hAnsi="Arial"/>
                <w:sz w:val="15"/>
                <w:szCs w:val="15"/>
                <w:color w:val="auto"/>
                <w:w w:val="99"/>
              </w:rPr>
              <w:t>310,556</w:t>
            </w:r>
          </w:p>
        </w:tc>
      </w:tr>
      <w:tr>
        <w:trPr>
          <w:trHeight w:val="265"/>
        </w:trPr>
        <w:tc>
          <w:tcPr>
            <w:tcW w:w="3060" w:type="dxa"/>
            <w:vAlign w:val="bottom"/>
            <w:shd w:val="clear" w:color="auto" w:fill="D1DDE6"/>
          </w:tcPr>
          <w:p>
            <w:pPr>
              <w:ind w:left="20"/>
              <w:spacing w:after="0"/>
              <w:rPr>
                <w:sz w:val="20"/>
                <w:szCs w:val="20"/>
                <w:color w:val="auto"/>
              </w:rPr>
            </w:pPr>
            <w:r>
              <w:rPr>
                <w:rFonts w:ascii="Arial" w:cs="Arial" w:eastAsia="Arial" w:hAnsi="Arial"/>
                <w:sz w:val="15"/>
                <w:szCs w:val="15"/>
                <w:color w:val="auto"/>
              </w:rPr>
              <w:t>Gary Roughead</w:t>
            </w:r>
          </w:p>
        </w:tc>
        <w:tc>
          <w:tcPr>
            <w:tcW w:w="3280" w:type="dxa"/>
            <w:vAlign w:val="bottom"/>
            <w:shd w:val="clear" w:color="auto" w:fill="D1DDE6"/>
          </w:tcPr>
          <w:p>
            <w:pPr>
              <w:jc w:val="center"/>
              <w:ind w:left="1203"/>
              <w:spacing w:after="0"/>
              <w:rPr>
                <w:sz w:val="20"/>
                <w:szCs w:val="20"/>
                <w:color w:val="auto"/>
              </w:rPr>
            </w:pPr>
            <w:r>
              <w:rPr>
                <w:rFonts w:ascii="Arial" w:cs="Arial" w:eastAsia="Arial" w:hAnsi="Arial"/>
                <w:sz w:val="15"/>
                <w:szCs w:val="15"/>
                <w:color w:val="auto"/>
              </w:rPr>
              <w:t>138,000</w:t>
            </w:r>
          </w:p>
        </w:tc>
        <w:tc>
          <w:tcPr>
            <w:tcW w:w="1340" w:type="dxa"/>
            <w:vAlign w:val="bottom"/>
            <w:shd w:val="clear" w:color="auto" w:fill="D1DDE6"/>
          </w:tcPr>
          <w:p>
            <w:pPr>
              <w:jc w:val="center"/>
              <w:spacing w:after="0"/>
              <w:rPr>
                <w:sz w:val="20"/>
                <w:szCs w:val="20"/>
                <w:color w:val="auto"/>
              </w:rPr>
            </w:pPr>
            <w:r>
              <w:rPr>
                <w:rFonts w:ascii="Arial" w:cs="Arial" w:eastAsia="Arial" w:hAnsi="Arial"/>
                <w:sz w:val="15"/>
                <w:szCs w:val="15"/>
                <w:color w:val="auto"/>
              </w:rPr>
              <w:t>155,000</w:t>
            </w:r>
          </w:p>
        </w:tc>
        <w:tc>
          <w:tcPr>
            <w:tcW w:w="2080" w:type="dxa"/>
            <w:vAlign w:val="bottom"/>
            <w:shd w:val="clear" w:color="auto" w:fill="D1DDE6"/>
          </w:tcPr>
          <w:p>
            <w:pPr>
              <w:jc w:val="center"/>
              <w:ind w:right="63"/>
              <w:spacing w:after="0"/>
              <w:rPr>
                <w:sz w:val="20"/>
                <w:szCs w:val="20"/>
                <w:color w:val="auto"/>
              </w:rPr>
            </w:pPr>
            <w:r>
              <w:rPr>
                <w:rFonts w:ascii="Arial" w:cs="Arial" w:eastAsia="Arial" w:hAnsi="Arial"/>
                <w:sz w:val="15"/>
                <w:szCs w:val="15"/>
                <w:color w:val="auto"/>
              </w:rPr>
              <w:t>2,279</w:t>
            </w:r>
          </w:p>
        </w:tc>
        <w:tc>
          <w:tcPr>
            <w:tcW w:w="1540" w:type="dxa"/>
            <w:vAlign w:val="bottom"/>
            <w:shd w:val="clear" w:color="auto" w:fill="D1DDE6"/>
          </w:tcPr>
          <w:p>
            <w:pPr>
              <w:jc w:val="center"/>
              <w:spacing w:after="0"/>
              <w:rPr>
                <w:sz w:val="20"/>
                <w:szCs w:val="20"/>
                <w:color w:val="auto"/>
              </w:rPr>
            </w:pPr>
            <w:r>
              <w:rPr>
                <w:rFonts w:ascii="Arial" w:cs="Arial" w:eastAsia="Arial" w:hAnsi="Arial"/>
                <w:sz w:val="15"/>
                <w:szCs w:val="15"/>
                <w:color w:val="auto"/>
                <w:w w:val="99"/>
              </w:rPr>
              <w:t>295,279</w:t>
            </w:r>
          </w:p>
        </w:tc>
      </w:tr>
      <w:tr>
        <w:trPr>
          <w:trHeight w:val="247"/>
        </w:trPr>
        <w:tc>
          <w:tcPr>
            <w:tcW w:w="3060" w:type="dxa"/>
            <w:vAlign w:val="bottom"/>
          </w:tcPr>
          <w:p>
            <w:pPr>
              <w:ind w:left="20"/>
              <w:spacing w:after="0"/>
              <w:rPr>
                <w:sz w:val="20"/>
                <w:szCs w:val="20"/>
                <w:color w:val="auto"/>
              </w:rPr>
            </w:pPr>
            <w:r>
              <w:rPr>
                <w:rFonts w:ascii="Arial" w:cs="Arial" w:eastAsia="Arial" w:hAnsi="Arial"/>
                <w:sz w:val="15"/>
                <w:szCs w:val="15"/>
                <w:color w:val="auto"/>
              </w:rPr>
              <w:t>Thomas M. Schoewe</w:t>
            </w:r>
          </w:p>
        </w:tc>
        <w:tc>
          <w:tcPr>
            <w:tcW w:w="3280" w:type="dxa"/>
            <w:vAlign w:val="bottom"/>
          </w:tcPr>
          <w:p>
            <w:pPr>
              <w:jc w:val="center"/>
              <w:ind w:left="1203"/>
              <w:spacing w:after="0"/>
              <w:rPr>
                <w:sz w:val="20"/>
                <w:szCs w:val="20"/>
                <w:color w:val="auto"/>
              </w:rPr>
            </w:pPr>
            <w:r>
              <w:rPr>
                <w:rFonts w:ascii="Arial" w:cs="Arial" w:eastAsia="Arial" w:hAnsi="Arial"/>
                <w:sz w:val="15"/>
                <w:szCs w:val="15"/>
                <w:color w:val="auto"/>
              </w:rPr>
              <w:t>138,000</w:t>
            </w:r>
          </w:p>
        </w:tc>
        <w:tc>
          <w:tcPr>
            <w:tcW w:w="1340" w:type="dxa"/>
            <w:vAlign w:val="bottom"/>
          </w:tcPr>
          <w:p>
            <w:pPr>
              <w:jc w:val="center"/>
              <w:spacing w:after="0"/>
              <w:rPr>
                <w:sz w:val="20"/>
                <w:szCs w:val="20"/>
                <w:color w:val="auto"/>
              </w:rPr>
            </w:pPr>
            <w:r>
              <w:rPr>
                <w:rFonts w:ascii="Arial" w:cs="Arial" w:eastAsia="Arial" w:hAnsi="Arial"/>
                <w:sz w:val="15"/>
                <w:szCs w:val="15"/>
                <w:color w:val="auto"/>
              </w:rPr>
              <w:t>155,000</w:t>
            </w:r>
          </w:p>
        </w:tc>
        <w:tc>
          <w:tcPr>
            <w:tcW w:w="2080" w:type="dxa"/>
            <w:vAlign w:val="bottom"/>
          </w:tcPr>
          <w:p>
            <w:pPr>
              <w:jc w:val="center"/>
              <w:ind w:right="63"/>
              <w:spacing w:after="0"/>
              <w:rPr>
                <w:sz w:val="20"/>
                <w:szCs w:val="20"/>
                <w:color w:val="auto"/>
              </w:rPr>
            </w:pPr>
            <w:r>
              <w:rPr>
                <w:rFonts w:ascii="Arial" w:cs="Arial" w:eastAsia="Arial" w:hAnsi="Arial"/>
                <w:sz w:val="15"/>
                <w:szCs w:val="15"/>
                <w:color w:val="auto"/>
              </w:rPr>
              <w:t>2,994</w:t>
            </w:r>
          </w:p>
        </w:tc>
        <w:tc>
          <w:tcPr>
            <w:tcW w:w="1540" w:type="dxa"/>
            <w:vAlign w:val="bottom"/>
          </w:tcPr>
          <w:p>
            <w:pPr>
              <w:jc w:val="center"/>
              <w:spacing w:after="0"/>
              <w:rPr>
                <w:sz w:val="20"/>
                <w:szCs w:val="20"/>
                <w:color w:val="auto"/>
              </w:rPr>
            </w:pPr>
            <w:r>
              <w:rPr>
                <w:rFonts w:ascii="Arial" w:cs="Arial" w:eastAsia="Arial" w:hAnsi="Arial"/>
                <w:sz w:val="15"/>
                <w:szCs w:val="15"/>
                <w:color w:val="auto"/>
                <w:w w:val="99"/>
              </w:rPr>
              <w:t>295,994</w:t>
            </w:r>
          </w:p>
        </w:tc>
      </w:tr>
      <w:tr>
        <w:trPr>
          <w:trHeight w:val="265"/>
        </w:trPr>
        <w:tc>
          <w:tcPr>
            <w:tcW w:w="3060" w:type="dxa"/>
            <w:vAlign w:val="bottom"/>
            <w:shd w:val="clear" w:color="auto" w:fill="D1DDE6"/>
          </w:tcPr>
          <w:p>
            <w:pPr>
              <w:ind w:left="20"/>
              <w:spacing w:after="0"/>
              <w:rPr>
                <w:sz w:val="20"/>
                <w:szCs w:val="20"/>
                <w:color w:val="auto"/>
              </w:rPr>
            </w:pPr>
            <w:r>
              <w:rPr>
                <w:rFonts w:ascii="Arial" w:cs="Arial" w:eastAsia="Arial" w:hAnsi="Arial"/>
                <w:sz w:val="15"/>
                <w:szCs w:val="15"/>
                <w:color w:val="auto"/>
              </w:rPr>
              <w:t>James S. Turley</w:t>
            </w:r>
          </w:p>
        </w:tc>
        <w:tc>
          <w:tcPr>
            <w:tcW w:w="3280" w:type="dxa"/>
            <w:vAlign w:val="bottom"/>
            <w:shd w:val="clear" w:color="auto" w:fill="D1DDE6"/>
          </w:tcPr>
          <w:p>
            <w:pPr>
              <w:jc w:val="center"/>
              <w:ind w:left="1203"/>
              <w:spacing w:after="0"/>
              <w:rPr>
                <w:sz w:val="20"/>
                <w:szCs w:val="20"/>
                <w:color w:val="auto"/>
              </w:rPr>
            </w:pPr>
            <w:r>
              <w:rPr>
                <w:rFonts w:ascii="Arial" w:cs="Arial" w:eastAsia="Arial" w:hAnsi="Arial"/>
                <w:sz w:val="15"/>
                <w:szCs w:val="15"/>
                <w:color w:val="auto"/>
              </w:rPr>
              <w:t>135,600</w:t>
            </w:r>
          </w:p>
        </w:tc>
        <w:tc>
          <w:tcPr>
            <w:tcW w:w="1340" w:type="dxa"/>
            <w:vAlign w:val="bottom"/>
            <w:shd w:val="clear" w:color="auto" w:fill="D1DDE6"/>
          </w:tcPr>
          <w:p>
            <w:pPr>
              <w:jc w:val="center"/>
              <w:spacing w:after="0"/>
              <w:rPr>
                <w:sz w:val="20"/>
                <w:szCs w:val="20"/>
                <w:color w:val="auto"/>
              </w:rPr>
            </w:pPr>
            <w:r>
              <w:rPr>
                <w:rFonts w:ascii="Arial" w:cs="Arial" w:eastAsia="Arial" w:hAnsi="Arial"/>
                <w:sz w:val="15"/>
                <w:szCs w:val="15"/>
                <w:color w:val="auto"/>
              </w:rPr>
              <w:t>155,000</w:t>
            </w:r>
          </w:p>
        </w:tc>
        <w:tc>
          <w:tcPr>
            <w:tcW w:w="2080" w:type="dxa"/>
            <w:vAlign w:val="bottom"/>
            <w:shd w:val="clear" w:color="auto" w:fill="D1DDE6"/>
          </w:tcPr>
          <w:p>
            <w:pPr>
              <w:jc w:val="center"/>
              <w:ind w:right="43"/>
              <w:spacing w:after="0"/>
              <w:rPr>
                <w:sz w:val="20"/>
                <w:szCs w:val="20"/>
                <w:color w:val="auto"/>
              </w:rPr>
            </w:pPr>
            <w:r>
              <w:rPr>
                <w:rFonts w:ascii="Arial" w:cs="Arial" w:eastAsia="Arial" w:hAnsi="Arial"/>
                <w:sz w:val="15"/>
                <w:szCs w:val="15"/>
                <w:color w:val="auto"/>
              </w:rPr>
              <w:t>16,871</w:t>
            </w:r>
          </w:p>
        </w:tc>
        <w:tc>
          <w:tcPr>
            <w:tcW w:w="1540" w:type="dxa"/>
            <w:vAlign w:val="bottom"/>
            <w:shd w:val="clear" w:color="auto" w:fill="D1DDE6"/>
          </w:tcPr>
          <w:p>
            <w:pPr>
              <w:jc w:val="center"/>
              <w:spacing w:after="0"/>
              <w:rPr>
                <w:sz w:val="20"/>
                <w:szCs w:val="20"/>
                <w:color w:val="auto"/>
              </w:rPr>
            </w:pPr>
            <w:r>
              <w:rPr>
                <w:rFonts w:ascii="Arial" w:cs="Arial" w:eastAsia="Arial" w:hAnsi="Arial"/>
                <w:sz w:val="15"/>
                <w:szCs w:val="15"/>
                <w:color w:val="auto"/>
                <w:w w:val="99"/>
              </w:rPr>
              <w:t>307,471</w:t>
            </w:r>
          </w:p>
        </w:tc>
      </w:tr>
      <w:tr>
        <w:trPr>
          <w:trHeight w:val="249"/>
        </w:trPr>
        <w:tc>
          <w:tcPr>
            <w:tcW w:w="3060" w:type="dxa"/>
            <w:vAlign w:val="bottom"/>
            <w:tcBorders>
              <w:bottom w:val="single" w:sz="8" w:color="34657F"/>
            </w:tcBorders>
          </w:tcPr>
          <w:p>
            <w:pPr>
              <w:ind w:left="20"/>
              <w:spacing w:after="0"/>
              <w:rPr>
                <w:sz w:val="20"/>
                <w:szCs w:val="20"/>
                <w:color w:val="auto"/>
              </w:rPr>
            </w:pPr>
            <w:r>
              <w:rPr>
                <w:rFonts w:ascii="Arial" w:cs="Arial" w:eastAsia="Arial" w:hAnsi="Arial"/>
                <w:sz w:val="15"/>
                <w:szCs w:val="15"/>
                <w:color w:val="auto"/>
              </w:rPr>
              <w:t>Mark A. Welsh III</w:t>
            </w:r>
          </w:p>
        </w:tc>
        <w:tc>
          <w:tcPr>
            <w:tcW w:w="3280" w:type="dxa"/>
            <w:vAlign w:val="bottom"/>
            <w:tcBorders>
              <w:bottom w:val="single" w:sz="8" w:color="34657F"/>
            </w:tcBorders>
          </w:tcPr>
          <w:p>
            <w:pPr>
              <w:jc w:val="center"/>
              <w:ind w:left="1203"/>
              <w:spacing w:after="0"/>
              <w:rPr>
                <w:sz w:val="20"/>
                <w:szCs w:val="20"/>
                <w:color w:val="auto"/>
              </w:rPr>
            </w:pPr>
            <w:r>
              <w:rPr>
                <w:rFonts w:ascii="Arial" w:cs="Arial" w:eastAsia="Arial" w:hAnsi="Arial"/>
                <w:sz w:val="15"/>
                <w:szCs w:val="15"/>
                <w:color w:val="auto"/>
              </w:rPr>
              <w:t>135,600</w:t>
            </w:r>
          </w:p>
        </w:tc>
        <w:tc>
          <w:tcPr>
            <w:tcW w:w="1340" w:type="dxa"/>
            <w:vAlign w:val="bottom"/>
            <w:tcBorders>
              <w:bottom w:val="single" w:sz="8" w:color="34657F"/>
            </w:tcBorders>
          </w:tcPr>
          <w:p>
            <w:pPr>
              <w:jc w:val="center"/>
              <w:spacing w:after="0"/>
              <w:rPr>
                <w:sz w:val="20"/>
                <w:szCs w:val="20"/>
                <w:color w:val="auto"/>
              </w:rPr>
            </w:pPr>
            <w:r>
              <w:rPr>
                <w:rFonts w:ascii="Arial" w:cs="Arial" w:eastAsia="Arial" w:hAnsi="Arial"/>
                <w:sz w:val="15"/>
                <w:szCs w:val="15"/>
                <w:color w:val="auto"/>
              </w:rPr>
              <w:t>155,000</w:t>
            </w:r>
          </w:p>
        </w:tc>
        <w:tc>
          <w:tcPr>
            <w:tcW w:w="2080" w:type="dxa"/>
            <w:vAlign w:val="bottom"/>
            <w:tcBorders>
              <w:bottom w:val="single" w:sz="8" w:color="34657F"/>
            </w:tcBorders>
          </w:tcPr>
          <w:p>
            <w:pPr>
              <w:jc w:val="center"/>
              <w:ind w:right="43"/>
              <w:spacing w:after="0"/>
              <w:rPr>
                <w:sz w:val="20"/>
                <w:szCs w:val="20"/>
                <w:color w:val="auto"/>
              </w:rPr>
            </w:pPr>
            <w:r>
              <w:rPr>
                <w:rFonts w:ascii="Arial" w:cs="Arial" w:eastAsia="Arial" w:hAnsi="Arial"/>
                <w:sz w:val="15"/>
                <w:szCs w:val="15"/>
                <w:color w:val="auto"/>
                <w:w w:val="95"/>
              </w:rPr>
              <w:t>79</w:t>
            </w:r>
          </w:p>
        </w:tc>
        <w:tc>
          <w:tcPr>
            <w:tcW w:w="1540" w:type="dxa"/>
            <w:vAlign w:val="bottom"/>
            <w:tcBorders>
              <w:bottom w:val="single" w:sz="8" w:color="34657F"/>
            </w:tcBorders>
          </w:tcPr>
          <w:p>
            <w:pPr>
              <w:jc w:val="center"/>
              <w:spacing w:after="0"/>
              <w:rPr>
                <w:sz w:val="20"/>
                <w:szCs w:val="20"/>
                <w:color w:val="auto"/>
              </w:rPr>
            </w:pPr>
            <w:r>
              <w:rPr>
                <w:rFonts w:ascii="Arial" w:cs="Arial" w:eastAsia="Arial" w:hAnsi="Arial"/>
                <w:sz w:val="15"/>
                <w:szCs w:val="15"/>
                <w:color w:val="auto"/>
                <w:w w:val="99"/>
              </w:rPr>
              <w:t>290,679</w:t>
            </w:r>
          </w:p>
        </w:tc>
      </w:tr>
    </w:tbl>
    <w:p>
      <w:pPr>
        <w:spacing w:after="0" w:line="256" w:lineRule="exact"/>
        <w:rPr>
          <w:sz w:val="20"/>
          <w:szCs w:val="20"/>
          <w:color w:val="auto"/>
        </w:rPr>
      </w:pPr>
    </w:p>
    <w:p>
      <w:pPr>
        <w:ind w:left="380" w:right="60" w:hanging="377"/>
        <w:spacing w:after="0" w:line="255" w:lineRule="auto"/>
        <w:tabs>
          <w:tab w:leader="none" w:pos="3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Amounts reflect the annual cash retainer paid to each director, including any applicable annual committee and committee chair retainers and any applicable Lead Independent Director or Chairperson retainer. As described above, a director may elect to defer all or a portion of his or her annual cash retainer into a deferred stock unit account. Amounts deferred as Elective Stock Units or deferred into alternative investment options are reflected in this column.</w:t>
      </w:r>
    </w:p>
    <w:p>
      <w:pPr>
        <w:spacing w:after="0" w:line="66" w:lineRule="exact"/>
        <w:rPr>
          <w:rFonts w:ascii="Arial" w:cs="Arial" w:eastAsia="Arial" w:hAnsi="Arial"/>
          <w:sz w:val="17"/>
          <w:szCs w:val="17"/>
          <w:color w:val="auto"/>
        </w:rPr>
      </w:pPr>
    </w:p>
    <w:p>
      <w:pPr>
        <w:ind w:left="380" w:hanging="377"/>
        <w:spacing w:after="0" w:line="254" w:lineRule="auto"/>
        <w:tabs>
          <w:tab w:leader="none" w:pos="3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Amounts represent the target value of Automatic Stock Units awarded to each of our non-employee directors in 2018 under the 2011 Plan pursuant to the Amended Director Program. The amount reported for each director reflects the aggregate fair value of the Automatic Stock Units on the grant date, as determined under Financial Accounting Standards Board (FASB) Accounting Standards Codification (ASC) Topic 718, Stock Compensation, excluding any assumed forfeitures. The grant date fair value assumes the value of dividend equivalents accrued directly on the awarded units. The aggregate number of Automatic Stock Units and Elective Stock Units held by each director as of December 31, 2018 is provided in the Deferred Stock Units table below.</w:t>
      </w:r>
    </w:p>
    <w:p>
      <w:pPr>
        <w:spacing w:after="0" w:line="66" w:lineRule="exact"/>
        <w:rPr>
          <w:rFonts w:ascii="Arial" w:cs="Arial" w:eastAsia="Arial" w:hAnsi="Arial"/>
          <w:sz w:val="17"/>
          <w:szCs w:val="17"/>
          <w:color w:val="auto"/>
        </w:rPr>
      </w:pPr>
    </w:p>
    <w:p>
      <w:pPr>
        <w:ind w:left="380" w:right="20" w:hanging="377"/>
        <w:spacing w:after="0" w:line="254" w:lineRule="auto"/>
        <w:tabs>
          <w:tab w:leader="none" w:pos="3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Amounts reflect (i) the estimated dollar value of additional stock units credited to each non-employee director as a result of dividend equivalents earned, directly or indirectly, on reinvested dividend equivalents as such amounts are not assumed in the grant date fair value of the Automatic Stock Units shown in the "Stock Awards" column, and (ii) matching contributions made through our Matching Gifts Program for Education discussed above as follows: Ms. Fudge, $10,000; Mr. Gordon, $10,000; Mr. Hernandez, $10,000; Ms. Kleiner, $10,000; and Mr. Krapek, $10,000. Amounts shown also include perquisites and other personal benefits provided to certain of the directors in 2018, including airfare for spouses and certain activities in conjunction with a Company board meeting.</w:t>
      </w:r>
    </w:p>
    <w:p>
      <w:pPr>
        <w:spacing w:after="0" w:line="66" w:lineRule="exact"/>
        <w:rPr>
          <w:rFonts w:ascii="Arial" w:cs="Arial" w:eastAsia="Arial" w:hAnsi="Arial"/>
          <w:sz w:val="17"/>
          <w:szCs w:val="17"/>
          <w:color w:val="auto"/>
        </w:rPr>
      </w:pPr>
    </w:p>
    <w:p>
      <w:pPr>
        <w:ind w:left="380" w:hanging="377"/>
        <w:spacing w:after="0"/>
        <w:tabs>
          <w:tab w:leader="none" w:pos="3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Mr. Fazio did not stand for reelection at the 2018 Annual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26 </w:t>
      </w:r>
      <w:r>
        <w:rPr>
          <w:rFonts w:ascii="Arial" w:cs="Arial" w:eastAsia="Arial" w:hAnsi="Arial"/>
          <w:sz w:val="13"/>
          <w:szCs w:val="13"/>
          <w:color w:val="auto"/>
        </w:rPr>
        <w:t>I</w:t>
      </w:r>
      <w:r>
        <w:rPr>
          <w:rFonts w:ascii="Arial" w:cs="Arial" w:eastAsia="Arial" w:hAnsi="Arial"/>
          <w:sz w:val="17"/>
          <w:szCs w:val="17"/>
          <w:color w:val="auto"/>
        </w:rPr>
        <w:t xml:space="preserve"> </w:t>
      </w:r>
      <w:r>
        <w:rPr>
          <w:rFonts w:ascii="Arial" w:cs="Arial" w:eastAsia="Arial" w:hAnsi="Arial"/>
          <w:sz w:val="13"/>
          <w:szCs w:val="13"/>
          <w:color w:val="34657F"/>
        </w:rPr>
        <w:t>NOTICE OF 2019 ANNUAL MEETING OF SHAREHOLDERS AND PROXY STATEMENT</w:t>
      </w:r>
    </w:p>
    <w:p>
      <w:pPr>
        <w:sectPr>
          <w:pgSz w:w="11900" w:h="16838" w:orient="portrait"/>
          <w:cols w:equalWidth="0" w:num="1">
            <w:col w:w="11360"/>
          </w:cols>
          <w:pgMar w:left="240" w:top="671" w:right="299" w:bottom="1440" w:gutter="0" w:footer="0" w:header="0"/>
        </w:sectPr>
      </w:pPr>
    </w:p>
    <w:bookmarkStart w:id="32" w:name="page33"/>
    <w:bookmarkEnd w:id="32"/>
    <w:p>
      <w:pPr>
        <w:ind w:left="20"/>
        <w:spacing w:after="0"/>
        <w:rPr>
          <w:sz w:val="20"/>
          <w:szCs w:val="20"/>
          <w:color w:val="auto"/>
        </w:rPr>
      </w:pPr>
      <w:r>
        <w:rPr>
          <w:rFonts w:ascii="Arial" w:cs="Arial" w:eastAsia="Arial" w:hAnsi="Arial"/>
          <w:sz w:val="21"/>
          <w:szCs w:val="21"/>
          <w:b w:val="1"/>
          <w:bCs w:val="1"/>
          <w:color w:val="FFFFFF"/>
        </w:rPr>
        <w:drawing>
          <wp:anchor simplePos="0" relativeHeight="251657728" behindDoc="1" locked="0" layoutInCell="0" allowOverlap="1">
            <wp:simplePos x="0" y="0"/>
            <wp:positionH relativeFrom="page">
              <wp:posOffset>154305</wp:posOffset>
            </wp:positionH>
            <wp:positionV relativeFrom="page">
              <wp:posOffset>365760</wp:posOffset>
            </wp:positionV>
            <wp:extent cx="7253605" cy="58610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53605" cy="586105"/>
                    </a:xfrm>
                    <a:prstGeom prst="rect">
                      <a:avLst/>
                    </a:prstGeom>
                    <a:noFill/>
                  </pic:spPr>
                </pic:pic>
              </a:graphicData>
            </a:graphic>
          </wp:anchor>
        </w:drawing>
        <w:t>COMPENSATION OF DIRECTORS</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Deferred Stock Units</w:t>
      </w:r>
    </w:p>
    <w:p>
      <w:pPr>
        <w:spacing w:after="0" w:line="103" w:lineRule="exact"/>
        <w:rPr>
          <w:sz w:val="20"/>
          <w:szCs w:val="20"/>
          <w:color w:val="auto"/>
        </w:rPr>
      </w:pPr>
    </w:p>
    <w:p>
      <w:pPr>
        <w:ind w:right="360"/>
        <w:spacing w:after="0" w:line="263" w:lineRule="auto"/>
        <w:rPr>
          <w:sz w:val="20"/>
          <w:szCs w:val="20"/>
          <w:color w:val="auto"/>
        </w:rPr>
      </w:pPr>
      <w:r>
        <w:rPr>
          <w:rFonts w:ascii="Arial" w:cs="Arial" w:eastAsia="Arial" w:hAnsi="Arial"/>
          <w:sz w:val="17"/>
          <w:szCs w:val="17"/>
          <w:color w:val="auto"/>
        </w:rPr>
        <w:t>As of December 31, 2018, the non-employee directors had the following aggregate number of deferred stock units accumulated in their deferral accounts for all years of service as a director, including additional stock units credited as a result of dividend equivalents earned on the stock units.</w:t>
      </w:r>
    </w:p>
    <w:p>
      <w:pPr>
        <w:spacing w:after="0" w:line="162" w:lineRule="exact"/>
        <w:rPr>
          <w:sz w:val="20"/>
          <w:szCs w:val="20"/>
          <w:color w:val="auto"/>
        </w:rPr>
      </w:pPr>
    </w:p>
    <w:tbl>
      <w:tblPr>
        <w:tblLayout w:type="fixed"/>
        <w:tblInd w:w="780" w:type="dxa"/>
        <w:tblCellMar>
          <w:top w:w="0" w:type="dxa"/>
          <w:left w:w="0" w:type="dxa"/>
          <w:bottom w:w="0" w:type="dxa"/>
          <w:right w:w="0" w:type="dxa"/>
        </w:tblCellMar>
      </w:tblPr>
      <w:tr>
        <w:trPr>
          <w:trHeight w:val="189"/>
        </w:trPr>
        <w:tc>
          <w:tcPr>
            <w:tcW w:w="3200" w:type="dxa"/>
            <w:vAlign w:val="bottom"/>
            <w:shd w:val="clear" w:color="auto" w:fill="34657F"/>
          </w:tcPr>
          <w:p>
            <w:pPr>
              <w:spacing w:after="0"/>
              <w:rPr>
                <w:sz w:val="16"/>
                <w:szCs w:val="16"/>
                <w:color w:val="auto"/>
              </w:rPr>
            </w:pPr>
          </w:p>
        </w:tc>
        <w:tc>
          <w:tcPr>
            <w:tcW w:w="3280" w:type="dxa"/>
            <w:vAlign w:val="bottom"/>
            <w:shd w:val="clear" w:color="auto" w:fill="34657F"/>
          </w:tcPr>
          <w:p>
            <w:pPr>
              <w:jc w:val="center"/>
              <w:ind w:left="1243"/>
              <w:spacing w:after="0"/>
              <w:rPr>
                <w:sz w:val="20"/>
                <w:szCs w:val="20"/>
                <w:color w:val="auto"/>
              </w:rPr>
            </w:pPr>
            <w:r>
              <w:rPr>
                <w:rFonts w:ascii="Arial" w:cs="Arial" w:eastAsia="Arial" w:hAnsi="Arial"/>
                <w:sz w:val="15"/>
                <w:szCs w:val="15"/>
                <w:b w:val="1"/>
                <w:bCs w:val="1"/>
                <w:color w:val="FFFFFF"/>
              </w:rPr>
              <w:t>Automatic Stock</w:t>
            </w:r>
          </w:p>
        </w:tc>
        <w:tc>
          <w:tcPr>
            <w:tcW w:w="1880" w:type="dxa"/>
            <w:vAlign w:val="bottom"/>
            <w:shd w:val="clear" w:color="auto" w:fill="34657F"/>
          </w:tcPr>
          <w:p>
            <w:pPr>
              <w:jc w:val="center"/>
              <w:ind w:right="43"/>
              <w:spacing w:after="0"/>
              <w:rPr>
                <w:sz w:val="20"/>
                <w:szCs w:val="20"/>
                <w:color w:val="auto"/>
              </w:rPr>
            </w:pPr>
            <w:r>
              <w:rPr>
                <w:rFonts w:ascii="Arial" w:cs="Arial" w:eastAsia="Arial" w:hAnsi="Arial"/>
                <w:sz w:val="15"/>
                <w:szCs w:val="15"/>
                <w:b w:val="1"/>
                <w:bCs w:val="1"/>
                <w:color w:val="FFFFFF"/>
              </w:rPr>
              <w:t>Elective Stock</w:t>
            </w:r>
          </w:p>
        </w:tc>
        <w:tc>
          <w:tcPr>
            <w:tcW w:w="1520" w:type="dxa"/>
            <w:vAlign w:val="bottom"/>
            <w:shd w:val="clear" w:color="auto" w:fill="34657F"/>
          </w:tcPr>
          <w:p>
            <w:pPr>
              <w:spacing w:after="0"/>
              <w:rPr>
                <w:sz w:val="16"/>
                <w:szCs w:val="16"/>
                <w:color w:val="auto"/>
              </w:rPr>
            </w:pPr>
          </w:p>
        </w:tc>
      </w:tr>
      <w:tr>
        <w:trPr>
          <w:trHeight w:val="221"/>
        </w:trPr>
        <w:tc>
          <w:tcPr>
            <w:tcW w:w="3200" w:type="dxa"/>
            <w:vAlign w:val="bottom"/>
            <w:shd w:val="clear" w:color="auto" w:fill="34657F"/>
          </w:tcPr>
          <w:p>
            <w:pPr>
              <w:ind w:left="20"/>
              <w:spacing w:after="0"/>
              <w:rPr>
                <w:sz w:val="20"/>
                <w:szCs w:val="20"/>
                <w:color w:val="auto"/>
              </w:rPr>
            </w:pPr>
            <w:r>
              <w:rPr>
                <w:rFonts w:ascii="Arial" w:cs="Arial" w:eastAsia="Arial" w:hAnsi="Arial"/>
                <w:sz w:val="15"/>
                <w:szCs w:val="15"/>
                <w:b w:val="1"/>
                <w:bCs w:val="1"/>
                <w:color w:val="FFFFFF"/>
              </w:rPr>
              <w:t>Name</w:t>
            </w:r>
          </w:p>
        </w:tc>
        <w:tc>
          <w:tcPr>
            <w:tcW w:w="3280" w:type="dxa"/>
            <w:vAlign w:val="bottom"/>
            <w:shd w:val="clear" w:color="auto" w:fill="34657F"/>
          </w:tcPr>
          <w:p>
            <w:pPr>
              <w:jc w:val="center"/>
              <w:ind w:left="1243"/>
              <w:spacing w:after="0"/>
              <w:rPr>
                <w:sz w:val="20"/>
                <w:szCs w:val="20"/>
                <w:color w:val="auto"/>
              </w:rPr>
            </w:pPr>
            <w:r>
              <w:rPr>
                <w:rFonts w:ascii="Arial" w:cs="Arial" w:eastAsia="Arial" w:hAnsi="Arial"/>
                <w:sz w:val="15"/>
                <w:szCs w:val="15"/>
                <w:b w:val="1"/>
                <w:bCs w:val="1"/>
                <w:color w:val="FFFFFF"/>
              </w:rPr>
              <w:t>Units</w:t>
            </w:r>
          </w:p>
        </w:tc>
        <w:tc>
          <w:tcPr>
            <w:tcW w:w="1880" w:type="dxa"/>
            <w:vAlign w:val="bottom"/>
            <w:shd w:val="clear" w:color="auto" w:fill="34657F"/>
          </w:tcPr>
          <w:p>
            <w:pPr>
              <w:jc w:val="center"/>
              <w:ind w:right="23"/>
              <w:spacing w:after="0"/>
              <w:rPr>
                <w:sz w:val="20"/>
                <w:szCs w:val="20"/>
                <w:color w:val="auto"/>
              </w:rPr>
            </w:pPr>
            <w:r>
              <w:rPr>
                <w:rFonts w:ascii="Arial" w:cs="Arial" w:eastAsia="Arial" w:hAnsi="Arial"/>
                <w:sz w:val="15"/>
                <w:szCs w:val="15"/>
                <w:b w:val="1"/>
                <w:bCs w:val="1"/>
                <w:color w:val="FFFFFF"/>
              </w:rPr>
              <w:t>Units</w:t>
            </w:r>
          </w:p>
        </w:tc>
        <w:tc>
          <w:tcPr>
            <w:tcW w:w="1520" w:type="dxa"/>
            <w:vAlign w:val="bottom"/>
            <w:shd w:val="clear" w:color="auto" w:fill="34657F"/>
          </w:tcPr>
          <w:p>
            <w:pPr>
              <w:ind w:left="540"/>
              <w:spacing w:after="0"/>
              <w:rPr>
                <w:sz w:val="20"/>
                <w:szCs w:val="20"/>
                <w:color w:val="auto"/>
              </w:rPr>
            </w:pPr>
            <w:r>
              <w:rPr>
                <w:rFonts w:ascii="Arial" w:cs="Arial" w:eastAsia="Arial" w:hAnsi="Arial"/>
                <w:sz w:val="15"/>
                <w:szCs w:val="15"/>
                <w:b w:val="1"/>
                <w:bCs w:val="1"/>
                <w:color w:val="FFFFFF"/>
              </w:rPr>
              <w:t>Total</w:t>
            </w:r>
          </w:p>
        </w:tc>
      </w:tr>
      <w:tr>
        <w:trPr>
          <w:trHeight w:val="256"/>
        </w:trPr>
        <w:tc>
          <w:tcPr>
            <w:tcW w:w="3200" w:type="dxa"/>
            <w:vAlign w:val="bottom"/>
            <w:shd w:val="clear" w:color="auto" w:fill="D1DDE6"/>
          </w:tcPr>
          <w:p>
            <w:pPr>
              <w:ind w:left="20"/>
              <w:spacing w:after="0"/>
              <w:rPr>
                <w:sz w:val="20"/>
                <w:szCs w:val="20"/>
                <w:color w:val="auto"/>
              </w:rPr>
            </w:pPr>
            <w:r>
              <w:rPr>
                <w:rFonts w:ascii="Arial" w:cs="Arial" w:eastAsia="Arial" w:hAnsi="Arial"/>
                <w:sz w:val="15"/>
                <w:szCs w:val="15"/>
                <w:color w:val="auto"/>
              </w:rPr>
              <w:t>Marianne C. Brown</w:t>
            </w:r>
          </w:p>
        </w:tc>
        <w:tc>
          <w:tcPr>
            <w:tcW w:w="3280" w:type="dxa"/>
            <w:vAlign w:val="bottom"/>
            <w:shd w:val="clear" w:color="auto" w:fill="D1DDE6"/>
          </w:tcPr>
          <w:p>
            <w:pPr>
              <w:jc w:val="center"/>
              <w:ind w:left="1243"/>
              <w:spacing w:after="0"/>
              <w:rPr>
                <w:sz w:val="20"/>
                <w:szCs w:val="20"/>
                <w:color w:val="auto"/>
              </w:rPr>
            </w:pPr>
            <w:r>
              <w:rPr>
                <w:rFonts w:ascii="Arial" w:cs="Arial" w:eastAsia="Arial" w:hAnsi="Arial"/>
                <w:sz w:val="15"/>
                <w:szCs w:val="15"/>
                <w:color w:val="auto"/>
              </w:rPr>
              <w:t>2,774</w:t>
            </w:r>
          </w:p>
        </w:tc>
        <w:tc>
          <w:tcPr>
            <w:tcW w:w="1880" w:type="dxa"/>
            <w:vAlign w:val="bottom"/>
            <w:shd w:val="clear" w:color="auto" w:fill="D1DDE6"/>
          </w:tcPr>
          <w:p>
            <w:pPr>
              <w:jc w:val="center"/>
              <w:ind w:right="23"/>
              <w:spacing w:after="0"/>
              <w:rPr>
                <w:sz w:val="20"/>
                <w:szCs w:val="20"/>
                <w:color w:val="auto"/>
              </w:rPr>
            </w:pPr>
            <w:r>
              <w:rPr>
                <w:rFonts w:ascii="Arial" w:cs="Arial" w:eastAsia="Arial" w:hAnsi="Arial"/>
                <w:sz w:val="15"/>
                <w:szCs w:val="15"/>
                <w:color w:val="auto"/>
              </w:rPr>
              <w:t>1,571</w:t>
            </w:r>
          </w:p>
        </w:tc>
        <w:tc>
          <w:tcPr>
            <w:tcW w:w="1520" w:type="dxa"/>
            <w:vAlign w:val="bottom"/>
            <w:shd w:val="clear" w:color="auto" w:fill="D1DDE6"/>
          </w:tcPr>
          <w:p>
            <w:pPr>
              <w:jc w:val="center"/>
              <w:ind w:right="3"/>
              <w:spacing w:after="0"/>
              <w:rPr>
                <w:sz w:val="20"/>
                <w:szCs w:val="20"/>
                <w:color w:val="auto"/>
              </w:rPr>
            </w:pPr>
            <w:r>
              <w:rPr>
                <w:rFonts w:ascii="Arial" w:cs="Arial" w:eastAsia="Arial" w:hAnsi="Arial"/>
                <w:sz w:val="15"/>
                <w:szCs w:val="15"/>
                <w:color w:val="auto"/>
              </w:rPr>
              <w:t>4,345</w:t>
            </w:r>
          </w:p>
        </w:tc>
      </w:tr>
      <w:tr>
        <w:trPr>
          <w:trHeight w:val="247"/>
        </w:trPr>
        <w:tc>
          <w:tcPr>
            <w:tcW w:w="3200" w:type="dxa"/>
            <w:vAlign w:val="bottom"/>
          </w:tcPr>
          <w:p>
            <w:pPr>
              <w:ind w:left="20"/>
              <w:spacing w:after="0"/>
              <w:rPr>
                <w:sz w:val="20"/>
                <w:szCs w:val="20"/>
                <w:color w:val="auto"/>
              </w:rPr>
            </w:pPr>
            <w:r>
              <w:rPr>
                <w:rFonts w:ascii="Arial" w:cs="Arial" w:eastAsia="Arial" w:hAnsi="Arial"/>
                <w:sz w:val="15"/>
                <w:szCs w:val="15"/>
                <w:color w:val="auto"/>
              </w:rPr>
              <w:t>Victor H. Fazio (1)</w:t>
            </w:r>
          </w:p>
        </w:tc>
        <w:tc>
          <w:tcPr>
            <w:tcW w:w="3280" w:type="dxa"/>
            <w:vAlign w:val="bottom"/>
          </w:tcPr>
          <w:p>
            <w:pPr>
              <w:jc w:val="center"/>
              <w:ind w:left="1243"/>
              <w:spacing w:after="0"/>
              <w:rPr>
                <w:sz w:val="20"/>
                <w:szCs w:val="20"/>
                <w:color w:val="auto"/>
              </w:rPr>
            </w:pPr>
            <w:r>
              <w:rPr>
                <w:rFonts w:ascii="Arial" w:cs="Arial" w:eastAsia="Arial" w:hAnsi="Arial"/>
                <w:sz w:val="15"/>
                <w:szCs w:val="15"/>
                <w:color w:val="auto"/>
              </w:rPr>
              <w:t>—</w:t>
            </w:r>
          </w:p>
        </w:tc>
        <w:tc>
          <w:tcPr>
            <w:tcW w:w="1880" w:type="dxa"/>
            <w:vAlign w:val="bottom"/>
          </w:tcPr>
          <w:p>
            <w:pPr>
              <w:jc w:val="center"/>
              <w:ind w:right="43"/>
              <w:spacing w:after="0"/>
              <w:rPr>
                <w:sz w:val="20"/>
                <w:szCs w:val="20"/>
                <w:color w:val="auto"/>
              </w:rPr>
            </w:pPr>
            <w:r>
              <w:rPr>
                <w:rFonts w:ascii="Arial" w:cs="Arial" w:eastAsia="Arial" w:hAnsi="Arial"/>
                <w:sz w:val="15"/>
                <w:szCs w:val="15"/>
                <w:color w:val="auto"/>
              </w:rPr>
              <w:t>—</w:t>
            </w:r>
          </w:p>
        </w:tc>
        <w:tc>
          <w:tcPr>
            <w:tcW w:w="1520" w:type="dxa"/>
            <w:vAlign w:val="bottom"/>
          </w:tcPr>
          <w:p>
            <w:pPr>
              <w:jc w:val="center"/>
              <w:ind w:right="3"/>
              <w:spacing w:after="0"/>
              <w:rPr>
                <w:sz w:val="20"/>
                <w:szCs w:val="20"/>
                <w:color w:val="auto"/>
              </w:rPr>
            </w:pPr>
            <w:r>
              <w:rPr>
                <w:rFonts w:ascii="Arial" w:cs="Arial" w:eastAsia="Arial" w:hAnsi="Arial"/>
                <w:sz w:val="15"/>
                <w:szCs w:val="15"/>
                <w:color w:val="auto"/>
              </w:rPr>
              <w:t>—</w:t>
            </w:r>
          </w:p>
        </w:tc>
      </w:tr>
      <w:tr>
        <w:trPr>
          <w:trHeight w:val="265"/>
        </w:trPr>
        <w:tc>
          <w:tcPr>
            <w:tcW w:w="3200" w:type="dxa"/>
            <w:vAlign w:val="bottom"/>
            <w:shd w:val="clear" w:color="auto" w:fill="D1DDE6"/>
          </w:tcPr>
          <w:p>
            <w:pPr>
              <w:ind w:left="20"/>
              <w:spacing w:after="0"/>
              <w:rPr>
                <w:sz w:val="20"/>
                <w:szCs w:val="20"/>
                <w:color w:val="auto"/>
              </w:rPr>
            </w:pPr>
            <w:r>
              <w:rPr>
                <w:rFonts w:ascii="Arial" w:cs="Arial" w:eastAsia="Arial" w:hAnsi="Arial"/>
                <w:sz w:val="15"/>
                <w:szCs w:val="15"/>
                <w:color w:val="auto"/>
              </w:rPr>
              <w:t>Donald E. Felsinger</w:t>
            </w:r>
          </w:p>
        </w:tc>
        <w:tc>
          <w:tcPr>
            <w:tcW w:w="3280" w:type="dxa"/>
            <w:vAlign w:val="bottom"/>
            <w:shd w:val="clear" w:color="auto" w:fill="D1DDE6"/>
          </w:tcPr>
          <w:p>
            <w:pPr>
              <w:jc w:val="center"/>
              <w:ind w:left="1243"/>
              <w:spacing w:after="0"/>
              <w:rPr>
                <w:sz w:val="20"/>
                <w:szCs w:val="20"/>
                <w:color w:val="auto"/>
              </w:rPr>
            </w:pPr>
            <w:r>
              <w:rPr>
                <w:rFonts w:ascii="Arial" w:cs="Arial" w:eastAsia="Arial" w:hAnsi="Arial"/>
                <w:sz w:val="15"/>
                <w:szCs w:val="15"/>
                <w:color w:val="auto"/>
              </w:rPr>
              <w:t>20,470</w:t>
            </w:r>
          </w:p>
        </w:tc>
        <w:tc>
          <w:tcPr>
            <w:tcW w:w="1880" w:type="dxa"/>
            <w:vAlign w:val="bottom"/>
            <w:shd w:val="clear" w:color="auto" w:fill="D1DDE6"/>
          </w:tcPr>
          <w:p>
            <w:pPr>
              <w:jc w:val="center"/>
              <w:ind w:right="43"/>
              <w:spacing w:after="0"/>
              <w:rPr>
                <w:sz w:val="20"/>
                <w:szCs w:val="20"/>
                <w:color w:val="auto"/>
              </w:rPr>
            </w:pPr>
            <w:r>
              <w:rPr>
                <w:rFonts w:ascii="Arial" w:cs="Arial" w:eastAsia="Arial" w:hAnsi="Arial"/>
                <w:sz w:val="15"/>
                <w:szCs w:val="15"/>
                <w:color w:val="auto"/>
              </w:rPr>
              <w:t>14,890</w:t>
            </w:r>
          </w:p>
        </w:tc>
        <w:tc>
          <w:tcPr>
            <w:tcW w:w="1520" w:type="dxa"/>
            <w:vAlign w:val="bottom"/>
            <w:shd w:val="clear" w:color="auto" w:fill="D1DDE6"/>
          </w:tcPr>
          <w:p>
            <w:pPr>
              <w:jc w:val="center"/>
              <w:ind w:right="3"/>
              <w:spacing w:after="0"/>
              <w:rPr>
                <w:sz w:val="20"/>
                <w:szCs w:val="20"/>
                <w:color w:val="auto"/>
              </w:rPr>
            </w:pPr>
            <w:r>
              <w:rPr>
                <w:rFonts w:ascii="Arial" w:cs="Arial" w:eastAsia="Arial" w:hAnsi="Arial"/>
                <w:sz w:val="15"/>
                <w:szCs w:val="15"/>
                <w:color w:val="auto"/>
              </w:rPr>
              <w:t>35,360</w:t>
            </w:r>
          </w:p>
        </w:tc>
      </w:tr>
      <w:tr>
        <w:trPr>
          <w:trHeight w:val="247"/>
        </w:trPr>
        <w:tc>
          <w:tcPr>
            <w:tcW w:w="3200" w:type="dxa"/>
            <w:vAlign w:val="bottom"/>
          </w:tcPr>
          <w:p>
            <w:pPr>
              <w:ind w:left="20"/>
              <w:spacing w:after="0"/>
              <w:rPr>
                <w:sz w:val="20"/>
                <w:szCs w:val="20"/>
                <w:color w:val="auto"/>
              </w:rPr>
            </w:pPr>
            <w:r>
              <w:rPr>
                <w:rFonts w:ascii="Arial" w:cs="Arial" w:eastAsia="Arial" w:hAnsi="Arial"/>
                <w:sz w:val="15"/>
                <w:szCs w:val="15"/>
                <w:color w:val="auto"/>
              </w:rPr>
              <w:t>Ann M. Fudge</w:t>
            </w:r>
          </w:p>
        </w:tc>
        <w:tc>
          <w:tcPr>
            <w:tcW w:w="3280" w:type="dxa"/>
            <w:vAlign w:val="bottom"/>
          </w:tcPr>
          <w:p>
            <w:pPr>
              <w:jc w:val="center"/>
              <w:ind w:left="1243"/>
              <w:spacing w:after="0"/>
              <w:rPr>
                <w:sz w:val="20"/>
                <w:szCs w:val="20"/>
                <w:color w:val="auto"/>
              </w:rPr>
            </w:pPr>
            <w:r>
              <w:rPr>
                <w:rFonts w:ascii="Arial" w:cs="Arial" w:eastAsia="Arial" w:hAnsi="Arial"/>
                <w:sz w:val="15"/>
                <w:szCs w:val="15"/>
                <w:color w:val="auto"/>
              </w:rPr>
              <w:t>1,820</w:t>
            </w:r>
          </w:p>
        </w:tc>
        <w:tc>
          <w:tcPr>
            <w:tcW w:w="1880" w:type="dxa"/>
            <w:vAlign w:val="bottom"/>
          </w:tcPr>
          <w:p>
            <w:pPr>
              <w:jc w:val="center"/>
              <w:ind w:right="23"/>
              <w:spacing w:after="0"/>
              <w:rPr>
                <w:sz w:val="20"/>
                <w:szCs w:val="20"/>
                <w:color w:val="auto"/>
              </w:rPr>
            </w:pPr>
            <w:r>
              <w:rPr>
                <w:rFonts w:ascii="Arial" w:cs="Arial" w:eastAsia="Arial" w:hAnsi="Arial"/>
                <w:sz w:val="15"/>
                <w:szCs w:val="15"/>
                <w:color w:val="auto"/>
              </w:rPr>
              <w:t>483</w:t>
            </w:r>
          </w:p>
        </w:tc>
        <w:tc>
          <w:tcPr>
            <w:tcW w:w="1520" w:type="dxa"/>
            <w:vAlign w:val="bottom"/>
          </w:tcPr>
          <w:p>
            <w:pPr>
              <w:jc w:val="center"/>
              <w:ind w:right="3"/>
              <w:spacing w:after="0"/>
              <w:rPr>
                <w:sz w:val="20"/>
                <w:szCs w:val="20"/>
                <w:color w:val="auto"/>
              </w:rPr>
            </w:pPr>
            <w:r>
              <w:rPr>
                <w:rFonts w:ascii="Arial" w:cs="Arial" w:eastAsia="Arial" w:hAnsi="Arial"/>
                <w:sz w:val="15"/>
                <w:szCs w:val="15"/>
                <w:color w:val="auto"/>
              </w:rPr>
              <w:t>2,303</w:t>
            </w:r>
          </w:p>
        </w:tc>
      </w:tr>
      <w:tr>
        <w:trPr>
          <w:trHeight w:val="265"/>
        </w:trPr>
        <w:tc>
          <w:tcPr>
            <w:tcW w:w="3200" w:type="dxa"/>
            <w:vAlign w:val="bottom"/>
            <w:shd w:val="clear" w:color="auto" w:fill="D1DDE6"/>
          </w:tcPr>
          <w:p>
            <w:pPr>
              <w:ind w:left="20"/>
              <w:spacing w:after="0"/>
              <w:rPr>
                <w:sz w:val="20"/>
                <w:szCs w:val="20"/>
                <w:color w:val="auto"/>
              </w:rPr>
            </w:pPr>
            <w:r>
              <w:rPr>
                <w:rFonts w:ascii="Arial" w:cs="Arial" w:eastAsia="Arial" w:hAnsi="Arial"/>
                <w:sz w:val="15"/>
                <w:szCs w:val="15"/>
                <w:color w:val="auto"/>
              </w:rPr>
              <w:t>Bruce S. Gordon</w:t>
            </w:r>
          </w:p>
        </w:tc>
        <w:tc>
          <w:tcPr>
            <w:tcW w:w="3280" w:type="dxa"/>
            <w:vAlign w:val="bottom"/>
            <w:shd w:val="clear" w:color="auto" w:fill="D1DDE6"/>
          </w:tcPr>
          <w:p>
            <w:pPr>
              <w:jc w:val="center"/>
              <w:ind w:left="1243"/>
              <w:spacing w:after="0"/>
              <w:rPr>
                <w:sz w:val="20"/>
                <w:szCs w:val="20"/>
                <w:color w:val="auto"/>
              </w:rPr>
            </w:pPr>
            <w:r>
              <w:rPr>
                <w:rFonts w:ascii="Arial" w:cs="Arial" w:eastAsia="Arial" w:hAnsi="Arial"/>
                <w:sz w:val="15"/>
                <w:szCs w:val="15"/>
                <w:color w:val="auto"/>
              </w:rPr>
              <w:t>17,067</w:t>
            </w:r>
          </w:p>
        </w:tc>
        <w:tc>
          <w:tcPr>
            <w:tcW w:w="1880" w:type="dxa"/>
            <w:vAlign w:val="bottom"/>
            <w:shd w:val="clear" w:color="auto" w:fill="D1DDE6"/>
          </w:tcPr>
          <w:p>
            <w:pPr>
              <w:jc w:val="center"/>
              <w:ind w:right="43"/>
              <w:spacing w:after="0"/>
              <w:rPr>
                <w:sz w:val="20"/>
                <w:szCs w:val="20"/>
                <w:color w:val="auto"/>
              </w:rPr>
            </w:pPr>
            <w:r>
              <w:rPr>
                <w:rFonts w:ascii="Arial" w:cs="Arial" w:eastAsia="Arial" w:hAnsi="Arial"/>
                <w:sz w:val="15"/>
                <w:szCs w:val="15"/>
                <w:color w:val="auto"/>
              </w:rPr>
              <w:t>—</w:t>
            </w:r>
          </w:p>
        </w:tc>
        <w:tc>
          <w:tcPr>
            <w:tcW w:w="1520" w:type="dxa"/>
            <w:vAlign w:val="bottom"/>
            <w:shd w:val="clear" w:color="auto" w:fill="D1DDE6"/>
          </w:tcPr>
          <w:p>
            <w:pPr>
              <w:jc w:val="center"/>
              <w:ind w:right="3"/>
              <w:spacing w:after="0"/>
              <w:rPr>
                <w:sz w:val="20"/>
                <w:szCs w:val="20"/>
                <w:color w:val="auto"/>
              </w:rPr>
            </w:pPr>
            <w:r>
              <w:rPr>
                <w:rFonts w:ascii="Arial" w:cs="Arial" w:eastAsia="Arial" w:hAnsi="Arial"/>
                <w:sz w:val="15"/>
                <w:szCs w:val="15"/>
                <w:color w:val="auto"/>
              </w:rPr>
              <w:t>17,067</w:t>
            </w:r>
          </w:p>
        </w:tc>
      </w:tr>
      <w:tr>
        <w:trPr>
          <w:trHeight w:val="247"/>
        </w:trPr>
        <w:tc>
          <w:tcPr>
            <w:tcW w:w="3200" w:type="dxa"/>
            <w:vAlign w:val="bottom"/>
          </w:tcPr>
          <w:p>
            <w:pPr>
              <w:ind w:left="20"/>
              <w:spacing w:after="0"/>
              <w:rPr>
                <w:sz w:val="20"/>
                <w:szCs w:val="20"/>
                <w:color w:val="auto"/>
              </w:rPr>
            </w:pPr>
            <w:r>
              <w:rPr>
                <w:rFonts w:ascii="Arial" w:cs="Arial" w:eastAsia="Arial" w:hAnsi="Arial"/>
                <w:sz w:val="15"/>
                <w:szCs w:val="15"/>
                <w:color w:val="auto"/>
              </w:rPr>
              <w:t>William H. Hernandez</w:t>
            </w:r>
          </w:p>
        </w:tc>
        <w:tc>
          <w:tcPr>
            <w:tcW w:w="3280" w:type="dxa"/>
            <w:vAlign w:val="bottom"/>
          </w:tcPr>
          <w:p>
            <w:pPr>
              <w:jc w:val="center"/>
              <w:ind w:left="1243"/>
              <w:spacing w:after="0"/>
              <w:rPr>
                <w:sz w:val="20"/>
                <w:szCs w:val="20"/>
                <w:color w:val="auto"/>
              </w:rPr>
            </w:pPr>
            <w:r>
              <w:rPr>
                <w:rFonts w:ascii="Arial" w:cs="Arial" w:eastAsia="Arial" w:hAnsi="Arial"/>
                <w:sz w:val="15"/>
                <w:szCs w:val="15"/>
                <w:color w:val="auto"/>
              </w:rPr>
              <w:t>4,400</w:t>
            </w:r>
          </w:p>
        </w:tc>
        <w:tc>
          <w:tcPr>
            <w:tcW w:w="1880" w:type="dxa"/>
            <w:vAlign w:val="bottom"/>
          </w:tcPr>
          <w:p>
            <w:pPr>
              <w:jc w:val="center"/>
              <w:ind w:right="43"/>
              <w:spacing w:after="0"/>
              <w:rPr>
                <w:sz w:val="20"/>
                <w:szCs w:val="20"/>
                <w:color w:val="auto"/>
              </w:rPr>
            </w:pPr>
            <w:r>
              <w:rPr>
                <w:rFonts w:ascii="Arial" w:cs="Arial" w:eastAsia="Arial" w:hAnsi="Arial"/>
                <w:sz w:val="15"/>
                <w:szCs w:val="15"/>
                <w:color w:val="auto"/>
              </w:rPr>
              <w:t>—</w:t>
            </w:r>
          </w:p>
        </w:tc>
        <w:tc>
          <w:tcPr>
            <w:tcW w:w="1520" w:type="dxa"/>
            <w:vAlign w:val="bottom"/>
          </w:tcPr>
          <w:p>
            <w:pPr>
              <w:jc w:val="center"/>
              <w:ind w:right="3"/>
              <w:spacing w:after="0"/>
              <w:rPr>
                <w:sz w:val="20"/>
                <w:szCs w:val="20"/>
                <w:color w:val="auto"/>
              </w:rPr>
            </w:pPr>
            <w:r>
              <w:rPr>
                <w:rFonts w:ascii="Arial" w:cs="Arial" w:eastAsia="Arial" w:hAnsi="Arial"/>
                <w:sz w:val="15"/>
                <w:szCs w:val="15"/>
                <w:color w:val="auto"/>
              </w:rPr>
              <w:t>4,400</w:t>
            </w:r>
          </w:p>
        </w:tc>
      </w:tr>
      <w:tr>
        <w:trPr>
          <w:trHeight w:val="265"/>
        </w:trPr>
        <w:tc>
          <w:tcPr>
            <w:tcW w:w="3200" w:type="dxa"/>
            <w:vAlign w:val="bottom"/>
            <w:shd w:val="clear" w:color="auto" w:fill="D1DDE6"/>
          </w:tcPr>
          <w:p>
            <w:pPr>
              <w:ind w:left="20"/>
              <w:spacing w:after="0"/>
              <w:rPr>
                <w:sz w:val="20"/>
                <w:szCs w:val="20"/>
                <w:color w:val="auto"/>
              </w:rPr>
            </w:pPr>
            <w:r>
              <w:rPr>
                <w:rFonts w:ascii="Arial" w:cs="Arial" w:eastAsia="Arial" w:hAnsi="Arial"/>
                <w:sz w:val="15"/>
                <w:szCs w:val="15"/>
                <w:color w:val="auto"/>
              </w:rPr>
              <w:t>Madeleine A. Kleiner</w:t>
            </w:r>
          </w:p>
        </w:tc>
        <w:tc>
          <w:tcPr>
            <w:tcW w:w="3280" w:type="dxa"/>
            <w:vAlign w:val="bottom"/>
            <w:shd w:val="clear" w:color="auto" w:fill="D1DDE6"/>
          </w:tcPr>
          <w:p>
            <w:pPr>
              <w:jc w:val="center"/>
              <w:ind w:left="1243"/>
              <w:spacing w:after="0"/>
              <w:rPr>
                <w:sz w:val="20"/>
                <w:szCs w:val="20"/>
                <w:color w:val="auto"/>
              </w:rPr>
            </w:pPr>
            <w:r>
              <w:rPr>
                <w:rFonts w:ascii="Arial" w:cs="Arial" w:eastAsia="Arial" w:hAnsi="Arial"/>
                <w:sz w:val="15"/>
                <w:szCs w:val="15"/>
                <w:color w:val="auto"/>
              </w:rPr>
              <w:t>16,065</w:t>
            </w:r>
          </w:p>
        </w:tc>
        <w:tc>
          <w:tcPr>
            <w:tcW w:w="1880" w:type="dxa"/>
            <w:vAlign w:val="bottom"/>
            <w:shd w:val="clear" w:color="auto" w:fill="D1DDE6"/>
          </w:tcPr>
          <w:p>
            <w:pPr>
              <w:jc w:val="center"/>
              <w:ind w:right="43"/>
              <w:spacing w:after="0"/>
              <w:rPr>
                <w:sz w:val="20"/>
                <w:szCs w:val="20"/>
                <w:color w:val="auto"/>
              </w:rPr>
            </w:pPr>
            <w:r>
              <w:rPr>
                <w:rFonts w:ascii="Arial" w:cs="Arial" w:eastAsia="Arial" w:hAnsi="Arial"/>
                <w:sz w:val="15"/>
                <w:szCs w:val="15"/>
                <w:color w:val="auto"/>
              </w:rPr>
              <w:t>—</w:t>
            </w:r>
          </w:p>
        </w:tc>
        <w:tc>
          <w:tcPr>
            <w:tcW w:w="1520" w:type="dxa"/>
            <w:vAlign w:val="bottom"/>
            <w:shd w:val="clear" w:color="auto" w:fill="D1DDE6"/>
          </w:tcPr>
          <w:p>
            <w:pPr>
              <w:jc w:val="center"/>
              <w:ind w:right="3"/>
              <w:spacing w:after="0"/>
              <w:rPr>
                <w:sz w:val="20"/>
                <w:szCs w:val="20"/>
                <w:color w:val="auto"/>
              </w:rPr>
            </w:pPr>
            <w:r>
              <w:rPr>
                <w:rFonts w:ascii="Arial" w:cs="Arial" w:eastAsia="Arial" w:hAnsi="Arial"/>
                <w:sz w:val="15"/>
                <w:szCs w:val="15"/>
                <w:color w:val="auto"/>
              </w:rPr>
              <w:t>16,065</w:t>
            </w:r>
          </w:p>
        </w:tc>
      </w:tr>
      <w:tr>
        <w:trPr>
          <w:trHeight w:val="247"/>
        </w:trPr>
        <w:tc>
          <w:tcPr>
            <w:tcW w:w="3200" w:type="dxa"/>
            <w:vAlign w:val="bottom"/>
          </w:tcPr>
          <w:p>
            <w:pPr>
              <w:ind w:left="20"/>
              <w:spacing w:after="0"/>
              <w:rPr>
                <w:sz w:val="20"/>
                <w:szCs w:val="20"/>
                <w:color w:val="auto"/>
              </w:rPr>
            </w:pPr>
            <w:r>
              <w:rPr>
                <w:rFonts w:ascii="Arial" w:cs="Arial" w:eastAsia="Arial" w:hAnsi="Arial"/>
                <w:sz w:val="15"/>
                <w:szCs w:val="15"/>
                <w:color w:val="auto"/>
              </w:rPr>
              <w:t>Karl J. Krapek</w:t>
            </w:r>
          </w:p>
        </w:tc>
        <w:tc>
          <w:tcPr>
            <w:tcW w:w="3280" w:type="dxa"/>
            <w:vAlign w:val="bottom"/>
          </w:tcPr>
          <w:p>
            <w:pPr>
              <w:jc w:val="center"/>
              <w:ind w:left="1243"/>
              <w:spacing w:after="0"/>
              <w:rPr>
                <w:sz w:val="20"/>
                <w:szCs w:val="20"/>
                <w:color w:val="auto"/>
              </w:rPr>
            </w:pPr>
            <w:r>
              <w:rPr>
                <w:rFonts w:ascii="Arial" w:cs="Arial" w:eastAsia="Arial" w:hAnsi="Arial"/>
                <w:sz w:val="15"/>
                <w:szCs w:val="15"/>
                <w:color w:val="auto"/>
              </w:rPr>
              <w:t>17,110</w:t>
            </w:r>
          </w:p>
        </w:tc>
        <w:tc>
          <w:tcPr>
            <w:tcW w:w="1880" w:type="dxa"/>
            <w:vAlign w:val="bottom"/>
          </w:tcPr>
          <w:p>
            <w:pPr>
              <w:jc w:val="center"/>
              <w:ind w:right="23"/>
              <w:spacing w:after="0"/>
              <w:rPr>
                <w:sz w:val="20"/>
                <w:szCs w:val="20"/>
                <w:color w:val="auto"/>
              </w:rPr>
            </w:pPr>
            <w:r>
              <w:rPr>
                <w:rFonts w:ascii="Arial" w:cs="Arial" w:eastAsia="Arial" w:hAnsi="Arial"/>
                <w:sz w:val="15"/>
                <w:szCs w:val="15"/>
                <w:color w:val="auto"/>
              </w:rPr>
              <w:t>5,291</w:t>
            </w:r>
          </w:p>
        </w:tc>
        <w:tc>
          <w:tcPr>
            <w:tcW w:w="1520" w:type="dxa"/>
            <w:vAlign w:val="bottom"/>
          </w:tcPr>
          <w:p>
            <w:pPr>
              <w:jc w:val="center"/>
              <w:ind w:right="3"/>
              <w:spacing w:after="0"/>
              <w:rPr>
                <w:sz w:val="20"/>
                <w:szCs w:val="20"/>
                <w:color w:val="auto"/>
              </w:rPr>
            </w:pPr>
            <w:r>
              <w:rPr>
                <w:rFonts w:ascii="Arial" w:cs="Arial" w:eastAsia="Arial" w:hAnsi="Arial"/>
                <w:sz w:val="15"/>
                <w:szCs w:val="15"/>
                <w:color w:val="auto"/>
              </w:rPr>
              <w:t>22,401</w:t>
            </w:r>
          </w:p>
        </w:tc>
      </w:tr>
      <w:tr>
        <w:trPr>
          <w:trHeight w:val="265"/>
        </w:trPr>
        <w:tc>
          <w:tcPr>
            <w:tcW w:w="3200" w:type="dxa"/>
            <w:vAlign w:val="bottom"/>
            <w:shd w:val="clear" w:color="auto" w:fill="D1DDE6"/>
          </w:tcPr>
          <w:p>
            <w:pPr>
              <w:ind w:left="20"/>
              <w:spacing w:after="0"/>
              <w:rPr>
                <w:sz w:val="20"/>
                <w:szCs w:val="20"/>
                <w:color w:val="auto"/>
              </w:rPr>
            </w:pPr>
            <w:r>
              <w:rPr>
                <w:rFonts w:ascii="Arial" w:cs="Arial" w:eastAsia="Arial" w:hAnsi="Arial"/>
                <w:sz w:val="15"/>
                <w:szCs w:val="15"/>
                <w:color w:val="auto"/>
              </w:rPr>
              <w:t>Gary Roughead</w:t>
            </w:r>
          </w:p>
        </w:tc>
        <w:tc>
          <w:tcPr>
            <w:tcW w:w="3280" w:type="dxa"/>
            <w:vAlign w:val="bottom"/>
            <w:shd w:val="clear" w:color="auto" w:fill="D1DDE6"/>
          </w:tcPr>
          <w:p>
            <w:pPr>
              <w:jc w:val="center"/>
              <w:ind w:left="1243"/>
              <w:spacing w:after="0"/>
              <w:rPr>
                <w:sz w:val="20"/>
                <w:szCs w:val="20"/>
                <w:color w:val="auto"/>
              </w:rPr>
            </w:pPr>
            <w:r>
              <w:rPr>
                <w:rFonts w:ascii="Arial" w:cs="Arial" w:eastAsia="Arial" w:hAnsi="Arial"/>
                <w:sz w:val="15"/>
                <w:szCs w:val="15"/>
                <w:color w:val="auto"/>
              </w:rPr>
              <w:t>7,642</w:t>
            </w:r>
          </w:p>
        </w:tc>
        <w:tc>
          <w:tcPr>
            <w:tcW w:w="1880" w:type="dxa"/>
            <w:vAlign w:val="bottom"/>
            <w:shd w:val="clear" w:color="auto" w:fill="D1DDE6"/>
          </w:tcPr>
          <w:p>
            <w:pPr>
              <w:jc w:val="center"/>
              <w:ind w:right="43"/>
              <w:spacing w:after="0"/>
              <w:rPr>
                <w:sz w:val="20"/>
                <w:szCs w:val="20"/>
                <w:color w:val="auto"/>
              </w:rPr>
            </w:pPr>
            <w:r>
              <w:rPr>
                <w:rFonts w:ascii="Arial" w:cs="Arial" w:eastAsia="Arial" w:hAnsi="Arial"/>
                <w:sz w:val="15"/>
                <w:szCs w:val="15"/>
                <w:color w:val="auto"/>
              </w:rPr>
              <w:t>—</w:t>
            </w:r>
          </w:p>
        </w:tc>
        <w:tc>
          <w:tcPr>
            <w:tcW w:w="1520" w:type="dxa"/>
            <w:vAlign w:val="bottom"/>
            <w:shd w:val="clear" w:color="auto" w:fill="D1DDE6"/>
          </w:tcPr>
          <w:p>
            <w:pPr>
              <w:jc w:val="center"/>
              <w:ind w:right="3"/>
              <w:spacing w:after="0"/>
              <w:rPr>
                <w:sz w:val="20"/>
                <w:szCs w:val="20"/>
                <w:color w:val="auto"/>
              </w:rPr>
            </w:pPr>
            <w:r>
              <w:rPr>
                <w:rFonts w:ascii="Arial" w:cs="Arial" w:eastAsia="Arial" w:hAnsi="Arial"/>
                <w:sz w:val="15"/>
                <w:szCs w:val="15"/>
                <w:color w:val="auto"/>
              </w:rPr>
              <w:t>7,642</w:t>
            </w:r>
          </w:p>
        </w:tc>
      </w:tr>
      <w:tr>
        <w:trPr>
          <w:trHeight w:val="247"/>
        </w:trPr>
        <w:tc>
          <w:tcPr>
            <w:tcW w:w="3200" w:type="dxa"/>
            <w:vAlign w:val="bottom"/>
          </w:tcPr>
          <w:p>
            <w:pPr>
              <w:ind w:left="20"/>
              <w:spacing w:after="0"/>
              <w:rPr>
                <w:sz w:val="20"/>
                <w:szCs w:val="20"/>
                <w:color w:val="auto"/>
              </w:rPr>
            </w:pPr>
            <w:r>
              <w:rPr>
                <w:rFonts w:ascii="Arial" w:cs="Arial" w:eastAsia="Arial" w:hAnsi="Arial"/>
                <w:sz w:val="15"/>
                <w:szCs w:val="15"/>
                <w:color w:val="auto"/>
              </w:rPr>
              <w:t>Thomas M. Schoewe</w:t>
            </w:r>
          </w:p>
        </w:tc>
        <w:tc>
          <w:tcPr>
            <w:tcW w:w="3280" w:type="dxa"/>
            <w:vAlign w:val="bottom"/>
          </w:tcPr>
          <w:p>
            <w:pPr>
              <w:jc w:val="center"/>
              <w:ind w:left="1243"/>
              <w:spacing w:after="0"/>
              <w:rPr>
                <w:sz w:val="20"/>
                <w:szCs w:val="20"/>
                <w:color w:val="auto"/>
              </w:rPr>
            </w:pPr>
            <w:r>
              <w:rPr>
                <w:rFonts w:ascii="Arial" w:cs="Arial" w:eastAsia="Arial" w:hAnsi="Arial"/>
                <w:sz w:val="15"/>
                <w:szCs w:val="15"/>
                <w:color w:val="auto"/>
              </w:rPr>
              <w:t>8,857</w:t>
            </w:r>
          </w:p>
        </w:tc>
        <w:tc>
          <w:tcPr>
            <w:tcW w:w="1880" w:type="dxa"/>
            <w:vAlign w:val="bottom"/>
          </w:tcPr>
          <w:p>
            <w:pPr>
              <w:jc w:val="center"/>
              <w:ind w:right="43"/>
              <w:spacing w:after="0"/>
              <w:rPr>
                <w:sz w:val="20"/>
                <w:szCs w:val="20"/>
                <w:color w:val="auto"/>
              </w:rPr>
            </w:pPr>
            <w:r>
              <w:rPr>
                <w:rFonts w:ascii="Arial" w:cs="Arial" w:eastAsia="Arial" w:hAnsi="Arial"/>
                <w:sz w:val="15"/>
                <w:szCs w:val="15"/>
                <w:color w:val="auto"/>
              </w:rPr>
              <w:t>—</w:t>
            </w:r>
          </w:p>
        </w:tc>
        <w:tc>
          <w:tcPr>
            <w:tcW w:w="1520" w:type="dxa"/>
            <w:vAlign w:val="bottom"/>
          </w:tcPr>
          <w:p>
            <w:pPr>
              <w:jc w:val="center"/>
              <w:ind w:right="3"/>
              <w:spacing w:after="0"/>
              <w:rPr>
                <w:sz w:val="20"/>
                <w:szCs w:val="20"/>
                <w:color w:val="auto"/>
              </w:rPr>
            </w:pPr>
            <w:r>
              <w:rPr>
                <w:rFonts w:ascii="Arial" w:cs="Arial" w:eastAsia="Arial" w:hAnsi="Arial"/>
                <w:sz w:val="15"/>
                <w:szCs w:val="15"/>
                <w:color w:val="auto"/>
              </w:rPr>
              <w:t>8,857</w:t>
            </w:r>
          </w:p>
        </w:tc>
      </w:tr>
      <w:tr>
        <w:trPr>
          <w:trHeight w:val="265"/>
        </w:trPr>
        <w:tc>
          <w:tcPr>
            <w:tcW w:w="3200" w:type="dxa"/>
            <w:vAlign w:val="bottom"/>
            <w:shd w:val="clear" w:color="auto" w:fill="D1DDE6"/>
          </w:tcPr>
          <w:p>
            <w:pPr>
              <w:ind w:left="20"/>
              <w:spacing w:after="0"/>
              <w:rPr>
                <w:sz w:val="20"/>
                <w:szCs w:val="20"/>
                <w:color w:val="auto"/>
              </w:rPr>
            </w:pPr>
            <w:r>
              <w:rPr>
                <w:rFonts w:ascii="Arial" w:cs="Arial" w:eastAsia="Arial" w:hAnsi="Arial"/>
                <w:sz w:val="15"/>
                <w:szCs w:val="15"/>
                <w:color w:val="auto"/>
              </w:rPr>
              <w:t>James S. Turley</w:t>
            </w:r>
          </w:p>
        </w:tc>
        <w:tc>
          <w:tcPr>
            <w:tcW w:w="3280" w:type="dxa"/>
            <w:vAlign w:val="bottom"/>
            <w:shd w:val="clear" w:color="auto" w:fill="D1DDE6"/>
          </w:tcPr>
          <w:p>
            <w:pPr>
              <w:jc w:val="center"/>
              <w:ind w:left="1243"/>
              <w:spacing w:after="0"/>
              <w:rPr>
                <w:sz w:val="20"/>
                <w:szCs w:val="20"/>
                <w:color w:val="auto"/>
              </w:rPr>
            </w:pPr>
            <w:r>
              <w:rPr>
                <w:rFonts w:ascii="Arial" w:cs="Arial" w:eastAsia="Arial" w:hAnsi="Arial"/>
                <w:sz w:val="15"/>
                <w:szCs w:val="15"/>
                <w:color w:val="auto"/>
              </w:rPr>
              <w:t>2,843</w:t>
            </w:r>
          </w:p>
        </w:tc>
        <w:tc>
          <w:tcPr>
            <w:tcW w:w="1880" w:type="dxa"/>
            <w:vAlign w:val="bottom"/>
            <w:shd w:val="clear" w:color="auto" w:fill="D1DDE6"/>
          </w:tcPr>
          <w:p>
            <w:pPr>
              <w:jc w:val="center"/>
              <w:ind w:right="43"/>
              <w:spacing w:after="0"/>
              <w:rPr>
                <w:sz w:val="20"/>
                <w:szCs w:val="20"/>
                <w:color w:val="auto"/>
              </w:rPr>
            </w:pPr>
            <w:r>
              <w:rPr>
                <w:rFonts w:ascii="Arial" w:cs="Arial" w:eastAsia="Arial" w:hAnsi="Arial"/>
                <w:sz w:val="15"/>
                <w:szCs w:val="15"/>
                <w:color w:val="auto"/>
              </w:rPr>
              <w:t>—</w:t>
            </w:r>
          </w:p>
        </w:tc>
        <w:tc>
          <w:tcPr>
            <w:tcW w:w="1520" w:type="dxa"/>
            <w:vAlign w:val="bottom"/>
            <w:shd w:val="clear" w:color="auto" w:fill="D1DDE6"/>
          </w:tcPr>
          <w:p>
            <w:pPr>
              <w:jc w:val="center"/>
              <w:ind w:right="3"/>
              <w:spacing w:after="0"/>
              <w:rPr>
                <w:sz w:val="20"/>
                <w:szCs w:val="20"/>
                <w:color w:val="auto"/>
              </w:rPr>
            </w:pPr>
            <w:r>
              <w:rPr>
                <w:rFonts w:ascii="Arial" w:cs="Arial" w:eastAsia="Arial" w:hAnsi="Arial"/>
                <w:sz w:val="15"/>
                <w:szCs w:val="15"/>
                <w:color w:val="auto"/>
              </w:rPr>
              <w:t>2,843</w:t>
            </w:r>
          </w:p>
        </w:tc>
      </w:tr>
      <w:tr>
        <w:trPr>
          <w:trHeight w:val="213"/>
        </w:trPr>
        <w:tc>
          <w:tcPr>
            <w:tcW w:w="3200" w:type="dxa"/>
            <w:vAlign w:val="bottom"/>
          </w:tcPr>
          <w:p>
            <w:pPr>
              <w:ind w:left="20"/>
              <w:spacing w:after="0"/>
              <w:rPr>
                <w:sz w:val="20"/>
                <w:szCs w:val="20"/>
                <w:color w:val="auto"/>
              </w:rPr>
            </w:pPr>
            <w:r>
              <w:rPr>
                <w:rFonts w:ascii="Arial" w:cs="Arial" w:eastAsia="Arial" w:hAnsi="Arial"/>
                <w:sz w:val="15"/>
                <w:szCs w:val="15"/>
                <w:color w:val="auto"/>
              </w:rPr>
              <w:t>Mark A. Welsh III</w:t>
            </w:r>
          </w:p>
        </w:tc>
        <w:tc>
          <w:tcPr>
            <w:tcW w:w="3280" w:type="dxa"/>
            <w:vAlign w:val="bottom"/>
          </w:tcPr>
          <w:p>
            <w:pPr>
              <w:jc w:val="center"/>
              <w:ind w:left="1243"/>
              <w:spacing w:after="0"/>
              <w:rPr>
                <w:sz w:val="20"/>
                <w:szCs w:val="20"/>
                <w:color w:val="auto"/>
              </w:rPr>
            </w:pPr>
            <w:r>
              <w:rPr>
                <w:rFonts w:ascii="Arial" w:cs="Arial" w:eastAsia="Arial" w:hAnsi="Arial"/>
                <w:sz w:val="15"/>
                <w:szCs w:val="15"/>
                <w:color w:val="auto"/>
              </w:rPr>
              <w:t>1,391</w:t>
            </w:r>
          </w:p>
        </w:tc>
        <w:tc>
          <w:tcPr>
            <w:tcW w:w="1880" w:type="dxa"/>
            <w:vAlign w:val="bottom"/>
          </w:tcPr>
          <w:p>
            <w:pPr>
              <w:jc w:val="center"/>
              <w:ind w:right="43"/>
              <w:spacing w:after="0"/>
              <w:rPr>
                <w:sz w:val="20"/>
                <w:szCs w:val="20"/>
                <w:color w:val="auto"/>
              </w:rPr>
            </w:pPr>
            <w:r>
              <w:rPr>
                <w:rFonts w:ascii="Arial" w:cs="Arial" w:eastAsia="Arial" w:hAnsi="Arial"/>
                <w:sz w:val="15"/>
                <w:szCs w:val="15"/>
                <w:color w:val="auto"/>
              </w:rPr>
              <w:t>—</w:t>
            </w:r>
          </w:p>
        </w:tc>
        <w:tc>
          <w:tcPr>
            <w:tcW w:w="1520" w:type="dxa"/>
            <w:vAlign w:val="bottom"/>
          </w:tcPr>
          <w:p>
            <w:pPr>
              <w:jc w:val="center"/>
              <w:ind w:right="3"/>
              <w:spacing w:after="0"/>
              <w:rPr>
                <w:sz w:val="20"/>
                <w:szCs w:val="20"/>
                <w:color w:val="auto"/>
              </w:rPr>
            </w:pPr>
            <w:r>
              <w:rPr>
                <w:rFonts w:ascii="Arial" w:cs="Arial" w:eastAsia="Arial" w:hAnsi="Arial"/>
                <w:sz w:val="15"/>
                <w:szCs w:val="15"/>
                <w:color w:val="auto"/>
              </w:rPr>
              <w:t>1,391</w:t>
            </w:r>
          </w:p>
        </w:tc>
      </w:tr>
      <w:tr>
        <w:trPr>
          <w:trHeight w:val="44"/>
        </w:trPr>
        <w:tc>
          <w:tcPr>
            <w:tcW w:w="3200" w:type="dxa"/>
            <w:vAlign w:val="bottom"/>
            <w:tcBorders>
              <w:bottom w:val="single" w:sz="8" w:color="34657F"/>
            </w:tcBorders>
          </w:tcPr>
          <w:p>
            <w:pPr>
              <w:spacing w:after="0"/>
              <w:rPr>
                <w:sz w:val="3"/>
                <w:szCs w:val="3"/>
                <w:color w:val="auto"/>
              </w:rPr>
            </w:pPr>
          </w:p>
        </w:tc>
        <w:tc>
          <w:tcPr>
            <w:tcW w:w="3280" w:type="dxa"/>
            <w:vAlign w:val="bottom"/>
            <w:tcBorders>
              <w:bottom w:val="single" w:sz="8" w:color="34657F"/>
            </w:tcBorders>
          </w:tcPr>
          <w:p>
            <w:pPr>
              <w:spacing w:after="0"/>
              <w:rPr>
                <w:sz w:val="3"/>
                <w:szCs w:val="3"/>
                <w:color w:val="auto"/>
              </w:rPr>
            </w:pPr>
          </w:p>
        </w:tc>
        <w:tc>
          <w:tcPr>
            <w:tcW w:w="1880" w:type="dxa"/>
            <w:vAlign w:val="bottom"/>
            <w:tcBorders>
              <w:bottom w:val="single" w:sz="8" w:color="34657F"/>
            </w:tcBorders>
          </w:tcPr>
          <w:p>
            <w:pPr>
              <w:spacing w:after="0"/>
              <w:rPr>
                <w:sz w:val="3"/>
                <w:szCs w:val="3"/>
                <w:color w:val="auto"/>
              </w:rPr>
            </w:pPr>
          </w:p>
        </w:tc>
        <w:tc>
          <w:tcPr>
            <w:tcW w:w="1520" w:type="dxa"/>
            <w:vAlign w:val="bottom"/>
            <w:tcBorders>
              <w:bottom w:val="single" w:sz="8" w:color="34657F"/>
            </w:tcBorders>
          </w:tcPr>
          <w:p>
            <w:pPr>
              <w:spacing w:after="0"/>
              <w:rPr>
                <w:sz w:val="3"/>
                <w:szCs w:val="3"/>
                <w:color w:val="auto"/>
              </w:rPr>
            </w:pPr>
          </w:p>
        </w:tc>
      </w:tr>
    </w:tbl>
    <w:p>
      <w:pPr>
        <w:spacing w:after="0" w:line="143" w:lineRule="exact"/>
        <w:rPr>
          <w:sz w:val="20"/>
          <w:szCs w:val="20"/>
          <w:color w:val="auto"/>
        </w:rPr>
      </w:pPr>
    </w:p>
    <w:p>
      <w:pPr>
        <w:ind w:left="1120" w:right="800" w:hanging="316"/>
        <w:spacing w:after="0" w:line="267" w:lineRule="auto"/>
        <w:tabs>
          <w:tab w:leader="none" w:pos="1043" w:val="left"/>
        </w:tabs>
        <w:numPr>
          <w:ilvl w:val="0"/>
          <w:numId w:val="35"/>
        </w:numPr>
        <w:rPr>
          <w:rFonts w:ascii="Arial" w:cs="Arial" w:eastAsia="Arial" w:hAnsi="Arial"/>
          <w:sz w:val="15"/>
          <w:szCs w:val="15"/>
          <w:color w:val="auto"/>
        </w:rPr>
      </w:pPr>
      <w:r>
        <w:rPr>
          <w:rFonts w:ascii="Arial" w:cs="Arial" w:eastAsia="Arial" w:hAnsi="Arial"/>
          <w:sz w:val="15"/>
          <w:szCs w:val="15"/>
          <w:color w:val="auto"/>
        </w:rPr>
        <w:t>Mr. Fazio did not stand for reelection at the 2018 Annual Meeting. All stock units were paid out to Mr. Fazio in the form of common stock after his retirement from the Board in May 2018.</w:t>
      </w:r>
    </w:p>
    <w:p>
      <w:pPr>
        <w:spacing w:after="0" w:line="27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Director Equity Plan</w:t>
      </w:r>
    </w:p>
    <w:p>
      <w:pPr>
        <w:spacing w:after="0" w:line="103"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Under the Northrop Grumman Non-Employee Directors Equity Participation Plan (Director Equity Plan), non-employee directors had an amount equal to 50% of their annual retainer credited to an equity participation account and converted into stock units based on the then fair market value (as defined in the Director Equity Plan) of our common stock. No new participants have been added to the Director Equity Plan since May 31, 2005, and no new annual accruals have been credited to the then-existing participants in the Director Equity Plan since that time. However, directors that served on the Board in and before 2005 continue to be credited with dividend equivalents on the cumulative stock units held in their equity participation accounts until the director terminates service on the Board. Mr. Fazio, who retired from the Board of Directors in May 2018, was the only director who earned dividend equivalents under the Director Equity Plan. No current director participates in the Director Equity Plan.</w:t>
      </w:r>
    </w:p>
    <w:p>
      <w:pPr>
        <w:spacing w:after="0" w:line="70" w:lineRule="exact"/>
        <w:rPr>
          <w:sz w:val="20"/>
          <w:szCs w:val="20"/>
          <w:color w:val="auto"/>
        </w:rPr>
      </w:pPr>
    </w:p>
    <w:p>
      <w:pPr>
        <w:ind w:right="180"/>
        <w:spacing w:after="0" w:line="254" w:lineRule="auto"/>
        <w:rPr>
          <w:sz w:val="20"/>
          <w:szCs w:val="20"/>
          <w:color w:val="auto"/>
        </w:rPr>
      </w:pPr>
      <w:r>
        <w:rPr>
          <w:rFonts w:ascii="Arial" w:cs="Arial" w:eastAsia="Arial" w:hAnsi="Arial"/>
          <w:sz w:val="17"/>
          <w:szCs w:val="17"/>
          <w:color w:val="auto"/>
        </w:rPr>
        <w:t>Generally, if a participating non-employee director terminates service on the Board after completion of at least three consecutive years of service or retires from the Board as a result of a total disability or a debilitating illness as defined in the Director Equity Plan, the participant will be entitled to receive the full balance of the participant's equity participant account in annual installments. Upon a change in control of the Company, as defined in the Director Equity Plan, the participant will immediately be entitled to receive the full balance of the equity participation account under the Director Equity Plan regardless of the number of years of consecutive service, although payment of his or her benefits will not commence until the termination of his or her service.</w:t>
      </w:r>
    </w:p>
    <w:p>
      <w:pPr>
        <w:spacing w:after="0" w:line="200" w:lineRule="exact"/>
        <w:rPr>
          <w:sz w:val="20"/>
          <w:szCs w:val="20"/>
          <w:color w:val="auto"/>
        </w:rPr>
      </w:pPr>
    </w:p>
    <w:p>
      <w:pPr>
        <w:spacing w:after="0" w:line="385" w:lineRule="exact"/>
        <w:rPr>
          <w:sz w:val="20"/>
          <w:szCs w:val="20"/>
          <w:color w:val="auto"/>
        </w:rPr>
      </w:pPr>
    </w:p>
    <w:p>
      <w:pPr>
        <w:jc w:val="right"/>
        <w:spacing w:after="0"/>
        <w:rPr>
          <w:sz w:val="20"/>
          <w:szCs w:val="20"/>
          <w:color w:val="auto"/>
        </w:rPr>
      </w:pPr>
      <w:r>
        <w:rPr>
          <w:rFonts w:ascii="Arial" w:cs="Arial" w:eastAsia="Arial" w:hAnsi="Arial"/>
          <w:sz w:val="14"/>
          <w:szCs w:val="14"/>
          <w:color w:val="34657F"/>
        </w:rPr>
        <w:t xml:space="preserve">NOTICE OF 2019 ANNUAL MEETING OF SHAREHOLDERS AND PROXY STATEMENT </w:t>
      </w:r>
      <w:r>
        <w:rPr>
          <w:rFonts w:ascii="Arial" w:cs="Arial" w:eastAsia="Arial" w:hAnsi="Arial"/>
          <w:sz w:val="14"/>
          <w:szCs w:val="14"/>
          <w:color w:val="000000"/>
        </w:rPr>
        <w:t>I 27</w:t>
      </w:r>
    </w:p>
    <w:p>
      <w:pPr>
        <w:sectPr>
          <w:pgSz w:w="11900" w:h="16838" w:orient="portrait"/>
          <w:cols w:equalWidth="0" w:num="1">
            <w:col w:w="11420"/>
          </w:cols>
          <w:pgMar w:left="240" w:top="671" w:right="239" w:bottom="1440" w:gutter="0" w:footer="0" w:header="0"/>
        </w:sectPr>
      </w:pPr>
    </w:p>
    <w:bookmarkStart w:id="33" w:name="page34"/>
    <w:bookmarkEnd w:id="33"/>
    <w:p>
      <w:pPr>
        <w:ind w:left="20"/>
        <w:spacing w:after="0"/>
        <w:rPr>
          <w:sz w:val="20"/>
          <w:szCs w:val="20"/>
          <w:color w:val="auto"/>
        </w:rPr>
      </w:pPr>
      <w:r>
        <w:rPr>
          <w:rFonts w:ascii="Arial" w:cs="Arial" w:eastAsia="Arial" w:hAnsi="Arial"/>
          <w:sz w:val="21"/>
          <w:szCs w:val="21"/>
          <w:b w:val="1"/>
          <w:bCs w:val="1"/>
          <w:color w:val="FFFFFF"/>
        </w:rPr>
        <w:drawing>
          <wp:anchor simplePos="0" relativeHeight="251657728" behindDoc="1" locked="0" layoutInCell="0" allowOverlap="1">
            <wp:simplePos x="0" y="0"/>
            <wp:positionH relativeFrom="page">
              <wp:posOffset>154305</wp:posOffset>
            </wp:positionH>
            <wp:positionV relativeFrom="page">
              <wp:posOffset>365760</wp:posOffset>
            </wp:positionV>
            <wp:extent cx="7253605" cy="45593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53605" cy="455930"/>
                    </a:xfrm>
                    <a:prstGeom prst="rect">
                      <a:avLst/>
                    </a:prstGeom>
                    <a:noFill/>
                  </pic:spPr>
                </pic:pic>
              </a:graphicData>
            </a:graphic>
          </wp:anchor>
        </w:drawing>
        <w:t>TRANSACTIONS WITH RELATED PERSONS AND CONTROL PERSONS</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20"/>
        <w:spacing w:after="0"/>
        <w:rPr>
          <w:sz w:val="20"/>
          <w:szCs w:val="20"/>
          <w:color w:val="auto"/>
        </w:rPr>
      </w:pPr>
      <w:r>
        <w:rPr>
          <w:rFonts w:ascii="Arial" w:cs="Arial" w:eastAsia="Arial" w:hAnsi="Arial"/>
          <w:sz w:val="24"/>
          <w:szCs w:val="24"/>
          <w:b w:val="1"/>
          <w:bCs w:val="1"/>
          <w:color w:val="auto"/>
        </w:rPr>
        <w:t>Related Person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38100</wp:posOffset>
            </wp:positionV>
            <wp:extent cx="7253605" cy="1651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pacing w:after="0" w:line="142" w:lineRule="exact"/>
        <w:rPr>
          <w:sz w:val="20"/>
          <w:szCs w:val="20"/>
          <w:color w:val="auto"/>
        </w:rPr>
      </w:pPr>
    </w:p>
    <w:p>
      <w:pPr>
        <w:ind w:right="60"/>
        <w:spacing w:after="0" w:line="254" w:lineRule="auto"/>
        <w:rPr>
          <w:sz w:val="20"/>
          <w:szCs w:val="20"/>
          <w:color w:val="auto"/>
        </w:rPr>
      </w:pPr>
      <w:r>
        <w:rPr>
          <w:rFonts w:ascii="Arial" w:cs="Arial" w:eastAsia="Arial" w:hAnsi="Arial"/>
          <w:sz w:val="17"/>
          <w:szCs w:val="17"/>
          <w:color w:val="auto"/>
        </w:rPr>
        <w:t>The Company has a written policy approved by the Board, for the review, approval and ratification of transactions between our Company and our directors, executive officers and other related persons (Related Person Transactions Policy). A copy of the policy is available on the Investor Relations section of our website (</w:t>
      </w:r>
      <w:r>
        <w:rPr>
          <w:rFonts w:ascii="Arial" w:cs="Arial" w:eastAsia="Arial" w:hAnsi="Arial"/>
          <w:sz w:val="17"/>
          <w:szCs w:val="17"/>
          <w:i w:val="1"/>
          <w:iCs w:val="1"/>
          <w:color w:val="auto"/>
        </w:rPr>
        <w:t>www.northropgrumman.com</w:t>
      </w:r>
      <w:r>
        <w:rPr>
          <w:rFonts w:ascii="Arial" w:cs="Arial" w:eastAsia="Arial" w:hAnsi="Arial"/>
          <w:sz w:val="17"/>
          <w:szCs w:val="17"/>
          <w:color w:val="auto"/>
        </w:rPr>
        <w:t>). The policy provides for related person transactions to be reviewed in advance and approved or ratified, as applicable, by the Board of Directors, the Governance Committee or the Chairperson of the Governance Committee. A related person transaction may be approved if, after reviewing the relevant facts and circumstances, the reviewing party concludes that approving the related person transaction is in the best interests of the Company and its shareholders.</w:t>
      </w:r>
    </w:p>
    <w:p>
      <w:pPr>
        <w:spacing w:after="0" w:line="66" w:lineRule="exact"/>
        <w:rPr>
          <w:sz w:val="20"/>
          <w:szCs w:val="20"/>
          <w:color w:val="auto"/>
        </w:rPr>
      </w:pPr>
    </w:p>
    <w:p>
      <w:pPr>
        <w:ind w:right="280"/>
        <w:spacing w:after="0" w:line="263" w:lineRule="auto"/>
        <w:rPr>
          <w:sz w:val="20"/>
          <w:szCs w:val="20"/>
          <w:color w:val="auto"/>
        </w:rPr>
      </w:pPr>
      <w:r>
        <w:rPr>
          <w:rFonts w:ascii="Arial" w:cs="Arial" w:eastAsia="Arial" w:hAnsi="Arial"/>
          <w:sz w:val="17"/>
          <w:szCs w:val="17"/>
          <w:color w:val="auto"/>
        </w:rPr>
        <w:t>The policy defines a related person transaction as any transaction in which the Company was, is or will be a participant, where the amount involved exceeds $120,000, and in which a related person had, has or is expected to have a direct or indirect material interest. A "related person" includes:</w:t>
      </w:r>
    </w:p>
    <w:p>
      <w:pPr>
        <w:spacing w:after="0" w:line="22" w:lineRule="exact"/>
        <w:rPr>
          <w:sz w:val="20"/>
          <w:szCs w:val="20"/>
          <w:color w:val="auto"/>
        </w:rPr>
      </w:pPr>
    </w:p>
    <w:p>
      <w:pPr>
        <w:ind w:left="240" w:hanging="237"/>
        <w:spacing w:after="0"/>
        <w:tabs>
          <w:tab w:leader="none" w:pos="240" w:val="left"/>
        </w:tabs>
        <w:numPr>
          <w:ilvl w:val="0"/>
          <w:numId w:val="36"/>
        </w:numPr>
        <w:rPr>
          <w:rFonts w:ascii="Arial" w:cs="Arial" w:eastAsia="Arial" w:hAnsi="Arial"/>
          <w:sz w:val="21"/>
          <w:szCs w:val="21"/>
          <w:color w:val="34657F"/>
        </w:rPr>
      </w:pPr>
      <w:r>
        <w:rPr>
          <w:rFonts w:ascii="Arial" w:cs="Arial" w:eastAsia="Arial" w:hAnsi="Arial"/>
          <w:sz w:val="17"/>
          <w:szCs w:val="17"/>
          <w:color w:val="auto"/>
        </w:rPr>
        <w:t>any of our directors or executive officers;</w:t>
      </w:r>
    </w:p>
    <w:p>
      <w:pPr>
        <w:spacing w:after="0" w:line="40" w:lineRule="exact"/>
        <w:rPr>
          <w:rFonts w:ascii="Arial" w:cs="Arial" w:eastAsia="Arial" w:hAnsi="Arial"/>
          <w:sz w:val="21"/>
          <w:szCs w:val="21"/>
          <w:color w:val="34657F"/>
        </w:rPr>
      </w:pPr>
    </w:p>
    <w:p>
      <w:pPr>
        <w:ind w:left="240" w:hanging="237"/>
        <w:spacing w:after="0"/>
        <w:tabs>
          <w:tab w:leader="none" w:pos="240" w:val="left"/>
        </w:tabs>
        <w:numPr>
          <w:ilvl w:val="0"/>
          <w:numId w:val="36"/>
        </w:numPr>
        <w:rPr>
          <w:rFonts w:ascii="Arial" w:cs="Arial" w:eastAsia="Arial" w:hAnsi="Arial"/>
          <w:sz w:val="21"/>
          <w:szCs w:val="21"/>
          <w:color w:val="34657F"/>
        </w:rPr>
      </w:pPr>
      <w:r>
        <w:rPr>
          <w:rFonts w:ascii="Arial" w:cs="Arial" w:eastAsia="Arial" w:hAnsi="Arial"/>
          <w:sz w:val="17"/>
          <w:szCs w:val="17"/>
          <w:color w:val="auto"/>
        </w:rPr>
        <w:t>any person who is known to be the beneficial owner of more than 5% of our common stock;</w:t>
      </w:r>
    </w:p>
    <w:p>
      <w:pPr>
        <w:spacing w:after="0" w:line="40" w:lineRule="exact"/>
        <w:rPr>
          <w:rFonts w:ascii="Arial" w:cs="Arial" w:eastAsia="Arial" w:hAnsi="Arial"/>
          <w:sz w:val="21"/>
          <w:szCs w:val="21"/>
          <w:color w:val="34657F"/>
        </w:rPr>
      </w:pPr>
    </w:p>
    <w:p>
      <w:pPr>
        <w:ind w:left="240" w:hanging="237"/>
        <w:spacing w:after="0"/>
        <w:tabs>
          <w:tab w:leader="none" w:pos="240" w:val="left"/>
        </w:tabs>
        <w:numPr>
          <w:ilvl w:val="0"/>
          <w:numId w:val="36"/>
        </w:numPr>
        <w:rPr>
          <w:rFonts w:ascii="Arial" w:cs="Arial" w:eastAsia="Arial" w:hAnsi="Arial"/>
          <w:sz w:val="21"/>
          <w:szCs w:val="21"/>
          <w:color w:val="34657F"/>
        </w:rPr>
      </w:pPr>
      <w:r>
        <w:rPr>
          <w:rFonts w:ascii="Arial" w:cs="Arial" w:eastAsia="Arial" w:hAnsi="Arial"/>
          <w:sz w:val="17"/>
          <w:szCs w:val="17"/>
          <w:color w:val="auto"/>
        </w:rPr>
        <w:t>an immediate family member of any such persons; or</w:t>
      </w:r>
    </w:p>
    <w:p>
      <w:pPr>
        <w:spacing w:after="0" w:line="40" w:lineRule="exact"/>
        <w:rPr>
          <w:rFonts w:ascii="Arial" w:cs="Arial" w:eastAsia="Arial" w:hAnsi="Arial"/>
          <w:sz w:val="21"/>
          <w:szCs w:val="21"/>
          <w:color w:val="34657F"/>
        </w:rPr>
      </w:pPr>
    </w:p>
    <w:p>
      <w:pPr>
        <w:ind w:left="240" w:hanging="237"/>
        <w:spacing w:after="0"/>
        <w:tabs>
          <w:tab w:leader="none" w:pos="240" w:val="left"/>
        </w:tabs>
        <w:numPr>
          <w:ilvl w:val="0"/>
          <w:numId w:val="36"/>
        </w:numPr>
        <w:rPr>
          <w:rFonts w:ascii="Arial" w:cs="Arial" w:eastAsia="Arial" w:hAnsi="Arial"/>
          <w:sz w:val="21"/>
          <w:szCs w:val="21"/>
          <w:color w:val="34657F"/>
        </w:rPr>
      </w:pPr>
      <w:r>
        <w:rPr>
          <w:rFonts w:ascii="Arial" w:cs="Arial" w:eastAsia="Arial" w:hAnsi="Arial"/>
          <w:sz w:val="17"/>
          <w:szCs w:val="17"/>
          <w:color w:val="auto"/>
        </w:rPr>
        <w:t>any firm, corporation, or other entity controlled by any such persons.</w:t>
      </w:r>
    </w:p>
    <w:p>
      <w:pPr>
        <w:spacing w:after="0" w:line="77" w:lineRule="exact"/>
        <w:rPr>
          <w:sz w:val="20"/>
          <w:szCs w:val="20"/>
          <w:color w:val="auto"/>
        </w:rPr>
      </w:pPr>
    </w:p>
    <w:p>
      <w:pPr>
        <w:spacing w:after="0" w:line="254" w:lineRule="auto"/>
        <w:rPr>
          <w:sz w:val="20"/>
          <w:szCs w:val="20"/>
          <w:color w:val="auto"/>
        </w:rPr>
      </w:pPr>
      <w:r>
        <w:rPr>
          <w:rFonts w:ascii="Arial" w:cs="Arial" w:eastAsia="Arial" w:hAnsi="Arial"/>
          <w:sz w:val="17"/>
          <w:szCs w:val="17"/>
          <w:color w:val="auto"/>
        </w:rPr>
        <w:t>The Corporate Secretary may determine that, based on facts and circumstances, a transaction in an amount less than $120,000 should nonetheless be deemed a related person transaction. If this occurs, the transaction would be submitted for review and approval or ratification in accordance with the policy. Under exceptional circumstances, if a related person transaction has not been approved in advance, the Governance Committee will recommend to the Board of Directors such action as the Governance Committee deems appropriate, including ratification, amendment or termination of the transaction.</w:t>
      </w:r>
    </w:p>
    <w:p>
      <w:pPr>
        <w:spacing w:after="0" w:line="68" w:lineRule="exact"/>
        <w:rPr>
          <w:sz w:val="20"/>
          <w:szCs w:val="20"/>
          <w:color w:val="auto"/>
        </w:rPr>
      </w:pPr>
    </w:p>
    <w:p>
      <w:pPr>
        <w:ind w:right="440"/>
        <w:spacing w:after="0" w:line="263" w:lineRule="auto"/>
        <w:rPr>
          <w:sz w:val="20"/>
          <w:szCs w:val="20"/>
          <w:color w:val="auto"/>
        </w:rPr>
      </w:pPr>
      <w:r>
        <w:rPr>
          <w:rFonts w:ascii="Arial" w:cs="Arial" w:eastAsia="Arial" w:hAnsi="Arial"/>
          <w:sz w:val="17"/>
          <w:szCs w:val="17"/>
          <w:color w:val="auto"/>
        </w:rPr>
        <w:t>The policy requires each director and executive officer to complete an annual questionnaire to identify his or her related interests and to notify the Corporate Secretary of any changes in their information.</w:t>
      </w:r>
    </w:p>
    <w:p>
      <w:pPr>
        <w:spacing w:after="0" w:line="59" w:lineRule="exact"/>
        <w:rPr>
          <w:sz w:val="20"/>
          <w:szCs w:val="20"/>
          <w:color w:val="auto"/>
        </w:rPr>
      </w:pPr>
    </w:p>
    <w:p>
      <w:pPr>
        <w:ind w:right="80"/>
        <w:spacing w:after="0" w:line="255" w:lineRule="auto"/>
        <w:rPr>
          <w:sz w:val="20"/>
          <w:szCs w:val="20"/>
          <w:color w:val="auto"/>
        </w:rPr>
      </w:pPr>
      <w:r>
        <w:rPr>
          <w:rFonts w:ascii="Arial" w:cs="Arial" w:eastAsia="Arial" w:hAnsi="Arial"/>
          <w:sz w:val="17"/>
          <w:szCs w:val="17"/>
          <w:color w:val="auto"/>
        </w:rPr>
        <w:t>During 2018, the Company employed one family member of an executive officer who received compensation in excess of the reporting threshold. The spouse of our Corporate Vice President and President, Enterprise Services, Shawn Purvis, was employed by the Company as a Consulting Computer Systems Architect in our Technology Services sector. He received cash compensation (base salary and bonus) of approximately $230,000 and participated in the Company’s benefit plans, commensurate with his position at the Company.</w:t>
      </w:r>
    </w:p>
    <w:p>
      <w:pPr>
        <w:spacing w:after="0" w:line="67" w:lineRule="exact"/>
        <w:rPr>
          <w:sz w:val="20"/>
          <w:szCs w:val="20"/>
          <w:color w:val="auto"/>
        </w:rPr>
      </w:pPr>
    </w:p>
    <w:p>
      <w:pPr>
        <w:ind w:right="200"/>
        <w:spacing w:after="0" w:line="254" w:lineRule="auto"/>
        <w:rPr>
          <w:sz w:val="20"/>
          <w:szCs w:val="20"/>
          <w:color w:val="auto"/>
        </w:rPr>
      </w:pPr>
      <w:r>
        <w:rPr>
          <w:rFonts w:ascii="Arial" w:cs="Arial" w:eastAsia="Arial" w:hAnsi="Arial"/>
          <w:sz w:val="17"/>
          <w:szCs w:val="17"/>
          <w:color w:val="auto"/>
        </w:rPr>
        <w:t>State Street Corporation (State Street), acting in various fiduciary capacities, filed a Schedule 13G/A with the SEC reporting that as of December 31, 2018, State Street and certain of its subsidiaries collectively were the beneficial owners of more than 5% of our outstanding common stock. A subsidiary of State Street is the trustee for various Northrop Grumman defined benefit and defined contribution plan trusts. Two other State Street subsidiaries provide investment management services. During 2018, those State Street subsidiaries received approximately $9.5 million for such services, with over 99% of that amount paid by the plan trusts.</w:t>
      </w:r>
    </w:p>
    <w:p>
      <w:pPr>
        <w:spacing w:after="0" w:line="68" w:lineRule="exact"/>
        <w:rPr>
          <w:sz w:val="20"/>
          <w:szCs w:val="20"/>
          <w:color w:val="auto"/>
        </w:rPr>
      </w:pPr>
    </w:p>
    <w:p>
      <w:pPr>
        <w:ind w:right="240"/>
        <w:spacing w:after="0" w:line="255" w:lineRule="auto"/>
        <w:rPr>
          <w:sz w:val="20"/>
          <w:szCs w:val="20"/>
          <w:color w:val="auto"/>
        </w:rPr>
      </w:pPr>
      <w:r>
        <w:rPr>
          <w:rFonts w:ascii="Arial" w:cs="Arial" w:eastAsia="Arial" w:hAnsi="Arial"/>
          <w:sz w:val="17"/>
          <w:szCs w:val="17"/>
          <w:color w:val="auto"/>
        </w:rPr>
        <w:t>BlackRock, Inc. (BlackRock) filed a Schedule 13G/A with the SEC reporting that as of December 31, 2018, BlackRock and certain of its subsidiaries collectively were the beneficial owners of more than 5% of our outstanding common stock. A subsidiary of BlackRock provides investment management services for the Northrop Grumman Rabbi Trust II and certain assets within various Northrop Grumman defined benefit and defined contribution plan trusts. During 2018, the trusts paid that BlackRock subsidiary approximately $3.2 million for such services.</w:t>
      </w:r>
    </w:p>
    <w:p>
      <w:pPr>
        <w:spacing w:after="0" w:line="67" w:lineRule="exact"/>
        <w:rPr>
          <w:sz w:val="20"/>
          <w:szCs w:val="20"/>
          <w:color w:val="auto"/>
        </w:rPr>
      </w:pPr>
    </w:p>
    <w:p>
      <w:pPr>
        <w:ind w:right="20"/>
        <w:spacing w:after="0" w:line="257" w:lineRule="auto"/>
        <w:rPr>
          <w:sz w:val="20"/>
          <w:szCs w:val="20"/>
          <w:color w:val="auto"/>
        </w:rPr>
      </w:pPr>
      <w:r>
        <w:rPr>
          <w:rFonts w:ascii="Arial" w:cs="Arial" w:eastAsia="Arial" w:hAnsi="Arial"/>
          <w:sz w:val="17"/>
          <w:szCs w:val="17"/>
          <w:color w:val="auto"/>
        </w:rPr>
        <w:t>At the request of our Chief Executive Officer and as authorized by the Board of Directors, Wesley G. Bush has agreed to provide limited consulting service to the Company after his retirement as our Chairman in July 2019, for an initial period of five years. Consulting fees are not expected to exceed $200,000 per year.</w:t>
      </w:r>
    </w:p>
    <w:p>
      <w:pPr>
        <w:spacing w:after="0" w:line="203" w:lineRule="exact"/>
        <w:rPr>
          <w:sz w:val="20"/>
          <w:szCs w:val="20"/>
          <w:color w:val="auto"/>
        </w:rPr>
      </w:pPr>
    </w:p>
    <w:p>
      <w:pPr>
        <w:ind w:left="20"/>
        <w:spacing w:after="0"/>
        <w:rPr>
          <w:sz w:val="20"/>
          <w:szCs w:val="20"/>
          <w:color w:val="auto"/>
        </w:rPr>
      </w:pPr>
      <w:r>
        <w:rPr>
          <w:rFonts w:ascii="Arial" w:cs="Arial" w:eastAsia="Arial" w:hAnsi="Arial"/>
          <w:sz w:val="24"/>
          <w:szCs w:val="24"/>
          <w:b w:val="1"/>
          <w:bCs w:val="1"/>
          <w:color w:val="auto"/>
        </w:rPr>
        <w:t>Compensation Committee Interlocks and Insider Participation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38100</wp:posOffset>
            </wp:positionV>
            <wp:extent cx="7253605" cy="1651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pacing w:after="0" w:line="142" w:lineRule="exact"/>
        <w:rPr>
          <w:sz w:val="20"/>
          <w:szCs w:val="20"/>
          <w:color w:val="auto"/>
        </w:rPr>
      </w:pPr>
    </w:p>
    <w:p>
      <w:pPr>
        <w:ind w:right="20"/>
        <w:spacing w:after="0" w:line="254" w:lineRule="auto"/>
        <w:rPr>
          <w:sz w:val="20"/>
          <w:szCs w:val="20"/>
          <w:color w:val="auto"/>
        </w:rPr>
      </w:pPr>
      <w:r>
        <w:rPr>
          <w:rFonts w:ascii="Arial" w:cs="Arial" w:eastAsia="Arial" w:hAnsi="Arial"/>
          <w:sz w:val="17"/>
          <w:szCs w:val="17"/>
          <w:color w:val="auto"/>
        </w:rPr>
        <w:t>During 2018, Ms. Brown and Messrs. Felsinger, Gordon, Krapek, Roughead and Schoewe served as members of the Compensation Committee. During 2018, no member of the Compensation Committee had a relationship with the Company or any of our subsidiaries, other than as directors and shareholders, and no member was an officer or employee of the Company or any of our subsidiaries, a participant in a related person transaction or an executive officer of another entity, where one of our executive officers serves on the board of directors that would constitute a related person transaction or raise concerns of a Compensation Committee interlock.</w:t>
      </w:r>
    </w:p>
    <w:p>
      <w:pPr>
        <w:spacing w:after="0" w:line="299"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28 </w:t>
      </w:r>
      <w:r>
        <w:rPr>
          <w:rFonts w:ascii="Arial" w:cs="Arial" w:eastAsia="Arial" w:hAnsi="Arial"/>
          <w:sz w:val="13"/>
          <w:szCs w:val="13"/>
          <w:color w:val="auto"/>
        </w:rPr>
        <w:t>I</w:t>
      </w:r>
      <w:r>
        <w:rPr>
          <w:rFonts w:ascii="Arial" w:cs="Arial" w:eastAsia="Arial" w:hAnsi="Arial"/>
          <w:sz w:val="17"/>
          <w:szCs w:val="17"/>
          <w:color w:val="auto"/>
        </w:rPr>
        <w:t xml:space="preserve"> </w:t>
      </w:r>
      <w:r>
        <w:rPr>
          <w:rFonts w:ascii="Arial" w:cs="Arial" w:eastAsia="Arial" w:hAnsi="Arial"/>
          <w:sz w:val="13"/>
          <w:szCs w:val="13"/>
          <w:color w:val="34657F"/>
        </w:rPr>
        <w:t>NOTICE OF 2019 ANNUAL MEETING OF SHAREHOLDERS AND PROXY STATEMENT</w:t>
      </w:r>
    </w:p>
    <w:p>
      <w:pPr>
        <w:sectPr>
          <w:pgSz w:w="11900" w:h="16838" w:orient="portrait"/>
          <w:cols w:equalWidth="0" w:num="1">
            <w:col w:w="11400"/>
          </w:cols>
          <w:pgMar w:left="240" w:top="671" w:right="259" w:bottom="1440" w:gutter="0" w:footer="0" w:header="0"/>
        </w:sectPr>
      </w:pPr>
    </w:p>
    <w:bookmarkStart w:id="34" w:name="page35"/>
    <w:bookmarkEnd w:id="34"/>
    <w:p>
      <w:pPr>
        <w:ind w:left="20"/>
        <w:spacing w:after="0"/>
        <w:rPr>
          <w:sz w:val="20"/>
          <w:szCs w:val="20"/>
          <w:color w:val="auto"/>
        </w:rPr>
      </w:pPr>
      <w:r>
        <w:rPr>
          <w:rFonts w:ascii="Arial" w:cs="Arial" w:eastAsia="Arial" w:hAnsi="Arial"/>
          <w:sz w:val="21"/>
          <w:szCs w:val="21"/>
          <w:b w:val="1"/>
          <w:bCs w:val="1"/>
          <w:color w:val="FFFFFF"/>
        </w:rPr>
        <w:drawing>
          <wp:anchor simplePos="0" relativeHeight="251657728" behindDoc="1" locked="0" layoutInCell="0" allowOverlap="1">
            <wp:simplePos x="0" y="0"/>
            <wp:positionH relativeFrom="page">
              <wp:posOffset>154305</wp:posOffset>
            </wp:positionH>
            <wp:positionV relativeFrom="page">
              <wp:posOffset>365760</wp:posOffset>
            </wp:positionV>
            <wp:extent cx="7253605" cy="45593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53605" cy="455930"/>
                    </a:xfrm>
                    <a:prstGeom prst="rect">
                      <a:avLst/>
                    </a:prstGeom>
                    <a:noFill/>
                  </pic:spPr>
                </pic:pic>
              </a:graphicData>
            </a:graphic>
          </wp:anchor>
        </w:drawing>
        <w:t>TRANSACTIONS WITH RELATED PERSONS AND CONTROL PERSONS</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20"/>
        <w:spacing w:after="0"/>
        <w:rPr>
          <w:sz w:val="20"/>
          <w:szCs w:val="20"/>
          <w:color w:val="auto"/>
        </w:rPr>
      </w:pPr>
      <w:r>
        <w:rPr>
          <w:rFonts w:ascii="Arial" w:cs="Arial" w:eastAsia="Arial" w:hAnsi="Arial"/>
          <w:sz w:val="24"/>
          <w:szCs w:val="24"/>
          <w:b w:val="1"/>
          <w:bCs w:val="1"/>
          <w:color w:val="auto"/>
        </w:rPr>
        <w:t>Indemnification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38100</wp:posOffset>
            </wp:positionV>
            <wp:extent cx="7253605" cy="1651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pacing w:after="0" w:line="142"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Our Bylaws require us generally to indemnify our directors and executive officers to the fullest extent permitted by Delaware law. Additionally, as permitted by Delaware law, we have entered into indemnification agreements with each of our directors and elected officers. Under the indemnification agreements, we have agreed to hold harmless and indemnify each indemnitee, generally to the fullest extent permitted by Delaware law, against expenses, liabilities and loss incurred in connection with threatened, pending or completed action, suit or proceeding, whether civil, criminal, administrative or investigative to which the indemnitee is made a party by reason of the fact that the indemnitee is or was a director or officer of the Company or any other entity at our request, provided however, that the indemnitee acted in good faith and in a manner reasonably believed to be in the best interests of our Company.</w:t>
      </w:r>
    </w:p>
    <w:p>
      <w:pPr>
        <w:spacing w:after="0" w:line="306" w:lineRule="exact"/>
        <w:rPr>
          <w:sz w:val="20"/>
          <w:szCs w:val="20"/>
          <w:color w:val="auto"/>
        </w:rPr>
      </w:pPr>
    </w:p>
    <w:p>
      <w:pPr>
        <w:jc w:val="right"/>
        <w:spacing w:after="0"/>
        <w:rPr>
          <w:sz w:val="20"/>
          <w:szCs w:val="20"/>
          <w:color w:val="auto"/>
        </w:rPr>
      </w:pPr>
      <w:r>
        <w:rPr>
          <w:rFonts w:ascii="Arial" w:cs="Arial" w:eastAsia="Arial" w:hAnsi="Arial"/>
          <w:sz w:val="14"/>
          <w:szCs w:val="14"/>
          <w:color w:val="34657F"/>
        </w:rPr>
        <w:t xml:space="preserve">NOTICE OF 2019 ANNUAL MEETING OF SHAREHOLDERS AND PROXY STATEMENT </w:t>
      </w:r>
      <w:r>
        <w:rPr>
          <w:rFonts w:ascii="Arial" w:cs="Arial" w:eastAsia="Arial" w:hAnsi="Arial"/>
          <w:sz w:val="14"/>
          <w:szCs w:val="14"/>
          <w:color w:val="000000"/>
        </w:rPr>
        <w:t>I 29</w:t>
      </w:r>
    </w:p>
    <w:p>
      <w:pPr>
        <w:sectPr>
          <w:pgSz w:w="11900" w:h="16838" w:orient="portrait"/>
          <w:cols w:equalWidth="0" w:num="1">
            <w:col w:w="11420"/>
          </w:cols>
          <w:pgMar w:left="240" w:top="671" w:right="239" w:bottom="1440" w:gutter="0" w:footer="0" w:header="0"/>
        </w:sectPr>
      </w:pPr>
    </w:p>
    <w:bookmarkStart w:id="35" w:name="page36"/>
    <w:bookmarkEnd w:id="35"/>
    <w:p>
      <w:pPr>
        <w:ind w:left="20"/>
        <w:spacing w:after="0"/>
        <w:rPr>
          <w:sz w:val="20"/>
          <w:szCs w:val="20"/>
          <w:color w:val="auto"/>
        </w:rPr>
      </w:pPr>
      <w:r>
        <w:rPr>
          <w:rFonts w:ascii="Arial" w:cs="Arial" w:eastAsia="Arial" w:hAnsi="Arial"/>
          <w:sz w:val="21"/>
          <w:szCs w:val="21"/>
          <w:b w:val="1"/>
          <w:bCs w:val="1"/>
          <w:color w:val="FFFFFF"/>
          <w:shd w:val="clear" w:color="auto" w:fill="34657F"/>
        </w:rPr>
        <w:drawing>
          <wp:anchor simplePos="0" relativeHeight="251657728" behindDoc="1" locked="0" layoutInCell="0" allowOverlap="1">
            <wp:simplePos x="0" y="0"/>
            <wp:positionH relativeFrom="page">
              <wp:posOffset>154305</wp:posOffset>
            </wp:positionH>
            <wp:positionV relativeFrom="page">
              <wp:posOffset>365760</wp:posOffset>
            </wp:positionV>
            <wp:extent cx="7253605" cy="58610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53605" cy="586105"/>
                    </a:xfrm>
                    <a:prstGeom prst="rect">
                      <a:avLst/>
                    </a:prstGeom>
                    <a:noFill/>
                  </pic:spPr>
                </pic:pic>
              </a:graphicData>
            </a:graphic>
          </wp:anchor>
        </w:drawing>
        <w:t>SECTION 16(a) BENEFICIAL OWNERSHIP REPORTING COMPLIANCE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Section 16(a) of the Securities Exchange Act of 1934, as amended (Exchange Act), requires our directors and executive officers, and persons who own more than ten percent of our common stock, to file reports of ownership and changes in ownership on Forms 3, 4 and 5 with the SEC.</w:t>
      </w:r>
    </w:p>
    <w:p>
      <w:pPr>
        <w:spacing w:after="0" w:line="59" w:lineRule="exact"/>
        <w:rPr>
          <w:sz w:val="20"/>
          <w:szCs w:val="20"/>
          <w:color w:val="auto"/>
        </w:rPr>
      </w:pPr>
    </w:p>
    <w:p>
      <w:pPr>
        <w:ind w:right="160"/>
        <w:spacing w:after="0" w:line="255" w:lineRule="auto"/>
        <w:rPr>
          <w:sz w:val="20"/>
          <w:szCs w:val="20"/>
          <w:color w:val="auto"/>
        </w:rPr>
      </w:pPr>
      <w:r>
        <w:rPr>
          <w:rFonts w:ascii="Arial" w:cs="Arial" w:eastAsia="Arial" w:hAnsi="Arial"/>
          <w:sz w:val="17"/>
          <w:szCs w:val="17"/>
          <w:color w:val="auto"/>
        </w:rPr>
        <w:t>Based on our review of Forms 3, 4 and 5 we have received or have filed on behalf of our executive officers and directors, and written representations from those persons that they were not required to file a Form 5, we believe that all required filings were made on a timely basis during the year ended December 31, 2018, other than a delayed filing of one day for each of Mr. Pamiljans and Ms. Purvis and a delayed filing for Ms. Kalan relating to the sale of shares indirectly held through family members.</w:t>
      </w:r>
    </w:p>
    <w:p>
      <w:pPr>
        <w:spacing w:after="0" w:line="297"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30 </w:t>
      </w:r>
      <w:r>
        <w:rPr>
          <w:rFonts w:ascii="Arial" w:cs="Arial" w:eastAsia="Arial" w:hAnsi="Arial"/>
          <w:sz w:val="13"/>
          <w:szCs w:val="13"/>
          <w:color w:val="auto"/>
        </w:rPr>
        <w:t>I</w:t>
      </w:r>
      <w:r>
        <w:rPr>
          <w:rFonts w:ascii="Arial" w:cs="Arial" w:eastAsia="Arial" w:hAnsi="Arial"/>
          <w:sz w:val="17"/>
          <w:szCs w:val="17"/>
          <w:color w:val="auto"/>
        </w:rPr>
        <w:t xml:space="preserve"> </w:t>
      </w:r>
      <w:r>
        <w:rPr>
          <w:rFonts w:ascii="Arial" w:cs="Arial" w:eastAsia="Arial" w:hAnsi="Arial"/>
          <w:sz w:val="13"/>
          <w:szCs w:val="13"/>
          <w:color w:val="34657F"/>
        </w:rPr>
        <w:t>NOTICE OF 2019 ANNUAL MEETING OF SHAREHOLDERS AND PROXY STATEMENT</w:t>
      </w:r>
    </w:p>
    <w:p>
      <w:pPr>
        <w:sectPr>
          <w:pgSz w:w="11900" w:h="16838" w:orient="portrait"/>
          <w:cols w:equalWidth="0" w:num="1">
            <w:col w:w="11420"/>
          </w:cols>
          <w:pgMar w:left="240" w:top="671" w:right="239" w:bottom="1440" w:gutter="0" w:footer="0" w:header="0"/>
        </w:sectPr>
      </w:pPr>
    </w:p>
    <w:bookmarkStart w:id="36" w:name="page37"/>
    <w:bookmarkEnd w:id="36"/>
    <w:p>
      <w:pPr>
        <w:ind w:left="20"/>
        <w:spacing w:after="0"/>
        <w:rPr>
          <w:sz w:val="20"/>
          <w:szCs w:val="20"/>
          <w:color w:val="auto"/>
        </w:rPr>
      </w:pPr>
      <w:r>
        <w:rPr>
          <w:rFonts w:ascii="Arial" w:cs="Arial" w:eastAsia="Arial" w:hAnsi="Arial"/>
          <w:sz w:val="21"/>
          <w:szCs w:val="21"/>
          <w:b w:val="1"/>
          <w:bCs w:val="1"/>
          <w:color w:val="FFFFFF"/>
        </w:rPr>
        <w:drawing>
          <wp:anchor simplePos="0" relativeHeight="251657728" behindDoc="1" locked="0" layoutInCell="0" allowOverlap="1">
            <wp:simplePos x="0" y="0"/>
            <wp:positionH relativeFrom="page">
              <wp:posOffset>154305</wp:posOffset>
            </wp:positionH>
            <wp:positionV relativeFrom="page">
              <wp:posOffset>365760</wp:posOffset>
            </wp:positionV>
            <wp:extent cx="7253605" cy="58610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53605" cy="586105"/>
                    </a:xfrm>
                    <a:prstGeom prst="rect">
                      <a:avLst/>
                    </a:prstGeom>
                    <a:noFill/>
                  </pic:spPr>
                </pic:pic>
              </a:graphicData>
            </a:graphic>
          </wp:anchor>
        </w:drawing>
        <w:t>VOTING SECURITIES AND PRINCIPAL 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20"/>
        <w:spacing w:after="0"/>
        <w:rPr>
          <w:sz w:val="20"/>
          <w:szCs w:val="20"/>
          <w:color w:val="auto"/>
        </w:rPr>
      </w:pPr>
      <w:r>
        <w:rPr>
          <w:rFonts w:ascii="Arial" w:cs="Arial" w:eastAsia="Arial" w:hAnsi="Arial"/>
          <w:sz w:val="24"/>
          <w:szCs w:val="24"/>
          <w:b w:val="1"/>
          <w:bCs w:val="1"/>
          <w:color w:val="auto"/>
        </w:rPr>
        <w:t>Stock Ownership of Certain Beneficial Owners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38100</wp:posOffset>
            </wp:positionV>
            <wp:extent cx="7253605" cy="1651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pacing w:after="0" w:line="142" w:lineRule="exact"/>
        <w:rPr>
          <w:sz w:val="20"/>
          <w:szCs w:val="20"/>
          <w:color w:val="auto"/>
        </w:rPr>
      </w:pPr>
    </w:p>
    <w:p>
      <w:pPr>
        <w:ind w:right="140"/>
        <w:spacing w:after="0" w:line="257" w:lineRule="auto"/>
        <w:rPr>
          <w:sz w:val="20"/>
          <w:szCs w:val="20"/>
          <w:color w:val="auto"/>
        </w:rPr>
      </w:pPr>
      <w:r>
        <w:rPr>
          <w:rFonts w:ascii="Arial" w:cs="Arial" w:eastAsia="Arial" w:hAnsi="Arial"/>
          <w:sz w:val="17"/>
          <w:szCs w:val="17"/>
          <w:color w:val="auto"/>
        </w:rPr>
        <w:t>The following entities beneficially owned, to the best of our knowledge, more than five percent of the outstanding common stock as of December 31, 2018. All information shown is based on information reported by the filer on a Schedule 13G filed with the SEC on the dates indicated in the footnotes below.</w:t>
      </w:r>
    </w:p>
    <w:p>
      <w:pPr>
        <w:spacing w:after="0" w:line="193" w:lineRule="exact"/>
        <w:rPr>
          <w:sz w:val="20"/>
          <w:szCs w:val="20"/>
          <w:color w:val="auto"/>
        </w:rPr>
      </w:pPr>
    </w:p>
    <w:tbl>
      <w:tblPr>
        <w:tblLayout w:type="fixed"/>
        <w:tblInd w:w="660" w:type="dxa"/>
        <w:tblCellMar>
          <w:top w:w="0" w:type="dxa"/>
          <w:left w:w="0" w:type="dxa"/>
          <w:bottom w:w="0" w:type="dxa"/>
          <w:right w:w="0" w:type="dxa"/>
        </w:tblCellMar>
      </w:tblPr>
      <w:tr>
        <w:trPr>
          <w:trHeight w:val="189"/>
        </w:trPr>
        <w:tc>
          <w:tcPr>
            <w:tcW w:w="4180" w:type="dxa"/>
            <w:vAlign w:val="bottom"/>
            <w:shd w:val="clear" w:color="auto" w:fill="34657F"/>
          </w:tcPr>
          <w:p>
            <w:pPr>
              <w:spacing w:after="0"/>
              <w:rPr>
                <w:sz w:val="16"/>
                <w:szCs w:val="16"/>
                <w:color w:val="auto"/>
              </w:rPr>
            </w:pPr>
          </w:p>
        </w:tc>
        <w:tc>
          <w:tcPr>
            <w:tcW w:w="3640" w:type="dxa"/>
            <w:vAlign w:val="bottom"/>
            <w:gridSpan w:val="2"/>
            <w:shd w:val="clear" w:color="auto" w:fill="34657F"/>
          </w:tcPr>
          <w:p>
            <w:pPr>
              <w:jc w:val="center"/>
              <w:ind w:left="383"/>
              <w:spacing w:after="0"/>
              <w:rPr>
                <w:sz w:val="20"/>
                <w:szCs w:val="20"/>
                <w:color w:val="auto"/>
              </w:rPr>
            </w:pPr>
            <w:r>
              <w:rPr>
                <w:rFonts w:ascii="Arial" w:cs="Arial" w:eastAsia="Arial" w:hAnsi="Arial"/>
                <w:sz w:val="15"/>
                <w:szCs w:val="15"/>
                <w:b w:val="1"/>
                <w:bCs w:val="1"/>
                <w:color w:val="FFFFFF"/>
              </w:rPr>
              <w:t>Amount and Nature of</w:t>
            </w:r>
          </w:p>
        </w:tc>
        <w:tc>
          <w:tcPr>
            <w:tcW w:w="2300" w:type="dxa"/>
            <w:vAlign w:val="bottom"/>
            <w:shd w:val="clear" w:color="auto" w:fill="34657F"/>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4180" w:type="dxa"/>
            <w:vAlign w:val="bottom"/>
            <w:shd w:val="clear" w:color="auto" w:fill="34657F"/>
          </w:tcPr>
          <w:p>
            <w:pPr>
              <w:spacing w:after="0"/>
              <w:rPr>
                <w:sz w:val="15"/>
                <w:szCs w:val="15"/>
                <w:color w:val="auto"/>
              </w:rPr>
            </w:pPr>
          </w:p>
        </w:tc>
        <w:tc>
          <w:tcPr>
            <w:tcW w:w="3640" w:type="dxa"/>
            <w:vAlign w:val="bottom"/>
            <w:gridSpan w:val="2"/>
            <w:shd w:val="clear" w:color="auto" w:fill="34657F"/>
          </w:tcPr>
          <w:p>
            <w:pPr>
              <w:jc w:val="center"/>
              <w:ind w:left="383"/>
              <w:spacing w:after="0"/>
              <w:rPr>
                <w:sz w:val="20"/>
                <w:szCs w:val="20"/>
                <w:color w:val="auto"/>
              </w:rPr>
            </w:pPr>
            <w:r>
              <w:rPr>
                <w:rFonts w:ascii="Arial" w:cs="Arial" w:eastAsia="Arial" w:hAnsi="Arial"/>
                <w:sz w:val="15"/>
                <w:szCs w:val="15"/>
                <w:b w:val="1"/>
                <w:bCs w:val="1"/>
                <w:color w:val="FFFFFF"/>
              </w:rPr>
              <w:t>Beneficial Ownership of</w:t>
            </w:r>
          </w:p>
        </w:tc>
        <w:tc>
          <w:tcPr>
            <w:tcW w:w="2300" w:type="dxa"/>
            <w:vAlign w:val="bottom"/>
            <w:shd w:val="clear" w:color="auto" w:fill="34657F"/>
          </w:tcPr>
          <w:p>
            <w:pPr>
              <w:jc w:val="center"/>
              <w:ind w:right="163"/>
              <w:spacing w:after="0"/>
              <w:rPr>
                <w:sz w:val="20"/>
                <w:szCs w:val="20"/>
                <w:color w:val="auto"/>
              </w:rPr>
            </w:pPr>
            <w:r>
              <w:rPr>
                <w:rFonts w:ascii="Arial" w:cs="Arial" w:eastAsia="Arial" w:hAnsi="Arial"/>
                <w:sz w:val="15"/>
                <w:szCs w:val="15"/>
                <w:b w:val="1"/>
                <w:bCs w:val="1"/>
                <w:color w:val="FFFFFF"/>
              </w:rPr>
              <w:t>Percent</w:t>
            </w:r>
          </w:p>
        </w:tc>
        <w:tc>
          <w:tcPr>
            <w:tcW w:w="0" w:type="dxa"/>
            <w:vAlign w:val="bottom"/>
          </w:tcPr>
          <w:p>
            <w:pPr>
              <w:spacing w:after="0"/>
              <w:rPr>
                <w:sz w:val="1"/>
                <w:szCs w:val="1"/>
                <w:color w:val="auto"/>
              </w:rPr>
            </w:pPr>
          </w:p>
        </w:tc>
      </w:tr>
      <w:tr>
        <w:trPr>
          <w:trHeight w:val="221"/>
        </w:trPr>
        <w:tc>
          <w:tcPr>
            <w:tcW w:w="4180" w:type="dxa"/>
            <w:vAlign w:val="bottom"/>
            <w:shd w:val="clear" w:color="auto" w:fill="34657F"/>
          </w:tcPr>
          <w:p>
            <w:pPr>
              <w:ind w:left="20"/>
              <w:spacing w:after="0"/>
              <w:rPr>
                <w:sz w:val="20"/>
                <w:szCs w:val="20"/>
                <w:color w:val="auto"/>
              </w:rPr>
            </w:pPr>
            <w:r>
              <w:rPr>
                <w:rFonts w:ascii="Arial" w:cs="Arial" w:eastAsia="Arial" w:hAnsi="Arial"/>
                <w:sz w:val="15"/>
                <w:szCs w:val="15"/>
                <w:b w:val="1"/>
                <w:bCs w:val="1"/>
                <w:color w:val="FFFFFF"/>
              </w:rPr>
              <w:t>Name and Address of Beneficial Owner</w:t>
            </w:r>
          </w:p>
        </w:tc>
        <w:tc>
          <w:tcPr>
            <w:tcW w:w="2680" w:type="dxa"/>
            <w:vAlign w:val="bottom"/>
            <w:shd w:val="clear" w:color="auto" w:fill="34657F"/>
          </w:tcPr>
          <w:p>
            <w:pPr>
              <w:jc w:val="center"/>
              <w:ind w:left="1343"/>
              <w:spacing w:after="0"/>
              <w:rPr>
                <w:sz w:val="20"/>
                <w:szCs w:val="20"/>
                <w:color w:val="auto"/>
              </w:rPr>
            </w:pPr>
            <w:r>
              <w:rPr>
                <w:rFonts w:ascii="Arial" w:cs="Arial" w:eastAsia="Arial" w:hAnsi="Arial"/>
                <w:sz w:val="15"/>
                <w:szCs w:val="15"/>
                <w:b w:val="1"/>
                <w:bCs w:val="1"/>
                <w:color w:val="FFFFFF"/>
              </w:rPr>
              <w:t>Common Stock</w:t>
            </w:r>
          </w:p>
        </w:tc>
        <w:tc>
          <w:tcPr>
            <w:tcW w:w="960" w:type="dxa"/>
            <w:vAlign w:val="bottom"/>
            <w:shd w:val="clear" w:color="auto" w:fill="34657F"/>
          </w:tcPr>
          <w:p>
            <w:pPr>
              <w:spacing w:after="0"/>
              <w:rPr>
                <w:sz w:val="19"/>
                <w:szCs w:val="19"/>
                <w:color w:val="auto"/>
              </w:rPr>
            </w:pPr>
          </w:p>
        </w:tc>
        <w:tc>
          <w:tcPr>
            <w:tcW w:w="2300" w:type="dxa"/>
            <w:vAlign w:val="bottom"/>
            <w:shd w:val="clear" w:color="auto" w:fill="34657F"/>
          </w:tcPr>
          <w:p>
            <w:pPr>
              <w:jc w:val="center"/>
              <w:ind w:right="183"/>
              <w:spacing w:after="0"/>
              <w:rPr>
                <w:sz w:val="20"/>
                <w:szCs w:val="20"/>
                <w:color w:val="auto"/>
              </w:rPr>
            </w:pPr>
            <w:r>
              <w:rPr>
                <w:rFonts w:ascii="Arial" w:cs="Arial" w:eastAsia="Arial" w:hAnsi="Arial"/>
                <w:sz w:val="15"/>
                <w:szCs w:val="15"/>
                <w:b w:val="1"/>
                <w:bCs w:val="1"/>
                <w:color w:val="FFFFFF"/>
              </w:rPr>
              <w:t>of Class</w:t>
            </w:r>
          </w:p>
        </w:tc>
        <w:tc>
          <w:tcPr>
            <w:tcW w:w="0" w:type="dxa"/>
            <w:vAlign w:val="bottom"/>
          </w:tcPr>
          <w:p>
            <w:pPr>
              <w:spacing w:after="0"/>
              <w:rPr>
                <w:sz w:val="1"/>
                <w:szCs w:val="1"/>
                <w:color w:val="auto"/>
              </w:rPr>
            </w:pPr>
          </w:p>
        </w:tc>
      </w:tr>
      <w:tr>
        <w:trPr>
          <w:trHeight w:val="207"/>
        </w:trPr>
        <w:tc>
          <w:tcPr>
            <w:tcW w:w="4180" w:type="dxa"/>
            <w:vAlign w:val="bottom"/>
            <w:shd w:val="clear" w:color="auto" w:fill="D1DDE6"/>
          </w:tcPr>
          <w:p>
            <w:pPr>
              <w:ind w:left="20"/>
              <w:spacing w:after="0"/>
              <w:rPr>
                <w:sz w:val="20"/>
                <w:szCs w:val="20"/>
                <w:color w:val="auto"/>
              </w:rPr>
            </w:pPr>
            <w:r>
              <w:rPr>
                <w:rFonts w:ascii="Arial" w:cs="Arial" w:eastAsia="Arial" w:hAnsi="Arial"/>
                <w:sz w:val="15"/>
                <w:szCs w:val="15"/>
                <w:b w:val="1"/>
                <w:bCs w:val="1"/>
                <w:color w:val="auto"/>
              </w:rPr>
              <w:t>State Street Corporation</w:t>
            </w:r>
          </w:p>
        </w:tc>
        <w:tc>
          <w:tcPr>
            <w:tcW w:w="2680" w:type="dxa"/>
            <w:vAlign w:val="bottom"/>
            <w:vMerge w:val="restart"/>
            <w:shd w:val="clear" w:color="auto" w:fill="D1DDE6"/>
          </w:tcPr>
          <w:p>
            <w:pPr>
              <w:jc w:val="right"/>
              <w:ind w:right="463"/>
              <w:spacing w:after="0"/>
              <w:rPr>
                <w:sz w:val="20"/>
                <w:szCs w:val="20"/>
                <w:color w:val="auto"/>
              </w:rPr>
            </w:pPr>
            <w:r>
              <w:rPr>
                <w:rFonts w:ascii="Arial" w:cs="Arial" w:eastAsia="Arial" w:hAnsi="Arial"/>
                <w:sz w:val="15"/>
                <w:szCs w:val="15"/>
                <w:color w:val="auto"/>
              </w:rPr>
              <w:t>17,679,908</w:t>
            </w:r>
          </w:p>
        </w:tc>
        <w:tc>
          <w:tcPr>
            <w:tcW w:w="960" w:type="dxa"/>
            <w:vAlign w:val="bottom"/>
            <w:vMerge w:val="restart"/>
            <w:shd w:val="clear" w:color="auto" w:fill="D1DDE6"/>
          </w:tcPr>
          <w:p>
            <w:pPr>
              <w:jc w:val="right"/>
              <w:ind w:right="643"/>
              <w:spacing w:after="0"/>
              <w:rPr>
                <w:sz w:val="20"/>
                <w:szCs w:val="20"/>
                <w:color w:val="auto"/>
              </w:rPr>
            </w:pPr>
            <w:r>
              <w:rPr>
                <w:rFonts w:ascii="Arial" w:cs="Arial" w:eastAsia="Arial" w:hAnsi="Arial"/>
                <w:sz w:val="15"/>
                <w:szCs w:val="15"/>
                <w:color w:val="auto"/>
              </w:rPr>
              <w:t>(1)</w:t>
            </w:r>
          </w:p>
        </w:tc>
        <w:tc>
          <w:tcPr>
            <w:tcW w:w="2300" w:type="dxa"/>
            <w:vAlign w:val="bottom"/>
            <w:vMerge w:val="restart"/>
            <w:shd w:val="clear" w:color="auto" w:fill="D1DDE6"/>
          </w:tcPr>
          <w:p>
            <w:pPr>
              <w:jc w:val="center"/>
              <w:ind w:right="163"/>
              <w:spacing w:after="0"/>
              <w:rPr>
                <w:sz w:val="20"/>
                <w:szCs w:val="20"/>
                <w:color w:val="auto"/>
              </w:rPr>
            </w:pPr>
            <w:r>
              <w:rPr>
                <w:rFonts w:ascii="Arial" w:cs="Arial" w:eastAsia="Arial" w:hAnsi="Arial"/>
                <w:sz w:val="15"/>
                <w:szCs w:val="15"/>
                <w:color w:val="auto"/>
                <w:w w:val="98"/>
              </w:rPr>
              <w:t>10.2%</w:t>
            </w:r>
          </w:p>
        </w:tc>
        <w:tc>
          <w:tcPr>
            <w:tcW w:w="0" w:type="dxa"/>
            <w:vAlign w:val="bottom"/>
          </w:tcPr>
          <w:p>
            <w:pPr>
              <w:spacing w:after="0"/>
              <w:rPr>
                <w:sz w:val="1"/>
                <w:szCs w:val="1"/>
                <w:color w:val="auto"/>
              </w:rPr>
            </w:pPr>
          </w:p>
        </w:tc>
      </w:tr>
      <w:tr>
        <w:trPr>
          <w:trHeight w:val="95"/>
        </w:trPr>
        <w:tc>
          <w:tcPr>
            <w:tcW w:w="4180" w:type="dxa"/>
            <w:vAlign w:val="bottom"/>
            <w:vMerge w:val="restart"/>
            <w:shd w:val="clear" w:color="auto" w:fill="D1DDE6"/>
          </w:tcPr>
          <w:p>
            <w:pPr>
              <w:ind w:left="20"/>
              <w:spacing w:after="0"/>
              <w:rPr>
                <w:sz w:val="20"/>
                <w:szCs w:val="20"/>
                <w:color w:val="auto"/>
              </w:rPr>
            </w:pPr>
            <w:r>
              <w:rPr>
                <w:rFonts w:ascii="Arial" w:cs="Arial" w:eastAsia="Arial" w:hAnsi="Arial"/>
                <w:sz w:val="15"/>
                <w:szCs w:val="15"/>
                <w:color w:val="auto"/>
              </w:rPr>
              <w:t>One Lincoln Street, Boston, MA 02111</w:t>
            </w:r>
          </w:p>
        </w:tc>
        <w:tc>
          <w:tcPr>
            <w:tcW w:w="2680" w:type="dxa"/>
            <w:vAlign w:val="bottom"/>
            <w:vMerge w:val="continue"/>
            <w:shd w:val="clear" w:color="auto" w:fill="D1DDE6"/>
          </w:tcPr>
          <w:p>
            <w:pPr>
              <w:spacing w:after="0"/>
              <w:rPr>
                <w:sz w:val="8"/>
                <w:szCs w:val="8"/>
                <w:color w:val="auto"/>
              </w:rPr>
            </w:pPr>
          </w:p>
        </w:tc>
        <w:tc>
          <w:tcPr>
            <w:tcW w:w="960" w:type="dxa"/>
            <w:vAlign w:val="bottom"/>
            <w:vMerge w:val="continue"/>
            <w:shd w:val="clear" w:color="auto" w:fill="D1DDE6"/>
          </w:tcPr>
          <w:p>
            <w:pPr>
              <w:spacing w:after="0"/>
              <w:rPr>
                <w:sz w:val="8"/>
                <w:szCs w:val="8"/>
                <w:color w:val="auto"/>
              </w:rPr>
            </w:pPr>
          </w:p>
        </w:tc>
        <w:tc>
          <w:tcPr>
            <w:tcW w:w="2300" w:type="dxa"/>
            <w:vAlign w:val="bottom"/>
            <w:vMerge w:val="continue"/>
            <w:shd w:val="clear" w:color="auto" w:fill="D1DDE6"/>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4180" w:type="dxa"/>
            <w:vAlign w:val="bottom"/>
            <w:vMerge w:val="continue"/>
            <w:shd w:val="clear" w:color="auto" w:fill="D1DDE6"/>
          </w:tcPr>
          <w:p>
            <w:pPr>
              <w:spacing w:after="0"/>
              <w:rPr>
                <w:sz w:val="9"/>
                <w:szCs w:val="9"/>
                <w:color w:val="auto"/>
              </w:rPr>
            </w:pPr>
          </w:p>
        </w:tc>
        <w:tc>
          <w:tcPr>
            <w:tcW w:w="2680" w:type="dxa"/>
            <w:vAlign w:val="bottom"/>
            <w:shd w:val="clear" w:color="auto" w:fill="D1DDE6"/>
          </w:tcPr>
          <w:p>
            <w:pPr>
              <w:spacing w:after="0"/>
              <w:rPr>
                <w:sz w:val="9"/>
                <w:szCs w:val="9"/>
                <w:color w:val="auto"/>
              </w:rPr>
            </w:pPr>
          </w:p>
        </w:tc>
        <w:tc>
          <w:tcPr>
            <w:tcW w:w="960" w:type="dxa"/>
            <w:vAlign w:val="bottom"/>
            <w:shd w:val="clear" w:color="auto" w:fill="D1DDE6"/>
          </w:tcPr>
          <w:p>
            <w:pPr>
              <w:spacing w:after="0"/>
              <w:rPr>
                <w:sz w:val="9"/>
                <w:szCs w:val="9"/>
                <w:color w:val="auto"/>
              </w:rPr>
            </w:pPr>
          </w:p>
        </w:tc>
        <w:tc>
          <w:tcPr>
            <w:tcW w:w="2300" w:type="dxa"/>
            <w:vAlign w:val="bottom"/>
            <w:shd w:val="clear" w:color="auto" w:fill="D1DDE6"/>
          </w:tcPr>
          <w:p>
            <w:pPr>
              <w:spacing w:after="0"/>
              <w:rPr>
                <w:sz w:val="9"/>
                <w:szCs w:val="9"/>
                <w:color w:val="auto"/>
              </w:rPr>
            </w:pPr>
          </w:p>
        </w:tc>
        <w:tc>
          <w:tcPr>
            <w:tcW w:w="0" w:type="dxa"/>
            <w:vAlign w:val="bottom"/>
          </w:tcPr>
          <w:p>
            <w:pPr>
              <w:spacing w:after="0"/>
              <w:rPr>
                <w:sz w:val="1"/>
                <w:szCs w:val="1"/>
                <w:color w:val="auto"/>
              </w:rPr>
            </w:pPr>
          </w:p>
        </w:tc>
      </w:tr>
      <w:tr>
        <w:trPr>
          <w:trHeight w:val="207"/>
        </w:trPr>
        <w:tc>
          <w:tcPr>
            <w:tcW w:w="4180" w:type="dxa"/>
            <w:vAlign w:val="bottom"/>
          </w:tcPr>
          <w:p>
            <w:pPr>
              <w:ind w:left="20"/>
              <w:spacing w:after="0"/>
              <w:rPr>
                <w:sz w:val="20"/>
                <w:szCs w:val="20"/>
                <w:color w:val="auto"/>
              </w:rPr>
            </w:pPr>
            <w:r>
              <w:rPr>
                <w:rFonts w:ascii="Arial" w:cs="Arial" w:eastAsia="Arial" w:hAnsi="Arial"/>
                <w:sz w:val="15"/>
                <w:szCs w:val="15"/>
                <w:b w:val="1"/>
                <w:bCs w:val="1"/>
                <w:color w:val="auto"/>
              </w:rPr>
              <w:t>The Vanguard Group</w:t>
            </w:r>
          </w:p>
        </w:tc>
        <w:tc>
          <w:tcPr>
            <w:tcW w:w="2680" w:type="dxa"/>
            <w:vAlign w:val="bottom"/>
            <w:vMerge w:val="restart"/>
          </w:tcPr>
          <w:p>
            <w:pPr>
              <w:jc w:val="right"/>
              <w:ind w:right="463"/>
              <w:spacing w:after="0"/>
              <w:rPr>
                <w:sz w:val="20"/>
                <w:szCs w:val="20"/>
                <w:color w:val="auto"/>
              </w:rPr>
            </w:pPr>
            <w:r>
              <w:rPr>
                <w:rFonts w:ascii="Arial" w:cs="Arial" w:eastAsia="Arial" w:hAnsi="Arial"/>
                <w:sz w:val="15"/>
                <w:szCs w:val="15"/>
                <w:color w:val="auto"/>
              </w:rPr>
              <w:t>13,976,016</w:t>
            </w:r>
          </w:p>
        </w:tc>
        <w:tc>
          <w:tcPr>
            <w:tcW w:w="960" w:type="dxa"/>
            <w:vAlign w:val="bottom"/>
            <w:vMerge w:val="restart"/>
          </w:tcPr>
          <w:p>
            <w:pPr>
              <w:jc w:val="right"/>
              <w:ind w:right="643"/>
              <w:spacing w:after="0"/>
              <w:rPr>
                <w:sz w:val="20"/>
                <w:szCs w:val="20"/>
                <w:color w:val="auto"/>
              </w:rPr>
            </w:pPr>
            <w:r>
              <w:rPr>
                <w:rFonts w:ascii="Arial" w:cs="Arial" w:eastAsia="Arial" w:hAnsi="Arial"/>
                <w:sz w:val="15"/>
                <w:szCs w:val="15"/>
                <w:color w:val="auto"/>
              </w:rPr>
              <w:t>(2)</w:t>
            </w:r>
          </w:p>
        </w:tc>
        <w:tc>
          <w:tcPr>
            <w:tcW w:w="2300" w:type="dxa"/>
            <w:vAlign w:val="bottom"/>
            <w:vMerge w:val="restart"/>
          </w:tcPr>
          <w:p>
            <w:pPr>
              <w:jc w:val="center"/>
              <w:ind w:right="163"/>
              <w:spacing w:after="0"/>
              <w:rPr>
                <w:sz w:val="20"/>
                <w:szCs w:val="20"/>
                <w:color w:val="auto"/>
              </w:rPr>
            </w:pPr>
            <w:r>
              <w:rPr>
                <w:rFonts w:ascii="Arial" w:cs="Arial" w:eastAsia="Arial" w:hAnsi="Arial"/>
                <w:sz w:val="15"/>
                <w:szCs w:val="15"/>
                <w:color w:val="auto"/>
                <w:w w:val="99"/>
              </w:rPr>
              <w:t>8.0%</w:t>
            </w:r>
          </w:p>
        </w:tc>
        <w:tc>
          <w:tcPr>
            <w:tcW w:w="0" w:type="dxa"/>
            <w:vAlign w:val="bottom"/>
          </w:tcPr>
          <w:p>
            <w:pPr>
              <w:spacing w:after="0"/>
              <w:rPr>
                <w:sz w:val="1"/>
                <w:szCs w:val="1"/>
                <w:color w:val="auto"/>
              </w:rPr>
            </w:pPr>
          </w:p>
        </w:tc>
      </w:tr>
      <w:tr>
        <w:trPr>
          <w:trHeight w:val="95"/>
        </w:trPr>
        <w:tc>
          <w:tcPr>
            <w:tcW w:w="4180" w:type="dxa"/>
            <w:vAlign w:val="bottom"/>
            <w:vMerge w:val="restart"/>
          </w:tcPr>
          <w:p>
            <w:pPr>
              <w:ind w:left="20"/>
              <w:spacing w:after="0"/>
              <w:rPr>
                <w:sz w:val="20"/>
                <w:szCs w:val="20"/>
                <w:color w:val="auto"/>
              </w:rPr>
            </w:pPr>
            <w:r>
              <w:rPr>
                <w:rFonts w:ascii="Arial" w:cs="Arial" w:eastAsia="Arial" w:hAnsi="Arial"/>
                <w:sz w:val="15"/>
                <w:szCs w:val="15"/>
                <w:color w:val="auto"/>
              </w:rPr>
              <w:t>100 Vanguard Blvd., Malvern, PA 19355</w:t>
            </w:r>
          </w:p>
        </w:tc>
        <w:tc>
          <w:tcPr>
            <w:tcW w:w="2680" w:type="dxa"/>
            <w:vAlign w:val="bottom"/>
            <w:vMerge w:val="continue"/>
          </w:tcPr>
          <w:p>
            <w:pPr>
              <w:spacing w:after="0"/>
              <w:rPr>
                <w:sz w:val="8"/>
                <w:szCs w:val="8"/>
                <w:color w:val="auto"/>
              </w:rPr>
            </w:pPr>
          </w:p>
        </w:tc>
        <w:tc>
          <w:tcPr>
            <w:tcW w:w="960" w:type="dxa"/>
            <w:vAlign w:val="bottom"/>
            <w:vMerge w:val="continue"/>
          </w:tcPr>
          <w:p>
            <w:pPr>
              <w:spacing w:after="0"/>
              <w:rPr>
                <w:sz w:val="8"/>
                <w:szCs w:val="8"/>
                <w:color w:val="auto"/>
              </w:rPr>
            </w:pPr>
          </w:p>
        </w:tc>
        <w:tc>
          <w:tcPr>
            <w:tcW w:w="23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4180" w:type="dxa"/>
            <w:vAlign w:val="bottom"/>
            <w:vMerge w:val="continue"/>
          </w:tcPr>
          <w:p>
            <w:pPr>
              <w:spacing w:after="0"/>
              <w:rPr>
                <w:sz w:val="8"/>
                <w:szCs w:val="8"/>
                <w:color w:val="auto"/>
              </w:rPr>
            </w:pPr>
          </w:p>
        </w:tc>
        <w:tc>
          <w:tcPr>
            <w:tcW w:w="2680" w:type="dxa"/>
            <w:vAlign w:val="bottom"/>
          </w:tcPr>
          <w:p>
            <w:pPr>
              <w:spacing w:after="0"/>
              <w:rPr>
                <w:sz w:val="8"/>
                <w:szCs w:val="8"/>
                <w:color w:val="auto"/>
              </w:rPr>
            </w:pPr>
          </w:p>
        </w:tc>
        <w:tc>
          <w:tcPr>
            <w:tcW w:w="960" w:type="dxa"/>
            <w:vAlign w:val="bottom"/>
          </w:tcPr>
          <w:p>
            <w:pPr>
              <w:spacing w:after="0"/>
              <w:rPr>
                <w:sz w:val="8"/>
                <w:szCs w:val="8"/>
                <w:color w:val="auto"/>
              </w:rPr>
            </w:pPr>
          </w:p>
        </w:tc>
        <w:tc>
          <w:tcPr>
            <w:tcW w:w="2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D1DDE6"/>
          </w:tcPr>
          <w:p>
            <w:pPr>
              <w:ind w:left="20"/>
              <w:spacing w:after="0"/>
              <w:rPr>
                <w:sz w:val="20"/>
                <w:szCs w:val="20"/>
                <w:color w:val="auto"/>
              </w:rPr>
            </w:pPr>
            <w:r>
              <w:rPr>
                <w:rFonts w:ascii="Arial" w:cs="Arial" w:eastAsia="Arial" w:hAnsi="Arial"/>
                <w:sz w:val="15"/>
                <w:szCs w:val="15"/>
                <w:b w:val="1"/>
                <w:bCs w:val="1"/>
                <w:color w:val="auto"/>
              </w:rPr>
              <w:t>BlackRock, Inc.</w:t>
            </w:r>
          </w:p>
        </w:tc>
        <w:tc>
          <w:tcPr>
            <w:tcW w:w="2680" w:type="dxa"/>
            <w:vAlign w:val="bottom"/>
            <w:vMerge w:val="restart"/>
            <w:shd w:val="clear" w:color="auto" w:fill="D1DDE6"/>
          </w:tcPr>
          <w:p>
            <w:pPr>
              <w:jc w:val="right"/>
              <w:ind w:right="463"/>
              <w:spacing w:after="0"/>
              <w:rPr>
                <w:sz w:val="20"/>
                <w:szCs w:val="20"/>
                <w:color w:val="auto"/>
              </w:rPr>
            </w:pPr>
            <w:r>
              <w:rPr>
                <w:rFonts w:ascii="Arial" w:cs="Arial" w:eastAsia="Arial" w:hAnsi="Arial"/>
                <w:sz w:val="15"/>
                <w:szCs w:val="15"/>
                <w:color w:val="auto"/>
              </w:rPr>
              <w:t>11,613,939</w:t>
            </w:r>
          </w:p>
        </w:tc>
        <w:tc>
          <w:tcPr>
            <w:tcW w:w="960" w:type="dxa"/>
            <w:vAlign w:val="bottom"/>
            <w:vMerge w:val="restart"/>
            <w:shd w:val="clear" w:color="auto" w:fill="D1DDE6"/>
          </w:tcPr>
          <w:p>
            <w:pPr>
              <w:jc w:val="right"/>
              <w:ind w:right="643"/>
              <w:spacing w:after="0"/>
              <w:rPr>
                <w:sz w:val="20"/>
                <w:szCs w:val="20"/>
                <w:color w:val="auto"/>
              </w:rPr>
            </w:pPr>
            <w:r>
              <w:rPr>
                <w:rFonts w:ascii="Arial" w:cs="Arial" w:eastAsia="Arial" w:hAnsi="Arial"/>
                <w:sz w:val="15"/>
                <w:szCs w:val="15"/>
                <w:color w:val="auto"/>
              </w:rPr>
              <w:t>(3)</w:t>
            </w:r>
          </w:p>
        </w:tc>
        <w:tc>
          <w:tcPr>
            <w:tcW w:w="2300" w:type="dxa"/>
            <w:vAlign w:val="bottom"/>
            <w:vMerge w:val="restart"/>
            <w:shd w:val="clear" w:color="auto" w:fill="D1DDE6"/>
          </w:tcPr>
          <w:p>
            <w:pPr>
              <w:jc w:val="center"/>
              <w:ind w:right="163"/>
              <w:spacing w:after="0"/>
              <w:rPr>
                <w:sz w:val="20"/>
                <w:szCs w:val="20"/>
                <w:color w:val="auto"/>
              </w:rPr>
            </w:pPr>
            <w:r>
              <w:rPr>
                <w:rFonts w:ascii="Arial" w:cs="Arial" w:eastAsia="Arial" w:hAnsi="Arial"/>
                <w:sz w:val="15"/>
                <w:szCs w:val="15"/>
                <w:color w:val="auto"/>
                <w:w w:val="99"/>
              </w:rPr>
              <w:t>6.7%</w:t>
            </w:r>
          </w:p>
        </w:tc>
        <w:tc>
          <w:tcPr>
            <w:tcW w:w="0" w:type="dxa"/>
            <w:vAlign w:val="bottom"/>
          </w:tcPr>
          <w:p>
            <w:pPr>
              <w:spacing w:after="0"/>
              <w:rPr>
                <w:sz w:val="1"/>
                <w:szCs w:val="1"/>
                <w:color w:val="auto"/>
              </w:rPr>
            </w:pPr>
          </w:p>
        </w:tc>
      </w:tr>
      <w:tr>
        <w:trPr>
          <w:trHeight w:val="95"/>
        </w:trPr>
        <w:tc>
          <w:tcPr>
            <w:tcW w:w="4180" w:type="dxa"/>
            <w:vAlign w:val="bottom"/>
            <w:vMerge w:val="restart"/>
            <w:shd w:val="clear" w:color="auto" w:fill="D1DDE6"/>
          </w:tcPr>
          <w:p>
            <w:pPr>
              <w:ind w:left="20"/>
              <w:spacing w:after="0"/>
              <w:rPr>
                <w:sz w:val="20"/>
                <w:szCs w:val="20"/>
                <w:color w:val="auto"/>
              </w:rPr>
            </w:pPr>
            <w:r>
              <w:rPr>
                <w:rFonts w:ascii="Arial" w:cs="Arial" w:eastAsia="Arial" w:hAnsi="Arial"/>
                <w:sz w:val="15"/>
                <w:szCs w:val="15"/>
                <w:color w:val="auto"/>
              </w:rPr>
              <w:t>55 East 52nd Street, New York, NY 10055</w:t>
            </w:r>
          </w:p>
        </w:tc>
        <w:tc>
          <w:tcPr>
            <w:tcW w:w="2680" w:type="dxa"/>
            <w:vAlign w:val="bottom"/>
            <w:vMerge w:val="continue"/>
            <w:shd w:val="clear" w:color="auto" w:fill="D1DDE6"/>
          </w:tcPr>
          <w:p>
            <w:pPr>
              <w:spacing w:after="0"/>
              <w:rPr>
                <w:sz w:val="8"/>
                <w:szCs w:val="8"/>
                <w:color w:val="auto"/>
              </w:rPr>
            </w:pPr>
          </w:p>
        </w:tc>
        <w:tc>
          <w:tcPr>
            <w:tcW w:w="960" w:type="dxa"/>
            <w:vAlign w:val="bottom"/>
            <w:vMerge w:val="continue"/>
            <w:shd w:val="clear" w:color="auto" w:fill="D1DDE6"/>
          </w:tcPr>
          <w:p>
            <w:pPr>
              <w:spacing w:after="0"/>
              <w:rPr>
                <w:sz w:val="8"/>
                <w:szCs w:val="8"/>
                <w:color w:val="auto"/>
              </w:rPr>
            </w:pPr>
          </w:p>
        </w:tc>
        <w:tc>
          <w:tcPr>
            <w:tcW w:w="2300" w:type="dxa"/>
            <w:vAlign w:val="bottom"/>
            <w:vMerge w:val="continue"/>
            <w:shd w:val="clear" w:color="auto" w:fill="D1DDE6"/>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4180" w:type="dxa"/>
            <w:vAlign w:val="bottom"/>
            <w:vMerge w:val="continue"/>
            <w:shd w:val="clear" w:color="auto" w:fill="D1DDE6"/>
          </w:tcPr>
          <w:p>
            <w:pPr>
              <w:spacing w:after="0"/>
              <w:rPr>
                <w:sz w:val="9"/>
                <w:szCs w:val="9"/>
                <w:color w:val="auto"/>
              </w:rPr>
            </w:pPr>
          </w:p>
        </w:tc>
        <w:tc>
          <w:tcPr>
            <w:tcW w:w="2680" w:type="dxa"/>
            <w:vAlign w:val="bottom"/>
            <w:shd w:val="clear" w:color="auto" w:fill="D1DDE6"/>
          </w:tcPr>
          <w:p>
            <w:pPr>
              <w:spacing w:after="0"/>
              <w:rPr>
                <w:sz w:val="9"/>
                <w:szCs w:val="9"/>
                <w:color w:val="auto"/>
              </w:rPr>
            </w:pPr>
          </w:p>
        </w:tc>
        <w:tc>
          <w:tcPr>
            <w:tcW w:w="960" w:type="dxa"/>
            <w:vAlign w:val="bottom"/>
            <w:shd w:val="clear" w:color="auto" w:fill="D1DDE6"/>
          </w:tcPr>
          <w:p>
            <w:pPr>
              <w:spacing w:after="0"/>
              <w:rPr>
                <w:sz w:val="9"/>
                <w:szCs w:val="9"/>
                <w:color w:val="auto"/>
              </w:rPr>
            </w:pPr>
          </w:p>
        </w:tc>
        <w:tc>
          <w:tcPr>
            <w:tcW w:w="2300" w:type="dxa"/>
            <w:vAlign w:val="bottom"/>
            <w:shd w:val="clear" w:color="auto" w:fill="D1DDE6"/>
          </w:tcPr>
          <w:p>
            <w:pPr>
              <w:spacing w:after="0"/>
              <w:rPr>
                <w:sz w:val="9"/>
                <w:szCs w:val="9"/>
                <w:color w:val="auto"/>
              </w:rPr>
            </w:pPr>
          </w:p>
        </w:tc>
        <w:tc>
          <w:tcPr>
            <w:tcW w:w="0" w:type="dxa"/>
            <w:vAlign w:val="bottom"/>
          </w:tcPr>
          <w:p>
            <w:pPr>
              <w:spacing w:after="0"/>
              <w:rPr>
                <w:sz w:val="1"/>
                <w:szCs w:val="1"/>
                <w:color w:val="auto"/>
              </w:rPr>
            </w:pPr>
          </w:p>
        </w:tc>
      </w:tr>
      <w:tr>
        <w:trPr>
          <w:trHeight w:val="207"/>
        </w:trPr>
        <w:tc>
          <w:tcPr>
            <w:tcW w:w="4180" w:type="dxa"/>
            <w:vAlign w:val="bottom"/>
          </w:tcPr>
          <w:p>
            <w:pPr>
              <w:ind w:left="20"/>
              <w:spacing w:after="0"/>
              <w:rPr>
                <w:sz w:val="20"/>
                <w:szCs w:val="20"/>
                <w:color w:val="auto"/>
              </w:rPr>
            </w:pPr>
            <w:r>
              <w:rPr>
                <w:rFonts w:ascii="Arial" w:cs="Arial" w:eastAsia="Arial" w:hAnsi="Arial"/>
                <w:sz w:val="15"/>
                <w:szCs w:val="15"/>
                <w:b w:val="1"/>
                <w:bCs w:val="1"/>
                <w:color w:val="auto"/>
              </w:rPr>
              <w:t>T. Rowe Price Associates, Inc.</w:t>
            </w:r>
          </w:p>
        </w:tc>
        <w:tc>
          <w:tcPr>
            <w:tcW w:w="2680" w:type="dxa"/>
            <w:vAlign w:val="bottom"/>
            <w:vMerge w:val="restart"/>
          </w:tcPr>
          <w:p>
            <w:pPr>
              <w:jc w:val="right"/>
              <w:ind w:right="463"/>
              <w:spacing w:after="0"/>
              <w:rPr>
                <w:sz w:val="20"/>
                <w:szCs w:val="20"/>
                <w:color w:val="auto"/>
              </w:rPr>
            </w:pPr>
            <w:r>
              <w:rPr>
                <w:rFonts w:ascii="Arial" w:cs="Arial" w:eastAsia="Arial" w:hAnsi="Arial"/>
                <w:sz w:val="15"/>
                <w:szCs w:val="15"/>
                <w:color w:val="auto"/>
              </w:rPr>
              <w:t>11,458,250</w:t>
            </w:r>
          </w:p>
        </w:tc>
        <w:tc>
          <w:tcPr>
            <w:tcW w:w="960" w:type="dxa"/>
            <w:vAlign w:val="bottom"/>
            <w:vMerge w:val="restart"/>
          </w:tcPr>
          <w:p>
            <w:pPr>
              <w:jc w:val="right"/>
              <w:ind w:right="643"/>
              <w:spacing w:after="0"/>
              <w:rPr>
                <w:sz w:val="20"/>
                <w:szCs w:val="20"/>
                <w:color w:val="auto"/>
              </w:rPr>
            </w:pPr>
            <w:r>
              <w:rPr>
                <w:rFonts w:ascii="Arial" w:cs="Arial" w:eastAsia="Arial" w:hAnsi="Arial"/>
                <w:sz w:val="15"/>
                <w:szCs w:val="15"/>
                <w:color w:val="auto"/>
              </w:rPr>
              <w:t>(4)</w:t>
            </w:r>
          </w:p>
        </w:tc>
        <w:tc>
          <w:tcPr>
            <w:tcW w:w="2300" w:type="dxa"/>
            <w:vAlign w:val="bottom"/>
            <w:vMerge w:val="restart"/>
          </w:tcPr>
          <w:p>
            <w:pPr>
              <w:jc w:val="center"/>
              <w:ind w:right="163"/>
              <w:spacing w:after="0"/>
              <w:rPr>
                <w:sz w:val="20"/>
                <w:szCs w:val="20"/>
                <w:color w:val="auto"/>
              </w:rPr>
            </w:pPr>
            <w:r>
              <w:rPr>
                <w:rFonts w:ascii="Arial" w:cs="Arial" w:eastAsia="Arial" w:hAnsi="Arial"/>
                <w:sz w:val="15"/>
                <w:szCs w:val="15"/>
                <w:color w:val="auto"/>
                <w:w w:val="99"/>
              </w:rPr>
              <w:t>6.6%</w:t>
            </w:r>
          </w:p>
        </w:tc>
        <w:tc>
          <w:tcPr>
            <w:tcW w:w="0" w:type="dxa"/>
            <w:vAlign w:val="bottom"/>
          </w:tcPr>
          <w:p>
            <w:pPr>
              <w:spacing w:after="0"/>
              <w:rPr>
                <w:sz w:val="1"/>
                <w:szCs w:val="1"/>
                <w:color w:val="auto"/>
              </w:rPr>
            </w:pPr>
          </w:p>
        </w:tc>
      </w:tr>
      <w:tr>
        <w:trPr>
          <w:trHeight w:val="95"/>
        </w:trPr>
        <w:tc>
          <w:tcPr>
            <w:tcW w:w="4180" w:type="dxa"/>
            <w:vAlign w:val="bottom"/>
            <w:vMerge w:val="restart"/>
          </w:tcPr>
          <w:p>
            <w:pPr>
              <w:ind w:left="20"/>
              <w:spacing w:after="0"/>
              <w:rPr>
                <w:sz w:val="20"/>
                <w:szCs w:val="20"/>
                <w:color w:val="auto"/>
              </w:rPr>
            </w:pPr>
            <w:r>
              <w:rPr>
                <w:rFonts w:ascii="Arial" w:cs="Arial" w:eastAsia="Arial" w:hAnsi="Arial"/>
                <w:sz w:val="15"/>
                <w:szCs w:val="15"/>
                <w:color w:val="auto"/>
              </w:rPr>
              <w:t>100 E. Pratt Street, Baltimore, MD 21202</w:t>
            </w:r>
          </w:p>
        </w:tc>
        <w:tc>
          <w:tcPr>
            <w:tcW w:w="2680" w:type="dxa"/>
            <w:vAlign w:val="bottom"/>
            <w:vMerge w:val="continue"/>
          </w:tcPr>
          <w:p>
            <w:pPr>
              <w:spacing w:after="0"/>
              <w:rPr>
                <w:sz w:val="8"/>
                <w:szCs w:val="8"/>
                <w:color w:val="auto"/>
              </w:rPr>
            </w:pPr>
          </w:p>
        </w:tc>
        <w:tc>
          <w:tcPr>
            <w:tcW w:w="960" w:type="dxa"/>
            <w:vAlign w:val="bottom"/>
            <w:vMerge w:val="continue"/>
          </w:tcPr>
          <w:p>
            <w:pPr>
              <w:spacing w:after="0"/>
              <w:rPr>
                <w:sz w:val="8"/>
                <w:szCs w:val="8"/>
                <w:color w:val="auto"/>
              </w:rPr>
            </w:pPr>
          </w:p>
        </w:tc>
        <w:tc>
          <w:tcPr>
            <w:tcW w:w="23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4180" w:type="dxa"/>
            <w:vAlign w:val="bottom"/>
            <w:vMerge w:val="continue"/>
          </w:tcPr>
          <w:p>
            <w:pPr>
              <w:spacing w:after="0"/>
              <w:rPr>
                <w:sz w:val="8"/>
                <w:szCs w:val="8"/>
                <w:color w:val="auto"/>
              </w:rPr>
            </w:pPr>
          </w:p>
        </w:tc>
        <w:tc>
          <w:tcPr>
            <w:tcW w:w="2680" w:type="dxa"/>
            <w:vAlign w:val="bottom"/>
          </w:tcPr>
          <w:p>
            <w:pPr>
              <w:spacing w:after="0"/>
              <w:rPr>
                <w:sz w:val="8"/>
                <w:szCs w:val="8"/>
                <w:color w:val="auto"/>
              </w:rPr>
            </w:pPr>
          </w:p>
        </w:tc>
        <w:tc>
          <w:tcPr>
            <w:tcW w:w="960" w:type="dxa"/>
            <w:vAlign w:val="bottom"/>
          </w:tcPr>
          <w:p>
            <w:pPr>
              <w:spacing w:after="0"/>
              <w:rPr>
                <w:sz w:val="8"/>
                <w:szCs w:val="8"/>
                <w:color w:val="auto"/>
              </w:rPr>
            </w:pPr>
          </w:p>
        </w:tc>
        <w:tc>
          <w:tcPr>
            <w:tcW w:w="2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D1DDE6"/>
          </w:tcPr>
          <w:p>
            <w:pPr>
              <w:ind w:left="20"/>
              <w:spacing w:after="0"/>
              <w:rPr>
                <w:sz w:val="20"/>
                <w:szCs w:val="20"/>
                <w:color w:val="auto"/>
              </w:rPr>
            </w:pPr>
            <w:r>
              <w:rPr>
                <w:rFonts w:ascii="Arial" w:cs="Arial" w:eastAsia="Arial" w:hAnsi="Arial"/>
                <w:sz w:val="15"/>
                <w:szCs w:val="15"/>
                <w:b w:val="1"/>
                <w:bCs w:val="1"/>
                <w:color w:val="auto"/>
              </w:rPr>
              <w:t>Capital International Investors</w:t>
            </w:r>
          </w:p>
        </w:tc>
        <w:tc>
          <w:tcPr>
            <w:tcW w:w="2680" w:type="dxa"/>
            <w:vAlign w:val="bottom"/>
            <w:shd w:val="clear" w:color="auto" w:fill="D1DDE6"/>
          </w:tcPr>
          <w:p>
            <w:pPr>
              <w:spacing w:after="0"/>
              <w:rPr>
                <w:sz w:val="18"/>
                <w:szCs w:val="18"/>
                <w:color w:val="auto"/>
              </w:rPr>
            </w:pPr>
          </w:p>
        </w:tc>
        <w:tc>
          <w:tcPr>
            <w:tcW w:w="960" w:type="dxa"/>
            <w:vAlign w:val="bottom"/>
            <w:shd w:val="clear" w:color="auto" w:fill="D1DDE6"/>
          </w:tcPr>
          <w:p>
            <w:pPr>
              <w:spacing w:after="0"/>
              <w:rPr>
                <w:sz w:val="18"/>
                <w:szCs w:val="18"/>
                <w:color w:val="auto"/>
              </w:rPr>
            </w:pPr>
          </w:p>
        </w:tc>
        <w:tc>
          <w:tcPr>
            <w:tcW w:w="2300" w:type="dxa"/>
            <w:vAlign w:val="bottom"/>
            <w:shd w:val="clear" w:color="auto" w:fill="D1DDE6"/>
          </w:tcPr>
          <w:p>
            <w:pPr>
              <w:spacing w:after="0"/>
              <w:rPr>
                <w:sz w:val="18"/>
                <w:szCs w:val="18"/>
                <w:color w:val="auto"/>
              </w:rPr>
            </w:pPr>
          </w:p>
        </w:tc>
        <w:tc>
          <w:tcPr>
            <w:tcW w:w="0" w:type="dxa"/>
            <w:vAlign w:val="bottom"/>
          </w:tcPr>
          <w:p>
            <w:pPr>
              <w:spacing w:after="0"/>
              <w:rPr>
                <w:sz w:val="1"/>
                <w:szCs w:val="1"/>
                <w:color w:val="auto"/>
              </w:rPr>
            </w:pPr>
          </w:p>
        </w:tc>
      </w:tr>
      <w:tr>
        <w:trPr>
          <w:trHeight w:val="179"/>
        </w:trPr>
        <w:tc>
          <w:tcPr>
            <w:tcW w:w="4180" w:type="dxa"/>
            <w:vAlign w:val="bottom"/>
            <w:shd w:val="clear" w:color="auto" w:fill="D1DDE6"/>
          </w:tcPr>
          <w:p>
            <w:pPr>
              <w:ind w:left="20"/>
              <w:spacing w:after="0"/>
              <w:rPr>
                <w:sz w:val="20"/>
                <w:szCs w:val="20"/>
                <w:color w:val="auto"/>
              </w:rPr>
            </w:pPr>
            <w:r>
              <w:rPr>
                <w:rFonts w:ascii="Arial" w:cs="Arial" w:eastAsia="Arial" w:hAnsi="Arial"/>
                <w:sz w:val="15"/>
                <w:szCs w:val="15"/>
                <w:color w:val="auto"/>
              </w:rPr>
              <w:t>11100 Santa Monica Boulevard, 16th Floor,</w:t>
            </w:r>
          </w:p>
        </w:tc>
        <w:tc>
          <w:tcPr>
            <w:tcW w:w="2680" w:type="dxa"/>
            <w:vAlign w:val="bottom"/>
            <w:shd w:val="clear" w:color="auto" w:fill="D1DDE6"/>
          </w:tcPr>
          <w:p>
            <w:pPr>
              <w:jc w:val="right"/>
              <w:ind w:right="463"/>
              <w:spacing w:after="0"/>
              <w:rPr>
                <w:sz w:val="20"/>
                <w:szCs w:val="20"/>
                <w:color w:val="auto"/>
              </w:rPr>
            </w:pPr>
            <w:r>
              <w:rPr>
                <w:rFonts w:ascii="Arial" w:cs="Arial" w:eastAsia="Arial" w:hAnsi="Arial"/>
                <w:sz w:val="15"/>
                <w:szCs w:val="15"/>
                <w:color w:val="auto"/>
              </w:rPr>
              <w:t>10,452,149</w:t>
            </w:r>
          </w:p>
        </w:tc>
        <w:tc>
          <w:tcPr>
            <w:tcW w:w="960" w:type="dxa"/>
            <w:vAlign w:val="bottom"/>
            <w:shd w:val="clear" w:color="auto" w:fill="D1DDE6"/>
          </w:tcPr>
          <w:p>
            <w:pPr>
              <w:jc w:val="right"/>
              <w:ind w:right="643"/>
              <w:spacing w:after="0"/>
              <w:rPr>
                <w:sz w:val="20"/>
                <w:szCs w:val="20"/>
                <w:color w:val="auto"/>
              </w:rPr>
            </w:pPr>
            <w:r>
              <w:rPr>
                <w:rFonts w:ascii="Arial" w:cs="Arial" w:eastAsia="Arial" w:hAnsi="Arial"/>
                <w:sz w:val="15"/>
                <w:szCs w:val="15"/>
                <w:color w:val="auto"/>
              </w:rPr>
              <w:t>(5)</w:t>
            </w:r>
          </w:p>
        </w:tc>
        <w:tc>
          <w:tcPr>
            <w:tcW w:w="2300" w:type="dxa"/>
            <w:vAlign w:val="bottom"/>
            <w:shd w:val="clear" w:color="auto" w:fill="D1DDE6"/>
          </w:tcPr>
          <w:p>
            <w:pPr>
              <w:jc w:val="center"/>
              <w:ind w:right="163"/>
              <w:spacing w:after="0"/>
              <w:rPr>
                <w:sz w:val="20"/>
                <w:szCs w:val="20"/>
                <w:color w:val="auto"/>
              </w:rPr>
            </w:pPr>
            <w:r>
              <w:rPr>
                <w:rFonts w:ascii="Arial" w:cs="Arial" w:eastAsia="Arial" w:hAnsi="Arial"/>
                <w:sz w:val="15"/>
                <w:szCs w:val="15"/>
                <w:color w:val="auto"/>
                <w:w w:val="99"/>
              </w:rPr>
              <w:t>6.0%</w:t>
            </w:r>
          </w:p>
        </w:tc>
        <w:tc>
          <w:tcPr>
            <w:tcW w:w="0" w:type="dxa"/>
            <w:vAlign w:val="bottom"/>
          </w:tcPr>
          <w:p>
            <w:pPr>
              <w:spacing w:after="0"/>
              <w:rPr>
                <w:sz w:val="1"/>
                <w:szCs w:val="1"/>
                <w:color w:val="auto"/>
              </w:rPr>
            </w:pPr>
          </w:p>
        </w:tc>
      </w:tr>
      <w:tr>
        <w:trPr>
          <w:trHeight w:val="196"/>
        </w:trPr>
        <w:tc>
          <w:tcPr>
            <w:tcW w:w="4180" w:type="dxa"/>
            <w:vAlign w:val="bottom"/>
            <w:tcBorders>
              <w:bottom w:val="single" w:sz="8" w:color="00497F"/>
            </w:tcBorders>
            <w:shd w:val="clear" w:color="auto" w:fill="D1DDE6"/>
          </w:tcPr>
          <w:p>
            <w:pPr>
              <w:ind w:left="20"/>
              <w:spacing w:after="0"/>
              <w:rPr>
                <w:sz w:val="20"/>
                <w:szCs w:val="20"/>
                <w:color w:val="auto"/>
              </w:rPr>
            </w:pPr>
            <w:r>
              <w:rPr>
                <w:rFonts w:ascii="Arial" w:cs="Arial" w:eastAsia="Arial" w:hAnsi="Arial"/>
                <w:sz w:val="15"/>
                <w:szCs w:val="15"/>
                <w:color w:val="auto"/>
              </w:rPr>
              <w:t>Los Angeles, CA 90025</w:t>
            </w:r>
          </w:p>
        </w:tc>
        <w:tc>
          <w:tcPr>
            <w:tcW w:w="2680" w:type="dxa"/>
            <w:vAlign w:val="bottom"/>
            <w:tcBorders>
              <w:bottom w:val="single" w:sz="8" w:color="00497F"/>
            </w:tcBorders>
            <w:shd w:val="clear" w:color="auto" w:fill="D1DDE6"/>
          </w:tcPr>
          <w:p>
            <w:pPr>
              <w:spacing w:after="0"/>
              <w:rPr>
                <w:sz w:val="17"/>
                <w:szCs w:val="17"/>
                <w:color w:val="auto"/>
              </w:rPr>
            </w:pPr>
          </w:p>
        </w:tc>
        <w:tc>
          <w:tcPr>
            <w:tcW w:w="960" w:type="dxa"/>
            <w:vAlign w:val="bottom"/>
            <w:tcBorders>
              <w:bottom w:val="single" w:sz="8" w:color="00497F"/>
            </w:tcBorders>
            <w:shd w:val="clear" w:color="auto" w:fill="D1DDE6"/>
          </w:tcPr>
          <w:p>
            <w:pPr>
              <w:spacing w:after="0"/>
              <w:rPr>
                <w:sz w:val="17"/>
                <w:szCs w:val="17"/>
                <w:color w:val="auto"/>
              </w:rPr>
            </w:pPr>
          </w:p>
        </w:tc>
        <w:tc>
          <w:tcPr>
            <w:tcW w:w="2300" w:type="dxa"/>
            <w:vAlign w:val="bottom"/>
            <w:tcBorders>
              <w:bottom w:val="single" w:sz="8" w:color="00497F"/>
            </w:tcBorders>
            <w:shd w:val="clear" w:color="auto" w:fill="D1DDE6"/>
          </w:tcPr>
          <w:p>
            <w:pPr>
              <w:spacing w:after="0"/>
              <w:rPr>
                <w:sz w:val="17"/>
                <w:szCs w:val="17"/>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ind w:left="380" w:hanging="377"/>
        <w:spacing w:after="0" w:line="254" w:lineRule="auto"/>
        <w:tabs>
          <w:tab w:leader="none" w:pos="3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This information was provided by State Street Corporation (State Street) in a Schedule 13G filed with the SEC on February 13, 2019. According to State Street, as of December 31, 2018, State Street had shared voting power over 17,171,242 shares and shared dispositive power over 17,678,111 shares. This total includes 11,130,319 shares held as of December 31, 2018 in the Defined Contribution Plans Master Trust for the Northrop Grumman Savings Plan and the Northrop Grumman Financial Security and Savings Program, for which State Street Bank and Trust Company acts as trustee and State Street Global Advisors Trust Company acts as investment manager.</w:t>
      </w:r>
    </w:p>
    <w:p>
      <w:pPr>
        <w:spacing w:after="0" w:line="68" w:lineRule="exact"/>
        <w:rPr>
          <w:rFonts w:ascii="Arial" w:cs="Arial" w:eastAsia="Arial" w:hAnsi="Arial"/>
          <w:sz w:val="17"/>
          <w:szCs w:val="17"/>
          <w:color w:val="auto"/>
        </w:rPr>
      </w:pPr>
    </w:p>
    <w:p>
      <w:pPr>
        <w:ind w:left="380" w:right="260" w:hanging="377"/>
        <w:spacing w:after="0" w:line="257" w:lineRule="auto"/>
        <w:tabs>
          <w:tab w:leader="none" w:pos="3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This information was provided by The Vanguard Group (Vanguard) in a Schedule 13G/A filed with the SEC on February 11, 2019. According to Vanguard, as of December 31, 2018, Vanguard had sole voting power over 204,053 shares, shared voting power over 19,712 shares, sole dispositive power over 13,752,660 shares and shared dispositive power over 223,356 shares.</w:t>
      </w:r>
    </w:p>
    <w:p>
      <w:pPr>
        <w:spacing w:after="0" w:line="64" w:lineRule="exact"/>
        <w:rPr>
          <w:rFonts w:ascii="Arial" w:cs="Arial" w:eastAsia="Arial" w:hAnsi="Arial"/>
          <w:sz w:val="17"/>
          <w:szCs w:val="17"/>
          <w:color w:val="auto"/>
        </w:rPr>
      </w:pPr>
    </w:p>
    <w:p>
      <w:pPr>
        <w:ind w:left="380" w:right="420" w:hanging="377"/>
        <w:spacing w:after="0" w:line="257" w:lineRule="auto"/>
        <w:tabs>
          <w:tab w:leader="none" w:pos="3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This information was provided by BlackRock, Inc. (BlackRock) in a Schedule 13G/A filed with the SEC on February 6, 2019. According to BlackRock, as of December 31, 2018, BlackRock had sole voting power over 10,581,017 shares and sole dispositive power over 11,613,939 shares.</w:t>
      </w:r>
    </w:p>
    <w:p>
      <w:pPr>
        <w:spacing w:after="0" w:line="64" w:lineRule="exact"/>
        <w:rPr>
          <w:rFonts w:ascii="Arial" w:cs="Arial" w:eastAsia="Arial" w:hAnsi="Arial"/>
          <w:sz w:val="17"/>
          <w:szCs w:val="17"/>
          <w:color w:val="auto"/>
        </w:rPr>
      </w:pPr>
    </w:p>
    <w:p>
      <w:pPr>
        <w:ind w:left="380" w:right="300" w:hanging="377"/>
        <w:spacing w:after="0" w:line="257" w:lineRule="auto"/>
        <w:tabs>
          <w:tab w:leader="none" w:pos="3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This information was provided by T. Rowe Price Associates, Inc. (T. Rowe Price) in a Schedule 13G filed with the SEC on February 14, 2019. According to T. Rowe Price, as of December 31, 2018, T. Rowe Price had sole voting power over 4,534,110 shares and sole dispositive power over 11,449,975 shares.</w:t>
      </w:r>
    </w:p>
    <w:p>
      <w:pPr>
        <w:spacing w:after="0" w:line="64" w:lineRule="exact"/>
        <w:rPr>
          <w:rFonts w:ascii="Arial" w:cs="Arial" w:eastAsia="Arial" w:hAnsi="Arial"/>
          <w:sz w:val="17"/>
          <w:szCs w:val="17"/>
          <w:color w:val="auto"/>
        </w:rPr>
      </w:pPr>
    </w:p>
    <w:p>
      <w:pPr>
        <w:ind w:left="380" w:hanging="377"/>
        <w:spacing w:after="0" w:line="257" w:lineRule="auto"/>
        <w:tabs>
          <w:tab w:leader="none" w:pos="3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This information was provided by Capital International Investors (Capital International), a division of Capital Research and Management Company, in a Schedule 13G filed with the SEC on February 14, 2019. According to Capital International, as of December 31, 2018, Capital International had sole voting power over 10,347,176 shares and sole dispositive power over 10,452,149 shares.</w:t>
      </w:r>
    </w:p>
    <w:p>
      <w:pPr>
        <w:spacing w:after="0" w:line="313" w:lineRule="exact"/>
        <w:rPr>
          <w:sz w:val="20"/>
          <w:szCs w:val="20"/>
          <w:color w:val="auto"/>
        </w:rPr>
      </w:pPr>
    </w:p>
    <w:p>
      <w:pPr>
        <w:jc w:val="right"/>
        <w:spacing w:after="0"/>
        <w:rPr>
          <w:sz w:val="20"/>
          <w:szCs w:val="20"/>
          <w:color w:val="auto"/>
        </w:rPr>
      </w:pPr>
      <w:r>
        <w:rPr>
          <w:rFonts w:ascii="Arial" w:cs="Arial" w:eastAsia="Arial" w:hAnsi="Arial"/>
          <w:sz w:val="14"/>
          <w:szCs w:val="14"/>
          <w:color w:val="34657F"/>
        </w:rPr>
        <w:t xml:space="preserve">NOTICE OF 2019 ANNUAL MEETING OF SHAREHOLDERS AND PROXY STATEMENT </w:t>
      </w:r>
      <w:r>
        <w:rPr>
          <w:rFonts w:ascii="Arial" w:cs="Arial" w:eastAsia="Arial" w:hAnsi="Arial"/>
          <w:sz w:val="14"/>
          <w:szCs w:val="14"/>
          <w:color w:val="000000"/>
        </w:rPr>
        <w:t>I 31</w:t>
      </w:r>
    </w:p>
    <w:p>
      <w:pPr>
        <w:sectPr>
          <w:pgSz w:w="11900" w:h="16838" w:orient="portrait"/>
          <w:cols w:equalWidth="0" w:num="1">
            <w:col w:w="11420"/>
          </w:cols>
          <w:pgMar w:left="240" w:top="671" w:right="239" w:bottom="1440" w:gutter="0" w:footer="0" w:header="0"/>
        </w:sectPr>
      </w:pPr>
    </w:p>
    <w:bookmarkStart w:id="37" w:name="page38"/>
    <w:bookmarkEnd w:id="37"/>
    <w:p>
      <w:pPr>
        <w:ind w:left="20"/>
        <w:spacing w:after="0"/>
        <w:rPr>
          <w:sz w:val="20"/>
          <w:szCs w:val="20"/>
          <w:color w:val="auto"/>
        </w:rPr>
      </w:pPr>
      <w:r>
        <w:rPr>
          <w:rFonts w:ascii="Arial" w:cs="Arial" w:eastAsia="Arial" w:hAnsi="Arial"/>
          <w:sz w:val="21"/>
          <w:szCs w:val="21"/>
          <w:b w:val="1"/>
          <w:bCs w:val="1"/>
          <w:color w:val="FFFFFF"/>
        </w:rPr>
        <w:drawing>
          <wp:anchor simplePos="0" relativeHeight="251657728" behindDoc="1" locked="0" layoutInCell="0" allowOverlap="1">
            <wp:simplePos x="0" y="0"/>
            <wp:positionH relativeFrom="page">
              <wp:posOffset>154305</wp:posOffset>
            </wp:positionH>
            <wp:positionV relativeFrom="page">
              <wp:posOffset>365760</wp:posOffset>
            </wp:positionV>
            <wp:extent cx="7253605" cy="58610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53605" cy="586105"/>
                    </a:xfrm>
                    <a:prstGeom prst="rect">
                      <a:avLst/>
                    </a:prstGeom>
                    <a:noFill/>
                  </pic:spPr>
                </pic:pic>
              </a:graphicData>
            </a:graphic>
          </wp:anchor>
        </w:drawing>
        <w:t>VOTING SECURITIES AND PRINCIPAL 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20"/>
        <w:spacing w:after="0"/>
        <w:rPr>
          <w:sz w:val="20"/>
          <w:szCs w:val="20"/>
          <w:color w:val="auto"/>
        </w:rPr>
      </w:pPr>
      <w:r>
        <w:rPr>
          <w:rFonts w:ascii="Arial" w:cs="Arial" w:eastAsia="Arial" w:hAnsi="Arial"/>
          <w:sz w:val="24"/>
          <w:szCs w:val="24"/>
          <w:b w:val="1"/>
          <w:bCs w:val="1"/>
          <w:color w:val="auto"/>
        </w:rPr>
        <w:t>Stock Ownership of Officers and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38100</wp:posOffset>
            </wp:positionV>
            <wp:extent cx="7253605" cy="1651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pacing w:after="0" w:line="116" w:lineRule="exact"/>
        <w:rPr>
          <w:sz w:val="20"/>
          <w:szCs w:val="20"/>
          <w:color w:val="auto"/>
        </w:rPr>
      </w:pPr>
    </w:p>
    <w:p>
      <w:pPr>
        <w:ind w:right="100"/>
        <w:spacing w:after="0" w:line="255" w:lineRule="auto"/>
        <w:rPr>
          <w:sz w:val="20"/>
          <w:szCs w:val="20"/>
          <w:color w:val="auto"/>
        </w:rPr>
      </w:pPr>
      <w:r>
        <w:rPr>
          <w:rFonts w:ascii="Arial" w:cs="Arial" w:eastAsia="Arial" w:hAnsi="Arial"/>
          <w:sz w:val="17"/>
          <w:szCs w:val="17"/>
          <w:color w:val="auto"/>
        </w:rPr>
        <w:t>The following table shows beneficial ownership of our common stock as of March 19, 2019 by each of our current directors, our named executive officers and all directors and executive officers as a group. As of March 19, 2019, there were 169,959,030 shares of our common stock outstanding. None of the persons named below beneficially owns in excess of 1% of our outstanding common stock. Unless otherwise indicated, each individual has sole investment power and sole voting power with respect to the shares owned by such person.</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980" w:type="dxa"/>
            <w:vAlign w:val="bottom"/>
            <w:shd w:val="clear" w:color="auto" w:fill="34657F"/>
          </w:tcPr>
          <w:p>
            <w:pPr>
              <w:spacing w:after="0"/>
              <w:rPr>
                <w:sz w:val="16"/>
                <w:szCs w:val="16"/>
                <w:color w:val="auto"/>
              </w:rPr>
            </w:pPr>
          </w:p>
        </w:tc>
        <w:tc>
          <w:tcPr>
            <w:tcW w:w="2180" w:type="dxa"/>
            <w:vAlign w:val="bottom"/>
            <w:shd w:val="clear" w:color="auto" w:fill="34657F"/>
          </w:tcPr>
          <w:p>
            <w:pPr>
              <w:jc w:val="center"/>
              <w:ind w:left="243"/>
              <w:spacing w:after="0"/>
              <w:rPr>
                <w:sz w:val="20"/>
                <w:szCs w:val="20"/>
                <w:color w:val="auto"/>
              </w:rPr>
            </w:pPr>
            <w:r>
              <w:rPr>
                <w:rFonts w:ascii="Arial" w:cs="Arial" w:eastAsia="Arial" w:hAnsi="Arial"/>
                <w:sz w:val="15"/>
                <w:szCs w:val="15"/>
                <w:b w:val="1"/>
                <w:bCs w:val="1"/>
                <w:color w:val="FFFFFF"/>
              </w:rPr>
              <w:t>Shares of Common</w:t>
            </w:r>
          </w:p>
        </w:tc>
        <w:tc>
          <w:tcPr>
            <w:tcW w:w="580" w:type="dxa"/>
            <w:vAlign w:val="bottom"/>
            <w:shd w:val="clear" w:color="auto" w:fill="34657F"/>
          </w:tcPr>
          <w:p>
            <w:pPr>
              <w:spacing w:after="0"/>
              <w:rPr>
                <w:sz w:val="16"/>
                <w:szCs w:val="16"/>
                <w:color w:val="auto"/>
              </w:rPr>
            </w:pPr>
          </w:p>
        </w:tc>
        <w:tc>
          <w:tcPr>
            <w:tcW w:w="1680" w:type="dxa"/>
            <w:vAlign w:val="bottom"/>
            <w:shd w:val="clear" w:color="auto" w:fill="34657F"/>
          </w:tcPr>
          <w:p>
            <w:pPr>
              <w:spacing w:after="0"/>
              <w:rPr>
                <w:sz w:val="16"/>
                <w:szCs w:val="16"/>
                <w:color w:val="auto"/>
              </w:rPr>
            </w:pPr>
          </w:p>
        </w:tc>
        <w:tc>
          <w:tcPr>
            <w:tcW w:w="1200" w:type="dxa"/>
            <w:vAlign w:val="bottom"/>
            <w:shd w:val="clear" w:color="auto" w:fill="34657F"/>
          </w:tcPr>
          <w:p>
            <w:pPr>
              <w:spacing w:after="0"/>
              <w:rPr>
                <w:sz w:val="16"/>
                <w:szCs w:val="16"/>
                <w:color w:val="auto"/>
              </w:rPr>
            </w:pPr>
          </w:p>
        </w:tc>
        <w:tc>
          <w:tcPr>
            <w:tcW w:w="620" w:type="dxa"/>
            <w:vAlign w:val="bottom"/>
            <w:shd w:val="clear" w:color="auto" w:fill="34657F"/>
          </w:tcPr>
          <w:p>
            <w:pPr>
              <w:spacing w:after="0"/>
              <w:rPr>
                <w:sz w:val="16"/>
                <w:szCs w:val="16"/>
                <w:color w:val="auto"/>
              </w:rPr>
            </w:pPr>
          </w:p>
        </w:tc>
      </w:tr>
      <w:tr>
        <w:trPr>
          <w:trHeight w:val="179"/>
        </w:trPr>
        <w:tc>
          <w:tcPr>
            <w:tcW w:w="4980" w:type="dxa"/>
            <w:vAlign w:val="bottom"/>
            <w:shd w:val="clear" w:color="auto" w:fill="34657F"/>
          </w:tcPr>
          <w:p>
            <w:pPr>
              <w:spacing w:after="0"/>
              <w:rPr>
                <w:sz w:val="15"/>
                <w:szCs w:val="15"/>
                <w:color w:val="auto"/>
              </w:rPr>
            </w:pPr>
          </w:p>
        </w:tc>
        <w:tc>
          <w:tcPr>
            <w:tcW w:w="2180" w:type="dxa"/>
            <w:vAlign w:val="bottom"/>
            <w:shd w:val="clear" w:color="auto" w:fill="34657F"/>
          </w:tcPr>
          <w:p>
            <w:pPr>
              <w:jc w:val="center"/>
              <w:ind w:left="283"/>
              <w:spacing w:after="0"/>
              <w:rPr>
                <w:sz w:val="20"/>
                <w:szCs w:val="20"/>
                <w:color w:val="auto"/>
              </w:rPr>
            </w:pPr>
            <w:r>
              <w:rPr>
                <w:rFonts w:ascii="Arial" w:cs="Arial" w:eastAsia="Arial" w:hAnsi="Arial"/>
                <w:sz w:val="15"/>
                <w:szCs w:val="15"/>
                <w:b w:val="1"/>
                <w:bCs w:val="1"/>
                <w:color w:val="FFFFFF"/>
              </w:rPr>
              <w:t>Stock</w:t>
            </w:r>
          </w:p>
        </w:tc>
        <w:tc>
          <w:tcPr>
            <w:tcW w:w="580" w:type="dxa"/>
            <w:vAlign w:val="bottom"/>
            <w:shd w:val="clear" w:color="auto" w:fill="34657F"/>
          </w:tcPr>
          <w:p>
            <w:pPr>
              <w:spacing w:after="0"/>
              <w:rPr>
                <w:sz w:val="15"/>
                <w:szCs w:val="15"/>
                <w:color w:val="auto"/>
              </w:rPr>
            </w:pPr>
          </w:p>
        </w:tc>
        <w:tc>
          <w:tcPr>
            <w:tcW w:w="1680" w:type="dxa"/>
            <w:vAlign w:val="bottom"/>
            <w:shd w:val="clear" w:color="auto" w:fill="34657F"/>
          </w:tcPr>
          <w:p>
            <w:pPr>
              <w:jc w:val="center"/>
              <w:ind w:right="63"/>
              <w:spacing w:after="0"/>
              <w:rPr>
                <w:sz w:val="20"/>
                <w:szCs w:val="20"/>
                <w:color w:val="auto"/>
              </w:rPr>
            </w:pPr>
            <w:r>
              <w:rPr>
                <w:rFonts w:ascii="Arial" w:cs="Arial" w:eastAsia="Arial" w:hAnsi="Arial"/>
                <w:sz w:val="15"/>
                <w:szCs w:val="15"/>
                <w:b w:val="1"/>
                <w:bCs w:val="1"/>
                <w:color w:val="FFFFFF"/>
              </w:rPr>
              <w:t>Share</w:t>
            </w:r>
          </w:p>
        </w:tc>
        <w:tc>
          <w:tcPr>
            <w:tcW w:w="1200" w:type="dxa"/>
            <w:vAlign w:val="bottom"/>
            <w:shd w:val="clear" w:color="auto" w:fill="34657F"/>
          </w:tcPr>
          <w:p>
            <w:pPr>
              <w:spacing w:after="0"/>
              <w:rPr>
                <w:sz w:val="15"/>
                <w:szCs w:val="15"/>
                <w:color w:val="auto"/>
              </w:rPr>
            </w:pPr>
          </w:p>
        </w:tc>
        <w:tc>
          <w:tcPr>
            <w:tcW w:w="620" w:type="dxa"/>
            <w:vAlign w:val="bottom"/>
            <w:shd w:val="clear" w:color="auto" w:fill="34657F"/>
          </w:tcPr>
          <w:p>
            <w:pPr>
              <w:spacing w:after="0"/>
              <w:rPr>
                <w:sz w:val="15"/>
                <w:szCs w:val="15"/>
                <w:color w:val="auto"/>
              </w:rPr>
            </w:pPr>
          </w:p>
        </w:tc>
      </w:tr>
      <w:tr>
        <w:trPr>
          <w:trHeight w:val="221"/>
        </w:trPr>
        <w:tc>
          <w:tcPr>
            <w:tcW w:w="4980" w:type="dxa"/>
            <w:vAlign w:val="bottom"/>
            <w:shd w:val="clear" w:color="auto" w:fill="34657F"/>
          </w:tcPr>
          <w:p>
            <w:pPr>
              <w:spacing w:after="0"/>
              <w:rPr>
                <w:sz w:val="19"/>
                <w:szCs w:val="19"/>
                <w:color w:val="auto"/>
              </w:rPr>
            </w:pPr>
          </w:p>
        </w:tc>
        <w:tc>
          <w:tcPr>
            <w:tcW w:w="2180" w:type="dxa"/>
            <w:vAlign w:val="bottom"/>
            <w:shd w:val="clear" w:color="auto" w:fill="34657F"/>
          </w:tcPr>
          <w:p>
            <w:pPr>
              <w:jc w:val="center"/>
              <w:ind w:left="283"/>
              <w:spacing w:after="0"/>
              <w:rPr>
                <w:sz w:val="20"/>
                <w:szCs w:val="20"/>
                <w:color w:val="auto"/>
              </w:rPr>
            </w:pPr>
            <w:r>
              <w:rPr>
                <w:rFonts w:ascii="Arial" w:cs="Arial" w:eastAsia="Arial" w:hAnsi="Arial"/>
                <w:sz w:val="15"/>
                <w:szCs w:val="15"/>
                <w:b w:val="1"/>
                <w:bCs w:val="1"/>
                <w:color w:val="FFFFFF"/>
              </w:rPr>
              <w:t>Beneficially Owned</w:t>
            </w:r>
          </w:p>
        </w:tc>
        <w:tc>
          <w:tcPr>
            <w:tcW w:w="580" w:type="dxa"/>
            <w:vAlign w:val="bottom"/>
            <w:shd w:val="clear" w:color="auto" w:fill="34657F"/>
          </w:tcPr>
          <w:p>
            <w:pPr>
              <w:spacing w:after="0"/>
              <w:rPr>
                <w:sz w:val="19"/>
                <w:szCs w:val="19"/>
                <w:color w:val="auto"/>
              </w:rPr>
            </w:pPr>
          </w:p>
        </w:tc>
        <w:tc>
          <w:tcPr>
            <w:tcW w:w="1680" w:type="dxa"/>
            <w:vAlign w:val="bottom"/>
            <w:shd w:val="clear" w:color="auto" w:fill="34657F"/>
          </w:tcPr>
          <w:p>
            <w:pPr>
              <w:jc w:val="center"/>
              <w:ind w:right="63"/>
              <w:spacing w:after="0"/>
              <w:rPr>
                <w:sz w:val="20"/>
                <w:szCs w:val="20"/>
                <w:color w:val="auto"/>
              </w:rPr>
            </w:pPr>
            <w:r>
              <w:rPr>
                <w:rFonts w:ascii="Arial" w:cs="Arial" w:eastAsia="Arial" w:hAnsi="Arial"/>
                <w:sz w:val="15"/>
                <w:szCs w:val="15"/>
                <w:b w:val="1"/>
                <w:bCs w:val="1"/>
                <w:color w:val="FFFFFF"/>
              </w:rPr>
              <w:t>Equivalents (1)</w:t>
            </w:r>
          </w:p>
        </w:tc>
        <w:tc>
          <w:tcPr>
            <w:tcW w:w="1200" w:type="dxa"/>
            <w:vAlign w:val="bottom"/>
            <w:shd w:val="clear" w:color="auto" w:fill="34657F"/>
          </w:tcPr>
          <w:p>
            <w:pPr>
              <w:ind w:left="460"/>
              <w:spacing w:after="0"/>
              <w:rPr>
                <w:sz w:val="20"/>
                <w:szCs w:val="20"/>
                <w:color w:val="auto"/>
              </w:rPr>
            </w:pPr>
            <w:r>
              <w:rPr>
                <w:rFonts w:ascii="Arial" w:cs="Arial" w:eastAsia="Arial" w:hAnsi="Arial"/>
                <w:sz w:val="15"/>
                <w:szCs w:val="15"/>
                <w:b w:val="1"/>
                <w:bCs w:val="1"/>
                <w:color w:val="FFFFFF"/>
              </w:rPr>
              <w:t>Total</w:t>
            </w:r>
          </w:p>
        </w:tc>
        <w:tc>
          <w:tcPr>
            <w:tcW w:w="620" w:type="dxa"/>
            <w:vAlign w:val="bottom"/>
            <w:shd w:val="clear" w:color="auto" w:fill="34657F"/>
          </w:tcPr>
          <w:p>
            <w:pPr>
              <w:spacing w:after="0"/>
              <w:rPr>
                <w:sz w:val="19"/>
                <w:szCs w:val="19"/>
                <w:color w:val="auto"/>
              </w:rPr>
            </w:pPr>
          </w:p>
        </w:tc>
      </w:tr>
      <w:tr>
        <w:trPr>
          <w:trHeight w:val="236"/>
        </w:trPr>
        <w:tc>
          <w:tcPr>
            <w:tcW w:w="4980" w:type="dxa"/>
            <w:vAlign w:val="bottom"/>
            <w:tcBorders>
              <w:bottom w:val="single" w:sz="8" w:color="D1DDE6"/>
            </w:tcBorders>
            <w:shd w:val="clear" w:color="auto" w:fill="D1DDE6"/>
          </w:tcPr>
          <w:p>
            <w:pPr>
              <w:ind w:left="20"/>
              <w:spacing w:after="0"/>
              <w:rPr>
                <w:sz w:val="20"/>
                <w:szCs w:val="20"/>
                <w:color w:val="auto"/>
              </w:rPr>
            </w:pPr>
            <w:r>
              <w:rPr>
                <w:rFonts w:ascii="Arial" w:cs="Arial" w:eastAsia="Arial" w:hAnsi="Arial"/>
                <w:sz w:val="15"/>
                <w:szCs w:val="15"/>
                <w:b w:val="1"/>
                <w:bCs w:val="1"/>
                <w:color w:val="auto"/>
              </w:rPr>
              <w:t>Non-Employee Directors</w:t>
            </w:r>
          </w:p>
        </w:tc>
        <w:tc>
          <w:tcPr>
            <w:tcW w:w="2180" w:type="dxa"/>
            <w:vAlign w:val="bottom"/>
            <w:tcBorders>
              <w:bottom w:val="single" w:sz="8" w:color="D1DDE6"/>
            </w:tcBorders>
            <w:shd w:val="clear" w:color="auto" w:fill="D1DDE6"/>
          </w:tcPr>
          <w:p>
            <w:pPr>
              <w:spacing w:after="0"/>
              <w:rPr>
                <w:sz w:val="20"/>
                <w:szCs w:val="20"/>
                <w:color w:val="auto"/>
              </w:rPr>
            </w:pPr>
          </w:p>
        </w:tc>
        <w:tc>
          <w:tcPr>
            <w:tcW w:w="580" w:type="dxa"/>
            <w:vAlign w:val="bottom"/>
            <w:tcBorders>
              <w:bottom w:val="single" w:sz="8" w:color="D1DDE6"/>
            </w:tcBorders>
            <w:shd w:val="clear" w:color="auto" w:fill="D1DDE6"/>
          </w:tcPr>
          <w:p>
            <w:pPr>
              <w:spacing w:after="0"/>
              <w:rPr>
                <w:sz w:val="20"/>
                <w:szCs w:val="20"/>
                <w:color w:val="auto"/>
              </w:rPr>
            </w:pPr>
          </w:p>
        </w:tc>
        <w:tc>
          <w:tcPr>
            <w:tcW w:w="1680" w:type="dxa"/>
            <w:vAlign w:val="bottom"/>
            <w:tcBorders>
              <w:bottom w:val="single" w:sz="8" w:color="D1DDE6"/>
            </w:tcBorders>
            <w:shd w:val="clear" w:color="auto" w:fill="D1DDE6"/>
          </w:tcPr>
          <w:p>
            <w:pPr>
              <w:spacing w:after="0"/>
              <w:rPr>
                <w:sz w:val="20"/>
                <w:szCs w:val="20"/>
                <w:color w:val="auto"/>
              </w:rPr>
            </w:pPr>
          </w:p>
        </w:tc>
        <w:tc>
          <w:tcPr>
            <w:tcW w:w="1200" w:type="dxa"/>
            <w:vAlign w:val="bottom"/>
            <w:tcBorders>
              <w:bottom w:val="single" w:sz="8" w:color="D1DDE6"/>
            </w:tcBorders>
            <w:shd w:val="clear" w:color="auto" w:fill="D1DDE6"/>
          </w:tcPr>
          <w:p>
            <w:pPr>
              <w:spacing w:after="0"/>
              <w:rPr>
                <w:sz w:val="20"/>
                <w:szCs w:val="20"/>
                <w:color w:val="auto"/>
              </w:rPr>
            </w:pPr>
          </w:p>
        </w:tc>
        <w:tc>
          <w:tcPr>
            <w:tcW w:w="620" w:type="dxa"/>
            <w:vAlign w:val="bottom"/>
            <w:tcBorders>
              <w:bottom w:val="single" w:sz="8" w:color="D1DDE6"/>
            </w:tcBorders>
            <w:shd w:val="clear" w:color="auto" w:fill="D1DDE6"/>
          </w:tcPr>
          <w:p>
            <w:pPr>
              <w:spacing w:after="0"/>
              <w:rPr>
                <w:sz w:val="20"/>
                <w:szCs w:val="20"/>
                <w:color w:val="auto"/>
              </w:rPr>
            </w:pPr>
          </w:p>
        </w:tc>
      </w:tr>
      <w:tr>
        <w:trPr>
          <w:trHeight w:val="247"/>
        </w:trPr>
        <w:tc>
          <w:tcPr>
            <w:tcW w:w="4980" w:type="dxa"/>
            <w:vAlign w:val="bottom"/>
          </w:tcPr>
          <w:p>
            <w:pPr>
              <w:ind w:left="360"/>
              <w:spacing w:after="0"/>
              <w:rPr>
                <w:sz w:val="20"/>
                <w:szCs w:val="20"/>
                <w:color w:val="auto"/>
              </w:rPr>
            </w:pPr>
            <w:r>
              <w:rPr>
                <w:rFonts w:ascii="Arial" w:cs="Arial" w:eastAsia="Arial" w:hAnsi="Arial"/>
                <w:sz w:val="15"/>
                <w:szCs w:val="15"/>
                <w:color w:val="auto"/>
              </w:rPr>
              <w:t>Marianne C. Brown</w:t>
            </w:r>
          </w:p>
        </w:tc>
        <w:tc>
          <w:tcPr>
            <w:tcW w:w="2180" w:type="dxa"/>
            <w:vAlign w:val="bottom"/>
          </w:tcPr>
          <w:p>
            <w:pPr>
              <w:jc w:val="center"/>
              <w:ind w:left="283"/>
              <w:spacing w:after="0"/>
              <w:rPr>
                <w:sz w:val="20"/>
                <w:szCs w:val="20"/>
                <w:color w:val="auto"/>
              </w:rPr>
            </w:pPr>
            <w:r>
              <w:rPr>
                <w:rFonts w:ascii="Arial" w:cs="Arial" w:eastAsia="Arial" w:hAnsi="Arial"/>
                <w:sz w:val="15"/>
                <w:szCs w:val="15"/>
                <w:color w:val="auto"/>
                <w:w w:val="93"/>
              </w:rPr>
              <w:t>—</w:t>
            </w:r>
          </w:p>
        </w:tc>
        <w:tc>
          <w:tcPr>
            <w:tcW w:w="580" w:type="dxa"/>
            <w:vAlign w:val="bottom"/>
          </w:tcPr>
          <w:p>
            <w:pPr>
              <w:spacing w:after="0"/>
              <w:rPr>
                <w:sz w:val="21"/>
                <w:szCs w:val="21"/>
                <w:color w:val="auto"/>
              </w:rPr>
            </w:pPr>
          </w:p>
        </w:tc>
        <w:tc>
          <w:tcPr>
            <w:tcW w:w="1680" w:type="dxa"/>
            <w:vAlign w:val="bottom"/>
          </w:tcPr>
          <w:p>
            <w:pPr>
              <w:jc w:val="center"/>
              <w:ind w:right="63"/>
              <w:spacing w:after="0"/>
              <w:rPr>
                <w:sz w:val="20"/>
                <w:szCs w:val="20"/>
                <w:color w:val="auto"/>
              </w:rPr>
            </w:pPr>
            <w:r>
              <w:rPr>
                <w:rFonts w:ascii="Arial" w:cs="Arial" w:eastAsia="Arial" w:hAnsi="Arial"/>
                <w:sz w:val="15"/>
                <w:szCs w:val="15"/>
                <w:color w:val="auto"/>
              </w:rPr>
              <w:t>4,364</w:t>
            </w:r>
          </w:p>
        </w:tc>
        <w:tc>
          <w:tcPr>
            <w:tcW w:w="1200" w:type="dxa"/>
            <w:vAlign w:val="bottom"/>
          </w:tcPr>
          <w:p>
            <w:pPr>
              <w:jc w:val="center"/>
              <w:ind w:left="3"/>
              <w:spacing w:after="0"/>
              <w:rPr>
                <w:sz w:val="20"/>
                <w:szCs w:val="20"/>
                <w:color w:val="auto"/>
              </w:rPr>
            </w:pPr>
            <w:r>
              <w:rPr>
                <w:rFonts w:ascii="Arial" w:cs="Arial" w:eastAsia="Arial" w:hAnsi="Arial"/>
                <w:sz w:val="15"/>
                <w:szCs w:val="15"/>
                <w:color w:val="auto"/>
              </w:rPr>
              <w:t>4,364</w:t>
            </w:r>
          </w:p>
        </w:tc>
        <w:tc>
          <w:tcPr>
            <w:tcW w:w="620" w:type="dxa"/>
            <w:vAlign w:val="bottom"/>
          </w:tcPr>
          <w:p>
            <w:pPr>
              <w:spacing w:after="0"/>
              <w:rPr>
                <w:sz w:val="21"/>
                <w:szCs w:val="21"/>
                <w:color w:val="auto"/>
              </w:rPr>
            </w:pPr>
          </w:p>
        </w:tc>
      </w:tr>
      <w:tr>
        <w:trPr>
          <w:trHeight w:val="265"/>
        </w:trPr>
        <w:tc>
          <w:tcPr>
            <w:tcW w:w="4980" w:type="dxa"/>
            <w:vAlign w:val="bottom"/>
            <w:shd w:val="clear" w:color="auto" w:fill="D1DDE6"/>
          </w:tcPr>
          <w:p>
            <w:pPr>
              <w:ind w:left="360"/>
              <w:spacing w:after="0"/>
              <w:rPr>
                <w:sz w:val="20"/>
                <w:szCs w:val="20"/>
                <w:color w:val="auto"/>
              </w:rPr>
            </w:pPr>
            <w:r>
              <w:rPr>
                <w:rFonts w:ascii="Arial" w:cs="Arial" w:eastAsia="Arial" w:hAnsi="Arial"/>
                <w:sz w:val="15"/>
                <w:szCs w:val="15"/>
                <w:color w:val="auto"/>
              </w:rPr>
              <w:t>Donald E. Felsinger</w:t>
            </w:r>
          </w:p>
        </w:tc>
        <w:tc>
          <w:tcPr>
            <w:tcW w:w="2180" w:type="dxa"/>
            <w:vAlign w:val="bottom"/>
            <w:shd w:val="clear" w:color="auto" w:fill="D1DDE6"/>
          </w:tcPr>
          <w:p>
            <w:pPr>
              <w:jc w:val="center"/>
              <w:ind w:left="283"/>
              <w:spacing w:after="0"/>
              <w:rPr>
                <w:sz w:val="20"/>
                <w:szCs w:val="20"/>
                <w:color w:val="auto"/>
              </w:rPr>
            </w:pPr>
            <w:r>
              <w:rPr>
                <w:rFonts w:ascii="Arial" w:cs="Arial" w:eastAsia="Arial" w:hAnsi="Arial"/>
                <w:sz w:val="15"/>
                <w:szCs w:val="15"/>
                <w:color w:val="auto"/>
                <w:w w:val="93"/>
              </w:rPr>
              <w:t>—</w:t>
            </w:r>
          </w:p>
        </w:tc>
        <w:tc>
          <w:tcPr>
            <w:tcW w:w="580" w:type="dxa"/>
            <w:vAlign w:val="bottom"/>
            <w:shd w:val="clear" w:color="auto" w:fill="D1DDE6"/>
          </w:tcPr>
          <w:p>
            <w:pPr>
              <w:spacing w:after="0"/>
              <w:rPr>
                <w:sz w:val="23"/>
                <w:szCs w:val="23"/>
                <w:color w:val="auto"/>
              </w:rPr>
            </w:pPr>
          </w:p>
        </w:tc>
        <w:tc>
          <w:tcPr>
            <w:tcW w:w="1680" w:type="dxa"/>
            <w:vAlign w:val="bottom"/>
            <w:shd w:val="clear" w:color="auto" w:fill="D1DDE6"/>
          </w:tcPr>
          <w:p>
            <w:pPr>
              <w:jc w:val="center"/>
              <w:ind w:right="63"/>
              <w:spacing w:after="0"/>
              <w:rPr>
                <w:sz w:val="20"/>
                <w:szCs w:val="20"/>
                <w:color w:val="auto"/>
              </w:rPr>
            </w:pPr>
            <w:r>
              <w:rPr>
                <w:rFonts w:ascii="Arial" w:cs="Arial" w:eastAsia="Arial" w:hAnsi="Arial"/>
                <w:sz w:val="15"/>
                <w:szCs w:val="15"/>
                <w:color w:val="auto"/>
              </w:rPr>
              <w:t>35,508</w:t>
            </w:r>
          </w:p>
        </w:tc>
        <w:tc>
          <w:tcPr>
            <w:tcW w:w="1200" w:type="dxa"/>
            <w:vAlign w:val="bottom"/>
            <w:shd w:val="clear" w:color="auto" w:fill="D1DDE6"/>
          </w:tcPr>
          <w:p>
            <w:pPr>
              <w:jc w:val="center"/>
              <w:ind w:left="3"/>
              <w:spacing w:after="0"/>
              <w:rPr>
                <w:sz w:val="20"/>
                <w:szCs w:val="20"/>
                <w:color w:val="auto"/>
              </w:rPr>
            </w:pPr>
            <w:r>
              <w:rPr>
                <w:rFonts w:ascii="Arial" w:cs="Arial" w:eastAsia="Arial" w:hAnsi="Arial"/>
                <w:sz w:val="15"/>
                <w:szCs w:val="15"/>
                <w:color w:val="auto"/>
              </w:rPr>
              <w:t>35,508</w:t>
            </w:r>
          </w:p>
        </w:tc>
        <w:tc>
          <w:tcPr>
            <w:tcW w:w="620" w:type="dxa"/>
            <w:vAlign w:val="bottom"/>
            <w:shd w:val="clear" w:color="auto" w:fill="D1DDE6"/>
          </w:tcPr>
          <w:p>
            <w:pPr>
              <w:spacing w:after="0"/>
              <w:rPr>
                <w:sz w:val="23"/>
                <w:szCs w:val="23"/>
                <w:color w:val="auto"/>
              </w:rPr>
            </w:pPr>
          </w:p>
        </w:tc>
      </w:tr>
      <w:tr>
        <w:trPr>
          <w:trHeight w:val="247"/>
        </w:trPr>
        <w:tc>
          <w:tcPr>
            <w:tcW w:w="4980" w:type="dxa"/>
            <w:vAlign w:val="bottom"/>
          </w:tcPr>
          <w:p>
            <w:pPr>
              <w:ind w:left="360"/>
              <w:spacing w:after="0"/>
              <w:rPr>
                <w:sz w:val="20"/>
                <w:szCs w:val="20"/>
                <w:color w:val="auto"/>
              </w:rPr>
            </w:pPr>
            <w:r>
              <w:rPr>
                <w:rFonts w:ascii="Arial" w:cs="Arial" w:eastAsia="Arial" w:hAnsi="Arial"/>
                <w:sz w:val="15"/>
                <w:szCs w:val="15"/>
                <w:color w:val="auto"/>
              </w:rPr>
              <w:t>Ann M. Fudge</w:t>
            </w:r>
          </w:p>
        </w:tc>
        <w:tc>
          <w:tcPr>
            <w:tcW w:w="2180" w:type="dxa"/>
            <w:vAlign w:val="bottom"/>
          </w:tcPr>
          <w:p>
            <w:pPr>
              <w:jc w:val="center"/>
              <w:ind w:left="283"/>
              <w:spacing w:after="0"/>
              <w:rPr>
                <w:sz w:val="20"/>
                <w:szCs w:val="20"/>
                <w:color w:val="auto"/>
              </w:rPr>
            </w:pPr>
            <w:r>
              <w:rPr>
                <w:rFonts w:ascii="Arial" w:cs="Arial" w:eastAsia="Arial" w:hAnsi="Arial"/>
                <w:sz w:val="15"/>
                <w:szCs w:val="15"/>
                <w:color w:val="auto"/>
              </w:rPr>
              <w:t>93</w:t>
            </w:r>
          </w:p>
        </w:tc>
        <w:tc>
          <w:tcPr>
            <w:tcW w:w="580" w:type="dxa"/>
            <w:vAlign w:val="bottom"/>
          </w:tcPr>
          <w:p>
            <w:pPr>
              <w:spacing w:after="0"/>
              <w:rPr>
                <w:sz w:val="21"/>
                <w:szCs w:val="21"/>
                <w:color w:val="auto"/>
              </w:rPr>
            </w:pPr>
          </w:p>
        </w:tc>
        <w:tc>
          <w:tcPr>
            <w:tcW w:w="1680" w:type="dxa"/>
            <w:vAlign w:val="bottom"/>
          </w:tcPr>
          <w:p>
            <w:pPr>
              <w:jc w:val="center"/>
              <w:ind w:right="63"/>
              <w:spacing w:after="0"/>
              <w:rPr>
                <w:sz w:val="20"/>
                <w:szCs w:val="20"/>
                <w:color w:val="auto"/>
              </w:rPr>
            </w:pPr>
            <w:r>
              <w:rPr>
                <w:rFonts w:ascii="Arial" w:cs="Arial" w:eastAsia="Arial" w:hAnsi="Arial"/>
                <w:sz w:val="15"/>
                <w:szCs w:val="15"/>
                <w:color w:val="auto"/>
              </w:rPr>
              <w:t>2,312</w:t>
            </w:r>
          </w:p>
        </w:tc>
        <w:tc>
          <w:tcPr>
            <w:tcW w:w="1200" w:type="dxa"/>
            <w:vAlign w:val="bottom"/>
          </w:tcPr>
          <w:p>
            <w:pPr>
              <w:jc w:val="center"/>
              <w:ind w:left="3"/>
              <w:spacing w:after="0"/>
              <w:rPr>
                <w:sz w:val="20"/>
                <w:szCs w:val="20"/>
                <w:color w:val="auto"/>
              </w:rPr>
            </w:pPr>
            <w:r>
              <w:rPr>
                <w:rFonts w:ascii="Arial" w:cs="Arial" w:eastAsia="Arial" w:hAnsi="Arial"/>
                <w:sz w:val="15"/>
                <w:szCs w:val="15"/>
                <w:color w:val="auto"/>
              </w:rPr>
              <w:t>2,405</w:t>
            </w:r>
          </w:p>
        </w:tc>
        <w:tc>
          <w:tcPr>
            <w:tcW w:w="620" w:type="dxa"/>
            <w:vAlign w:val="bottom"/>
          </w:tcPr>
          <w:p>
            <w:pPr>
              <w:spacing w:after="0"/>
              <w:rPr>
                <w:sz w:val="21"/>
                <w:szCs w:val="21"/>
                <w:color w:val="auto"/>
              </w:rPr>
            </w:pPr>
          </w:p>
        </w:tc>
      </w:tr>
      <w:tr>
        <w:trPr>
          <w:trHeight w:val="265"/>
        </w:trPr>
        <w:tc>
          <w:tcPr>
            <w:tcW w:w="4980" w:type="dxa"/>
            <w:vAlign w:val="bottom"/>
            <w:shd w:val="clear" w:color="auto" w:fill="D1DDE6"/>
          </w:tcPr>
          <w:p>
            <w:pPr>
              <w:ind w:left="360"/>
              <w:spacing w:after="0"/>
              <w:rPr>
                <w:sz w:val="20"/>
                <w:szCs w:val="20"/>
                <w:color w:val="auto"/>
              </w:rPr>
            </w:pPr>
            <w:r>
              <w:rPr>
                <w:rFonts w:ascii="Arial" w:cs="Arial" w:eastAsia="Arial" w:hAnsi="Arial"/>
                <w:sz w:val="15"/>
                <w:szCs w:val="15"/>
                <w:color w:val="auto"/>
              </w:rPr>
              <w:t>Bruce S. Gordon</w:t>
            </w:r>
          </w:p>
        </w:tc>
        <w:tc>
          <w:tcPr>
            <w:tcW w:w="2180" w:type="dxa"/>
            <w:vAlign w:val="bottom"/>
            <w:shd w:val="clear" w:color="auto" w:fill="D1DDE6"/>
          </w:tcPr>
          <w:p>
            <w:pPr>
              <w:jc w:val="center"/>
              <w:ind w:left="283"/>
              <w:spacing w:after="0"/>
              <w:rPr>
                <w:sz w:val="20"/>
                <w:szCs w:val="20"/>
                <w:color w:val="auto"/>
              </w:rPr>
            </w:pPr>
            <w:r>
              <w:rPr>
                <w:rFonts w:ascii="Arial" w:cs="Arial" w:eastAsia="Arial" w:hAnsi="Arial"/>
                <w:sz w:val="15"/>
                <w:szCs w:val="15"/>
                <w:color w:val="auto"/>
                <w:w w:val="93"/>
              </w:rPr>
              <w:t>—</w:t>
            </w:r>
          </w:p>
        </w:tc>
        <w:tc>
          <w:tcPr>
            <w:tcW w:w="580" w:type="dxa"/>
            <w:vAlign w:val="bottom"/>
            <w:shd w:val="clear" w:color="auto" w:fill="D1DDE6"/>
          </w:tcPr>
          <w:p>
            <w:pPr>
              <w:spacing w:after="0"/>
              <w:rPr>
                <w:sz w:val="23"/>
                <w:szCs w:val="23"/>
                <w:color w:val="auto"/>
              </w:rPr>
            </w:pPr>
          </w:p>
        </w:tc>
        <w:tc>
          <w:tcPr>
            <w:tcW w:w="1680" w:type="dxa"/>
            <w:vAlign w:val="bottom"/>
            <w:shd w:val="clear" w:color="auto" w:fill="D1DDE6"/>
          </w:tcPr>
          <w:p>
            <w:pPr>
              <w:jc w:val="center"/>
              <w:ind w:right="63"/>
              <w:spacing w:after="0"/>
              <w:rPr>
                <w:sz w:val="20"/>
                <w:szCs w:val="20"/>
                <w:color w:val="auto"/>
              </w:rPr>
            </w:pPr>
            <w:r>
              <w:rPr>
                <w:rFonts w:ascii="Arial" w:cs="Arial" w:eastAsia="Arial" w:hAnsi="Arial"/>
                <w:sz w:val="15"/>
                <w:szCs w:val="15"/>
                <w:color w:val="auto"/>
              </w:rPr>
              <w:t>17,138</w:t>
            </w:r>
          </w:p>
        </w:tc>
        <w:tc>
          <w:tcPr>
            <w:tcW w:w="1200" w:type="dxa"/>
            <w:vAlign w:val="bottom"/>
            <w:shd w:val="clear" w:color="auto" w:fill="D1DDE6"/>
          </w:tcPr>
          <w:p>
            <w:pPr>
              <w:jc w:val="center"/>
              <w:ind w:left="3"/>
              <w:spacing w:after="0"/>
              <w:rPr>
                <w:sz w:val="20"/>
                <w:szCs w:val="20"/>
                <w:color w:val="auto"/>
              </w:rPr>
            </w:pPr>
            <w:r>
              <w:rPr>
                <w:rFonts w:ascii="Arial" w:cs="Arial" w:eastAsia="Arial" w:hAnsi="Arial"/>
                <w:sz w:val="15"/>
                <w:szCs w:val="15"/>
                <w:color w:val="auto"/>
              </w:rPr>
              <w:t>17,138</w:t>
            </w:r>
          </w:p>
        </w:tc>
        <w:tc>
          <w:tcPr>
            <w:tcW w:w="620" w:type="dxa"/>
            <w:vAlign w:val="bottom"/>
            <w:shd w:val="clear" w:color="auto" w:fill="D1DDE6"/>
          </w:tcPr>
          <w:p>
            <w:pPr>
              <w:spacing w:after="0"/>
              <w:rPr>
                <w:sz w:val="23"/>
                <w:szCs w:val="23"/>
                <w:color w:val="auto"/>
              </w:rPr>
            </w:pPr>
          </w:p>
        </w:tc>
      </w:tr>
      <w:tr>
        <w:trPr>
          <w:trHeight w:val="247"/>
        </w:trPr>
        <w:tc>
          <w:tcPr>
            <w:tcW w:w="4980" w:type="dxa"/>
            <w:vAlign w:val="bottom"/>
          </w:tcPr>
          <w:p>
            <w:pPr>
              <w:ind w:left="360"/>
              <w:spacing w:after="0"/>
              <w:rPr>
                <w:sz w:val="20"/>
                <w:szCs w:val="20"/>
                <w:color w:val="auto"/>
              </w:rPr>
            </w:pPr>
            <w:r>
              <w:rPr>
                <w:rFonts w:ascii="Arial" w:cs="Arial" w:eastAsia="Arial" w:hAnsi="Arial"/>
                <w:sz w:val="15"/>
                <w:szCs w:val="15"/>
                <w:color w:val="auto"/>
              </w:rPr>
              <w:t>William H. Hernandez</w:t>
            </w:r>
          </w:p>
        </w:tc>
        <w:tc>
          <w:tcPr>
            <w:tcW w:w="2180" w:type="dxa"/>
            <w:vAlign w:val="bottom"/>
          </w:tcPr>
          <w:p>
            <w:pPr>
              <w:jc w:val="center"/>
              <w:ind w:left="283"/>
              <w:spacing w:after="0"/>
              <w:rPr>
                <w:sz w:val="20"/>
                <w:szCs w:val="20"/>
                <w:color w:val="auto"/>
              </w:rPr>
            </w:pPr>
            <w:r>
              <w:rPr>
                <w:rFonts w:ascii="Arial" w:cs="Arial" w:eastAsia="Arial" w:hAnsi="Arial"/>
                <w:sz w:val="15"/>
                <w:szCs w:val="15"/>
                <w:color w:val="auto"/>
              </w:rPr>
              <w:t>1,000</w:t>
            </w:r>
          </w:p>
        </w:tc>
        <w:tc>
          <w:tcPr>
            <w:tcW w:w="580" w:type="dxa"/>
            <w:vAlign w:val="bottom"/>
          </w:tcPr>
          <w:p>
            <w:pPr>
              <w:spacing w:after="0"/>
              <w:rPr>
                <w:sz w:val="21"/>
                <w:szCs w:val="21"/>
                <w:color w:val="auto"/>
              </w:rPr>
            </w:pPr>
          </w:p>
        </w:tc>
        <w:tc>
          <w:tcPr>
            <w:tcW w:w="1680" w:type="dxa"/>
            <w:vAlign w:val="bottom"/>
          </w:tcPr>
          <w:p>
            <w:pPr>
              <w:jc w:val="center"/>
              <w:ind w:right="63"/>
              <w:spacing w:after="0"/>
              <w:rPr>
                <w:sz w:val="20"/>
                <w:szCs w:val="20"/>
                <w:color w:val="auto"/>
              </w:rPr>
            </w:pPr>
            <w:r>
              <w:rPr>
                <w:rFonts w:ascii="Arial" w:cs="Arial" w:eastAsia="Arial" w:hAnsi="Arial"/>
                <w:sz w:val="15"/>
                <w:szCs w:val="15"/>
                <w:color w:val="auto"/>
              </w:rPr>
              <w:t>4,418</w:t>
            </w:r>
          </w:p>
        </w:tc>
        <w:tc>
          <w:tcPr>
            <w:tcW w:w="1200" w:type="dxa"/>
            <w:vAlign w:val="bottom"/>
          </w:tcPr>
          <w:p>
            <w:pPr>
              <w:jc w:val="center"/>
              <w:ind w:left="3"/>
              <w:spacing w:after="0"/>
              <w:rPr>
                <w:sz w:val="20"/>
                <w:szCs w:val="20"/>
                <w:color w:val="auto"/>
              </w:rPr>
            </w:pPr>
            <w:r>
              <w:rPr>
                <w:rFonts w:ascii="Arial" w:cs="Arial" w:eastAsia="Arial" w:hAnsi="Arial"/>
                <w:sz w:val="15"/>
                <w:szCs w:val="15"/>
                <w:color w:val="auto"/>
              </w:rPr>
              <w:t>5,418</w:t>
            </w:r>
          </w:p>
        </w:tc>
        <w:tc>
          <w:tcPr>
            <w:tcW w:w="620" w:type="dxa"/>
            <w:vAlign w:val="bottom"/>
          </w:tcPr>
          <w:p>
            <w:pPr>
              <w:spacing w:after="0"/>
              <w:rPr>
                <w:sz w:val="21"/>
                <w:szCs w:val="21"/>
                <w:color w:val="auto"/>
              </w:rPr>
            </w:pPr>
          </w:p>
        </w:tc>
      </w:tr>
      <w:tr>
        <w:trPr>
          <w:trHeight w:val="265"/>
        </w:trPr>
        <w:tc>
          <w:tcPr>
            <w:tcW w:w="4980" w:type="dxa"/>
            <w:vAlign w:val="bottom"/>
            <w:shd w:val="clear" w:color="auto" w:fill="D1DDE6"/>
          </w:tcPr>
          <w:p>
            <w:pPr>
              <w:ind w:left="360"/>
              <w:spacing w:after="0"/>
              <w:rPr>
                <w:sz w:val="20"/>
                <w:szCs w:val="20"/>
                <w:color w:val="auto"/>
              </w:rPr>
            </w:pPr>
            <w:r>
              <w:rPr>
                <w:rFonts w:ascii="Arial" w:cs="Arial" w:eastAsia="Arial" w:hAnsi="Arial"/>
                <w:sz w:val="15"/>
                <w:szCs w:val="15"/>
                <w:color w:val="auto"/>
              </w:rPr>
              <w:t>Madeleine A. Kleiner</w:t>
            </w:r>
          </w:p>
        </w:tc>
        <w:tc>
          <w:tcPr>
            <w:tcW w:w="2180" w:type="dxa"/>
            <w:vAlign w:val="bottom"/>
            <w:shd w:val="clear" w:color="auto" w:fill="D1DDE6"/>
          </w:tcPr>
          <w:p>
            <w:pPr>
              <w:jc w:val="center"/>
              <w:ind w:left="283"/>
              <w:spacing w:after="0"/>
              <w:rPr>
                <w:sz w:val="20"/>
                <w:szCs w:val="20"/>
                <w:color w:val="auto"/>
              </w:rPr>
            </w:pPr>
            <w:r>
              <w:rPr>
                <w:rFonts w:ascii="Arial" w:cs="Arial" w:eastAsia="Arial" w:hAnsi="Arial"/>
                <w:sz w:val="15"/>
                <w:szCs w:val="15"/>
                <w:color w:val="auto"/>
              </w:rPr>
              <w:t>971</w:t>
            </w:r>
          </w:p>
        </w:tc>
        <w:tc>
          <w:tcPr>
            <w:tcW w:w="580" w:type="dxa"/>
            <w:vAlign w:val="bottom"/>
            <w:shd w:val="clear" w:color="auto" w:fill="D1DDE6"/>
          </w:tcPr>
          <w:p>
            <w:pPr>
              <w:spacing w:after="0"/>
              <w:rPr>
                <w:sz w:val="23"/>
                <w:szCs w:val="23"/>
                <w:color w:val="auto"/>
              </w:rPr>
            </w:pPr>
          </w:p>
        </w:tc>
        <w:tc>
          <w:tcPr>
            <w:tcW w:w="1680" w:type="dxa"/>
            <w:vAlign w:val="bottom"/>
            <w:shd w:val="clear" w:color="auto" w:fill="D1DDE6"/>
          </w:tcPr>
          <w:p>
            <w:pPr>
              <w:jc w:val="center"/>
              <w:ind w:right="63"/>
              <w:spacing w:after="0"/>
              <w:rPr>
                <w:sz w:val="20"/>
                <w:szCs w:val="20"/>
                <w:color w:val="auto"/>
              </w:rPr>
            </w:pPr>
            <w:r>
              <w:rPr>
                <w:rFonts w:ascii="Arial" w:cs="Arial" w:eastAsia="Arial" w:hAnsi="Arial"/>
                <w:sz w:val="15"/>
                <w:szCs w:val="15"/>
                <w:color w:val="auto"/>
              </w:rPr>
              <w:t>16,132</w:t>
            </w:r>
          </w:p>
        </w:tc>
        <w:tc>
          <w:tcPr>
            <w:tcW w:w="1200" w:type="dxa"/>
            <w:vAlign w:val="bottom"/>
            <w:shd w:val="clear" w:color="auto" w:fill="D1DDE6"/>
          </w:tcPr>
          <w:p>
            <w:pPr>
              <w:jc w:val="center"/>
              <w:ind w:left="3"/>
              <w:spacing w:after="0"/>
              <w:rPr>
                <w:sz w:val="20"/>
                <w:szCs w:val="20"/>
                <w:color w:val="auto"/>
              </w:rPr>
            </w:pPr>
            <w:r>
              <w:rPr>
                <w:rFonts w:ascii="Arial" w:cs="Arial" w:eastAsia="Arial" w:hAnsi="Arial"/>
                <w:sz w:val="15"/>
                <w:szCs w:val="15"/>
                <w:color w:val="auto"/>
              </w:rPr>
              <w:t>17,103</w:t>
            </w:r>
          </w:p>
        </w:tc>
        <w:tc>
          <w:tcPr>
            <w:tcW w:w="620" w:type="dxa"/>
            <w:vAlign w:val="bottom"/>
            <w:shd w:val="clear" w:color="auto" w:fill="D1DDE6"/>
          </w:tcPr>
          <w:p>
            <w:pPr>
              <w:spacing w:after="0"/>
              <w:rPr>
                <w:sz w:val="23"/>
                <w:szCs w:val="23"/>
                <w:color w:val="auto"/>
              </w:rPr>
            </w:pPr>
          </w:p>
        </w:tc>
      </w:tr>
      <w:tr>
        <w:trPr>
          <w:trHeight w:val="247"/>
        </w:trPr>
        <w:tc>
          <w:tcPr>
            <w:tcW w:w="4980" w:type="dxa"/>
            <w:vAlign w:val="bottom"/>
          </w:tcPr>
          <w:p>
            <w:pPr>
              <w:ind w:left="360"/>
              <w:spacing w:after="0"/>
              <w:rPr>
                <w:sz w:val="20"/>
                <w:szCs w:val="20"/>
                <w:color w:val="auto"/>
              </w:rPr>
            </w:pPr>
            <w:r>
              <w:rPr>
                <w:rFonts w:ascii="Arial" w:cs="Arial" w:eastAsia="Arial" w:hAnsi="Arial"/>
                <w:sz w:val="15"/>
                <w:szCs w:val="15"/>
                <w:color w:val="auto"/>
              </w:rPr>
              <w:t>Karl J. Krapek</w:t>
            </w:r>
          </w:p>
        </w:tc>
        <w:tc>
          <w:tcPr>
            <w:tcW w:w="2180" w:type="dxa"/>
            <w:vAlign w:val="bottom"/>
          </w:tcPr>
          <w:p>
            <w:pPr>
              <w:jc w:val="center"/>
              <w:ind w:left="283"/>
              <w:spacing w:after="0"/>
              <w:rPr>
                <w:sz w:val="20"/>
                <w:szCs w:val="20"/>
                <w:color w:val="auto"/>
              </w:rPr>
            </w:pPr>
            <w:r>
              <w:rPr>
                <w:rFonts w:ascii="Arial" w:cs="Arial" w:eastAsia="Arial" w:hAnsi="Arial"/>
                <w:sz w:val="15"/>
                <w:szCs w:val="15"/>
                <w:color w:val="auto"/>
              </w:rPr>
              <w:t>4,856</w:t>
            </w:r>
          </w:p>
        </w:tc>
        <w:tc>
          <w:tcPr>
            <w:tcW w:w="580" w:type="dxa"/>
            <w:vAlign w:val="bottom"/>
          </w:tcPr>
          <w:p>
            <w:pPr>
              <w:spacing w:after="0"/>
              <w:rPr>
                <w:sz w:val="21"/>
                <w:szCs w:val="21"/>
                <w:color w:val="auto"/>
              </w:rPr>
            </w:pPr>
          </w:p>
        </w:tc>
        <w:tc>
          <w:tcPr>
            <w:tcW w:w="1680" w:type="dxa"/>
            <w:vAlign w:val="bottom"/>
          </w:tcPr>
          <w:p>
            <w:pPr>
              <w:jc w:val="center"/>
              <w:ind w:right="63"/>
              <w:spacing w:after="0"/>
              <w:rPr>
                <w:sz w:val="20"/>
                <w:szCs w:val="20"/>
                <w:color w:val="auto"/>
              </w:rPr>
            </w:pPr>
            <w:r>
              <w:rPr>
                <w:rFonts w:ascii="Arial" w:cs="Arial" w:eastAsia="Arial" w:hAnsi="Arial"/>
                <w:sz w:val="15"/>
                <w:szCs w:val="15"/>
                <w:color w:val="auto"/>
              </w:rPr>
              <w:t>21,614</w:t>
            </w:r>
          </w:p>
        </w:tc>
        <w:tc>
          <w:tcPr>
            <w:tcW w:w="1200" w:type="dxa"/>
            <w:vAlign w:val="bottom"/>
          </w:tcPr>
          <w:p>
            <w:pPr>
              <w:jc w:val="center"/>
              <w:ind w:left="3"/>
              <w:spacing w:after="0"/>
              <w:rPr>
                <w:sz w:val="20"/>
                <w:szCs w:val="20"/>
                <w:color w:val="auto"/>
              </w:rPr>
            </w:pPr>
            <w:r>
              <w:rPr>
                <w:rFonts w:ascii="Arial" w:cs="Arial" w:eastAsia="Arial" w:hAnsi="Arial"/>
                <w:sz w:val="15"/>
                <w:szCs w:val="15"/>
                <w:color w:val="auto"/>
              </w:rPr>
              <w:t>26,470</w:t>
            </w:r>
          </w:p>
        </w:tc>
        <w:tc>
          <w:tcPr>
            <w:tcW w:w="620" w:type="dxa"/>
            <w:vAlign w:val="bottom"/>
          </w:tcPr>
          <w:p>
            <w:pPr>
              <w:spacing w:after="0"/>
              <w:rPr>
                <w:sz w:val="21"/>
                <w:szCs w:val="21"/>
                <w:color w:val="auto"/>
              </w:rPr>
            </w:pPr>
          </w:p>
        </w:tc>
      </w:tr>
      <w:tr>
        <w:trPr>
          <w:trHeight w:val="265"/>
        </w:trPr>
        <w:tc>
          <w:tcPr>
            <w:tcW w:w="4980" w:type="dxa"/>
            <w:vAlign w:val="bottom"/>
            <w:shd w:val="clear" w:color="auto" w:fill="D1DDE6"/>
          </w:tcPr>
          <w:p>
            <w:pPr>
              <w:ind w:left="360"/>
              <w:spacing w:after="0"/>
              <w:rPr>
                <w:sz w:val="20"/>
                <w:szCs w:val="20"/>
                <w:color w:val="auto"/>
              </w:rPr>
            </w:pPr>
            <w:r>
              <w:rPr>
                <w:rFonts w:ascii="Arial" w:cs="Arial" w:eastAsia="Arial" w:hAnsi="Arial"/>
                <w:sz w:val="15"/>
                <w:szCs w:val="15"/>
                <w:color w:val="auto"/>
              </w:rPr>
              <w:t>Gary Roughead</w:t>
            </w:r>
          </w:p>
        </w:tc>
        <w:tc>
          <w:tcPr>
            <w:tcW w:w="2180" w:type="dxa"/>
            <w:vAlign w:val="bottom"/>
            <w:shd w:val="clear" w:color="auto" w:fill="D1DDE6"/>
          </w:tcPr>
          <w:p>
            <w:pPr>
              <w:jc w:val="center"/>
              <w:ind w:left="283"/>
              <w:spacing w:after="0"/>
              <w:rPr>
                <w:sz w:val="20"/>
                <w:szCs w:val="20"/>
                <w:color w:val="auto"/>
              </w:rPr>
            </w:pPr>
            <w:r>
              <w:rPr>
                <w:rFonts w:ascii="Arial" w:cs="Arial" w:eastAsia="Arial" w:hAnsi="Arial"/>
                <w:sz w:val="15"/>
                <w:szCs w:val="15"/>
                <w:color w:val="auto"/>
                <w:w w:val="93"/>
              </w:rPr>
              <w:t>—</w:t>
            </w:r>
          </w:p>
        </w:tc>
        <w:tc>
          <w:tcPr>
            <w:tcW w:w="580" w:type="dxa"/>
            <w:vAlign w:val="bottom"/>
            <w:shd w:val="clear" w:color="auto" w:fill="D1DDE6"/>
          </w:tcPr>
          <w:p>
            <w:pPr>
              <w:spacing w:after="0"/>
              <w:rPr>
                <w:sz w:val="23"/>
                <w:szCs w:val="23"/>
                <w:color w:val="auto"/>
              </w:rPr>
            </w:pPr>
          </w:p>
        </w:tc>
        <w:tc>
          <w:tcPr>
            <w:tcW w:w="1680" w:type="dxa"/>
            <w:vAlign w:val="bottom"/>
            <w:shd w:val="clear" w:color="auto" w:fill="D1DDE6"/>
          </w:tcPr>
          <w:p>
            <w:pPr>
              <w:jc w:val="center"/>
              <w:ind w:right="63"/>
              <w:spacing w:after="0"/>
              <w:rPr>
                <w:sz w:val="20"/>
                <w:szCs w:val="20"/>
                <w:color w:val="auto"/>
              </w:rPr>
            </w:pPr>
            <w:r>
              <w:rPr>
                <w:rFonts w:ascii="Arial" w:cs="Arial" w:eastAsia="Arial" w:hAnsi="Arial"/>
                <w:sz w:val="15"/>
                <w:szCs w:val="15"/>
                <w:color w:val="auto"/>
              </w:rPr>
              <w:t>7,674</w:t>
            </w:r>
          </w:p>
        </w:tc>
        <w:tc>
          <w:tcPr>
            <w:tcW w:w="1200" w:type="dxa"/>
            <w:vAlign w:val="bottom"/>
            <w:shd w:val="clear" w:color="auto" w:fill="D1DDE6"/>
          </w:tcPr>
          <w:p>
            <w:pPr>
              <w:jc w:val="center"/>
              <w:ind w:left="3"/>
              <w:spacing w:after="0"/>
              <w:rPr>
                <w:sz w:val="20"/>
                <w:szCs w:val="20"/>
                <w:color w:val="auto"/>
              </w:rPr>
            </w:pPr>
            <w:r>
              <w:rPr>
                <w:rFonts w:ascii="Arial" w:cs="Arial" w:eastAsia="Arial" w:hAnsi="Arial"/>
                <w:sz w:val="15"/>
                <w:szCs w:val="15"/>
                <w:color w:val="auto"/>
              </w:rPr>
              <w:t>7,674</w:t>
            </w:r>
          </w:p>
        </w:tc>
        <w:tc>
          <w:tcPr>
            <w:tcW w:w="620" w:type="dxa"/>
            <w:vAlign w:val="bottom"/>
            <w:shd w:val="clear" w:color="auto" w:fill="D1DDE6"/>
          </w:tcPr>
          <w:p>
            <w:pPr>
              <w:spacing w:after="0"/>
              <w:rPr>
                <w:sz w:val="23"/>
                <w:szCs w:val="23"/>
                <w:color w:val="auto"/>
              </w:rPr>
            </w:pPr>
          </w:p>
        </w:tc>
      </w:tr>
      <w:tr>
        <w:trPr>
          <w:trHeight w:val="247"/>
        </w:trPr>
        <w:tc>
          <w:tcPr>
            <w:tcW w:w="4980" w:type="dxa"/>
            <w:vAlign w:val="bottom"/>
          </w:tcPr>
          <w:p>
            <w:pPr>
              <w:ind w:left="360"/>
              <w:spacing w:after="0"/>
              <w:rPr>
                <w:sz w:val="20"/>
                <w:szCs w:val="20"/>
                <w:color w:val="auto"/>
              </w:rPr>
            </w:pPr>
            <w:r>
              <w:rPr>
                <w:rFonts w:ascii="Arial" w:cs="Arial" w:eastAsia="Arial" w:hAnsi="Arial"/>
                <w:sz w:val="15"/>
                <w:szCs w:val="15"/>
                <w:color w:val="auto"/>
              </w:rPr>
              <w:t>Thomas M. Schoewe</w:t>
            </w:r>
          </w:p>
        </w:tc>
        <w:tc>
          <w:tcPr>
            <w:tcW w:w="2180" w:type="dxa"/>
            <w:vAlign w:val="bottom"/>
          </w:tcPr>
          <w:p>
            <w:pPr>
              <w:jc w:val="center"/>
              <w:ind w:left="283"/>
              <w:spacing w:after="0"/>
              <w:rPr>
                <w:sz w:val="20"/>
                <w:szCs w:val="20"/>
                <w:color w:val="auto"/>
              </w:rPr>
            </w:pPr>
            <w:r>
              <w:rPr>
                <w:rFonts w:ascii="Arial" w:cs="Arial" w:eastAsia="Arial" w:hAnsi="Arial"/>
                <w:sz w:val="15"/>
                <w:szCs w:val="15"/>
                <w:color w:val="auto"/>
              </w:rPr>
              <w:t>3,160</w:t>
            </w:r>
          </w:p>
        </w:tc>
        <w:tc>
          <w:tcPr>
            <w:tcW w:w="580" w:type="dxa"/>
            <w:vAlign w:val="bottom"/>
          </w:tcPr>
          <w:p>
            <w:pPr>
              <w:spacing w:after="0"/>
              <w:rPr>
                <w:sz w:val="21"/>
                <w:szCs w:val="21"/>
                <w:color w:val="auto"/>
              </w:rPr>
            </w:pPr>
          </w:p>
        </w:tc>
        <w:tc>
          <w:tcPr>
            <w:tcW w:w="1680" w:type="dxa"/>
            <w:vAlign w:val="bottom"/>
          </w:tcPr>
          <w:p>
            <w:pPr>
              <w:jc w:val="center"/>
              <w:ind w:right="63"/>
              <w:spacing w:after="0"/>
              <w:rPr>
                <w:sz w:val="20"/>
                <w:szCs w:val="20"/>
                <w:color w:val="auto"/>
              </w:rPr>
            </w:pPr>
            <w:r>
              <w:rPr>
                <w:rFonts w:ascii="Arial" w:cs="Arial" w:eastAsia="Arial" w:hAnsi="Arial"/>
                <w:sz w:val="15"/>
                <w:szCs w:val="15"/>
                <w:color w:val="auto"/>
              </w:rPr>
              <w:t>8,894</w:t>
            </w:r>
          </w:p>
        </w:tc>
        <w:tc>
          <w:tcPr>
            <w:tcW w:w="1200" w:type="dxa"/>
            <w:vAlign w:val="bottom"/>
          </w:tcPr>
          <w:p>
            <w:pPr>
              <w:jc w:val="center"/>
              <w:ind w:left="3"/>
              <w:spacing w:after="0"/>
              <w:rPr>
                <w:sz w:val="20"/>
                <w:szCs w:val="20"/>
                <w:color w:val="auto"/>
              </w:rPr>
            </w:pPr>
            <w:r>
              <w:rPr>
                <w:rFonts w:ascii="Arial" w:cs="Arial" w:eastAsia="Arial" w:hAnsi="Arial"/>
                <w:sz w:val="15"/>
                <w:szCs w:val="15"/>
                <w:color w:val="auto"/>
              </w:rPr>
              <w:t>12,054</w:t>
            </w:r>
          </w:p>
        </w:tc>
        <w:tc>
          <w:tcPr>
            <w:tcW w:w="620" w:type="dxa"/>
            <w:vAlign w:val="bottom"/>
          </w:tcPr>
          <w:p>
            <w:pPr>
              <w:spacing w:after="0"/>
              <w:rPr>
                <w:sz w:val="21"/>
                <w:szCs w:val="21"/>
                <w:color w:val="auto"/>
              </w:rPr>
            </w:pPr>
          </w:p>
        </w:tc>
      </w:tr>
      <w:tr>
        <w:trPr>
          <w:trHeight w:val="265"/>
        </w:trPr>
        <w:tc>
          <w:tcPr>
            <w:tcW w:w="4980" w:type="dxa"/>
            <w:vAlign w:val="bottom"/>
            <w:shd w:val="clear" w:color="auto" w:fill="D1DDE6"/>
          </w:tcPr>
          <w:p>
            <w:pPr>
              <w:ind w:left="360"/>
              <w:spacing w:after="0"/>
              <w:rPr>
                <w:sz w:val="20"/>
                <w:szCs w:val="20"/>
                <w:color w:val="auto"/>
              </w:rPr>
            </w:pPr>
            <w:r>
              <w:rPr>
                <w:rFonts w:ascii="Arial" w:cs="Arial" w:eastAsia="Arial" w:hAnsi="Arial"/>
                <w:sz w:val="15"/>
                <w:szCs w:val="15"/>
                <w:color w:val="auto"/>
              </w:rPr>
              <w:t>James S. Turley</w:t>
            </w:r>
          </w:p>
        </w:tc>
        <w:tc>
          <w:tcPr>
            <w:tcW w:w="2180" w:type="dxa"/>
            <w:vAlign w:val="bottom"/>
            <w:shd w:val="clear" w:color="auto" w:fill="D1DDE6"/>
          </w:tcPr>
          <w:p>
            <w:pPr>
              <w:jc w:val="center"/>
              <w:ind w:left="283"/>
              <w:spacing w:after="0"/>
              <w:rPr>
                <w:sz w:val="20"/>
                <w:szCs w:val="20"/>
                <w:color w:val="auto"/>
              </w:rPr>
            </w:pPr>
            <w:r>
              <w:rPr>
                <w:rFonts w:ascii="Arial" w:cs="Arial" w:eastAsia="Arial" w:hAnsi="Arial"/>
                <w:sz w:val="15"/>
                <w:szCs w:val="15"/>
                <w:color w:val="auto"/>
                <w:w w:val="93"/>
              </w:rPr>
              <w:t>—</w:t>
            </w:r>
          </w:p>
        </w:tc>
        <w:tc>
          <w:tcPr>
            <w:tcW w:w="580" w:type="dxa"/>
            <w:vAlign w:val="bottom"/>
            <w:shd w:val="clear" w:color="auto" w:fill="D1DDE6"/>
          </w:tcPr>
          <w:p>
            <w:pPr>
              <w:spacing w:after="0"/>
              <w:rPr>
                <w:sz w:val="23"/>
                <w:szCs w:val="23"/>
                <w:color w:val="auto"/>
              </w:rPr>
            </w:pPr>
          </w:p>
        </w:tc>
        <w:tc>
          <w:tcPr>
            <w:tcW w:w="1680" w:type="dxa"/>
            <w:vAlign w:val="bottom"/>
            <w:shd w:val="clear" w:color="auto" w:fill="D1DDE6"/>
          </w:tcPr>
          <w:p>
            <w:pPr>
              <w:jc w:val="center"/>
              <w:ind w:right="63"/>
              <w:spacing w:after="0"/>
              <w:rPr>
                <w:sz w:val="20"/>
                <w:szCs w:val="20"/>
                <w:color w:val="auto"/>
              </w:rPr>
            </w:pPr>
            <w:r>
              <w:rPr>
                <w:rFonts w:ascii="Arial" w:cs="Arial" w:eastAsia="Arial" w:hAnsi="Arial"/>
                <w:sz w:val="15"/>
                <w:szCs w:val="15"/>
                <w:color w:val="auto"/>
              </w:rPr>
              <w:t>2,855</w:t>
            </w:r>
          </w:p>
        </w:tc>
        <w:tc>
          <w:tcPr>
            <w:tcW w:w="1200" w:type="dxa"/>
            <w:vAlign w:val="bottom"/>
            <w:shd w:val="clear" w:color="auto" w:fill="D1DDE6"/>
          </w:tcPr>
          <w:p>
            <w:pPr>
              <w:jc w:val="center"/>
              <w:ind w:left="3"/>
              <w:spacing w:after="0"/>
              <w:rPr>
                <w:sz w:val="20"/>
                <w:szCs w:val="20"/>
                <w:color w:val="auto"/>
              </w:rPr>
            </w:pPr>
            <w:r>
              <w:rPr>
                <w:rFonts w:ascii="Arial" w:cs="Arial" w:eastAsia="Arial" w:hAnsi="Arial"/>
                <w:sz w:val="15"/>
                <w:szCs w:val="15"/>
                <w:color w:val="auto"/>
              </w:rPr>
              <w:t>2,855</w:t>
            </w:r>
          </w:p>
        </w:tc>
        <w:tc>
          <w:tcPr>
            <w:tcW w:w="620" w:type="dxa"/>
            <w:vAlign w:val="bottom"/>
            <w:shd w:val="clear" w:color="auto" w:fill="D1DDE6"/>
          </w:tcPr>
          <w:p>
            <w:pPr>
              <w:spacing w:after="0"/>
              <w:rPr>
                <w:sz w:val="23"/>
                <w:szCs w:val="23"/>
                <w:color w:val="auto"/>
              </w:rPr>
            </w:pPr>
          </w:p>
        </w:tc>
      </w:tr>
      <w:tr>
        <w:trPr>
          <w:trHeight w:val="249"/>
        </w:trPr>
        <w:tc>
          <w:tcPr>
            <w:tcW w:w="4980" w:type="dxa"/>
            <w:vAlign w:val="bottom"/>
            <w:tcBorders>
              <w:bottom w:val="single" w:sz="8" w:color="34657F"/>
            </w:tcBorders>
          </w:tcPr>
          <w:p>
            <w:pPr>
              <w:ind w:left="360"/>
              <w:spacing w:after="0"/>
              <w:rPr>
                <w:sz w:val="20"/>
                <w:szCs w:val="20"/>
                <w:color w:val="auto"/>
              </w:rPr>
            </w:pPr>
            <w:r>
              <w:rPr>
                <w:rFonts w:ascii="Arial" w:cs="Arial" w:eastAsia="Arial" w:hAnsi="Arial"/>
                <w:sz w:val="15"/>
                <w:szCs w:val="15"/>
                <w:color w:val="auto"/>
              </w:rPr>
              <w:t>Mark A. Welsh III</w:t>
            </w:r>
          </w:p>
        </w:tc>
        <w:tc>
          <w:tcPr>
            <w:tcW w:w="2180" w:type="dxa"/>
            <w:vAlign w:val="bottom"/>
            <w:tcBorders>
              <w:bottom w:val="single" w:sz="8" w:color="34657F"/>
            </w:tcBorders>
          </w:tcPr>
          <w:p>
            <w:pPr>
              <w:jc w:val="center"/>
              <w:ind w:left="283"/>
              <w:spacing w:after="0"/>
              <w:rPr>
                <w:sz w:val="20"/>
                <w:szCs w:val="20"/>
                <w:color w:val="auto"/>
              </w:rPr>
            </w:pPr>
            <w:r>
              <w:rPr>
                <w:rFonts w:ascii="Arial" w:cs="Arial" w:eastAsia="Arial" w:hAnsi="Arial"/>
                <w:sz w:val="15"/>
                <w:szCs w:val="15"/>
                <w:color w:val="auto"/>
                <w:w w:val="93"/>
              </w:rPr>
              <w:t>—</w:t>
            </w:r>
          </w:p>
        </w:tc>
        <w:tc>
          <w:tcPr>
            <w:tcW w:w="580" w:type="dxa"/>
            <w:vAlign w:val="bottom"/>
            <w:tcBorders>
              <w:bottom w:val="single" w:sz="8" w:color="34657F"/>
            </w:tcBorders>
          </w:tcPr>
          <w:p>
            <w:pPr>
              <w:spacing w:after="0"/>
              <w:rPr>
                <w:sz w:val="21"/>
                <w:szCs w:val="21"/>
                <w:color w:val="auto"/>
              </w:rPr>
            </w:pPr>
          </w:p>
        </w:tc>
        <w:tc>
          <w:tcPr>
            <w:tcW w:w="1680" w:type="dxa"/>
            <w:vAlign w:val="bottom"/>
            <w:tcBorders>
              <w:bottom w:val="single" w:sz="8" w:color="34657F"/>
            </w:tcBorders>
          </w:tcPr>
          <w:p>
            <w:pPr>
              <w:jc w:val="center"/>
              <w:ind w:right="63"/>
              <w:spacing w:after="0"/>
              <w:rPr>
                <w:sz w:val="20"/>
                <w:szCs w:val="20"/>
                <w:color w:val="auto"/>
              </w:rPr>
            </w:pPr>
            <w:r>
              <w:rPr>
                <w:rFonts w:ascii="Arial" w:cs="Arial" w:eastAsia="Arial" w:hAnsi="Arial"/>
                <w:sz w:val="15"/>
                <w:szCs w:val="15"/>
                <w:color w:val="auto"/>
              </w:rPr>
              <w:t>1,397</w:t>
            </w:r>
          </w:p>
        </w:tc>
        <w:tc>
          <w:tcPr>
            <w:tcW w:w="1200" w:type="dxa"/>
            <w:vAlign w:val="bottom"/>
            <w:tcBorders>
              <w:bottom w:val="single" w:sz="8" w:color="34657F"/>
            </w:tcBorders>
          </w:tcPr>
          <w:p>
            <w:pPr>
              <w:jc w:val="center"/>
              <w:ind w:left="3"/>
              <w:spacing w:after="0"/>
              <w:rPr>
                <w:sz w:val="20"/>
                <w:szCs w:val="20"/>
                <w:color w:val="auto"/>
              </w:rPr>
            </w:pPr>
            <w:r>
              <w:rPr>
                <w:rFonts w:ascii="Arial" w:cs="Arial" w:eastAsia="Arial" w:hAnsi="Arial"/>
                <w:sz w:val="15"/>
                <w:szCs w:val="15"/>
                <w:color w:val="auto"/>
              </w:rPr>
              <w:t>1,397</w:t>
            </w:r>
          </w:p>
        </w:tc>
        <w:tc>
          <w:tcPr>
            <w:tcW w:w="620" w:type="dxa"/>
            <w:vAlign w:val="bottom"/>
            <w:tcBorders>
              <w:bottom w:val="single" w:sz="8" w:color="34657F"/>
            </w:tcBorders>
          </w:tcPr>
          <w:p>
            <w:pPr>
              <w:spacing w:after="0"/>
              <w:rPr>
                <w:sz w:val="21"/>
                <w:szCs w:val="21"/>
                <w:color w:val="auto"/>
              </w:rPr>
            </w:pPr>
          </w:p>
        </w:tc>
      </w:tr>
      <w:tr>
        <w:trPr>
          <w:trHeight w:val="236"/>
        </w:trPr>
        <w:tc>
          <w:tcPr>
            <w:tcW w:w="4980" w:type="dxa"/>
            <w:vAlign w:val="bottom"/>
            <w:tcBorders>
              <w:bottom w:val="single" w:sz="8" w:color="D1DDE6"/>
            </w:tcBorders>
            <w:shd w:val="clear" w:color="auto" w:fill="D1DDE6"/>
          </w:tcPr>
          <w:p>
            <w:pPr>
              <w:ind w:left="20"/>
              <w:spacing w:after="0"/>
              <w:rPr>
                <w:sz w:val="20"/>
                <w:szCs w:val="20"/>
                <w:color w:val="auto"/>
              </w:rPr>
            </w:pPr>
            <w:r>
              <w:rPr>
                <w:rFonts w:ascii="Arial" w:cs="Arial" w:eastAsia="Arial" w:hAnsi="Arial"/>
                <w:sz w:val="15"/>
                <w:szCs w:val="15"/>
                <w:b w:val="1"/>
                <w:bCs w:val="1"/>
                <w:color w:val="auto"/>
              </w:rPr>
              <w:t>Named Executive Officers</w:t>
            </w:r>
          </w:p>
        </w:tc>
        <w:tc>
          <w:tcPr>
            <w:tcW w:w="2180" w:type="dxa"/>
            <w:vAlign w:val="bottom"/>
            <w:tcBorders>
              <w:bottom w:val="single" w:sz="8" w:color="D1DDE6"/>
            </w:tcBorders>
            <w:shd w:val="clear" w:color="auto" w:fill="D1DDE6"/>
          </w:tcPr>
          <w:p>
            <w:pPr>
              <w:spacing w:after="0"/>
              <w:rPr>
                <w:sz w:val="20"/>
                <w:szCs w:val="20"/>
                <w:color w:val="auto"/>
              </w:rPr>
            </w:pPr>
          </w:p>
        </w:tc>
        <w:tc>
          <w:tcPr>
            <w:tcW w:w="580" w:type="dxa"/>
            <w:vAlign w:val="bottom"/>
            <w:tcBorders>
              <w:bottom w:val="single" w:sz="8" w:color="D1DDE6"/>
            </w:tcBorders>
            <w:shd w:val="clear" w:color="auto" w:fill="D1DDE6"/>
          </w:tcPr>
          <w:p>
            <w:pPr>
              <w:spacing w:after="0"/>
              <w:rPr>
                <w:sz w:val="20"/>
                <w:szCs w:val="20"/>
                <w:color w:val="auto"/>
              </w:rPr>
            </w:pPr>
          </w:p>
        </w:tc>
        <w:tc>
          <w:tcPr>
            <w:tcW w:w="1680" w:type="dxa"/>
            <w:vAlign w:val="bottom"/>
            <w:tcBorders>
              <w:bottom w:val="single" w:sz="8" w:color="D1DDE6"/>
            </w:tcBorders>
            <w:shd w:val="clear" w:color="auto" w:fill="D1DDE6"/>
          </w:tcPr>
          <w:p>
            <w:pPr>
              <w:spacing w:after="0"/>
              <w:rPr>
                <w:sz w:val="20"/>
                <w:szCs w:val="20"/>
                <w:color w:val="auto"/>
              </w:rPr>
            </w:pPr>
          </w:p>
        </w:tc>
        <w:tc>
          <w:tcPr>
            <w:tcW w:w="1200" w:type="dxa"/>
            <w:vAlign w:val="bottom"/>
            <w:tcBorders>
              <w:bottom w:val="single" w:sz="8" w:color="D1DDE6"/>
            </w:tcBorders>
            <w:shd w:val="clear" w:color="auto" w:fill="D1DDE6"/>
          </w:tcPr>
          <w:p>
            <w:pPr>
              <w:spacing w:after="0"/>
              <w:rPr>
                <w:sz w:val="20"/>
                <w:szCs w:val="20"/>
                <w:color w:val="auto"/>
              </w:rPr>
            </w:pPr>
          </w:p>
        </w:tc>
        <w:tc>
          <w:tcPr>
            <w:tcW w:w="620" w:type="dxa"/>
            <w:vAlign w:val="bottom"/>
            <w:tcBorders>
              <w:bottom w:val="single" w:sz="8" w:color="D1DDE6"/>
            </w:tcBorders>
            <w:shd w:val="clear" w:color="auto" w:fill="D1DDE6"/>
          </w:tcPr>
          <w:p>
            <w:pPr>
              <w:spacing w:after="0"/>
              <w:rPr>
                <w:sz w:val="20"/>
                <w:szCs w:val="20"/>
                <w:color w:val="auto"/>
              </w:rPr>
            </w:pPr>
          </w:p>
        </w:tc>
      </w:tr>
      <w:tr>
        <w:trPr>
          <w:trHeight w:val="247"/>
        </w:trPr>
        <w:tc>
          <w:tcPr>
            <w:tcW w:w="4980" w:type="dxa"/>
            <w:vAlign w:val="bottom"/>
          </w:tcPr>
          <w:p>
            <w:pPr>
              <w:ind w:left="360"/>
              <w:spacing w:after="0"/>
              <w:rPr>
                <w:sz w:val="20"/>
                <w:szCs w:val="20"/>
                <w:color w:val="auto"/>
              </w:rPr>
            </w:pPr>
            <w:r>
              <w:rPr>
                <w:rFonts w:ascii="Arial" w:cs="Arial" w:eastAsia="Arial" w:hAnsi="Arial"/>
                <w:sz w:val="15"/>
                <w:szCs w:val="15"/>
                <w:color w:val="auto"/>
              </w:rPr>
              <w:t>Wesley G. Bush (2)</w:t>
            </w:r>
          </w:p>
        </w:tc>
        <w:tc>
          <w:tcPr>
            <w:tcW w:w="2180" w:type="dxa"/>
            <w:vAlign w:val="bottom"/>
          </w:tcPr>
          <w:p>
            <w:pPr>
              <w:jc w:val="center"/>
              <w:ind w:left="303"/>
              <w:spacing w:after="0"/>
              <w:rPr>
                <w:sz w:val="20"/>
                <w:szCs w:val="20"/>
                <w:color w:val="auto"/>
              </w:rPr>
            </w:pPr>
            <w:r>
              <w:rPr>
                <w:rFonts w:ascii="Arial" w:cs="Arial" w:eastAsia="Arial" w:hAnsi="Arial"/>
                <w:sz w:val="15"/>
                <w:szCs w:val="15"/>
                <w:color w:val="auto"/>
              </w:rPr>
              <w:t>296,286</w:t>
            </w:r>
          </w:p>
        </w:tc>
        <w:tc>
          <w:tcPr>
            <w:tcW w:w="580" w:type="dxa"/>
            <w:vAlign w:val="bottom"/>
          </w:tcPr>
          <w:p>
            <w:pPr>
              <w:jc w:val="right"/>
              <w:ind w:right="123"/>
              <w:spacing w:after="0"/>
              <w:rPr>
                <w:sz w:val="20"/>
                <w:szCs w:val="20"/>
                <w:color w:val="auto"/>
              </w:rPr>
            </w:pPr>
            <w:r>
              <w:rPr>
                <w:rFonts w:ascii="Arial" w:cs="Arial" w:eastAsia="Arial" w:hAnsi="Arial"/>
                <w:sz w:val="15"/>
                <w:szCs w:val="15"/>
                <w:color w:val="auto"/>
              </w:rPr>
              <w:t>(3)</w:t>
            </w:r>
          </w:p>
        </w:tc>
        <w:tc>
          <w:tcPr>
            <w:tcW w:w="1680" w:type="dxa"/>
            <w:vAlign w:val="bottom"/>
          </w:tcPr>
          <w:p>
            <w:pPr>
              <w:jc w:val="center"/>
              <w:ind w:right="63"/>
              <w:spacing w:after="0"/>
              <w:rPr>
                <w:sz w:val="20"/>
                <w:szCs w:val="20"/>
                <w:color w:val="auto"/>
              </w:rPr>
            </w:pPr>
            <w:r>
              <w:rPr>
                <w:rFonts w:ascii="Arial" w:cs="Arial" w:eastAsia="Arial" w:hAnsi="Arial"/>
                <w:sz w:val="15"/>
                <w:szCs w:val="15"/>
                <w:color w:val="auto"/>
              </w:rPr>
              <w:t>5,661</w:t>
            </w:r>
          </w:p>
        </w:tc>
        <w:tc>
          <w:tcPr>
            <w:tcW w:w="1200" w:type="dxa"/>
            <w:vAlign w:val="bottom"/>
          </w:tcPr>
          <w:p>
            <w:pPr>
              <w:jc w:val="center"/>
              <w:ind w:left="3"/>
              <w:spacing w:after="0"/>
              <w:rPr>
                <w:sz w:val="20"/>
                <w:szCs w:val="20"/>
                <w:color w:val="auto"/>
              </w:rPr>
            </w:pPr>
            <w:r>
              <w:rPr>
                <w:rFonts w:ascii="Arial" w:cs="Arial" w:eastAsia="Arial" w:hAnsi="Arial"/>
                <w:sz w:val="15"/>
                <w:szCs w:val="15"/>
                <w:color w:val="auto"/>
              </w:rPr>
              <w:t>301,947</w:t>
            </w:r>
          </w:p>
        </w:tc>
        <w:tc>
          <w:tcPr>
            <w:tcW w:w="620" w:type="dxa"/>
            <w:vAlign w:val="bottom"/>
          </w:tcPr>
          <w:p>
            <w:pPr>
              <w:spacing w:after="0"/>
              <w:rPr>
                <w:sz w:val="21"/>
                <w:szCs w:val="21"/>
                <w:color w:val="auto"/>
              </w:rPr>
            </w:pPr>
          </w:p>
        </w:tc>
      </w:tr>
      <w:tr>
        <w:trPr>
          <w:trHeight w:val="265"/>
        </w:trPr>
        <w:tc>
          <w:tcPr>
            <w:tcW w:w="4980" w:type="dxa"/>
            <w:vAlign w:val="bottom"/>
            <w:shd w:val="clear" w:color="auto" w:fill="D1DDE6"/>
          </w:tcPr>
          <w:p>
            <w:pPr>
              <w:ind w:left="360"/>
              <w:spacing w:after="0"/>
              <w:rPr>
                <w:sz w:val="20"/>
                <w:szCs w:val="20"/>
                <w:color w:val="auto"/>
              </w:rPr>
            </w:pPr>
            <w:r>
              <w:rPr>
                <w:rFonts w:ascii="Arial" w:cs="Arial" w:eastAsia="Arial" w:hAnsi="Arial"/>
                <w:sz w:val="15"/>
                <w:szCs w:val="15"/>
                <w:color w:val="auto"/>
              </w:rPr>
              <w:t>Kathy J. Warden (4)</w:t>
            </w:r>
          </w:p>
        </w:tc>
        <w:tc>
          <w:tcPr>
            <w:tcW w:w="2180" w:type="dxa"/>
            <w:vAlign w:val="bottom"/>
            <w:shd w:val="clear" w:color="auto" w:fill="D1DDE6"/>
          </w:tcPr>
          <w:p>
            <w:pPr>
              <w:jc w:val="center"/>
              <w:ind w:left="283"/>
              <w:spacing w:after="0"/>
              <w:rPr>
                <w:sz w:val="20"/>
                <w:szCs w:val="20"/>
                <w:color w:val="auto"/>
              </w:rPr>
            </w:pPr>
            <w:r>
              <w:rPr>
                <w:rFonts w:ascii="Arial" w:cs="Arial" w:eastAsia="Arial" w:hAnsi="Arial"/>
                <w:sz w:val="15"/>
                <w:szCs w:val="15"/>
                <w:color w:val="auto"/>
              </w:rPr>
              <w:t>99,732</w:t>
            </w:r>
          </w:p>
        </w:tc>
        <w:tc>
          <w:tcPr>
            <w:tcW w:w="580" w:type="dxa"/>
            <w:vAlign w:val="bottom"/>
            <w:shd w:val="clear" w:color="auto" w:fill="D1DDE6"/>
          </w:tcPr>
          <w:p>
            <w:pPr>
              <w:spacing w:after="0"/>
              <w:rPr>
                <w:sz w:val="23"/>
                <w:szCs w:val="23"/>
                <w:color w:val="auto"/>
              </w:rPr>
            </w:pPr>
          </w:p>
        </w:tc>
        <w:tc>
          <w:tcPr>
            <w:tcW w:w="1680" w:type="dxa"/>
            <w:vAlign w:val="bottom"/>
            <w:shd w:val="clear" w:color="auto" w:fill="D1DDE6"/>
          </w:tcPr>
          <w:p>
            <w:pPr>
              <w:jc w:val="center"/>
              <w:ind w:right="63"/>
              <w:spacing w:after="0"/>
              <w:rPr>
                <w:sz w:val="20"/>
                <w:szCs w:val="20"/>
                <w:color w:val="auto"/>
              </w:rPr>
            </w:pPr>
            <w:r>
              <w:rPr>
                <w:rFonts w:ascii="Arial" w:cs="Arial" w:eastAsia="Arial" w:hAnsi="Arial"/>
                <w:sz w:val="15"/>
                <w:szCs w:val="15"/>
                <w:color w:val="auto"/>
                <w:w w:val="93"/>
              </w:rPr>
              <w:t>—</w:t>
            </w:r>
          </w:p>
        </w:tc>
        <w:tc>
          <w:tcPr>
            <w:tcW w:w="1200" w:type="dxa"/>
            <w:vAlign w:val="bottom"/>
            <w:shd w:val="clear" w:color="auto" w:fill="D1DDE6"/>
          </w:tcPr>
          <w:p>
            <w:pPr>
              <w:jc w:val="center"/>
              <w:ind w:left="3"/>
              <w:spacing w:after="0"/>
              <w:rPr>
                <w:sz w:val="20"/>
                <w:szCs w:val="20"/>
                <w:color w:val="auto"/>
              </w:rPr>
            </w:pPr>
            <w:r>
              <w:rPr>
                <w:rFonts w:ascii="Arial" w:cs="Arial" w:eastAsia="Arial" w:hAnsi="Arial"/>
                <w:sz w:val="15"/>
                <w:szCs w:val="15"/>
                <w:color w:val="auto"/>
              </w:rPr>
              <w:t>99,732</w:t>
            </w:r>
          </w:p>
        </w:tc>
        <w:tc>
          <w:tcPr>
            <w:tcW w:w="620" w:type="dxa"/>
            <w:vAlign w:val="bottom"/>
            <w:shd w:val="clear" w:color="auto" w:fill="D1DDE6"/>
          </w:tcPr>
          <w:p>
            <w:pPr>
              <w:spacing w:after="0"/>
              <w:rPr>
                <w:sz w:val="23"/>
                <w:szCs w:val="23"/>
                <w:color w:val="auto"/>
              </w:rPr>
            </w:pPr>
          </w:p>
        </w:tc>
      </w:tr>
      <w:tr>
        <w:trPr>
          <w:trHeight w:val="247"/>
        </w:trPr>
        <w:tc>
          <w:tcPr>
            <w:tcW w:w="4980" w:type="dxa"/>
            <w:vAlign w:val="bottom"/>
          </w:tcPr>
          <w:p>
            <w:pPr>
              <w:ind w:left="360"/>
              <w:spacing w:after="0"/>
              <w:rPr>
                <w:sz w:val="20"/>
                <w:szCs w:val="20"/>
                <w:color w:val="auto"/>
              </w:rPr>
            </w:pPr>
            <w:r>
              <w:rPr>
                <w:rFonts w:ascii="Arial" w:cs="Arial" w:eastAsia="Arial" w:hAnsi="Arial"/>
                <w:sz w:val="15"/>
                <w:szCs w:val="15"/>
                <w:color w:val="auto"/>
              </w:rPr>
              <w:t>Kenneth L. Bedingfield</w:t>
            </w:r>
          </w:p>
        </w:tc>
        <w:tc>
          <w:tcPr>
            <w:tcW w:w="2180" w:type="dxa"/>
            <w:vAlign w:val="bottom"/>
          </w:tcPr>
          <w:p>
            <w:pPr>
              <w:jc w:val="center"/>
              <w:ind w:left="283"/>
              <w:spacing w:after="0"/>
              <w:rPr>
                <w:sz w:val="20"/>
                <w:szCs w:val="20"/>
                <w:color w:val="auto"/>
              </w:rPr>
            </w:pPr>
            <w:r>
              <w:rPr>
                <w:rFonts w:ascii="Arial" w:cs="Arial" w:eastAsia="Arial" w:hAnsi="Arial"/>
                <w:sz w:val="15"/>
                <w:szCs w:val="15"/>
                <w:color w:val="auto"/>
              </w:rPr>
              <w:t>40,005</w:t>
            </w:r>
          </w:p>
        </w:tc>
        <w:tc>
          <w:tcPr>
            <w:tcW w:w="580" w:type="dxa"/>
            <w:vAlign w:val="bottom"/>
          </w:tcPr>
          <w:p>
            <w:pPr>
              <w:spacing w:after="0"/>
              <w:rPr>
                <w:sz w:val="21"/>
                <w:szCs w:val="21"/>
                <w:color w:val="auto"/>
              </w:rPr>
            </w:pPr>
          </w:p>
        </w:tc>
        <w:tc>
          <w:tcPr>
            <w:tcW w:w="1680" w:type="dxa"/>
            <w:vAlign w:val="bottom"/>
          </w:tcPr>
          <w:p>
            <w:pPr>
              <w:jc w:val="center"/>
              <w:ind w:right="63"/>
              <w:spacing w:after="0"/>
              <w:rPr>
                <w:sz w:val="20"/>
                <w:szCs w:val="20"/>
                <w:color w:val="auto"/>
              </w:rPr>
            </w:pPr>
            <w:r>
              <w:rPr>
                <w:rFonts w:ascii="Arial" w:cs="Arial" w:eastAsia="Arial" w:hAnsi="Arial"/>
                <w:sz w:val="15"/>
                <w:szCs w:val="15"/>
                <w:color w:val="auto"/>
                <w:w w:val="93"/>
              </w:rPr>
              <w:t>—</w:t>
            </w:r>
          </w:p>
        </w:tc>
        <w:tc>
          <w:tcPr>
            <w:tcW w:w="1200" w:type="dxa"/>
            <w:vAlign w:val="bottom"/>
          </w:tcPr>
          <w:p>
            <w:pPr>
              <w:jc w:val="center"/>
              <w:ind w:left="3"/>
              <w:spacing w:after="0"/>
              <w:rPr>
                <w:sz w:val="20"/>
                <w:szCs w:val="20"/>
                <w:color w:val="auto"/>
              </w:rPr>
            </w:pPr>
            <w:r>
              <w:rPr>
                <w:rFonts w:ascii="Arial" w:cs="Arial" w:eastAsia="Arial" w:hAnsi="Arial"/>
                <w:sz w:val="15"/>
                <w:szCs w:val="15"/>
                <w:color w:val="auto"/>
              </w:rPr>
              <w:t>40,005</w:t>
            </w:r>
          </w:p>
        </w:tc>
        <w:tc>
          <w:tcPr>
            <w:tcW w:w="620" w:type="dxa"/>
            <w:vAlign w:val="bottom"/>
          </w:tcPr>
          <w:p>
            <w:pPr>
              <w:spacing w:after="0"/>
              <w:rPr>
                <w:sz w:val="21"/>
                <w:szCs w:val="21"/>
                <w:color w:val="auto"/>
              </w:rPr>
            </w:pPr>
          </w:p>
        </w:tc>
      </w:tr>
      <w:tr>
        <w:trPr>
          <w:trHeight w:val="265"/>
        </w:trPr>
        <w:tc>
          <w:tcPr>
            <w:tcW w:w="4980" w:type="dxa"/>
            <w:vAlign w:val="bottom"/>
            <w:shd w:val="clear" w:color="auto" w:fill="D1DDE6"/>
          </w:tcPr>
          <w:p>
            <w:pPr>
              <w:ind w:left="360"/>
              <w:spacing w:after="0"/>
              <w:rPr>
                <w:sz w:val="20"/>
                <w:szCs w:val="20"/>
                <w:color w:val="auto"/>
              </w:rPr>
            </w:pPr>
            <w:r>
              <w:rPr>
                <w:rFonts w:ascii="Arial" w:cs="Arial" w:eastAsia="Arial" w:hAnsi="Arial"/>
                <w:sz w:val="15"/>
                <w:szCs w:val="15"/>
                <w:color w:val="auto"/>
              </w:rPr>
              <w:t>Mark A. Caylor</w:t>
            </w:r>
          </w:p>
        </w:tc>
        <w:tc>
          <w:tcPr>
            <w:tcW w:w="2180" w:type="dxa"/>
            <w:vAlign w:val="bottom"/>
            <w:shd w:val="clear" w:color="auto" w:fill="D1DDE6"/>
          </w:tcPr>
          <w:p>
            <w:pPr>
              <w:jc w:val="center"/>
              <w:ind w:left="283"/>
              <w:spacing w:after="0"/>
              <w:rPr>
                <w:sz w:val="20"/>
                <w:szCs w:val="20"/>
                <w:color w:val="auto"/>
              </w:rPr>
            </w:pPr>
            <w:r>
              <w:rPr>
                <w:rFonts w:ascii="Arial" w:cs="Arial" w:eastAsia="Arial" w:hAnsi="Arial"/>
                <w:sz w:val="15"/>
                <w:szCs w:val="15"/>
                <w:color w:val="auto"/>
              </w:rPr>
              <w:t>15,879</w:t>
            </w:r>
          </w:p>
        </w:tc>
        <w:tc>
          <w:tcPr>
            <w:tcW w:w="580" w:type="dxa"/>
            <w:vAlign w:val="bottom"/>
            <w:shd w:val="clear" w:color="auto" w:fill="D1DDE6"/>
          </w:tcPr>
          <w:p>
            <w:pPr>
              <w:spacing w:after="0"/>
              <w:rPr>
                <w:sz w:val="23"/>
                <w:szCs w:val="23"/>
                <w:color w:val="auto"/>
              </w:rPr>
            </w:pPr>
          </w:p>
        </w:tc>
        <w:tc>
          <w:tcPr>
            <w:tcW w:w="1680" w:type="dxa"/>
            <w:vAlign w:val="bottom"/>
            <w:shd w:val="clear" w:color="auto" w:fill="D1DDE6"/>
          </w:tcPr>
          <w:p>
            <w:pPr>
              <w:jc w:val="center"/>
              <w:ind w:right="63"/>
              <w:spacing w:after="0"/>
              <w:rPr>
                <w:sz w:val="20"/>
                <w:szCs w:val="20"/>
                <w:color w:val="auto"/>
              </w:rPr>
            </w:pPr>
            <w:r>
              <w:rPr>
                <w:rFonts w:ascii="Arial" w:cs="Arial" w:eastAsia="Arial" w:hAnsi="Arial"/>
                <w:sz w:val="15"/>
                <w:szCs w:val="15"/>
                <w:color w:val="auto"/>
              </w:rPr>
              <w:t>35</w:t>
            </w:r>
          </w:p>
        </w:tc>
        <w:tc>
          <w:tcPr>
            <w:tcW w:w="1200" w:type="dxa"/>
            <w:vAlign w:val="bottom"/>
            <w:shd w:val="clear" w:color="auto" w:fill="D1DDE6"/>
          </w:tcPr>
          <w:p>
            <w:pPr>
              <w:jc w:val="center"/>
              <w:ind w:left="3"/>
              <w:spacing w:after="0"/>
              <w:rPr>
                <w:sz w:val="20"/>
                <w:szCs w:val="20"/>
                <w:color w:val="auto"/>
              </w:rPr>
            </w:pPr>
            <w:r>
              <w:rPr>
                <w:rFonts w:ascii="Arial" w:cs="Arial" w:eastAsia="Arial" w:hAnsi="Arial"/>
                <w:sz w:val="15"/>
                <w:szCs w:val="15"/>
                <w:color w:val="auto"/>
              </w:rPr>
              <w:t>15,914</w:t>
            </w:r>
          </w:p>
        </w:tc>
        <w:tc>
          <w:tcPr>
            <w:tcW w:w="620" w:type="dxa"/>
            <w:vAlign w:val="bottom"/>
            <w:shd w:val="clear" w:color="auto" w:fill="D1DDE6"/>
          </w:tcPr>
          <w:p>
            <w:pPr>
              <w:spacing w:after="0"/>
              <w:rPr>
                <w:sz w:val="23"/>
                <w:szCs w:val="23"/>
                <w:color w:val="auto"/>
              </w:rPr>
            </w:pPr>
          </w:p>
        </w:tc>
      </w:tr>
      <w:tr>
        <w:trPr>
          <w:trHeight w:val="249"/>
        </w:trPr>
        <w:tc>
          <w:tcPr>
            <w:tcW w:w="4980" w:type="dxa"/>
            <w:vAlign w:val="bottom"/>
            <w:tcBorders>
              <w:bottom w:val="single" w:sz="8" w:color="34657F"/>
            </w:tcBorders>
          </w:tcPr>
          <w:p>
            <w:pPr>
              <w:ind w:left="360"/>
              <w:spacing w:after="0"/>
              <w:rPr>
                <w:sz w:val="20"/>
                <w:szCs w:val="20"/>
                <w:color w:val="auto"/>
              </w:rPr>
            </w:pPr>
            <w:r>
              <w:rPr>
                <w:rFonts w:ascii="Arial" w:cs="Arial" w:eastAsia="Arial" w:hAnsi="Arial"/>
                <w:sz w:val="15"/>
                <w:szCs w:val="15"/>
                <w:color w:val="auto"/>
              </w:rPr>
              <w:t>Blake L. Larson</w:t>
            </w:r>
          </w:p>
        </w:tc>
        <w:tc>
          <w:tcPr>
            <w:tcW w:w="2180" w:type="dxa"/>
            <w:vAlign w:val="bottom"/>
            <w:tcBorders>
              <w:bottom w:val="single" w:sz="8" w:color="34657F"/>
            </w:tcBorders>
          </w:tcPr>
          <w:p>
            <w:pPr>
              <w:jc w:val="center"/>
              <w:ind w:left="283"/>
              <w:spacing w:after="0"/>
              <w:rPr>
                <w:sz w:val="20"/>
                <w:szCs w:val="20"/>
                <w:color w:val="auto"/>
              </w:rPr>
            </w:pPr>
            <w:r>
              <w:rPr>
                <w:rFonts w:ascii="Arial" w:cs="Arial" w:eastAsia="Arial" w:hAnsi="Arial"/>
                <w:sz w:val="15"/>
                <w:szCs w:val="15"/>
                <w:color w:val="auto"/>
              </w:rPr>
              <w:t>3,596</w:t>
            </w:r>
          </w:p>
        </w:tc>
        <w:tc>
          <w:tcPr>
            <w:tcW w:w="580" w:type="dxa"/>
            <w:vAlign w:val="bottom"/>
            <w:tcBorders>
              <w:bottom w:val="single" w:sz="8" w:color="34657F"/>
            </w:tcBorders>
          </w:tcPr>
          <w:p>
            <w:pPr>
              <w:spacing w:after="0"/>
              <w:rPr>
                <w:sz w:val="21"/>
                <w:szCs w:val="21"/>
                <w:color w:val="auto"/>
              </w:rPr>
            </w:pPr>
          </w:p>
        </w:tc>
        <w:tc>
          <w:tcPr>
            <w:tcW w:w="1680" w:type="dxa"/>
            <w:vAlign w:val="bottom"/>
            <w:tcBorders>
              <w:bottom w:val="single" w:sz="8" w:color="34657F"/>
            </w:tcBorders>
          </w:tcPr>
          <w:p>
            <w:pPr>
              <w:jc w:val="center"/>
              <w:ind w:right="63"/>
              <w:spacing w:after="0"/>
              <w:rPr>
                <w:sz w:val="20"/>
                <w:szCs w:val="20"/>
                <w:color w:val="auto"/>
              </w:rPr>
            </w:pPr>
            <w:r>
              <w:rPr>
                <w:rFonts w:ascii="Arial" w:cs="Arial" w:eastAsia="Arial" w:hAnsi="Arial"/>
                <w:sz w:val="15"/>
                <w:szCs w:val="15"/>
                <w:color w:val="auto"/>
                <w:w w:val="93"/>
              </w:rPr>
              <w:t>—</w:t>
            </w:r>
          </w:p>
        </w:tc>
        <w:tc>
          <w:tcPr>
            <w:tcW w:w="1200" w:type="dxa"/>
            <w:vAlign w:val="bottom"/>
            <w:tcBorders>
              <w:bottom w:val="single" w:sz="8" w:color="34657F"/>
            </w:tcBorders>
          </w:tcPr>
          <w:p>
            <w:pPr>
              <w:jc w:val="center"/>
              <w:ind w:left="3"/>
              <w:spacing w:after="0"/>
              <w:rPr>
                <w:sz w:val="20"/>
                <w:szCs w:val="20"/>
                <w:color w:val="auto"/>
              </w:rPr>
            </w:pPr>
            <w:r>
              <w:rPr>
                <w:rFonts w:ascii="Arial" w:cs="Arial" w:eastAsia="Arial" w:hAnsi="Arial"/>
                <w:sz w:val="15"/>
                <w:szCs w:val="15"/>
                <w:color w:val="auto"/>
              </w:rPr>
              <w:t>3,596</w:t>
            </w:r>
          </w:p>
        </w:tc>
        <w:tc>
          <w:tcPr>
            <w:tcW w:w="620" w:type="dxa"/>
            <w:vAlign w:val="bottom"/>
            <w:tcBorders>
              <w:bottom w:val="single" w:sz="8" w:color="34657F"/>
            </w:tcBorders>
          </w:tcPr>
          <w:p>
            <w:pPr>
              <w:spacing w:after="0"/>
              <w:rPr>
                <w:sz w:val="21"/>
                <w:szCs w:val="21"/>
                <w:color w:val="auto"/>
              </w:rPr>
            </w:pPr>
          </w:p>
        </w:tc>
      </w:tr>
      <w:tr>
        <w:trPr>
          <w:trHeight w:val="249"/>
        </w:trPr>
        <w:tc>
          <w:tcPr>
            <w:tcW w:w="4980" w:type="dxa"/>
            <w:vAlign w:val="bottom"/>
            <w:tcBorders>
              <w:bottom w:val="single" w:sz="8" w:color="34657F"/>
            </w:tcBorders>
            <w:shd w:val="clear" w:color="auto" w:fill="D1DDE6"/>
          </w:tcPr>
          <w:p>
            <w:pPr>
              <w:ind w:left="20"/>
              <w:spacing w:after="0"/>
              <w:rPr>
                <w:sz w:val="20"/>
                <w:szCs w:val="20"/>
                <w:color w:val="auto"/>
              </w:rPr>
            </w:pPr>
            <w:r>
              <w:rPr>
                <w:rFonts w:ascii="Arial" w:cs="Arial" w:eastAsia="Arial" w:hAnsi="Arial"/>
                <w:sz w:val="15"/>
                <w:szCs w:val="15"/>
                <w:b w:val="1"/>
                <w:bCs w:val="1"/>
                <w:color w:val="auto"/>
              </w:rPr>
              <w:t>Other Executive Officers</w:t>
            </w:r>
          </w:p>
        </w:tc>
        <w:tc>
          <w:tcPr>
            <w:tcW w:w="2180" w:type="dxa"/>
            <w:vAlign w:val="bottom"/>
            <w:tcBorders>
              <w:bottom w:val="single" w:sz="8" w:color="34657F"/>
            </w:tcBorders>
            <w:shd w:val="clear" w:color="auto" w:fill="D1DDE6"/>
          </w:tcPr>
          <w:p>
            <w:pPr>
              <w:jc w:val="center"/>
              <w:ind w:left="303"/>
              <w:spacing w:after="0"/>
              <w:rPr>
                <w:sz w:val="20"/>
                <w:szCs w:val="20"/>
                <w:color w:val="auto"/>
              </w:rPr>
            </w:pPr>
            <w:r>
              <w:rPr>
                <w:rFonts w:ascii="Arial" w:cs="Arial" w:eastAsia="Arial" w:hAnsi="Arial"/>
                <w:sz w:val="15"/>
                <w:szCs w:val="15"/>
                <w:color w:val="auto"/>
              </w:rPr>
              <w:t>159,537</w:t>
            </w:r>
          </w:p>
        </w:tc>
        <w:tc>
          <w:tcPr>
            <w:tcW w:w="580" w:type="dxa"/>
            <w:vAlign w:val="bottom"/>
            <w:tcBorders>
              <w:bottom w:val="single" w:sz="8" w:color="34657F"/>
            </w:tcBorders>
            <w:shd w:val="clear" w:color="auto" w:fill="D1DDE6"/>
          </w:tcPr>
          <w:p>
            <w:pPr>
              <w:spacing w:after="0"/>
              <w:rPr>
                <w:sz w:val="21"/>
                <w:szCs w:val="21"/>
                <w:color w:val="auto"/>
              </w:rPr>
            </w:pPr>
          </w:p>
        </w:tc>
        <w:tc>
          <w:tcPr>
            <w:tcW w:w="1680" w:type="dxa"/>
            <w:vAlign w:val="bottom"/>
            <w:tcBorders>
              <w:bottom w:val="single" w:sz="8" w:color="34657F"/>
            </w:tcBorders>
            <w:shd w:val="clear" w:color="auto" w:fill="D1DDE6"/>
          </w:tcPr>
          <w:p>
            <w:pPr>
              <w:jc w:val="center"/>
              <w:ind w:right="63"/>
              <w:spacing w:after="0"/>
              <w:rPr>
                <w:sz w:val="20"/>
                <w:szCs w:val="20"/>
                <w:color w:val="auto"/>
              </w:rPr>
            </w:pPr>
            <w:r>
              <w:rPr>
                <w:rFonts w:ascii="Arial" w:cs="Arial" w:eastAsia="Arial" w:hAnsi="Arial"/>
                <w:sz w:val="15"/>
                <w:szCs w:val="15"/>
                <w:color w:val="auto"/>
              </w:rPr>
              <w:t>15,788</w:t>
            </w:r>
          </w:p>
        </w:tc>
        <w:tc>
          <w:tcPr>
            <w:tcW w:w="1200" w:type="dxa"/>
            <w:vAlign w:val="bottom"/>
            <w:tcBorders>
              <w:bottom w:val="single" w:sz="8" w:color="34657F"/>
            </w:tcBorders>
            <w:shd w:val="clear" w:color="auto" w:fill="D1DDE6"/>
          </w:tcPr>
          <w:p>
            <w:pPr>
              <w:jc w:val="center"/>
              <w:ind w:left="3"/>
              <w:spacing w:after="0"/>
              <w:rPr>
                <w:sz w:val="20"/>
                <w:szCs w:val="20"/>
                <w:color w:val="auto"/>
              </w:rPr>
            </w:pPr>
            <w:r>
              <w:rPr>
                <w:rFonts w:ascii="Arial" w:cs="Arial" w:eastAsia="Arial" w:hAnsi="Arial"/>
                <w:sz w:val="15"/>
                <w:szCs w:val="15"/>
                <w:color w:val="auto"/>
              </w:rPr>
              <w:t>175,325</w:t>
            </w:r>
          </w:p>
        </w:tc>
        <w:tc>
          <w:tcPr>
            <w:tcW w:w="620" w:type="dxa"/>
            <w:vAlign w:val="bottom"/>
            <w:tcBorders>
              <w:bottom w:val="single" w:sz="8" w:color="34657F"/>
            </w:tcBorders>
            <w:shd w:val="clear" w:color="auto" w:fill="D1DDE6"/>
          </w:tcPr>
          <w:p>
            <w:pPr>
              <w:spacing w:after="0"/>
              <w:rPr>
                <w:sz w:val="21"/>
                <w:szCs w:val="21"/>
                <w:color w:val="auto"/>
              </w:rPr>
            </w:pPr>
          </w:p>
        </w:tc>
      </w:tr>
      <w:tr>
        <w:trPr>
          <w:trHeight w:val="213"/>
        </w:trPr>
        <w:tc>
          <w:tcPr>
            <w:tcW w:w="4980" w:type="dxa"/>
            <w:vAlign w:val="bottom"/>
          </w:tcPr>
          <w:p>
            <w:pPr>
              <w:ind w:left="20"/>
              <w:spacing w:after="0"/>
              <w:rPr>
                <w:sz w:val="20"/>
                <w:szCs w:val="20"/>
                <w:color w:val="auto"/>
              </w:rPr>
            </w:pPr>
            <w:r>
              <w:rPr>
                <w:rFonts w:ascii="Arial" w:cs="Arial" w:eastAsia="Arial" w:hAnsi="Arial"/>
                <w:sz w:val="15"/>
                <w:szCs w:val="15"/>
                <w:b w:val="1"/>
                <w:bCs w:val="1"/>
                <w:color w:val="auto"/>
              </w:rPr>
              <w:t>All Directors and Executive Officers as a Group (27 persons)</w:t>
            </w:r>
          </w:p>
        </w:tc>
        <w:tc>
          <w:tcPr>
            <w:tcW w:w="2180" w:type="dxa"/>
            <w:vAlign w:val="bottom"/>
          </w:tcPr>
          <w:p>
            <w:pPr>
              <w:jc w:val="center"/>
              <w:ind w:left="303"/>
              <w:spacing w:after="0"/>
              <w:rPr>
                <w:sz w:val="20"/>
                <w:szCs w:val="20"/>
                <w:color w:val="auto"/>
              </w:rPr>
            </w:pPr>
            <w:r>
              <w:rPr>
                <w:rFonts w:ascii="Arial" w:cs="Arial" w:eastAsia="Arial" w:hAnsi="Arial"/>
                <w:sz w:val="15"/>
                <w:szCs w:val="15"/>
                <w:color w:val="auto"/>
              </w:rPr>
              <w:t>625,115</w:t>
            </w:r>
          </w:p>
        </w:tc>
        <w:tc>
          <w:tcPr>
            <w:tcW w:w="580" w:type="dxa"/>
            <w:vAlign w:val="bottom"/>
          </w:tcPr>
          <w:p>
            <w:pPr>
              <w:spacing w:after="0"/>
              <w:rPr>
                <w:sz w:val="18"/>
                <w:szCs w:val="18"/>
                <w:color w:val="auto"/>
              </w:rPr>
            </w:pPr>
          </w:p>
        </w:tc>
        <w:tc>
          <w:tcPr>
            <w:tcW w:w="1680" w:type="dxa"/>
            <w:vAlign w:val="bottom"/>
          </w:tcPr>
          <w:p>
            <w:pPr>
              <w:jc w:val="center"/>
              <w:ind w:right="63"/>
              <w:spacing w:after="0"/>
              <w:rPr>
                <w:sz w:val="20"/>
                <w:szCs w:val="20"/>
                <w:color w:val="auto"/>
              </w:rPr>
            </w:pPr>
            <w:r>
              <w:rPr>
                <w:rFonts w:ascii="Arial" w:cs="Arial" w:eastAsia="Arial" w:hAnsi="Arial"/>
                <w:sz w:val="15"/>
                <w:szCs w:val="15"/>
                <w:color w:val="auto"/>
                <w:w w:val="99"/>
              </w:rPr>
              <w:t>143,790</w:t>
            </w:r>
          </w:p>
        </w:tc>
        <w:tc>
          <w:tcPr>
            <w:tcW w:w="1200" w:type="dxa"/>
            <w:vAlign w:val="bottom"/>
          </w:tcPr>
          <w:p>
            <w:pPr>
              <w:jc w:val="center"/>
              <w:ind w:left="3"/>
              <w:spacing w:after="0"/>
              <w:rPr>
                <w:sz w:val="20"/>
                <w:szCs w:val="20"/>
                <w:color w:val="auto"/>
              </w:rPr>
            </w:pPr>
            <w:r>
              <w:rPr>
                <w:rFonts w:ascii="Arial" w:cs="Arial" w:eastAsia="Arial" w:hAnsi="Arial"/>
                <w:sz w:val="15"/>
                <w:szCs w:val="15"/>
                <w:color w:val="auto"/>
              </w:rPr>
              <w:t>768,905</w:t>
            </w:r>
          </w:p>
        </w:tc>
        <w:tc>
          <w:tcPr>
            <w:tcW w:w="620" w:type="dxa"/>
            <w:vAlign w:val="bottom"/>
          </w:tcPr>
          <w:p>
            <w:pPr>
              <w:jc w:val="right"/>
              <w:ind w:right="63"/>
              <w:spacing w:after="0"/>
              <w:rPr>
                <w:sz w:val="20"/>
                <w:szCs w:val="20"/>
                <w:color w:val="auto"/>
              </w:rPr>
            </w:pPr>
            <w:r>
              <w:rPr>
                <w:rFonts w:ascii="Arial" w:cs="Arial" w:eastAsia="Arial" w:hAnsi="Arial"/>
                <w:sz w:val="15"/>
                <w:szCs w:val="15"/>
                <w:color w:val="auto"/>
              </w:rPr>
              <w:t>(5)</w:t>
            </w:r>
          </w:p>
        </w:tc>
      </w:tr>
      <w:tr>
        <w:trPr>
          <w:trHeight w:val="44"/>
        </w:trPr>
        <w:tc>
          <w:tcPr>
            <w:tcW w:w="4980" w:type="dxa"/>
            <w:vAlign w:val="bottom"/>
            <w:tcBorders>
              <w:bottom w:val="single" w:sz="8" w:color="34657F"/>
            </w:tcBorders>
          </w:tcPr>
          <w:p>
            <w:pPr>
              <w:spacing w:after="0"/>
              <w:rPr>
                <w:sz w:val="3"/>
                <w:szCs w:val="3"/>
                <w:color w:val="auto"/>
              </w:rPr>
            </w:pPr>
          </w:p>
        </w:tc>
        <w:tc>
          <w:tcPr>
            <w:tcW w:w="2180" w:type="dxa"/>
            <w:vAlign w:val="bottom"/>
            <w:tcBorders>
              <w:bottom w:val="single" w:sz="8" w:color="34657F"/>
            </w:tcBorders>
          </w:tcPr>
          <w:p>
            <w:pPr>
              <w:spacing w:after="0"/>
              <w:rPr>
                <w:sz w:val="3"/>
                <w:szCs w:val="3"/>
                <w:color w:val="auto"/>
              </w:rPr>
            </w:pPr>
          </w:p>
        </w:tc>
        <w:tc>
          <w:tcPr>
            <w:tcW w:w="580" w:type="dxa"/>
            <w:vAlign w:val="bottom"/>
            <w:tcBorders>
              <w:bottom w:val="single" w:sz="8" w:color="34657F"/>
            </w:tcBorders>
          </w:tcPr>
          <w:p>
            <w:pPr>
              <w:spacing w:after="0"/>
              <w:rPr>
                <w:sz w:val="3"/>
                <w:szCs w:val="3"/>
                <w:color w:val="auto"/>
              </w:rPr>
            </w:pPr>
          </w:p>
        </w:tc>
        <w:tc>
          <w:tcPr>
            <w:tcW w:w="1680" w:type="dxa"/>
            <w:vAlign w:val="bottom"/>
            <w:tcBorders>
              <w:bottom w:val="single" w:sz="8" w:color="34657F"/>
            </w:tcBorders>
          </w:tcPr>
          <w:p>
            <w:pPr>
              <w:spacing w:after="0"/>
              <w:rPr>
                <w:sz w:val="3"/>
                <w:szCs w:val="3"/>
                <w:color w:val="auto"/>
              </w:rPr>
            </w:pPr>
          </w:p>
        </w:tc>
        <w:tc>
          <w:tcPr>
            <w:tcW w:w="1200" w:type="dxa"/>
            <w:vAlign w:val="bottom"/>
            <w:tcBorders>
              <w:bottom w:val="single" w:sz="8" w:color="34657F"/>
            </w:tcBorders>
          </w:tcPr>
          <w:p>
            <w:pPr>
              <w:spacing w:after="0"/>
              <w:rPr>
                <w:sz w:val="3"/>
                <w:szCs w:val="3"/>
                <w:color w:val="auto"/>
              </w:rPr>
            </w:pPr>
          </w:p>
        </w:tc>
        <w:tc>
          <w:tcPr>
            <w:tcW w:w="620" w:type="dxa"/>
            <w:vAlign w:val="bottom"/>
            <w:tcBorders>
              <w:bottom w:val="single" w:sz="8" w:color="34657F"/>
            </w:tcBorders>
          </w:tcPr>
          <w:p>
            <w:pPr>
              <w:spacing w:after="0"/>
              <w:rPr>
                <w:sz w:val="3"/>
                <w:szCs w:val="3"/>
                <w:color w:val="auto"/>
              </w:rPr>
            </w:pPr>
          </w:p>
        </w:tc>
      </w:tr>
    </w:tbl>
    <w:p>
      <w:pPr>
        <w:spacing w:after="0" w:line="256" w:lineRule="exact"/>
        <w:rPr>
          <w:sz w:val="20"/>
          <w:szCs w:val="20"/>
          <w:color w:val="auto"/>
        </w:rPr>
      </w:pPr>
    </w:p>
    <w:p>
      <w:pPr>
        <w:ind w:left="380" w:right="20" w:hanging="377"/>
        <w:spacing w:after="0" w:line="255" w:lineRule="auto"/>
        <w:tabs>
          <w:tab w:leader="none" w:pos="3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Share equivalents for directors represent non-voting deferred stock units acquired under the 2011 Plan, some of which are paid out in shares of common stock at the conclusion of a director-specified deferral period, and others are paid out upon termination of the director's service on the Board. Certain of the NEOs hold share equivalents with pass-through voting rights in the Northrop Grumman Savings Plan or the Northrop Grumman Financial Security and Savings Program.</w:t>
      </w:r>
    </w:p>
    <w:p>
      <w:pPr>
        <w:spacing w:after="0" w:line="66" w:lineRule="exact"/>
        <w:rPr>
          <w:rFonts w:ascii="Arial" w:cs="Arial" w:eastAsia="Arial" w:hAnsi="Arial"/>
          <w:sz w:val="17"/>
          <w:szCs w:val="17"/>
          <w:color w:val="auto"/>
        </w:rPr>
      </w:pPr>
    </w:p>
    <w:p>
      <w:pPr>
        <w:ind w:left="380" w:right="140" w:hanging="377"/>
        <w:spacing w:after="0" w:line="263" w:lineRule="auto"/>
        <w:tabs>
          <w:tab w:leader="none" w:pos="3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On January 1, 2019, Wesley G. Bush was succeeded as Chief Executive Officer by Kathy J. Warden. Mr. Bush will remain an employee of the Company and continue to serve as Chairman of the Board until his retirement on July 31, 2019.</w:t>
      </w:r>
    </w:p>
    <w:p>
      <w:pPr>
        <w:spacing w:after="0" w:line="58" w:lineRule="exact"/>
        <w:rPr>
          <w:rFonts w:ascii="Arial" w:cs="Arial" w:eastAsia="Arial" w:hAnsi="Arial"/>
          <w:sz w:val="17"/>
          <w:szCs w:val="17"/>
          <w:color w:val="auto"/>
        </w:rPr>
      </w:pPr>
    </w:p>
    <w:p>
      <w:pPr>
        <w:ind w:left="380" w:hanging="377"/>
        <w:spacing w:after="0" w:line="263" w:lineRule="auto"/>
        <w:tabs>
          <w:tab w:leader="none" w:pos="3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Includes 207,161 shares held in the W.G. and N.F. Bush Family Trust, 20,036 shares held in the Bush Trust Number 4 Trust, and 19,089 shares held in the Wesley G. Bush Revocable Trust, each of which Mr. Bush and his wife serve as trustees.</w:t>
      </w:r>
    </w:p>
    <w:p>
      <w:pPr>
        <w:spacing w:after="0" w:line="58" w:lineRule="exact"/>
        <w:rPr>
          <w:rFonts w:ascii="Arial" w:cs="Arial" w:eastAsia="Arial" w:hAnsi="Arial"/>
          <w:sz w:val="17"/>
          <w:szCs w:val="17"/>
          <w:color w:val="auto"/>
        </w:rPr>
      </w:pPr>
    </w:p>
    <w:p>
      <w:pPr>
        <w:ind w:left="380" w:hanging="377"/>
        <w:spacing w:after="0"/>
        <w:tabs>
          <w:tab w:leader="none" w:pos="3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Ms. Warden also serves on the Company's Board of Directors.</w:t>
      </w:r>
    </w:p>
    <w:p>
      <w:pPr>
        <w:spacing w:after="0" w:line="86" w:lineRule="exact"/>
        <w:rPr>
          <w:rFonts w:ascii="Arial" w:cs="Arial" w:eastAsia="Arial" w:hAnsi="Arial"/>
          <w:sz w:val="17"/>
          <w:szCs w:val="17"/>
          <w:color w:val="auto"/>
        </w:rPr>
      </w:pPr>
    </w:p>
    <w:p>
      <w:pPr>
        <w:ind w:left="380" w:hanging="377"/>
        <w:spacing w:after="0"/>
        <w:tabs>
          <w:tab w:leader="none" w:pos="3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Total represents 0.45% of the outstanding common stock as of March 19, 2019.</w:t>
      </w:r>
    </w:p>
    <w:p>
      <w:pPr>
        <w:spacing w:after="0" w:line="330"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32 </w:t>
      </w:r>
      <w:r>
        <w:rPr>
          <w:rFonts w:ascii="Arial" w:cs="Arial" w:eastAsia="Arial" w:hAnsi="Arial"/>
          <w:sz w:val="13"/>
          <w:szCs w:val="13"/>
          <w:color w:val="auto"/>
        </w:rPr>
        <w:t>I</w:t>
      </w:r>
      <w:r>
        <w:rPr>
          <w:rFonts w:ascii="Arial" w:cs="Arial" w:eastAsia="Arial" w:hAnsi="Arial"/>
          <w:sz w:val="17"/>
          <w:szCs w:val="17"/>
          <w:color w:val="auto"/>
        </w:rPr>
        <w:t xml:space="preserve"> </w:t>
      </w:r>
      <w:r>
        <w:rPr>
          <w:rFonts w:ascii="Arial" w:cs="Arial" w:eastAsia="Arial" w:hAnsi="Arial"/>
          <w:sz w:val="13"/>
          <w:szCs w:val="13"/>
          <w:color w:val="34657F"/>
        </w:rPr>
        <w:t>NOTICE OF 2019 ANNUAL MEETING OF SHAREHOLDERS AND PROXY STATEMENT</w:t>
      </w:r>
    </w:p>
    <w:p>
      <w:pPr>
        <w:sectPr>
          <w:pgSz w:w="11900" w:h="16838" w:orient="portrait"/>
          <w:cols w:equalWidth="0" w:num="1">
            <w:col w:w="11240"/>
          </w:cols>
          <w:pgMar w:left="240" w:top="671" w:right="419" w:bottom="1440" w:gutter="0" w:footer="0" w:header="0"/>
        </w:sectPr>
      </w:pPr>
    </w:p>
    <w:bookmarkStart w:id="38" w:name="page39"/>
    <w:bookmarkEnd w:id="38"/>
    <w:p>
      <w:pPr>
        <w:ind w:left="20"/>
        <w:spacing w:after="0"/>
        <w:rPr>
          <w:sz w:val="20"/>
          <w:szCs w:val="20"/>
          <w:color w:val="auto"/>
        </w:rPr>
      </w:pPr>
      <w:r>
        <w:rPr>
          <w:rFonts w:ascii="Arial" w:cs="Arial" w:eastAsia="Arial" w:hAnsi="Arial"/>
          <w:sz w:val="21"/>
          <w:szCs w:val="21"/>
          <w:b w:val="1"/>
          <w:bCs w:val="1"/>
          <w:color w:val="FFFFFF"/>
          <w:shd w:val="clear" w:color="auto" w:fill="34657F"/>
        </w:rPr>
        <w:drawing>
          <wp:anchor simplePos="0" relativeHeight="251657728" behindDoc="1" locked="0" layoutInCell="0" allowOverlap="1">
            <wp:simplePos x="0" y="0"/>
            <wp:positionH relativeFrom="page">
              <wp:posOffset>154305</wp:posOffset>
            </wp:positionH>
            <wp:positionV relativeFrom="page">
              <wp:posOffset>365760</wp:posOffset>
            </wp:positionV>
            <wp:extent cx="7253605" cy="58610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53605" cy="586105"/>
                    </a:xfrm>
                    <a:prstGeom prst="rect">
                      <a:avLst/>
                    </a:prstGeom>
                    <a:noFill/>
                  </pic:spPr>
                </pic:pic>
              </a:graphicData>
            </a:graphic>
          </wp:anchor>
        </w:drawing>
        <w:t>EQUITY COMPENSATION PLAN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640"/>
        <w:spacing w:after="0" w:line="263" w:lineRule="auto"/>
        <w:rPr>
          <w:sz w:val="20"/>
          <w:szCs w:val="20"/>
          <w:color w:val="auto"/>
        </w:rPr>
      </w:pPr>
      <w:r>
        <w:rPr>
          <w:rFonts w:ascii="Arial" w:cs="Arial" w:eastAsia="Arial" w:hAnsi="Arial"/>
          <w:sz w:val="17"/>
          <w:szCs w:val="17"/>
          <w:color w:val="auto"/>
        </w:rPr>
        <w:t>We currently maintain two equity compensation plans: the 2011 Plan and the 1993 Stock Plan for Non-Employee Directors, as amended (1993 Directors Plan). Each of these plans has been approved by our shareholders.</w:t>
      </w:r>
    </w:p>
    <w:p>
      <w:pPr>
        <w:spacing w:after="0" w:line="59" w:lineRule="exact"/>
        <w:rPr>
          <w:sz w:val="20"/>
          <w:szCs w:val="20"/>
          <w:color w:val="auto"/>
        </w:rPr>
      </w:pPr>
    </w:p>
    <w:p>
      <w:pPr>
        <w:ind w:right="280"/>
        <w:spacing w:after="0" w:line="263" w:lineRule="auto"/>
        <w:rPr>
          <w:sz w:val="20"/>
          <w:szCs w:val="20"/>
          <w:color w:val="auto"/>
        </w:rPr>
      </w:pPr>
      <w:r>
        <w:rPr>
          <w:rFonts w:ascii="Arial" w:cs="Arial" w:eastAsia="Arial" w:hAnsi="Arial"/>
          <w:sz w:val="17"/>
          <w:szCs w:val="17"/>
          <w:color w:val="auto"/>
        </w:rPr>
        <w:t>The following table sets forth the number of shares of our common stock to be issued upon payout of outstanding awards and the number of shares remaining available for future award grants under these equity compensation plans as of December 31, 2018.</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420" w:type="dxa"/>
            <w:vAlign w:val="bottom"/>
            <w:shd w:val="clear" w:color="auto" w:fill="34657F"/>
          </w:tcPr>
          <w:p>
            <w:pPr>
              <w:spacing w:after="0"/>
              <w:rPr>
                <w:sz w:val="16"/>
                <w:szCs w:val="16"/>
                <w:color w:val="auto"/>
              </w:rPr>
            </w:pPr>
          </w:p>
        </w:tc>
        <w:tc>
          <w:tcPr>
            <w:tcW w:w="2680" w:type="dxa"/>
            <w:vAlign w:val="bottom"/>
            <w:shd w:val="clear" w:color="auto" w:fill="34657F"/>
          </w:tcPr>
          <w:p>
            <w:pPr>
              <w:spacing w:after="0"/>
              <w:rPr>
                <w:sz w:val="16"/>
                <w:szCs w:val="16"/>
                <w:color w:val="auto"/>
              </w:rPr>
            </w:pPr>
          </w:p>
        </w:tc>
        <w:tc>
          <w:tcPr>
            <w:tcW w:w="2200" w:type="dxa"/>
            <w:vAlign w:val="bottom"/>
            <w:shd w:val="clear" w:color="auto" w:fill="34657F"/>
          </w:tcPr>
          <w:p>
            <w:pPr>
              <w:spacing w:after="0"/>
              <w:rPr>
                <w:sz w:val="16"/>
                <w:szCs w:val="16"/>
                <w:color w:val="auto"/>
              </w:rPr>
            </w:pPr>
          </w:p>
        </w:tc>
        <w:tc>
          <w:tcPr>
            <w:tcW w:w="2660" w:type="dxa"/>
            <w:vAlign w:val="bottom"/>
            <w:shd w:val="clear" w:color="auto" w:fill="34657F"/>
          </w:tcPr>
          <w:p>
            <w:pPr>
              <w:jc w:val="center"/>
              <w:spacing w:after="0"/>
              <w:rPr>
                <w:sz w:val="20"/>
                <w:szCs w:val="20"/>
                <w:color w:val="auto"/>
              </w:rPr>
            </w:pPr>
            <w:r>
              <w:rPr>
                <w:rFonts w:ascii="Arial" w:cs="Arial" w:eastAsia="Arial" w:hAnsi="Arial"/>
                <w:sz w:val="15"/>
                <w:szCs w:val="15"/>
                <w:b w:val="1"/>
                <w:bCs w:val="1"/>
                <w:color w:val="FFFFFF"/>
              </w:rPr>
              <w:t>Number of shares of</w:t>
            </w:r>
          </w:p>
        </w:tc>
        <w:tc>
          <w:tcPr>
            <w:tcW w:w="460" w:type="dxa"/>
            <w:vAlign w:val="bottom"/>
            <w:shd w:val="clear" w:color="auto" w:fill="34657F"/>
          </w:tcPr>
          <w:p>
            <w:pPr>
              <w:spacing w:after="0"/>
              <w:rPr>
                <w:sz w:val="16"/>
                <w:szCs w:val="16"/>
                <w:color w:val="auto"/>
              </w:rPr>
            </w:pPr>
          </w:p>
        </w:tc>
      </w:tr>
      <w:tr>
        <w:trPr>
          <w:trHeight w:val="179"/>
        </w:trPr>
        <w:tc>
          <w:tcPr>
            <w:tcW w:w="3420" w:type="dxa"/>
            <w:vAlign w:val="bottom"/>
            <w:shd w:val="clear" w:color="auto" w:fill="34657F"/>
          </w:tcPr>
          <w:p>
            <w:pPr>
              <w:spacing w:after="0"/>
              <w:rPr>
                <w:sz w:val="15"/>
                <w:szCs w:val="15"/>
                <w:color w:val="auto"/>
              </w:rPr>
            </w:pPr>
          </w:p>
        </w:tc>
        <w:tc>
          <w:tcPr>
            <w:tcW w:w="2680" w:type="dxa"/>
            <w:vAlign w:val="bottom"/>
            <w:shd w:val="clear" w:color="auto" w:fill="34657F"/>
          </w:tcPr>
          <w:p>
            <w:pPr>
              <w:jc w:val="center"/>
              <w:ind w:left="23"/>
              <w:spacing w:after="0"/>
              <w:rPr>
                <w:sz w:val="20"/>
                <w:szCs w:val="20"/>
                <w:color w:val="auto"/>
              </w:rPr>
            </w:pPr>
            <w:r>
              <w:rPr>
                <w:rFonts w:ascii="Arial" w:cs="Arial" w:eastAsia="Arial" w:hAnsi="Arial"/>
                <w:sz w:val="15"/>
                <w:szCs w:val="15"/>
                <w:b w:val="1"/>
                <w:bCs w:val="1"/>
                <w:color w:val="FFFFFF"/>
              </w:rPr>
              <w:t>Number of shares of</w:t>
            </w:r>
          </w:p>
        </w:tc>
        <w:tc>
          <w:tcPr>
            <w:tcW w:w="2200" w:type="dxa"/>
            <w:vAlign w:val="bottom"/>
            <w:shd w:val="clear" w:color="auto" w:fill="34657F"/>
          </w:tcPr>
          <w:p>
            <w:pPr>
              <w:spacing w:after="0"/>
              <w:rPr>
                <w:sz w:val="15"/>
                <w:szCs w:val="15"/>
                <w:color w:val="auto"/>
              </w:rPr>
            </w:pPr>
          </w:p>
        </w:tc>
        <w:tc>
          <w:tcPr>
            <w:tcW w:w="2660" w:type="dxa"/>
            <w:vAlign w:val="bottom"/>
            <w:shd w:val="clear" w:color="auto" w:fill="34657F"/>
          </w:tcPr>
          <w:p>
            <w:pPr>
              <w:jc w:val="center"/>
              <w:ind w:left="3"/>
              <w:spacing w:after="0"/>
              <w:rPr>
                <w:sz w:val="20"/>
                <w:szCs w:val="20"/>
                <w:color w:val="auto"/>
              </w:rPr>
            </w:pPr>
            <w:r>
              <w:rPr>
                <w:rFonts w:ascii="Arial" w:cs="Arial" w:eastAsia="Arial" w:hAnsi="Arial"/>
                <w:sz w:val="15"/>
                <w:szCs w:val="15"/>
                <w:b w:val="1"/>
                <w:bCs w:val="1"/>
                <w:color w:val="FFFFFF"/>
              </w:rPr>
              <w:t>common stock</w:t>
            </w:r>
          </w:p>
        </w:tc>
        <w:tc>
          <w:tcPr>
            <w:tcW w:w="460" w:type="dxa"/>
            <w:vAlign w:val="bottom"/>
            <w:shd w:val="clear" w:color="auto" w:fill="34657F"/>
          </w:tcPr>
          <w:p>
            <w:pPr>
              <w:spacing w:after="0"/>
              <w:rPr>
                <w:sz w:val="15"/>
                <w:szCs w:val="15"/>
                <w:color w:val="auto"/>
              </w:rPr>
            </w:pPr>
          </w:p>
        </w:tc>
      </w:tr>
      <w:tr>
        <w:trPr>
          <w:trHeight w:val="179"/>
        </w:trPr>
        <w:tc>
          <w:tcPr>
            <w:tcW w:w="3420" w:type="dxa"/>
            <w:vAlign w:val="bottom"/>
            <w:shd w:val="clear" w:color="auto" w:fill="34657F"/>
          </w:tcPr>
          <w:p>
            <w:pPr>
              <w:spacing w:after="0"/>
              <w:rPr>
                <w:sz w:val="15"/>
                <w:szCs w:val="15"/>
                <w:color w:val="auto"/>
              </w:rPr>
            </w:pPr>
          </w:p>
        </w:tc>
        <w:tc>
          <w:tcPr>
            <w:tcW w:w="2680" w:type="dxa"/>
            <w:vAlign w:val="bottom"/>
            <w:shd w:val="clear" w:color="auto" w:fill="34657F"/>
          </w:tcPr>
          <w:p>
            <w:pPr>
              <w:jc w:val="center"/>
              <w:ind w:left="23"/>
              <w:spacing w:after="0"/>
              <w:rPr>
                <w:sz w:val="20"/>
                <w:szCs w:val="20"/>
                <w:color w:val="auto"/>
              </w:rPr>
            </w:pPr>
            <w:r>
              <w:rPr>
                <w:rFonts w:ascii="Arial" w:cs="Arial" w:eastAsia="Arial" w:hAnsi="Arial"/>
                <w:sz w:val="15"/>
                <w:szCs w:val="15"/>
                <w:b w:val="1"/>
                <w:bCs w:val="1"/>
                <w:color w:val="FFFFFF"/>
              </w:rPr>
              <w:t>common stock to be</w:t>
            </w:r>
          </w:p>
        </w:tc>
        <w:tc>
          <w:tcPr>
            <w:tcW w:w="2200" w:type="dxa"/>
            <w:vAlign w:val="bottom"/>
            <w:shd w:val="clear" w:color="auto" w:fill="34657F"/>
          </w:tcPr>
          <w:p>
            <w:pPr>
              <w:spacing w:after="0"/>
              <w:rPr>
                <w:sz w:val="15"/>
                <w:szCs w:val="15"/>
                <w:color w:val="auto"/>
              </w:rPr>
            </w:pPr>
          </w:p>
        </w:tc>
        <w:tc>
          <w:tcPr>
            <w:tcW w:w="2660" w:type="dxa"/>
            <w:vAlign w:val="bottom"/>
            <w:shd w:val="clear" w:color="auto" w:fill="34657F"/>
          </w:tcPr>
          <w:p>
            <w:pPr>
              <w:jc w:val="center"/>
              <w:ind w:left="3"/>
              <w:spacing w:after="0"/>
              <w:rPr>
                <w:sz w:val="20"/>
                <w:szCs w:val="20"/>
                <w:color w:val="auto"/>
              </w:rPr>
            </w:pPr>
            <w:r>
              <w:rPr>
                <w:rFonts w:ascii="Arial" w:cs="Arial" w:eastAsia="Arial" w:hAnsi="Arial"/>
                <w:sz w:val="15"/>
                <w:szCs w:val="15"/>
                <w:b w:val="1"/>
                <w:bCs w:val="1"/>
                <w:color w:val="FFFFFF"/>
              </w:rPr>
              <w:t>remaining available for future</w:t>
            </w:r>
          </w:p>
        </w:tc>
        <w:tc>
          <w:tcPr>
            <w:tcW w:w="460" w:type="dxa"/>
            <w:vAlign w:val="bottom"/>
            <w:shd w:val="clear" w:color="auto" w:fill="34657F"/>
          </w:tcPr>
          <w:p>
            <w:pPr>
              <w:spacing w:after="0"/>
              <w:rPr>
                <w:sz w:val="15"/>
                <w:szCs w:val="15"/>
                <w:color w:val="auto"/>
              </w:rPr>
            </w:pPr>
          </w:p>
        </w:tc>
      </w:tr>
      <w:tr>
        <w:trPr>
          <w:trHeight w:val="179"/>
        </w:trPr>
        <w:tc>
          <w:tcPr>
            <w:tcW w:w="3420" w:type="dxa"/>
            <w:vAlign w:val="bottom"/>
            <w:shd w:val="clear" w:color="auto" w:fill="34657F"/>
          </w:tcPr>
          <w:p>
            <w:pPr>
              <w:spacing w:after="0"/>
              <w:rPr>
                <w:sz w:val="15"/>
                <w:szCs w:val="15"/>
                <w:color w:val="auto"/>
              </w:rPr>
            </w:pPr>
          </w:p>
        </w:tc>
        <w:tc>
          <w:tcPr>
            <w:tcW w:w="2680" w:type="dxa"/>
            <w:vAlign w:val="bottom"/>
            <w:shd w:val="clear" w:color="auto" w:fill="34657F"/>
          </w:tcPr>
          <w:p>
            <w:pPr>
              <w:jc w:val="center"/>
              <w:ind w:left="43"/>
              <w:spacing w:after="0"/>
              <w:rPr>
                <w:sz w:val="20"/>
                <w:szCs w:val="20"/>
                <w:color w:val="auto"/>
              </w:rPr>
            </w:pPr>
            <w:r>
              <w:rPr>
                <w:rFonts w:ascii="Arial" w:cs="Arial" w:eastAsia="Arial" w:hAnsi="Arial"/>
                <w:sz w:val="15"/>
                <w:szCs w:val="15"/>
                <w:b w:val="1"/>
                <w:bCs w:val="1"/>
                <w:color w:val="FFFFFF"/>
              </w:rPr>
              <w:t>issued upon exercise</w:t>
            </w:r>
          </w:p>
        </w:tc>
        <w:tc>
          <w:tcPr>
            <w:tcW w:w="2200" w:type="dxa"/>
            <w:vAlign w:val="bottom"/>
            <w:shd w:val="clear" w:color="auto" w:fill="34657F"/>
          </w:tcPr>
          <w:p>
            <w:pPr>
              <w:spacing w:after="0"/>
              <w:rPr>
                <w:sz w:val="15"/>
                <w:szCs w:val="15"/>
                <w:color w:val="auto"/>
              </w:rPr>
            </w:pPr>
          </w:p>
        </w:tc>
        <w:tc>
          <w:tcPr>
            <w:tcW w:w="2660" w:type="dxa"/>
            <w:vAlign w:val="bottom"/>
            <w:shd w:val="clear" w:color="auto" w:fill="34657F"/>
          </w:tcPr>
          <w:p>
            <w:pPr>
              <w:jc w:val="center"/>
              <w:ind w:left="3"/>
              <w:spacing w:after="0"/>
              <w:rPr>
                <w:sz w:val="20"/>
                <w:szCs w:val="20"/>
                <w:color w:val="auto"/>
              </w:rPr>
            </w:pPr>
            <w:r>
              <w:rPr>
                <w:rFonts w:ascii="Arial" w:cs="Arial" w:eastAsia="Arial" w:hAnsi="Arial"/>
                <w:sz w:val="15"/>
                <w:szCs w:val="15"/>
                <w:b w:val="1"/>
                <w:bCs w:val="1"/>
                <w:color w:val="FFFFFF"/>
              </w:rPr>
              <w:t>issuance under equity</w:t>
            </w:r>
          </w:p>
        </w:tc>
        <w:tc>
          <w:tcPr>
            <w:tcW w:w="460" w:type="dxa"/>
            <w:vAlign w:val="bottom"/>
            <w:shd w:val="clear" w:color="auto" w:fill="34657F"/>
          </w:tcPr>
          <w:p>
            <w:pPr>
              <w:spacing w:after="0"/>
              <w:rPr>
                <w:sz w:val="15"/>
                <w:szCs w:val="15"/>
                <w:color w:val="auto"/>
              </w:rPr>
            </w:pPr>
          </w:p>
        </w:tc>
      </w:tr>
      <w:tr>
        <w:trPr>
          <w:trHeight w:val="179"/>
        </w:trPr>
        <w:tc>
          <w:tcPr>
            <w:tcW w:w="3420" w:type="dxa"/>
            <w:vAlign w:val="bottom"/>
            <w:shd w:val="clear" w:color="auto" w:fill="34657F"/>
          </w:tcPr>
          <w:p>
            <w:pPr>
              <w:spacing w:after="0"/>
              <w:rPr>
                <w:sz w:val="15"/>
                <w:szCs w:val="15"/>
                <w:color w:val="auto"/>
              </w:rPr>
            </w:pPr>
          </w:p>
        </w:tc>
        <w:tc>
          <w:tcPr>
            <w:tcW w:w="2680" w:type="dxa"/>
            <w:vAlign w:val="bottom"/>
            <w:shd w:val="clear" w:color="auto" w:fill="34657F"/>
          </w:tcPr>
          <w:p>
            <w:pPr>
              <w:jc w:val="center"/>
              <w:ind w:left="23"/>
              <w:spacing w:after="0"/>
              <w:rPr>
                <w:sz w:val="20"/>
                <w:szCs w:val="20"/>
                <w:color w:val="auto"/>
              </w:rPr>
            </w:pPr>
            <w:r>
              <w:rPr>
                <w:rFonts w:ascii="Arial" w:cs="Arial" w:eastAsia="Arial" w:hAnsi="Arial"/>
                <w:sz w:val="15"/>
                <w:szCs w:val="15"/>
                <w:b w:val="1"/>
                <w:bCs w:val="1"/>
                <w:color w:val="FFFFFF"/>
              </w:rPr>
              <w:t>of outstanding options and</w:t>
            </w:r>
          </w:p>
        </w:tc>
        <w:tc>
          <w:tcPr>
            <w:tcW w:w="2200" w:type="dxa"/>
            <w:vAlign w:val="bottom"/>
            <w:shd w:val="clear" w:color="auto" w:fill="34657F"/>
          </w:tcPr>
          <w:p>
            <w:pPr>
              <w:jc w:val="center"/>
              <w:spacing w:after="0"/>
              <w:rPr>
                <w:sz w:val="20"/>
                <w:szCs w:val="20"/>
                <w:color w:val="auto"/>
              </w:rPr>
            </w:pPr>
            <w:r>
              <w:rPr>
                <w:rFonts w:ascii="Arial" w:cs="Arial" w:eastAsia="Arial" w:hAnsi="Arial"/>
                <w:sz w:val="15"/>
                <w:szCs w:val="15"/>
                <w:b w:val="1"/>
                <w:bCs w:val="1"/>
                <w:color w:val="FFFFFF"/>
              </w:rPr>
              <w:t>Weighted-average</w:t>
            </w:r>
          </w:p>
        </w:tc>
        <w:tc>
          <w:tcPr>
            <w:tcW w:w="2660" w:type="dxa"/>
            <w:vAlign w:val="bottom"/>
            <w:shd w:val="clear" w:color="auto" w:fill="34657F"/>
          </w:tcPr>
          <w:p>
            <w:pPr>
              <w:jc w:val="center"/>
              <w:ind w:left="3"/>
              <w:spacing w:after="0"/>
              <w:rPr>
                <w:sz w:val="20"/>
                <w:szCs w:val="20"/>
                <w:color w:val="auto"/>
              </w:rPr>
            </w:pPr>
            <w:r>
              <w:rPr>
                <w:rFonts w:ascii="Arial" w:cs="Arial" w:eastAsia="Arial" w:hAnsi="Arial"/>
                <w:sz w:val="15"/>
                <w:szCs w:val="15"/>
                <w:b w:val="1"/>
                <w:bCs w:val="1"/>
                <w:color w:val="FFFFFF"/>
              </w:rPr>
              <w:t>compensation plans (excluding</w:t>
            </w:r>
          </w:p>
        </w:tc>
        <w:tc>
          <w:tcPr>
            <w:tcW w:w="460" w:type="dxa"/>
            <w:vAlign w:val="bottom"/>
            <w:shd w:val="clear" w:color="auto" w:fill="34657F"/>
          </w:tcPr>
          <w:p>
            <w:pPr>
              <w:spacing w:after="0"/>
              <w:rPr>
                <w:sz w:val="15"/>
                <w:szCs w:val="15"/>
                <w:color w:val="auto"/>
              </w:rPr>
            </w:pPr>
          </w:p>
        </w:tc>
      </w:tr>
      <w:tr>
        <w:trPr>
          <w:trHeight w:val="179"/>
        </w:trPr>
        <w:tc>
          <w:tcPr>
            <w:tcW w:w="3420" w:type="dxa"/>
            <w:vAlign w:val="bottom"/>
            <w:shd w:val="clear" w:color="auto" w:fill="34657F"/>
          </w:tcPr>
          <w:p>
            <w:pPr>
              <w:spacing w:after="0"/>
              <w:rPr>
                <w:sz w:val="15"/>
                <w:szCs w:val="15"/>
                <w:color w:val="auto"/>
              </w:rPr>
            </w:pPr>
          </w:p>
        </w:tc>
        <w:tc>
          <w:tcPr>
            <w:tcW w:w="2680" w:type="dxa"/>
            <w:vAlign w:val="bottom"/>
            <w:shd w:val="clear" w:color="auto" w:fill="34657F"/>
          </w:tcPr>
          <w:p>
            <w:pPr>
              <w:jc w:val="center"/>
              <w:ind w:left="23"/>
              <w:spacing w:after="0"/>
              <w:rPr>
                <w:sz w:val="20"/>
                <w:szCs w:val="20"/>
                <w:color w:val="auto"/>
              </w:rPr>
            </w:pPr>
            <w:r>
              <w:rPr>
                <w:rFonts w:ascii="Arial" w:cs="Arial" w:eastAsia="Arial" w:hAnsi="Arial"/>
                <w:sz w:val="15"/>
                <w:szCs w:val="15"/>
                <w:b w:val="1"/>
                <w:bCs w:val="1"/>
                <w:color w:val="FFFFFF"/>
              </w:rPr>
              <w:t>payout of outstanding</w:t>
            </w:r>
          </w:p>
        </w:tc>
        <w:tc>
          <w:tcPr>
            <w:tcW w:w="2200" w:type="dxa"/>
            <w:vAlign w:val="bottom"/>
            <w:shd w:val="clear" w:color="auto" w:fill="34657F"/>
          </w:tcPr>
          <w:p>
            <w:pPr>
              <w:jc w:val="center"/>
              <w:spacing w:after="0"/>
              <w:rPr>
                <w:sz w:val="20"/>
                <w:szCs w:val="20"/>
                <w:color w:val="auto"/>
              </w:rPr>
            </w:pPr>
            <w:r>
              <w:rPr>
                <w:rFonts w:ascii="Arial" w:cs="Arial" w:eastAsia="Arial" w:hAnsi="Arial"/>
                <w:sz w:val="15"/>
                <w:szCs w:val="15"/>
                <w:b w:val="1"/>
                <w:bCs w:val="1"/>
                <w:color w:val="FFFFFF"/>
              </w:rPr>
              <w:t>exercise price of</w:t>
            </w:r>
          </w:p>
        </w:tc>
        <w:tc>
          <w:tcPr>
            <w:tcW w:w="2660" w:type="dxa"/>
            <w:vAlign w:val="bottom"/>
            <w:shd w:val="clear" w:color="auto" w:fill="34657F"/>
          </w:tcPr>
          <w:p>
            <w:pPr>
              <w:jc w:val="center"/>
              <w:ind w:left="3"/>
              <w:spacing w:after="0"/>
              <w:rPr>
                <w:sz w:val="20"/>
                <w:szCs w:val="20"/>
                <w:color w:val="auto"/>
              </w:rPr>
            </w:pPr>
            <w:r>
              <w:rPr>
                <w:rFonts w:ascii="Arial" w:cs="Arial" w:eastAsia="Arial" w:hAnsi="Arial"/>
                <w:sz w:val="15"/>
                <w:szCs w:val="15"/>
                <w:b w:val="1"/>
                <w:bCs w:val="1"/>
                <w:color w:val="FFFFFF"/>
              </w:rPr>
              <w:t>shares reflected in the</w:t>
            </w:r>
          </w:p>
        </w:tc>
        <w:tc>
          <w:tcPr>
            <w:tcW w:w="460" w:type="dxa"/>
            <w:vAlign w:val="bottom"/>
            <w:shd w:val="clear" w:color="auto" w:fill="34657F"/>
          </w:tcPr>
          <w:p>
            <w:pPr>
              <w:spacing w:after="0"/>
              <w:rPr>
                <w:sz w:val="15"/>
                <w:szCs w:val="15"/>
                <w:color w:val="auto"/>
              </w:rPr>
            </w:pPr>
          </w:p>
        </w:tc>
      </w:tr>
      <w:tr>
        <w:trPr>
          <w:trHeight w:val="179"/>
        </w:trPr>
        <w:tc>
          <w:tcPr>
            <w:tcW w:w="3420" w:type="dxa"/>
            <w:vAlign w:val="bottom"/>
            <w:shd w:val="clear" w:color="auto" w:fill="34657F"/>
          </w:tcPr>
          <w:p>
            <w:pPr>
              <w:spacing w:after="0"/>
              <w:rPr>
                <w:sz w:val="15"/>
                <w:szCs w:val="15"/>
                <w:color w:val="auto"/>
              </w:rPr>
            </w:pPr>
          </w:p>
        </w:tc>
        <w:tc>
          <w:tcPr>
            <w:tcW w:w="2680" w:type="dxa"/>
            <w:vAlign w:val="bottom"/>
            <w:shd w:val="clear" w:color="auto" w:fill="34657F"/>
          </w:tcPr>
          <w:p>
            <w:pPr>
              <w:jc w:val="center"/>
              <w:ind w:left="43"/>
              <w:spacing w:after="0"/>
              <w:rPr>
                <w:sz w:val="20"/>
                <w:szCs w:val="20"/>
                <w:color w:val="auto"/>
              </w:rPr>
            </w:pPr>
            <w:r>
              <w:rPr>
                <w:rFonts w:ascii="Arial" w:cs="Arial" w:eastAsia="Arial" w:hAnsi="Arial"/>
                <w:sz w:val="15"/>
                <w:szCs w:val="15"/>
                <w:b w:val="1"/>
                <w:bCs w:val="1"/>
                <w:color w:val="FFFFFF"/>
              </w:rPr>
              <w:t>awards (1)</w:t>
            </w:r>
          </w:p>
        </w:tc>
        <w:tc>
          <w:tcPr>
            <w:tcW w:w="2200" w:type="dxa"/>
            <w:vAlign w:val="bottom"/>
            <w:shd w:val="clear" w:color="auto" w:fill="34657F"/>
          </w:tcPr>
          <w:p>
            <w:pPr>
              <w:jc w:val="center"/>
              <w:spacing w:after="0"/>
              <w:rPr>
                <w:sz w:val="20"/>
                <w:szCs w:val="20"/>
                <w:color w:val="auto"/>
              </w:rPr>
            </w:pPr>
            <w:r>
              <w:rPr>
                <w:rFonts w:ascii="Arial" w:cs="Arial" w:eastAsia="Arial" w:hAnsi="Arial"/>
                <w:sz w:val="15"/>
                <w:szCs w:val="15"/>
                <w:b w:val="1"/>
                <w:bCs w:val="1"/>
                <w:color w:val="FFFFFF"/>
              </w:rPr>
              <w:t>outstanding options (2)</w:t>
            </w:r>
          </w:p>
        </w:tc>
        <w:tc>
          <w:tcPr>
            <w:tcW w:w="2660" w:type="dxa"/>
            <w:vAlign w:val="bottom"/>
            <w:shd w:val="clear" w:color="auto" w:fill="34657F"/>
          </w:tcPr>
          <w:p>
            <w:pPr>
              <w:jc w:val="center"/>
              <w:ind w:left="3"/>
              <w:spacing w:after="0"/>
              <w:rPr>
                <w:sz w:val="20"/>
                <w:szCs w:val="20"/>
                <w:color w:val="auto"/>
              </w:rPr>
            </w:pPr>
            <w:r>
              <w:rPr>
                <w:rFonts w:ascii="Arial" w:cs="Arial" w:eastAsia="Arial" w:hAnsi="Arial"/>
                <w:sz w:val="15"/>
                <w:szCs w:val="15"/>
                <w:b w:val="1"/>
                <w:bCs w:val="1"/>
                <w:color w:val="FFFFFF"/>
              </w:rPr>
              <w:t>first column) (3)</w:t>
            </w:r>
          </w:p>
        </w:tc>
        <w:tc>
          <w:tcPr>
            <w:tcW w:w="460" w:type="dxa"/>
            <w:vAlign w:val="bottom"/>
            <w:shd w:val="clear" w:color="auto" w:fill="34657F"/>
          </w:tcPr>
          <w:p>
            <w:pPr>
              <w:spacing w:after="0"/>
              <w:rPr>
                <w:sz w:val="15"/>
                <w:szCs w:val="15"/>
                <w:color w:val="auto"/>
              </w:rPr>
            </w:pPr>
          </w:p>
        </w:tc>
      </w:tr>
      <w:tr>
        <w:trPr>
          <w:trHeight w:val="214"/>
        </w:trPr>
        <w:tc>
          <w:tcPr>
            <w:tcW w:w="3420" w:type="dxa"/>
            <w:vAlign w:val="bottom"/>
            <w:tcBorders>
              <w:bottom w:val="single" w:sz="8" w:color="426DA9"/>
            </w:tcBorders>
            <w:shd w:val="clear" w:color="auto" w:fill="34657F"/>
          </w:tcPr>
          <w:p>
            <w:pPr>
              <w:ind w:left="20"/>
              <w:spacing w:after="0"/>
              <w:rPr>
                <w:sz w:val="20"/>
                <w:szCs w:val="20"/>
                <w:color w:val="auto"/>
              </w:rPr>
            </w:pPr>
            <w:r>
              <w:rPr>
                <w:rFonts w:ascii="Arial" w:cs="Arial" w:eastAsia="Arial" w:hAnsi="Arial"/>
                <w:sz w:val="15"/>
                <w:szCs w:val="15"/>
                <w:b w:val="1"/>
                <w:bCs w:val="1"/>
                <w:color w:val="FFFFFF"/>
              </w:rPr>
              <w:t>Plan category</w:t>
            </w:r>
          </w:p>
        </w:tc>
        <w:tc>
          <w:tcPr>
            <w:tcW w:w="2680" w:type="dxa"/>
            <w:vAlign w:val="bottom"/>
            <w:tcBorders>
              <w:bottom w:val="single" w:sz="8" w:color="426DA9"/>
            </w:tcBorders>
            <w:shd w:val="clear" w:color="auto" w:fill="34657F"/>
          </w:tcPr>
          <w:p>
            <w:pPr>
              <w:jc w:val="center"/>
              <w:ind w:left="43"/>
              <w:spacing w:after="0"/>
              <w:rPr>
                <w:sz w:val="20"/>
                <w:szCs w:val="20"/>
                <w:color w:val="auto"/>
              </w:rPr>
            </w:pPr>
            <w:r>
              <w:rPr>
                <w:rFonts w:ascii="Arial" w:cs="Arial" w:eastAsia="Arial" w:hAnsi="Arial"/>
                <w:sz w:val="15"/>
                <w:szCs w:val="15"/>
                <w:b w:val="1"/>
                <w:bCs w:val="1"/>
                <w:color w:val="FFFFFF"/>
              </w:rPr>
              <w:t>(#)</w:t>
            </w:r>
          </w:p>
        </w:tc>
        <w:tc>
          <w:tcPr>
            <w:tcW w:w="2200" w:type="dxa"/>
            <w:vAlign w:val="bottom"/>
            <w:tcBorders>
              <w:bottom w:val="single" w:sz="8" w:color="426DA9"/>
            </w:tcBorders>
            <w:shd w:val="clear" w:color="auto" w:fill="34657F"/>
          </w:tcPr>
          <w:p>
            <w:pPr>
              <w:jc w:val="center"/>
              <w:spacing w:after="0"/>
              <w:rPr>
                <w:sz w:val="20"/>
                <w:szCs w:val="20"/>
                <w:color w:val="auto"/>
              </w:rPr>
            </w:pPr>
            <w:r>
              <w:rPr>
                <w:rFonts w:ascii="Arial" w:cs="Arial" w:eastAsia="Arial" w:hAnsi="Arial"/>
                <w:sz w:val="15"/>
                <w:szCs w:val="15"/>
                <w:b w:val="1"/>
                <w:bCs w:val="1"/>
                <w:color w:val="FFFFFF"/>
                <w:w w:val="97"/>
              </w:rPr>
              <w:t>($)</w:t>
            </w:r>
          </w:p>
        </w:tc>
        <w:tc>
          <w:tcPr>
            <w:tcW w:w="2660" w:type="dxa"/>
            <w:vAlign w:val="bottom"/>
            <w:tcBorders>
              <w:bottom w:val="single" w:sz="8" w:color="426DA9"/>
            </w:tcBorders>
            <w:shd w:val="clear" w:color="auto" w:fill="34657F"/>
          </w:tcPr>
          <w:p>
            <w:pPr>
              <w:jc w:val="center"/>
              <w:ind w:left="3"/>
              <w:spacing w:after="0"/>
              <w:rPr>
                <w:sz w:val="20"/>
                <w:szCs w:val="20"/>
                <w:color w:val="auto"/>
              </w:rPr>
            </w:pPr>
            <w:r>
              <w:rPr>
                <w:rFonts w:ascii="Arial" w:cs="Arial" w:eastAsia="Arial" w:hAnsi="Arial"/>
                <w:sz w:val="15"/>
                <w:szCs w:val="15"/>
                <w:b w:val="1"/>
                <w:bCs w:val="1"/>
                <w:color w:val="FFFFFF"/>
                <w:w w:val="97"/>
              </w:rPr>
              <w:t>(#)</w:t>
            </w:r>
          </w:p>
        </w:tc>
        <w:tc>
          <w:tcPr>
            <w:tcW w:w="460" w:type="dxa"/>
            <w:vAlign w:val="bottom"/>
            <w:tcBorders>
              <w:bottom w:val="single" w:sz="8" w:color="426DA9"/>
            </w:tcBorders>
            <w:shd w:val="clear" w:color="auto" w:fill="34657F"/>
          </w:tcPr>
          <w:p>
            <w:pPr>
              <w:spacing w:after="0"/>
              <w:rPr>
                <w:sz w:val="18"/>
                <w:szCs w:val="18"/>
                <w:color w:val="auto"/>
              </w:rPr>
            </w:pPr>
          </w:p>
        </w:tc>
      </w:tr>
      <w:tr>
        <w:trPr>
          <w:trHeight w:val="207"/>
        </w:trPr>
        <w:tc>
          <w:tcPr>
            <w:tcW w:w="3420" w:type="dxa"/>
            <w:vAlign w:val="bottom"/>
            <w:shd w:val="clear" w:color="auto" w:fill="D1DDE6"/>
          </w:tcPr>
          <w:p>
            <w:pPr>
              <w:ind w:left="20"/>
              <w:spacing w:after="0"/>
              <w:rPr>
                <w:sz w:val="20"/>
                <w:szCs w:val="20"/>
                <w:color w:val="auto"/>
              </w:rPr>
            </w:pPr>
            <w:r>
              <w:rPr>
                <w:rFonts w:ascii="Arial" w:cs="Arial" w:eastAsia="Arial" w:hAnsi="Arial"/>
                <w:sz w:val="15"/>
                <w:szCs w:val="15"/>
                <w:color w:val="auto"/>
              </w:rPr>
              <w:t>Equity compensation plans approved by</w:t>
            </w:r>
          </w:p>
        </w:tc>
        <w:tc>
          <w:tcPr>
            <w:tcW w:w="2680" w:type="dxa"/>
            <w:vAlign w:val="bottom"/>
            <w:shd w:val="clear" w:color="auto" w:fill="D1DDE6"/>
          </w:tcPr>
          <w:p>
            <w:pPr>
              <w:spacing w:after="0"/>
              <w:rPr>
                <w:sz w:val="17"/>
                <w:szCs w:val="17"/>
                <w:color w:val="auto"/>
              </w:rPr>
            </w:pPr>
          </w:p>
        </w:tc>
        <w:tc>
          <w:tcPr>
            <w:tcW w:w="2200" w:type="dxa"/>
            <w:vAlign w:val="bottom"/>
            <w:shd w:val="clear" w:color="auto" w:fill="D1DDE6"/>
          </w:tcPr>
          <w:p>
            <w:pPr>
              <w:spacing w:after="0"/>
              <w:rPr>
                <w:sz w:val="17"/>
                <w:szCs w:val="17"/>
                <w:color w:val="auto"/>
              </w:rPr>
            </w:pPr>
          </w:p>
        </w:tc>
        <w:tc>
          <w:tcPr>
            <w:tcW w:w="2660" w:type="dxa"/>
            <w:vAlign w:val="bottom"/>
            <w:shd w:val="clear" w:color="auto" w:fill="D1DDE6"/>
          </w:tcPr>
          <w:p>
            <w:pPr>
              <w:spacing w:after="0"/>
              <w:rPr>
                <w:sz w:val="17"/>
                <w:szCs w:val="17"/>
                <w:color w:val="auto"/>
              </w:rPr>
            </w:pPr>
          </w:p>
        </w:tc>
        <w:tc>
          <w:tcPr>
            <w:tcW w:w="460" w:type="dxa"/>
            <w:vAlign w:val="bottom"/>
            <w:shd w:val="clear" w:color="auto" w:fill="D1DDE6"/>
          </w:tcPr>
          <w:p>
            <w:pPr>
              <w:spacing w:after="0"/>
              <w:rPr>
                <w:sz w:val="17"/>
                <w:szCs w:val="17"/>
                <w:color w:val="auto"/>
              </w:rPr>
            </w:pPr>
          </w:p>
        </w:tc>
      </w:tr>
      <w:tr>
        <w:trPr>
          <w:trHeight w:val="203"/>
        </w:trPr>
        <w:tc>
          <w:tcPr>
            <w:tcW w:w="3420" w:type="dxa"/>
            <w:vAlign w:val="bottom"/>
            <w:shd w:val="clear" w:color="auto" w:fill="D1DDE6"/>
          </w:tcPr>
          <w:p>
            <w:pPr>
              <w:ind w:left="20"/>
              <w:spacing w:after="0"/>
              <w:rPr>
                <w:sz w:val="20"/>
                <w:szCs w:val="20"/>
                <w:color w:val="auto"/>
              </w:rPr>
            </w:pPr>
            <w:r>
              <w:rPr>
                <w:rFonts w:ascii="Arial" w:cs="Arial" w:eastAsia="Arial" w:hAnsi="Arial"/>
                <w:sz w:val="15"/>
                <w:szCs w:val="15"/>
                <w:color w:val="auto"/>
              </w:rPr>
              <w:t>shareholders</w:t>
            </w:r>
          </w:p>
        </w:tc>
        <w:tc>
          <w:tcPr>
            <w:tcW w:w="2680" w:type="dxa"/>
            <w:vAlign w:val="bottom"/>
            <w:shd w:val="clear" w:color="auto" w:fill="D1DDE6"/>
          </w:tcPr>
          <w:p>
            <w:pPr>
              <w:jc w:val="center"/>
              <w:ind w:left="43"/>
              <w:spacing w:after="0"/>
              <w:rPr>
                <w:sz w:val="20"/>
                <w:szCs w:val="20"/>
                <w:color w:val="auto"/>
              </w:rPr>
            </w:pPr>
            <w:r>
              <w:rPr>
                <w:rFonts w:ascii="Arial" w:cs="Arial" w:eastAsia="Arial" w:hAnsi="Arial"/>
                <w:sz w:val="15"/>
                <w:szCs w:val="15"/>
                <w:color w:val="auto"/>
              </w:rPr>
              <w:t>1,723,560</w:t>
            </w:r>
          </w:p>
        </w:tc>
        <w:tc>
          <w:tcPr>
            <w:tcW w:w="2200" w:type="dxa"/>
            <w:vAlign w:val="bottom"/>
            <w:shd w:val="clear" w:color="auto" w:fill="D1DDE6"/>
          </w:tcPr>
          <w:p>
            <w:pPr>
              <w:jc w:val="center"/>
              <w:spacing w:after="0"/>
              <w:rPr>
                <w:sz w:val="20"/>
                <w:szCs w:val="20"/>
                <w:color w:val="auto"/>
              </w:rPr>
            </w:pPr>
            <w:r>
              <w:rPr>
                <w:rFonts w:ascii="Arial" w:cs="Arial" w:eastAsia="Arial" w:hAnsi="Arial"/>
                <w:sz w:val="15"/>
                <w:szCs w:val="15"/>
                <w:color w:val="auto"/>
              </w:rPr>
              <w:t>N/A</w:t>
            </w:r>
          </w:p>
        </w:tc>
        <w:tc>
          <w:tcPr>
            <w:tcW w:w="2660" w:type="dxa"/>
            <w:vAlign w:val="bottom"/>
            <w:shd w:val="clear" w:color="auto" w:fill="D1DDE6"/>
          </w:tcPr>
          <w:p>
            <w:pPr>
              <w:jc w:val="center"/>
              <w:ind w:left="3"/>
              <w:spacing w:after="0"/>
              <w:rPr>
                <w:sz w:val="20"/>
                <w:szCs w:val="20"/>
                <w:color w:val="auto"/>
              </w:rPr>
            </w:pPr>
            <w:r>
              <w:rPr>
                <w:rFonts w:ascii="Arial" w:cs="Arial" w:eastAsia="Arial" w:hAnsi="Arial"/>
                <w:sz w:val="15"/>
                <w:szCs w:val="15"/>
                <w:color w:val="auto"/>
              </w:rPr>
              <w:t>5,927,560</w:t>
            </w:r>
          </w:p>
        </w:tc>
        <w:tc>
          <w:tcPr>
            <w:tcW w:w="460" w:type="dxa"/>
            <w:vAlign w:val="bottom"/>
            <w:shd w:val="clear" w:color="auto" w:fill="D1DDE6"/>
          </w:tcPr>
          <w:p>
            <w:pPr>
              <w:spacing w:after="0"/>
              <w:rPr>
                <w:sz w:val="17"/>
                <w:szCs w:val="17"/>
                <w:color w:val="auto"/>
              </w:rPr>
            </w:pPr>
          </w:p>
        </w:tc>
      </w:tr>
      <w:tr>
        <w:trPr>
          <w:trHeight w:val="207"/>
        </w:trPr>
        <w:tc>
          <w:tcPr>
            <w:tcW w:w="3420" w:type="dxa"/>
            <w:vAlign w:val="bottom"/>
          </w:tcPr>
          <w:p>
            <w:pPr>
              <w:ind w:left="20"/>
              <w:spacing w:after="0"/>
              <w:rPr>
                <w:sz w:val="20"/>
                <w:szCs w:val="20"/>
                <w:color w:val="auto"/>
              </w:rPr>
            </w:pPr>
            <w:r>
              <w:rPr>
                <w:rFonts w:ascii="Arial" w:cs="Arial" w:eastAsia="Arial" w:hAnsi="Arial"/>
                <w:sz w:val="15"/>
                <w:szCs w:val="15"/>
                <w:color w:val="auto"/>
              </w:rPr>
              <w:t>Equity compensation plans not approved by</w:t>
            </w:r>
          </w:p>
        </w:tc>
        <w:tc>
          <w:tcPr>
            <w:tcW w:w="268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460" w:type="dxa"/>
            <w:vAlign w:val="bottom"/>
          </w:tcPr>
          <w:p>
            <w:pPr>
              <w:spacing w:after="0"/>
              <w:rPr>
                <w:sz w:val="17"/>
                <w:szCs w:val="17"/>
                <w:color w:val="auto"/>
              </w:rPr>
            </w:pPr>
          </w:p>
        </w:tc>
      </w:tr>
      <w:tr>
        <w:trPr>
          <w:trHeight w:val="196"/>
        </w:trPr>
        <w:tc>
          <w:tcPr>
            <w:tcW w:w="3420" w:type="dxa"/>
            <w:vAlign w:val="bottom"/>
            <w:tcBorders>
              <w:bottom w:val="single" w:sz="8" w:color="34657F"/>
            </w:tcBorders>
          </w:tcPr>
          <w:p>
            <w:pPr>
              <w:ind w:left="20"/>
              <w:spacing w:after="0"/>
              <w:rPr>
                <w:sz w:val="20"/>
                <w:szCs w:val="20"/>
                <w:color w:val="auto"/>
              </w:rPr>
            </w:pPr>
            <w:r>
              <w:rPr>
                <w:rFonts w:ascii="Arial" w:cs="Arial" w:eastAsia="Arial" w:hAnsi="Arial"/>
                <w:sz w:val="15"/>
                <w:szCs w:val="15"/>
                <w:color w:val="auto"/>
              </w:rPr>
              <w:t>shareholders</w:t>
            </w:r>
          </w:p>
        </w:tc>
        <w:tc>
          <w:tcPr>
            <w:tcW w:w="2680" w:type="dxa"/>
            <w:vAlign w:val="bottom"/>
            <w:tcBorders>
              <w:bottom w:val="single" w:sz="8" w:color="34657F"/>
            </w:tcBorders>
          </w:tcPr>
          <w:p>
            <w:pPr>
              <w:jc w:val="center"/>
              <w:ind w:left="23"/>
              <w:spacing w:after="0"/>
              <w:rPr>
                <w:sz w:val="20"/>
                <w:szCs w:val="20"/>
                <w:color w:val="auto"/>
              </w:rPr>
            </w:pPr>
            <w:r>
              <w:rPr>
                <w:rFonts w:ascii="Arial" w:cs="Arial" w:eastAsia="Arial" w:hAnsi="Arial"/>
                <w:sz w:val="15"/>
                <w:szCs w:val="15"/>
                <w:color w:val="auto"/>
              </w:rPr>
              <w:t>N/A</w:t>
            </w:r>
          </w:p>
        </w:tc>
        <w:tc>
          <w:tcPr>
            <w:tcW w:w="2200" w:type="dxa"/>
            <w:vAlign w:val="bottom"/>
            <w:tcBorders>
              <w:bottom w:val="single" w:sz="8" w:color="34657F"/>
            </w:tcBorders>
          </w:tcPr>
          <w:p>
            <w:pPr>
              <w:jc w:val="center"/>
              <w:spacing w:after="0"/>
              <w:rPr>
                <w:sz w:val="20"/>
                <w:szCs w:val="20"/>
                <w:color w:val="auto"/>
              </w:rPr>
            </w:pPr>
            <w:r>
              <w:rPr>
                <w:rFonts w:ascii="Arial" w:cs="Arial" w:eastAsia="Arial" w:hAnsi="Arial"/>
                <w:sz w:val="15"/>
                <w:szCs w:val="15"/>
                <w:color w:val="auto"/>
              </w:rPr>
              <w:t>N/A</w:t>
            </w:r>
          </w:p>
        </w:tc>
        <w:tc>
          <w:tcPr>
            <w:tcW w:w="2660" w:type="dxa"/>
            <w:vAlign w:val="bottom"/>
            <w:tcBorders>
              <w:bottom w:val="single" w:sz="8" w:color="34657F"/>
            </w:tcBorders>
          </w:tcPr>
          <w:p>
            <w:pPr>
              <w:jc w:val="center"/>
              <w:ind w:left="3"/>
              <w:spacing w:after="0"/>
              <w:rPr>
                <w:sz w:val="20"/>
                <w:szCs w:val="20"/>
                <w:color w:val="auto"/>
              </w:rPr>
            </w:pPr>
            <w:r>
              <w:rPr>
                <w:rFonts w:ascii="Arial" w:cs="Arial" w:eastAsia="Arial" w:hAnsi="Arial"/>
                <w:sz w:val="15"/>
                <w:szCs w:val="15"/>
                <w:color w:val="auto"/>
              </w:rPr>
              <w:t>N/A</w:t>
            </w:r>
          </w:p>
        </w:tc>
        <w:tc>
          <w:tcPr>
            <w:tcW w:w="460" w:type="dxa"/>
            <w:vAlign w:val="bottom"/>
            <w:tcBorders>
              <w:bottom w:val="single" w:sz="8" w:color="34657F"/>
            </w:tcBorders>
          </w:tcPr>
          <w:p>
            <w:pPr>
              <w:spacing w:after="0"/>
              <w:rPr>
                <w:sz w:val="17"/>
                <w:szCs w:val="17"/>
                <w:color w:val="auto"/>
              </w:rPr>
            </w:pPr>
          </w:p>
        </w:tc>
      </w:tr>
      <w:tr>
        <w:trPr>
          <w:trHeight w:val="249"/>
        </w:trPr>
        <w:tc>
          <w:tcPr>
            <w:tcW w:w="3420" w:type="dxa"/>
            <w:vAlign w:val="bottom"/>
            <w:tcBorders>
              <w:bottom w:val="single" w:sz="8" w:color="34657F"/>
            </w:tcBorders>
            <w:shd w:val="clear" w:color="auto" w:fill="D1DDE6"/>
          </w:tcPr>
          <w:p>
            <w:pPr>
              <w:ind w:left="20"/>
              <w:spacing w:after="0"/>
              <w:rPr>
                <w:sz w:val="20"/>
                <w:szCs w:val="20"/>
                <w:color w:val="auto"/>
              </w:rPr>
            </w:pPr>
            <w:r>
              <w:rPr>
                <w:rFonts w:ascii="Arial" w:cs="Arial" w:eastAsia="Arial" w:hAnsi="Arial"/>
                <w:sz w:val="15"/>
                <w:szCs w:val="15"/>
                <w:b w:val="1"/>
                <w:bCs w:val="1"/>
                <w:color w:val="auto"/>
              </w:rPr>
              <w:t>Total</w:t>
            </w:r>
          </w:p>
        </w:tc>
        <w:tc>
          <w:tcPr>
            <w:tcW w:w="2680" w:type="dxa"/>
            <w:vAlign w:val="bottom"/>
            <w:tcBorders>
              <w:bottom w:val="single" w:sz="8" w:color="34657F"/>
            </w:tcBorders>
            <w:shd w:val="clear" w:color="auto" w:fill="D1DDE6"/>
          </w:tcPr>
          <w:p>
            <w:pPr>
              <w:jc w:val="center"/>
              <w:ind w:left="43"/>
              <w:spacing w:after="0"/>
              <w:rPr>
                <w:sz w:val="20"/>
                <w:szCs w:val="20"/>
                <w:color w:val="auto"/>
              </w:rPr>
            </w:pPr>
            <w:r>
              <w:rPr>
                <w:rFonts w:ascii="Arial" w:cs="Arial" w:eastAsia="Arial" w:hAnsi="Arial"/>
                <w:sz w:val="15"/>
                <w:szCs w:val="15"/>
                <w:color w:val="auto"/>
              </w:rPr>
              <w:t>1,723,560</w:t>
            </w:r>
          </w:p>
        </w:tc>
        <w:tc>
          <w:tcPr>
            <w:tcW w:w="2200" w:type="dxa"/>
            <w:vAlign w:val="bottom"/>
            <w:tcBorders>
              <w:bottom w:val="single" w:sz="8" w:color="34657F"/>
            </w:tcBorders>
            <w:shd w:val="clear" w:color="auto" w:fill="D1DDE6"/>
          </w:tcPr>
          <w:p>
            <w:pPr>
              <w:jc w:val="center"/>
              <w:spacing w:after="0"/>
              <w:rPr>
                <w:sz w:val="20"/>
                <w:szCs w:val="20"/>
                <w:color w:val="auto"/>
              </w:rPr>
            </w:pPr>
            <w:r>
              <w:rPr>
                <w:rFonts w:ascii="Arial" w:cs="Arial" w:eastAsia="Arial" w:hAnsi="Arial"/>
                <w:sz w:val="15"/>
                <w:szCs w:val="15"/>
                <w:color w:val="auto"/>
              </w:rPr>
              <w:t>N/A</w:t>
            </w:r>
          </w:p>
        </w:tc>
        <w:tc>
          <w:tcPr>
            <w:tcW w:w="2660" w:type="dxa"/>
            <w:vAlign w:val="bottom"/>
            <w:tcBorders>
              <w:bottom w:val="single" w:sz="8" w:color="34657F"/>
            </w:tcBorders>
            <w:shd w:val="clear" w:color="auto" w:fill="D1DDE6"/>
          </w:tcPr>
          <w:p>
            <w:pPr>
              <w:jc w:val="center"/>
              <w:ind w:left="3"/>
              <w:spacing w:after="0"/>
              <w:rPr>
                <w:sz w:val="20"/>
                <w:szCs w:val="20"/>
                <w:color w:val="auto"/>
              </w:rPr>
            </w:pPr>
            <w:r>
              <w:rPr>
                <w:rFonts w:ascii="Arial" w:cs="Arial" w:eastAsia="Arial" w:hAnsi="Arial"/>
                <w:sz w:val="15"/>
                <w:szCs w:val="15"/>
                <w:color w:val="auto"/>
              </w:rPr>
              <w:t>5,927,560</w:t>
            </w:r>
          </w:p>
        </w:tc>
        <w:tc>
          <w:tcPr>
            <w:tcW w:w="460" w:type="dxa"/>
            <w:vAlign w:val="bottom"/>
            <w:tcBorders>
              <w:bottom w:val="single" w:sz="8" w:color="34657F"/>
            </w:tcBorders>
            <w:shd w:val="clear" w:color="auto" w:fill="D1DDE6"/>
          </w:tcPr>
          <w:p>
            <w:pPr>
              <w:jc w:val="right"/>
              <w:ind w:right="43"/>
              <w:spacing w:after="0"/>
              <w:rPr>
                <w:sz w:val="20"/>
                <w:szCs w:val="20"/>
                <w:color w:val="auto"/>
              </w:rPr>
            </w:pPr>
            <w:r>
              <w:rPr>
                <w:rFonts w:ascii="Arial" w:cs="Arial" w:eastAsia="Arial" w:hAnsi="Arial"/>
                <w:sz w:val="15"/>
                <w:szCs w:val="15"/>
                <w:color w:val="auto"/>
              </w:rPr>
              <w:t>(4)</w:t>
            </w:r>
          </w:p>
        </w:tc>
      </w:tr>
    </w:tbl>
    <w:p>
      <w:pPr>
        <w:spacing w:after="0" w:line="256" w:lineRule="exact"/>
        <w:rPr>
          <w:sz w:val="20"/>
          <w:szCs w:val="20"/>
          <w:color w:val="auto"/>
        </w:rPr>
      </w:pPr>
    </w:p>
    <w:p>
      <w:pPr>
        <w:ind w:left="380" w:hanging="377"/>
        <w:spacing w:after="0" w:line="255" w:lineRule="auto"/>
        <w:tabs>
          <w:tab w:leader="none" w:pos="38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This number includes 796,354 shares that were subject to outstanding stock awards granted under the 2011 Plan, 463,648 awards earned at year end but pending distribution subject to final performance adjustments, 122,674 shares subject to outstanding stock unit credited under the 2011 Plan and 1993 Directors Plan, and additional performance shares of 340,884, which reflect the number of shares deliverable under payment of outstanding restricted performance stock rights, assuming maximum performance criteria have been achieved.</w:t>
      </w:r>
    </w:p>
    <w:p>
      <w:pPr>
        <w:spacing w:after="0" w:line="66" w:lineRule="exact"/>
        <w:rPr>
          <w:rFonts w:ascii="Arial" w:cs="Arial" w:eastAsia="Arial" w:hAnsi="Arial"/>
          <w:sz w:val="17"/>
          <w:szCs w:val="17"/>
          <w:color w:val="auto"/>
        </w:rPr>
      </w:pPr>
    </w:p>
    <w:p>
      <w:pPr>
        <w:ind w:left="380" w:hanging="377"/>
        <w:spacing w:after="0"/>
        <w:tabs>
          <w:tab w:leader="none" w:pos="38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There were no options outstanding as of December 31, 2018.</w:t>
      </w:r>
    </w:p>
    <w:p>
      <w:pPr>
        <w:spacing w:after="0" w:line="86" w:lineRule="exact"/>
        <w:rPr>
          <w:rFonts w:ascii="Arial" w:cs="Arial" w:eastAsia="Arial" w:hAnsi="Arial"/>
          <w:sz w:val="17"/>
          <w:szCs w:val="17"/>
          <w:color w:val="auto"/>
        </w:rPr>
      </w:pPr>
    </w:p>
    <w:p>
      <w:pPr>
        <w:ind w:left="380" w:right="1100" w:hanging="377"/>
        <w:spacing w:after="0" w:line="263" w:lineRule="auto"/>
        <w:tabs>
          <w:tab w:leader="none" w:pos="380" w:val="left"/>
        </w:tabs>
        <w:numPr>
          <w:ilvl w:val="0"/>
          <w:numId w:val="39"/>
        </w:numPr>
        <w:rPr>
          <w:rFonts w:ascii="Arial" w:cs="Arial" w:eastAsia="Arial" w:hAnsi="Arial"/>
          <w:sz w:val="17"/>
          <w:szCs w:val="17"/>
          <w:color w:val="auto"/>
        </w:rPr>
      </w:pPr>
      <w:r>
        <w:rPr>
          <w:rFonts w:ascii="Arial" w:cs="Arial" w:eastAsia="Arial" w:hAnsi="Arial"/>
          <w:sz w:val="17"/>
          <w:szCs w:val="17"/>
          <w:color w:val="auto"/>
        </w:rPr>
        <w:t>Of the aggregate number of shares that remained available for future issuance, 5,927,560 were available under the 2011 Plan as of December 31, 2018. No new awards may be granted under the 1993 Directors Plan.</w:t>
      </w:r>
    </w:p>
    <w:p>
      <w:pPr>
        <w:spacing w:after="0" w:line="58" w:lineRule="exact"/>
        <w:rPr>
          <w:rFonts w:ascii="Arial" w:cs="Arial" w:eastAsia="Arial" w:hAnsi="Arial"/>
          <w:sz w:val="17"/>
          <w:szCs w:val="17"/>
          <w:color w:val="auto"/>
        </w:rPr>
      </w:pPr>
    </w:p>
    <w:p>
      <w:pPr>
        <w:ind w:left="380" w:right="720" w:hanging="377"/>
        <w:spacing w:after="0" w:line="263" w:lineRule="auto"/>
        <w:tabs>
          <w:tab w:leader="none" w:pos="380" w:val="left"/>
        </w:tabs>
        <w:numPr>
          <w:ilvl w:val="0"/>
          <w:numId w:val="39"/>
        </w:numPr>
        <w:rPr>
          <w:rFonts w:ascii="Arial" w:cs="Arial" w:eastAsia="Arial" w:hAnsi="Arial"/>
          <w:sz w:val="17"/>
          <w:szCs w:val="17"/>
          <w:color w:val="auto"/>
        </w:rPr>
      </w:pPr>
      <w:r>
        <w:rPr>
          <w:rFonts w:ascii="Arial" w:cs="Arial" w:eastAsia="Arial" w:hAnsi="Arial"/>
          <w:sz w:val="17"/>
          <w:szCs w:val="17"/>
          <w:color w:val="auto"/>
        </w:rPr>
        <w:t>After giving effect to our February 2019 awards, the number of shares of common stock remaining available for future issuance would be 5,412,262 (assuming maximum payout of such awards).</w:t>
      </w:r>
    </w:p>
    <w:p>
      <w:pPr>
        <w:spacing w:after="0" w:line="200" w:lineRule="exact"/>
        <w:rPr>
          <w:sz w:val="20"/>
          <w:szCs w:val="20"/>
          <w:color w:val="auto"/>
        </w:rPr>
      </w:pPr>
    </w:p>
    <w:p>
      <w:pPr>
        <w:spacing w:after="0" w:line="377" w:lineRule="exact"/>
        <w:rPr>
          <w:sz w:val="20"/>
          <w:szCs w:val="20"/>
          <w:color w:val="auto"/>
        </w:rPr>
      </w:pPr>
    </w:p>
    <w:p>
      <w:pPr>
        <w:ind w:left="5740"/>
        <w:spacing w:after="0"/>
        <w:rPr>
          <w:sz w:val="20"/>
          <w:szCs w:val="20"/>
          <w:color w:val="auto"/>
        </w:rPr>
      </w:pPr>
      <w:r>
        <w:rPr>
          <w:rFonts w:ascii="Arial" w:cs="Arial" w:eastAsia="Arial" w:hAnsi="Arial"/>
          <w:sz w:val="13"/>
          <w:szCs w:val="13"/>
          <w:color w:val="34657F"/>
        </w:rPr>
        <w:t xml:space="preserve">NOTICE OF 2019 ANNUAL MEETING OF SHAREHOLDERS AND PROXY STATEMENT </w:t>
      </w:r>
      <w:r>
        <w:rPr>
          <w:rFonts w:ascii="Arial" w:cs="Arial" w:eastAsia="Arial" w:hAnsi="Arial"/>
          <w:sz w:val="13"/>
          <w:szCs w:val="13"/>
          <w:color w:val="000000"/>
        </w:rPr>
        <w:t>I 33</w:t>
      </w:r>
    </w:p>
    <w:p>
      <w:pPr>
        <w:sectPr>
          <w:pgSz w:w="11900" w:h="16838" w:orient="portrait"/>
          <w:cols w:equalWidth="0" w:num="1">
            <w:col w:w="11420"/>
          </w:cols>
          <w:pgMar w:left="240" w:top="671" w:right="239" w:bottom="1440" w:gutter="0" w:footer="0" w:header="0"/>
        </w:sectPr>
      </w:pPr>
    </w:p>
    <w:bookmarkStart w:id="39" w:name="page40"/>
    <w:bookmarkEnd w:id="39"/>
    <w:p>
      <w:pPr>
        <w:ind w:left="20"/>
        <w:spacing w:after="0"/>
        <w:rPr>
          <w:sz w:val="20"/>
          <w:szCs w:val="20"/>
          <w:color w:val="auto"/>
        </w:rPr>
      </w:pPr>
      <w:r>
        <w:rPr>
          <w:rFonts w:ascii="Arial" w:cs="Arial" w:eastAsia="Arial" w:hAnsi="Arial"/>
          <w:sz w:val="21"/>
          <w:szCs w:val="21"/>
          <w:b w:val="1"/>
          <w:bCs w:val="1"/>
          <w:color w:val="FFFFFF"/>
        </w:rPr>
        <w:t>PROPOSAL TWO: ADVISORY VOTE ON COMPENSATION OF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-148590</wp:posOffset>
            </wp:positionV>
            <wp:extent cx="7253605" cy="17907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53605" cy="179070"/>
                    </a:xfrm>
                    <a:prstGeom prst="rect">
                      <a:avLst/>
                    </a:prstGeom>
                    <a:noFill/>
                  </pic:spPr>
                </pic:pic>
              </a:graphicData>
            </a:graphic>
          </wp:anchor>
        </w:drawing>
      </w:r>
    </w:p>
    <w:p>
      <w:pPr>
        <w:spacing w:after="0" w:line="257" w:lineRule="exact"/>
        <w:rPr>
          <w:sz w:val="20"/>
          <w:szCs w:val="20"/>
          <w:color w:val="auto"/>
        </w:rPr>
      </w:pPr>
    </w:p>
    <w:p>
      <w:pPr>
        <w:ind w:right="40"/>
        <w:spacing w:after="0" w:line="254" w:lineRule="auto"/>
        <w:rPr>
          <w:sz w:val="20"/>
          <w:szCs w:val="20"/>
          <w:color w:val="auto"/>
        </w:rPr>
      </w:pPr>
      <w:r>
        <w:rPr>
          <w:rFonts w:ascii="Arial" w:cs="Arial" w:eastAsia="Arial" w:hAnsi="Arial"/>
          <w:sz w:val="17"/>
          <w:szCs w:val="17"/>
          <w:color w:val="auto"/>
        </w:rPr>
        <w:t>Consistent with Section 14A of the Exchange Act, we are providing our shareholders with the opportunity to cast a non-binding, advisory vote on the compensation of our NEOs. This advisory vote, commonly known as "say-on-pay," gives our shareholders the opportunity to express their view on our 2018 executive compensation programs and policies for our NEOs. The vote does not address any specific item of compensation and is not binding on the Board; however, as an expression of our shareholders' views, the Compensation Committee seriously considers the vote when making future executive compensation decisions. The Board has adopted a policy of providing for annual advisory votes on the compensation of our NEOs.</w:t>
      </w:r>
    </w:p>
    <w:p>
      <w:pPr>
        <w:spacing w:after="0" w:line="68" w:lineRule="exact"/>
        <w:rPr>
          <w:sz w:val="20"/>
          <w:szCs w:val="20"/>
          <w:color w:val="auto"/>
        </w:rPr>
      </w:pPr>
    </w:p>
    <w:p>
      <w:pPr>
        <w:ind w:right="100"/>
        <w:spacing w:after="0" w:line="257" w:lineRule="auto"/>
        <w:rPr>
          <w:sz w:val="20"/>
          <w:szCs w:val="20"/>
          <w:color w:val="auto"/>
        </w:rPr>
      </w:pPr>
      <w:r>
        <w:rPr>
          <w:rFonts w:ascii="Arial" w:cs="Arial" w:eastAsia="Arial" w:hAnsi="Arial"/>
          <w:sz w:val="17"/>
          <w:szCs w:val="17"/>
          <w:color w:val="auto"/>
        </w:rPr>
        <w:t>We believe our compensation programs reflect responsible, measured practices that effectively incentivize our executives to dedicate themselves fully to value creation for our shareholders, customers and employees. Our pay practices are aligned with our shareholders' interests and with leading industry practice and are governed by a set of strong policies. Examples include:</w:t>
      </w:r>
    </w:p>
    <w:p>
      <w:pPr>
        <w:spacing w:after="0" w:line="53" w:lineRule="exact"/>
        <w:rPr>
          <w:sz w:val="20"/>
          <w:szCs w:val="20"/>
          <w:color w:val="auto"/>
        </w:rPr>
      </w:pPr>
    </w:p>
    <w:p>
      <w:pPr>
        <w:ind w:left="320" w:hanging="317"/>
        <w:spacing w:after="0"/>
        <w:tabs>
          <w:tab w:leader="none" w:pos="320" w:val="left"/>
        </w:tabs>
        <w:numPr>
          <w:ilvl w:val="0"/>
          <w:numId w:val="40"/>
        </w:numPr>
        <w:rPr>
          <w:rFonts w:ascii="Arial" w:cs="Arial" w:eastAsia="Arial" w:hAnsi="Arial"/>
          <w:sz w:val="21"/>
          <w:szCs w:val="21"/>
          <w:color w:val="34657F"/>
        </w:rPr>
      </w:pPr>
      <w:r>
        <w:rPr>
          <w:rFonts w:ascii="Arial" w:cs="Arial" w:eastAsia="Arial" w:hAnsi="Arial"/>
          <w:sz w:val="17"/>
          <w:szCs w:val="17"/>
          <w:color w:val="auto"/>
        </w:rPr>
        <w:t>Double-trigger provisions for change in control situations, and no excise tax gross-ups for payments upon termination after a change in control;</w:t>
      </w:r>
    </w:p>
    <w:p>
      <w:pPr>
        <w:spacing w:after="0" w:line="79" w:lineRule="exact"/>
        <w:rPr>
          <w:rFonts w:ascii="Arial" w:cs="Arial" w:eastAsia="Arial" w:hAnsi="Arial"/>
          <w:sz w:val="21"/>
          <w:szCs w:val="21"/>
          <w:color w:val="34657F"/>
        </w:rPr>
      </w:pPr>
    </w:p>
    <w:p>
      <w:pPr>
        <w:ind w:left="320" w:hanging="317"/>
        <w:spacing w:after="0"/>
        <w:tabs>
          <w:tab w:leader="none" w:pos="320" w:val="left"/>
        </w:tabs>
        <w:numPr>
          <w:ilvl w:val="0"/>
          <w:numId w:val="40"/>
        </w:numPr>
        <w:rPr>
          <w:rFonts w:ascii="Arial" w:cs="Arial" w:eastAsia="Arial" w:hAnsi="Arial"/>
          <w:sz w:val="21"/>
          <w:szCs w:val="21"/>
          <w:color w:val="34657F"/>
        </w:rPr>
      </w:pPr>
      <w:r>
        <w:rPr>
          <w:rFonts w:ascii="Arial" w:cs="Arial" w:eastAsia="Arial" w:hAnsi="Arial"/>
          <w:sz w:val="17"/>
          <w:szCs w:val="17"/>
          <w:color w:val="auto"/>
        </w:rPr>
        <w:t>A recoupment policy applicable to cash and equity incentive compensation payments;</w:t>
      </w:r>
    </w:p>
    <w:p>
      <w:pPr>
        <w:spacing w:after="0" w:line="115" w:lineRule="exact"/>
        <w:rPr>
          <w:rFonts w:ascii="Arial" w:cs="Arial" w:eastAsia="Arial" w:hAnsi="Arial"/>
          <w:sz w:val="21"/>
          <w:szCs w:val="21"/>
          <w:color w:val="34657F"/>
        </w:rPr>
      </w:pPr>
    </w:p>
    <w:p>
      <w:pPr>
        <w:ind w:left="320" w:right="140" w:hanging="317"/>
        <w:spacing w:after="0" w:line="253" w:lineRule="auto"/>
        <w:tabs>
          <w:tab w:leader="none" w:pos="320" w:val="left"/>
        </w:tabs>
        <w:numPr>
          <w:ilvl w:val="0"/>
          <w:numId w:val="40"/>
        </w:numPr>
        <w:rPr>
          <w:rFonts w:ascii="Arial" w:cs="Arial" w:eastAsia="Arial" w:hAnsi="Arial"/>
          <w:sz w:val="21"/>
          <w:szCs w:val="21"/>
          <w:color w:val="34657F"/>
        </w:rPr>
      </w:pPr>
      <w:r>
        <w:rPr>
          <w:rFonts w:ascii="Arial" w:cs="Arial" w:eastAsia="Arial" w:hAnsi="Arial"/>
          <w:sz w:val="17"/>
          <w:szCs w:val="17"/>
          <w:color w:val="auto"/>
        </w:rPr>
        <w:t>Stock ownership guidelines of 7x base salary for the CEO and 3x base salary for other NEOs, and stock holding requirements of three years from the vesting date for equity awards; and</w:t>
      </w:r>
    </w:p>
    <w:p>
      <w:pPr>
        <w:spacing w:after="0" w:line="66" w:lineRule="exact"/>
        <w:rPr>
          <w:rFonts w:ascii="Arial" w:cs="Arial" w:eastAsia="Arial" w:hAnsi="Arial"/>
          <w:sz w:val="21"/>
          <w:szCs w:val="21"/>
          <w:color w:val="34657F"/>
        </w:rPr>
      </w:pPr>
    </w:p>
    <w:p>
      <w:pPr>
        <w:ind w:left="320" w:hanging="317"/>
        <w:spacing w:after="0"/>
        <w:tabs>
          <w:tab w:leader="none" w:pos="320" w:val="left"/>
        </w:tabs>
        <w:numPr>
          <w:ilvl w:val="0"/>
          <w:numId w:val="40"/>
        </w:numPr>
        <w:rPr>
          <w:rFonts w:ascii="Arial" w:cs="Arial" w:eastAsia="Arial" w:hAnsi="Arial"/>
          <w:sz w:val="21"/>
          <w:szCs w:val="21"/>
          <w:color w:val="34657F"/>
        </w:rPr>
      </w:pPr>
      <w:r>
        <w:rPr>
          <w:rFonts w:ascii="Arial" w:cs="Arial" w:eastAsia="Arial" w:hAnsi="Arial"/>
          <w:sz w:val="17"/>
          <w:szCs w:val="17"/>
          <w:color w:val="auto"/>
        </w:rPr>
        <w:t>Prohibitions on hedging or pledging of Company stock.</w:t>
      </w:r>
    </w:p>
    <w:p>
      <w:pPr>
        <w:spacing w:after="0" w:line="90" w:lineRule="exact"/>
        <w:rPr>
          <w:sz w:val="20"/>
          <w:szCs w:val="20"/>
          <w:color w:val="auto"/>
        </w:rPr>
      </w:pPr>
    </w:p>
    <w:p>
      <w:pPr>
        <w:ind w:right="80"/>
        <w:spacing w:after="0" w:line="257" w:lineRule="auto"/>
        <w:rPr>
          <w:sz w:val="20"/>
          <w:szCs w:val="20"/>
          <w:color w:val="auto"/>
        </w:rPr>
      </w:pPr>
      <w:r>
        <w:rPr>
          <w:rFonts w:ascii="Arial" w:cs="Arial" w:eastAsia="Arial" w:hAnsi="Arial"/>
          <w:sz w:val="17"/>
          <w:szCs w:val="17"/>
          <w:color w:val="auto"/>
        </w:rPr>
        <w:t>For a more extensive list of our best practices, refer to page 37 of this Proxy Statement. In addition, our Compensation Discussion and Analysis (CD&amp;A) provides a detailed discussion of our performance-based approach to executive compensation. We encourage you to read the CD&amp;A, the rest of this Proxy Statement and our 2018 Form 10-K, which describes our business and 2018 results in more detail.</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Recommendation</w:t>
      </w:r>
    </w:p>
    <w:p>
      <w:pPr>
        <w:spacing w:after="0" w:line="103"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The compensation of our executives is aligned to performance, is sensitive to shareholder returns, appropriately motivates and retains our executives, and is a competitive advantage in attracting and retaining the high caliber talent necessary to drive our business forward and build sustainable value for our shareholders. Accordingly, the Board recommends that shareholders approve the following resolution:</w:t>
      </w:r>
    </w:p>
    <w:p>
      <w:pPr>
        <w:spacing w:after="0" w:line="64" w:lineRule="exact"/>
        <w:rPr>
          <w:sz w:val="20"/>
          <w:szCs w:val="20"/>
          <w:color w:val="auto"/>
        </w:rPr>
      </w:pPr>
    </w:p>
    <w:p>
      <w:pPr>
        <w:ind w:right="320"/>
        <w:spacing w:after="0" w:line="257" w:lineRule="auto"/>
        <w:rPr>
          <w:sz w:val="20"/>
          <w:szCs w:val="20"/>
          <w:color w:val="auto"/>
        </w:rPr>
      </w:pPr>
      <w:r>
        <w:rPr>
          <w:rFonts w:ascii="Arial" w:cs="Arial" w:eastAsia="Arial" w:hAnsi="Arial"/>
          <w:sz w:val="17"/>
          <w:szCs w:val="17"/>
          <w:color w:val="auto"/>
        </w:rPr>
        <w:t>"RESOLVED, that, as an advisory matter, the shareholders of Northrop Grumman Corporation approve the compensation paid to the Company's named executive officers as disclosed in this Proxy Statement pursuant to Item 402 of Regulation S-K, including the Compensation Discussion and Analysis, compensation tables and narrative discussion."</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Vote Required</w:t>
      </w:r>
    </w:p>
    <w:p>
      <w:pPr>
        <w:spacing w:after="0" w:line="103" w:lineRule="exact"/>
        <w:rPr>
          <w:sz w:val="20"/>
          <w:szCs w:val="20"/>
          <w:color w:val="auto"/>
        </w:rPr>
      </w:pPr>
    </w:p>
    <w:p>
      <w:pPr>
        <w:ind w:right="20"/>
        <w:spacing w:after="0" w:line="263" w:lineRule="auto"/>
        <w:rPr>
          <w:sz w:val="20"/>
          <w:szCs w:val="20"/>
          <w:color w:val="auto"/>
        </w:rPr>
      </w:pPr>
      <w:r>
        <w:rPr>
          <w:rFonts w:ascii="Arial" w:cs="Arial" w:eastAsia="Arial" w:hAnsi="Arial"/>
          <w:sz w:val="17"/>
          <w:szCs w:val="17"/>
          <w:color w:val="auto"/>
        </w:rPr>
        <w:t>Approval of this proposal requires that the votes cast "for" the proposal exceed the votes cast "against" the proposal. Abstentions and broker non-votes will have no effect on this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119380</wp:posOffset>
            </wp:positionV>
            <wp:extent cx="7270115" cy="2114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70115" cy="211455"/>
                    </a:xfrm>
                    <a:prstGeom prst="rect">
                      <a:avLst/>
                    </a:prstGeom>
                    <a:noFill/>
                  </pic:spPr>
                </pic:pic>
              </a:graphicData>
            </a:graphic>
          </wp:anchor>
        </w:drawing>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34657F"/>
        </w:rPr>
        <w:t>THE BOARD OF DIRECTORS UNANIMOUSLY RECOMMENDS THAT YOU VOTE "FOR" PROPOSAL TWO.</w:t>
      </w: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34 </w:t>
      </w:r>
      <w:r>
        <w:rPr>
          <w:rFonts w:ascii="Arial" w:cs="Arial" w:eastAsia="Arial" w:hAnsi="Arial"/>
          <w:sz w:val="13"/>
          <w:szCs w:val="13"/>
          <w:color w:val="auto"/>
        </w:rPr>
        <w:t>I</w:t>
      </w:r>
      <w:r>
        <w:rPr>
          <w:rFonts w:ascii="Arial" w:cs="Arial" w:eastAsia="Arial" w:hAnsi="Arial"/>
          <w:sz w:val="17"/>
          <w:szCs w:val="17"/>
          <w:color w:val="auto"/>
        </w:rPr>
        <w:t xml:space="preserve"> </w:t>
      </w:r>
      <w:r>
        <w:rPr>
          <w:rFonts w:ascii="Arial" w:cs="Arial" w:eastAsia="Arial" w:hAnsi="Arial"/>
          <w:sz w:val="13"/>
          <w:szCs w:val="13"/>
          <w:color w:val="34657F"/>
        </w:rPr>
        <w:t>NOTICE OF 2019 ANNUAL MEETING OF SHAREHOLDERS AND PROXY STATEMENT</w:t>
      </w:r>
    </w:p>
    <w:p>
      <w:pPr>
        <w:sectPr>
          <w:pgSz w:w="11900" w:h="16838" w:orient="portrait"/>
          <w:cols w:equalWidth="0" w:num="1">
            <w:col w:w="11420"/>
          </w:cols>
          <w:pgMar w:left="240" w:top="569" w:right="239" w:bottom="1440" w:gutter="0" w:footer="0" w:header="0"/>
        </w:sectPr>
      </w:pPr>
    </w:p>
    <w:bookmarkStart w:id="40" w:name="page41"/>
    <w:bookmarkEnd w:id="40"/>
    <w:p>
      <w:pPr>
        <w:ind w:left="20"/>
        <w:spacing w:after="0"/>
        <w:rPr>
          <w:sz w:val="20"/>
          <w:szCs w:val="20"/>
          <w:color w:val="auto"/>
        </w:rPr>
      </w:pPr>
      <w:r>
        <w:rPr>
          <w:rFonts w:ascii="Arial" w:cs="Arial" w:eastAsia="Arial" w:hAnsi="Arial"/>
          <w:sz w:val="21"/>
          <w:szCs w:val="21"/>
          <w:b w:val="1"/>
          <w:bCs w:val="1"/>
          <w:color w:val="FFFFFF"/>
        </w:rPr>
        <w:drawing>
          <wp:anchor simplePos="0" relativeHeight="251657728" behindDoc="1" locked="0" layoutInCell="0" allowOverlap="1">
            <wp:simplePos x="0" y="0"/>
            <wp:positionH relativeFrom="page">
              <wp:posOffset>154305</wp:posOffset>
            </wp:positionH>
            <wp:positionV relativeFrom="page">
              <wp:posOffset>365760</wp:posOffset>
            </wp:positionV>
            <wp:extent cx="7253605" cy="56197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53605" cy="561975"/>
                    </a:xfrm>
                    <a:prstGeom prst="rect">
                      <a:avLst/>
                    </a:prstGeom>
                    <a:noFill/>
                  </pic:spPr>
                </pic:pic>
              </a:graphicData>
            </a:graphic>
          </wp:anchor>
        </w:drawing>
        <w:t>COMPENSATION DISCUSSION AND ANALYSIS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20"/>
        <w:spacing w:after="0"/>
        <w:rPr>
          <w:sz w:val="20"/>
          <w:szCs w:val="20"/>
          <w:color w:val="auto"/>
        </w:rPr>
      </w:pPr>
      <w:r>
        <w:rPr>
          <w:rFonts w:ascii="Arial" w:cs="Arial" w:eastAsia="Arial" w:hAnsi="Arial"/>
          <w:sz w:val="24"/>
          <w:szCs w:val="24"/>
          <w:b w:val="1"/>
          <w:bCs w:val="1"/>
          <w:color w:val="auto"/>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38100</wp:posOffset>
            </wp:positionV>
            <wp:extent cx="7253605" cy="1651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pacing w:after="0" w:line="142" w:lineRule="exact"/>
        <w:rPr>
          <w:sz w:val="20"/>
          <w:szCs w:val="20"/>
          <w:color w:val="auto"/>
        </w:rPr>
      </w:pPr>
    </w:p>
    <w:p>
      <w:pPr>
        <w:ind w:right="100"/>
        <w:spacing w:after="0" w:line="253" w:lineRule="auto"/>
        <w:rPr>
          <w:sz w:val="20"/>
          <w:szCs w:val="20"/>
          <w:color w:val="auto"/>
        </w:rPr>
      </w:pPr>
      <w:r>
        <w:rPr>
          <w:rFonts w:ascii="Arial" w:cs="Arial" w:eastAsia="Arial" w:hAnsi="Arial"/>
          <w:sz w:val="17"/>
          <w:szCs w:val="17"/>
          <w:color w:val="auto"/>
        </w:rPr>
        <w:t>In this CD&amp;A, we provide an overview of our executive compensation programs and the underlying philosophy used to develop the programs. We describe the material components of our executive compensation programs for our 2018 NEOs and explain how and why our Board's Compensation Committee arrived at certain specific compensation policies and decisions. We refer to certain non-GAAP (accounting principles generally accepted in the United States of America) financial measures, which are identified with asterisks. For more information, including definitions, reconciliations to the most directly comparable GAAP measure and why we believe these measures may be useful to investors, see "Appendix A - Use of Non-GAAP Financial Measures." The 2018 NEO compensation is provided in the Summary Compensation Table on page 53 and other compensation tables contained in this Proxy Statement.</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2018 NEOs</w:t>
      </w:r>
    </w:p>
    <w:p>
      <w:pPr>
        <w:spacing w:after="0" w:line="78" w:lineRule="exact"/>
        <w:rPr>
          <w:sz w:val="20"/>
          <w:szCs w:val="20"/>
          <w:color w:val="auto"/>
        </w:rPr>
      </w:pPr>
    </w:p>
    <w:p>
      <w:pPr>
        <w:ind w:left="4980"/>
        <w:spacing w:after="0"/>
        <w:rPr>
          <w:sz w:val="20"/>
          <w:szCs w:val="20"/>
          <w:color w:val="auto"/>
        </w:rPr>
      </w:pPr>
      <w:r>
        <w:rPr>
          <w:rFonts w:ascii="Arial" w:cs="Arial" w:eastAsia="Arial" w:hAnsi="Arial"/>
          <w:sz w:val="17"/>
          <w:szCs w:val="17"/>
          <w:b w:val="1"/>
          <w:bCs w:val="1"/>
          <w:color w:val="auto"/>
        </w:rPr>
        <w:t>WESLEY G. BUSH</w:t>
      </w:r>
    </w:p>
    <w:p>
      <w:pPr>
        <w:spacing w:after="0" w:line="29" w:lineRule="exact"/>
        <w:rPr>
          <w:sz w:val="20"/>
          <w:szCs w:val="20"/>
          <w:color w:val="auto"/>
        </w:rPr>
      </w:pPr>
    </w:p>
    <w:p>
      <w:pPr>
        <w:ind w:left="4920"/>
        <w:spacing w:after="0"/>
        <w:rPr>
          <w:sz w:val="20"/>
          <w:szCs w:val="20"/>
          <w:color w:val="auto"/>
        </w:rPr>
      </w:pPr>
      <w:r>
        <w:rPr>
          <w:rFonts w:ascii="Arial" w:cs="Arial" w:eastAsia="Arial" w:hAnsi="Arial"/>
          <w:sz w:val="17"/>
          <w:szCs w:val="17"/>
          <w:b w:val="1"/>
          <w:bCs w:val="1"/>
          <w:color w:val="auto"/>
        </w:rPr>
        <w:t>KATHY J. WARDEN</w:t>
      </w:r>
    </w:p>
    <w:p>
      <w:pPr>
        <w:spacing w:after="0" w:line="10" w:lineRule="exact"/>
        <w:rPr>
          <w:sz w:val="20"/>
          <w:szCs w:val="20"/>
          <w:color w:val="auto"/>
        </w:rPr>
      </w:pPr>
    </w:p>
    <w:p>
      <w:pPr>
        <w:ind w:left="4600"/>
        <w:spacing w:after="0"/>
        <w:rPr>
          <w:sz w:val="20"/>
          <w:szCs w:val="20"/>
          <w:color w:val="auto"/>
        </w:rPr>
      </w:pPr>
      <w:r>
        <w:rPr>
          <w:rFonts w:ascii="Arial" w:cs="Arial" w:eastAsia="Arial" w:hAnsi="Arial"/>
          <w:sz w:val="17"/>
          <w:szCs w:val="17"/>
          <w:b w:val="1"/>
          <w:bCs w:val="1"/>
          <w:color w:val="auto"/>
        </w:rPr>
        <w:t>KENNETH L. BEDINGFIELD</w:t>
      </w:r>
    </w:p>
    <w:p>
      <w:pPr>
        <w:spacing w:after="0" w:line="10" w:lineRule="exact"/>
        <w:rPr>
          <w:sz w:val="20"/>
          <w:szCs w:val="20"/>
          <w:color w:val="auto"/>
        </w:rPr>
      </w:pPr>
    </w:p>
    <w:p>
      <w:pPr>
        <w:ind w:left="4980"/>
        <w:spacing w:after="0"/>
        <w:rPr>
          <w:sz w:val="20"/>
          <w:szCs w:val="20"/>
          <w:color w:val="auto"/>
        </w:rPr>
      </w:pPr>
      <w:r>
        <w:rPr>
          <w:rFonts w:ascii="Arial" w:cs="Arial" w:eastAsia="Arial" w:hAnsi="Arial"/>
          <w:sz w:val="17"/>
          <w:szCs w:val="17"/>
          <w:b w:val="1"/>
          <w:bCs w:val="1"/>
          <w:color w:val="auto"/>
        </w:rPr>
        <w:t>MARK A. CAYLOR</w:t>
      </w:r>
    </w:p>
    <w:p>
      <w:pPr>
        <w:spacing w:after="0" w:line="10" w:lineRule="exact"/>
        <w:rPr>
          <w:sz w:val="20"/>
          <w:szCs w:val="20"/>
          <w:color w:val="auto"/>
        </w:rPr>
      </w:pPr>
    </w:p>
    <w:p>
      <w:pPr>
        <w:ind w:left="4800"/>
        <w:spacing w:after="0"/>
        <w:rPr>
          <w:sz w:val="20"/>
          <w:szCs w:val="20"/>
          <w:color w:val="auto"/>
        </w:rPr>
      </w:pPr>
      <w:r>
        <w:rPr>
          <w:rFonts w:ascii="Arial" w:cs="Arial" w:eastAsia="Arial" w:hAnsi="Arial"/>
          <w:sz w:val="17"/>
          <w:szCs w:val="17"/>
          <w:b w:val="1"/>
          <w:bCs w:val="1"/>
          <w:color w:val="auto"/>
        </w:rPr>
        <w:t xml:space="preserve">BLAKE E. LARSON </w:t>
      </w:r>
      <w:r>
        <w:rPr>
          <w:rFonts w:ascii="Arial" w:cs="Arial" w:eastAsia="Arial" w:hAnsi="Arial"/>
          <w:sz w:val="14"/>
          <w:szCs w:val="14"/>
          <w:b w:val="1"/>
          <w:bCs w:val="1"/>
          <w:color w:val="auto"/>
        </w:rPr>
        <w:t>(1)</w:t>
      </w:r>
    </w:p>
    <w:p>
      <w:pPr>
        <w:spacing w:after="0" w:line="87" w:lineRule="exact"/>
        <w:rPr>
          <w:sz w:val="20"/>
          <w:szCs w:val="20"/>
          <w:color w:val="auto"/>
        </w:rPr>
      </w:pPr>
    </w:p>
    <w:p>
      <w:pPr>
        <w:ind w:left="160" w:right="20" w:hanging="157"/>
        <w:spacing w:after="0" w:line="257" w:lineRule="auto"/>
        <w:tabs>
          <w:tab w:leader="none" w:pos="220" w:val="left"/>
        </w:tabs>
        <w:numPr>
          <w:ilvl w:val="0"/>
          <w:numId w:val="41"/>
        </w:numPr>
        <w:rPr>
          <w:rFonts w:ascii="Arial" w:cs="Arial" w:eastAsia="Arial" w:hAnsi="Arial"/>
          <w:sz w:val="14"/>
          <w:szCs w:val="14"/>
          <w:color w:val="auto"/>
        </w:rPr>
      </w:pPr>
      <w:r>
        <w:rPr>
          <w:rFonts w:ascii="Arial" w:cs="Arial" w:eastAsia="Arial" w:hAnsi="Arial"/>
          <w:sz w:val="17"/>
          <w:szCs w:val="17"/>
          <w:color w:val="auto"/>
        </w:rPr>
        <w:t>Mr. Larson was elected Corporate Vice President and President, Innovation Systems (President, Innovation Systems) effective as of June 6, 2018 (the "Merger Date"). The "Compensation Tables" of this CD&amp;A include compensation Mr. Larson earned relative to his service as an elected officer of Northrop Grumman (i.e., from the Merger Date - December 31, 2018), except as otherwise discussed in the CD&amp;A.</w:t>
      </w:r>
    </w:p>
    <w:p>
      <w:pPr>
        <w:spacing w:after="0" w:line="224" w:lineRule="exact"/>
        <w:rPr>
          <w:sz w:val="20"/>
          <w:szCs w:val="20"/>
          <w:color w:val="auto"/>
        </w:rPr>
      </w:pPr>
    </w:p>
    <w:p>
      <w:pPr>
        <w:jc w:val="right"/>
        <w:spacing w:after="0"/>
        <w:rPr>
          <w:sz w:val="20"/>
          <w:szCs w:val="20"/>
          <w:color w:val="auto"/>
        </w:rPr>
      </w:pPr>
      <w:r>
        <w:rPr>
          <w:rFonts w:ascii="Arial" w:cs="Arial" w:eastAsia="Arial" w:hAnsi="Arial"/>
          <w:sz w:val="14"/>
          <w:szCs w:val="14"/>
          <w:color w:val="34657F"/>
        </w:rPr>
        <w:t xml:space="preserve">NOTICE OF 2019 ANNUAL MEETING OF SHAREHOLDERS AND PROXY STATEMENT </w:t>
      </w:r>
      <w:r>
        <w:rPr>
          <w:rFonts w:ascii="Arial" w:cs="Arial" w:eastAsia="Arial" w:hAnsi="Arial"/>
          <w:sz w:val="14"/>
          <w:szCs w:val="14"/>
          <w:color w:val="000000"/>
        </w:rPr>
        <w:t>I 35</w:t>
      </w:r>
    </w:p>
    <w:p>
      <w:pPr>
        <w:sectPr>
          <w:pgSz w:w="11900" w:h="16838" w:orient="portrait"/>
          <w:cols w:equalWidth="0" w:num="1">
            <w:col w:w="11420"/>
          </w:cols>
          <w:pgMar w:left="240" w:top="671" w:right="239" w:bottom="1440" w:gutter="0" w:footer="0" w:header="0"/>
        </w:sectPr>
      </w:pPr>
    </w:p>
    <w:bookmarkStart w:id="41" w:name="page42"/>
    <w:bookmarkEnd w:id="41"/>
    <w:p>
      <w:pPr>
        <w:ind w:left="20"/>
        <w:spacing w:after="0"/>
        <w:rPr>
          <w:sz w:val="20"/>
          <w:szCs w:val="20"/>
          <w:color w:val="auto"/>
        </w:rPr>
      </w:pPr>
      <w:r>
        <w:rPr>
          <w:rFonts w:ascii="Arial" w:cs="Arial" w:eastAsia="Arial" w:hAnsi="Arial"/>
          <w:sz w:val="21"/>
          <w:szCs w:val="21"/>
          <w:b w:val="1"/>
          <w:bCs w:val="1"/>
          <w:color w:val="FFFFFF"/>
        </w:rPr>
        <w:drawing>
          <wp:anchor simplePos="0" relativeHeight="251657728" behindDoc="1" locked="0" layoutInCell="0" allowOverlap="1">
            <wp:simplePos x="0" y="0"/>
            <wp:positionH relativeFrom="page">
              <wp:posOffset>154305</wp:posOffset>
            </wp:positionH>
            <wp:positionV relativeFrom="page">
              <wp:posOffset>365760</wp:posOffset>
            </wp:positionV>
            <wp:extent cx="7253605" cy="56197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53605" cy="561975"/>
                    </a:xfrm>
                    <a:prstGeom prst="rect">
                      <a:avLst/>
                    </a:prstGeom>
                    <a:noFill/>
                  </pic:spPr>
                </pic:pic>
              </a:graphicData>
            </a:graphic>
          </wp:anchor>
        </w:drawing>
        <w:t>COMPENSATION DISCUSSION AND ANALYSIS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20"/>
        <w:spacing w:after="0"/>
        <w:rPr>
          <w:sz w:val="20"/>
          <w:szCs w:val="20"/>
          <w:color w:val="auto"/>
        </w:rPr>
      </w:pPr>
      <w:r>
        <w:rPr>
          <w:rFonts w:ascii="Arial" w:cs="Arial" w:eastAsia="Arial" w:hAnsi="Arial"/>
          <w:sz w:val="24"/>
          <w:szCs w:val="24"/>
          <w:b w:val="1"/>
          <w:bCs w:val="1"/>
          <w:color w:val="auto"/>
        </w:rPr>
        <w:t>CEO Transition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38100</wp:posOffset>
            </wp:positionV>
            <wp:extent cx="7253605" cy="1651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color w:val="auto"/>
        </w:rPr>
        <w:t>The Company executed a smooth transition in executive leadership, announcing in July 2018 that Kathy Warden would become our Chief Executive</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Officer on January 1, 2019. Ms. Warden joined Northrop Grumman in 2008, and has been in operating roles of increasing responsibility, spanning</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much of our technology portfolio and customer base. Ms. Warden led the Company’s cybersecurity business and the former Information Systems</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sector. She also led the integration of two sectors to stand up a new operating model for our Mission Systems sector, and is leading the integration of</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the legacy Orbital ATK business. Most recently, she was appointed Chief Operating Officer in January 2018, and the Board elected Ms. Warden to the</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Board of Directors on July 12, 2018. To reflect the strength of leadership already demonstrated by Ms. Warden and the Board’s confidence in the</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succession transition and future performance, the Board of Directors approved for Ms. Warden a one-time promotion long-term incentive grant of</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$5,000,000. The grant is comprised of 70% Restricted Performance Stock Rights (RPSRs) for the 2018-2020 performance period and 30% Restricted</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Stock Rights (RSRs).</w:t>
      </w:r>
    </w:p>
    <w:p>
      <w:pPr>
        <w:spacing w:after="0" w:line="87" w:lineRule="exact"/>
        <w:rPr>
          <w:sz w:val="20"/>
          <w:szCs w:val="20"/>
          <w:color w:val="auto"/>
        </w:rPr>
      </w:pPr>
    </w:p>
    <w:p>
      <w:pPr>
        <w:ind w:right="20"/>
        <w:spacing w:after="0" w:line="254" w:lineRule="auto"/>
        <w:rPr>
          <w:sz w:val="20"/>
          <w:szCs w:val="20"/>
          <w:color w:val="auto"/>
        </w:rPr>
      </w:pPr>
      <w:r>
        <w:rPr>
          <w:rFonts w:ascii="Arial" w:cs="Arial" w:eastAsia="Arial" w:hAnsi="Arial"/>
          <w:sz w:val="17"/>
          <w:szCs w:val="17"/>
          <w:color w:val="auto"/>
        </w:rPr>
        <w:t>Wesley Bush will continue to serve as Chairman until his retirement on July 31, 2019. Mr. Bush has presided as CEO since January 2010, through numerous business restructuring and business divestitures which have grown shareholder value and strategically positioned the Company for future growth and success. The Board of Directors approved continued vesting of the two long-term incentive grants, previously awarded to Mr. Bush in 2017 and 2018, and as a result, these grants will continue to vest through the applicable performance and vesting periods. These grants will have the same holding requirements as described on page 50 and the modifications extend post-employment covenants, including non-competition and non-solicitation of customers and employees, to July 31, 2022.</w:t>
      </w:r>
    </w:p>
    <w:p>
      <w:pPr>
        <w:spacing w:after="0" w:line="66" w:lineRule="exact"/>
        <w:rPr>
          <w:sz w:val="20"/>
          <w:szCs w:val="20"/>
          <w:color w:val="auto"/>
        </w:rPr>
      </w:pPr>
    </w:p>
    <w:p>
      <w:pPr>
        <w:ind w:right="140"/>
        <w:spacing w:after="0" w:line="263" w:lineRule="auto"/>
        <w:rPr>
          <w:sz w:val="20"/>
          <w:szCs w:val="20"/>
          <w:color w:val="auto"/>
        </w:rPr>
      </w:pPr>
      <w:r>
        <w:rPr>
          <w:rFonts w:ascii="Arial" w:cs="Arial" w:eastAsia="Arial" w:hAnsi="Arial"/>
          <w:sz w:val="17"/>
          <w:szCs w:val="17"/>
          <w:color w:val="auto"/>
        </w:rPr>
        <w:t>At the request of Ms. Warden and as authorized by the Board of Directors, Mr. Bush has agreed to provide limited consulting service to the Company after July 2019, for an initial period of five years. Consulting fees are not expected to exceed $200,000 per year.</w:t>
      </w:r>
    </w:p>
    <w:p>
      <w:pPr>
        <w:spacing w:after="0" w:line="59" w:lineRule="exact"/>
        <w:rPr>
          <w:sz w:val="20"/>
          <w:szCs w:val="20"/>
          <w:color w:val="auto"/>
        </w:rPr>
      </w:pPr>
    </w:p>
    <w:p>
      <w:pPr>
        <w:spacing w:after="0"/>
        <w:rPr>
          <w:sz w:val="20"/>
          <w:szCs w:val="20"/>
          <w:color w:val="auto"/>
        </w:rPr>
      </w:pPr>
      <w:r>
        <w:rPr>
          <w:rFonts w:ascii="Arial" w:cs="Arial" w:eastAsia="Arial" w:hAnsi="Arial"/>
          <w:sz w:val="17"/>
          <w:szCs w:val="17"/>
          <w:color w:val="auto"/>
        </w:rPr>
        <w:t>All references to CEO compensation in this CD&amp;A reflect Mr. Bush's compensation in connection with his service as CEO during all of 2018.</w:t>
      </w:r>
    </w:p>
    <w:p>
      <w:pPr>
        <w:spacing w:after="0" w:line="290" w:lineRule="exact"/>
        <w:rPr>
          <w:sz w:val="20"/>
          <w:szCs w:val="20"/>
          <w:color w:val="auto"/>
        </w:rPr>
      </w:pPr>
    </w:p>
    <w:p>
      <w:pPr>
        <w:ind w:left="20"/>
        <w:spacing w:after="0"/>
        <w:rPr>
          <w:sz w:val="20"/>
          <w:szCs w:val="20"/>
          <w:color w:val="auto"/>
        </w:rPr>
      </w:pPr>
      <w:r>
        <w:rPr>
          <w:rFonts w:ascii="Arial" w:cs="Arial" w:eastAsia="Arial" w:hAnsi="Arial"/>
          <w:sz w:val="24"/>
          <w:szCs w:val="24"/>
          <w:b w:val="1"/>
          <w:bCs w:val="1"/>
          <w:color w:val="auto"/>
        </w:rPr>
        <w:t>New Sector Leadership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38100</wp:posOffset>
            </wp:positionV>
            <wp:extent cx="7253605" cy="1651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pacing w:after="0" w:line="142"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On June 6, 2018, Northrop Grumman completed a strategic acquisition of Orbital ATK to expand capabilities and accelerate innovation in critical global security domains. The legacy Orbital ATK business became a wholly-owned subsidiary of the Company and its name was changed to Northrop Grumman Innovation Systems, Inc., which we established as a new, fourth business sector (Innovation Systems). We elected Blake Larson, previously the Chief Operating Officer of Orbital ATK, as the President of the new operating sector.</w:t>
      </w:r>
    </w:p>
    <w:p>
      <w:pPr>
        <w:spacing w:after="0" w:line="67" w:lineRule="exact"/>
        <w:rPr>
          <w:sz w:val="20"/>
          <w:szCs w:val="20"/>
          <w:color w:val="auto"/>
        </w:rPr>
      </w:pPr>
    </w:p>
    <w:p>
      <w:pPr>
        <w:jc w:val="both"/>
        <w:ind w:right="180"/>
        <w:spacing w:after="0" w:line="257" w:lineRule="auto"/>
        <w:rPr>
          <w:sz w:val="20"/>
          <w:szCs w:val="20"/>
          <w:color w:val="auto"/>
        </w:rPr>
      </w:pPr>
      <w:r>
        <w:rPr>
          <w:rFonts w:ascii="Arial" w:cs="Arial" w:eastAsia="Arial" w:hAnsi="Arial"/>
          <w:sz w:val="17"/>
          <w:szCs w:val="17"/>
          <w:color w:val="auto"/>
        </w:rPr>
        <w:t>Pursuant to the Agreement and Plan of Merger dated September 17, 2017 (the "Merger Agreement"), the majority of the value of Mr. Larson's 2018 legacy Orbital ATK long-term grants was forfeited. In recognition of Mr. Larson’s proven leadership and his election as an officer of the Company, the Board approved a new, long-term incentive grant of $3,000,000 for the 2018-2020 performance period, comprised of 70% RPSRs and 30% RSRs.</w:t>
      </w:r>
    </w:p>
    <w:p>
      <w:pPr>
        <w:spacing w:after="0" w:line="64"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Former executives of the legacy Orbital ATK company participated in change-in-control plans, the Income Security Plans (ISPs). Upon joining Northrop Grumman, Mr. Larson agreed to waive any rights to further compensation and benefits under the ISPs and the Merger Agreement retention grant. In recognition of this forfeited value, the Company provided Mr. Larson a one-time RSR award of $3,500,000. The terms of this award are reported in the Grants of Plan-Based Awards Table on page 55.</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36 </w:t>
      </w:r>
      <w:r>
        <w:rPr>
          <w:rFonts w:ascii="Arial" w:cs="Arial" w:eastAsia="Arial" w:hAnsi="Arial"/>
          <w:sz w:val="13"/>
          <w:szCs w:val="13"/>
          <w:color w:val="auto"/>
        </w:rPr>
        <w:t>I</w:t>
      </w:r>
      <w:r>
        <w:rPr>
          <w:rFonts w:ascii="Arial" w:cs="Arial" w:eastAsia="Arial" w:hAnsi="Arial"/>
          <w:sz w:val="17"/>
          <w:szCs w:val="17"/>
          <w:color w:val="auto"/>
        </w:rPr>
        <w:t xml:space="preserve"> </w:t>
      </w:r>
      <w:r>
        <w:rPr>
          <w:rFonts w:ascii="Arial" w:cs="Arial" w:eastAsia="Arial" w:hAnsi="Arial"/>
          <w:sz w:val="13"/>
          <w:szCs w:val="13"/>
          <w:color w:val="34657F"/>
        </w:rPr>
        <w:t>NOTICE OF 2019 ANNUAL MEETING OF SHAREHOLDERS AND PROXY STATEMENT</w:t>
      </w:r>
    </w:p>
    <w:p>
      <w:pPr>
        <w:sectPr>
          <w:pgSz w:w="11900" w:h="16838" w:orient="portrait"/>
          <w:cols w:equalWidth="0" w:num="1">
            <w:col w:w="11380"/>
          </w:cols>
          <w:pgMar w:left="240" w:top="671" w:right="279" w:bottom="1440" w:gutter="0" w:footer="0" w:header="0"/>
        </w:sectPr>
      </w:pPr>
    </w:p>
    <w:bookmarkStart w:id="42" w:name="page43"/>
    <w:bookmarkEnd w:id="42"/>
    <w:p>
      <w:pPr>
        <w:ind w:left="20"/>
        <w:spacing w:after="0"/>
        <w:rPr>
          <w:sz w:val="20"/>
          <w:szCs w:val="20"/>
          <w:color w:val="auto"/>
        </w:rPr>
      </w:pPr>
      <w:r>
        <w:rPr>
          <w:rFonts w:ascii="Arial" w:cs="Arial" w:eastAsia="Arial" w:hAnsi="Arial"/>
          <w:sz w:val="21"/>
          <w:szCs w:val="21"/>
          <w:b w:val="1"/>
          <w:bCs w:val="1"/>
          <w:color w:val="FFFFFF"/>
        </w:rPr>
        <w:drawing>
          <wp:anchor simplePos="0" relativeHeight="251657728" behindDoc="1" locked="0" layoutInCell="0" allowOverlap="1">
            <wp:simplePos x="0" y="0"/>
            <wp:positionH relativeFrom="page">
              <wp:posOffset>154305</wp:posOffset>
            </wp:positionH>
            <wp:positionV relativeFrom="page">
              <wp:posOffset>398145</wp:posOffset>
            </wp:positionV>
            <wp:extent cx="7253605" cy="56197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53605" cy="561975"/>
                    </a:xfrm>
                    <a:prstGeom prst="rect">
                      <a:avLst/>
                    </a:prstGeom>
                    <a:noFill/>
                  </pic:spPr>
                </pic:pic>
              </a:graphicData>
            </a:graphic>
          </wp:anchor>
        </w:drawing>
        <w:t>COMPENSATION DISCUSSION AND ANALYSIS | E</w:t>
      </w:r>
      <w:r>
        <w:rPr>
          <w:rFonts w:ascii="Arial" w:cs="Arial" w:eastAsia="Arial" w:hAnsi="Arial"/>
          <w:sz w:val="17"/>
          <w:szCs w:val="17"/>
          <w:b w:val="1"/>
          <w:bCs w:val="1"/>
          <w:color w:val="FFFFFF"/>
        </w:rPr>
        <w:t>XECUTIVE</w:t>
      </w:r>
      <w:r>
        <w:rPr>
          <w:rFonts w:ascii="Arial" w:cs="Arial" w:eastAsia="Arial" w:hAnsi="Arial"/>
          <w:sz w:val="21"/>
          <w:szCs w:val="21"/>
          <w:b w:val="1"/>
          <w:bCs w:val="1"/>
          <w:color w:val="FFFFFF"/>
        </w:rPr>
        <w:t xml:space="preserve"> S</w:t>
      </w:r>
      <w:r>
        <w:rPr>
          <w:rFonts w:ascii="Arial" w:cs="Arial" w:eastAsia="Arial" w:hAnsi="Arial"/>
          <w:sz w:val="17"/>
          <w:szCs w:val="17"/>
          <w:b w:val="1"/>
          <w:bCs w:val="1"/>
          <w:color w:val="FFFFFF"/>
        </w:rPr>
        <w:t>UMMARY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20"/>
        <w:spacing w:after="0"/>
        <w:rPr>
          <w:sz w:val="20"/>
          <w:szCs w:val="20"/>
          <w:color w:val="auto"/>
        </w:rPr>
      </w:pPr>
      <w:r>
        <w:rPr>
          <w:rFonts w:ascii="Arial" w:cs="Arial" w:eastAsia="Arial" w:hAnsi="Arial"/>
          <w:sz w:val="24"/>
          <w:szCs w:val="24"/>
          <w:b w:val="1"/>
          <w:bCs w:val="1"/>
          <w:color w:val="auto"/>
        </w:rPr>
        <w:t>Summary of Our Executive Compensation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38100</wp:posOffset>
            </wp:positionV>
            <wp:extent cx="7253605" cy="1651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pacing w:after="0" w:line="142" w:lineRule="exact"/>
        <w:rPr>
          <w:sz w:val="20"/>
          <w:szCs w:val="20"/>
          <w:color w:val="auto"/>
        </w:rPr>
      </w:pPr>
    </w:p>
    <w:p>
      <w:pPr>
        <w:ind w:right="40"/>
        <w:spacing w:after="0" w:line="257" w:lineRule="auto"/>
        <w:rPr>
          <w:sz w:val="20"/>
          <w:szCs w:val="20"/>
          <w:color w:val="auto"/>
        </w:rPr>
      </w:pPr>
      <w:r>
        <w:rPr>
          <w:rFonts w:ascii="Arial" w:cs="Arial" w:eastAsia="Arial" w:hAnsi="Arial"/>
          <w:sz w:val="17"/>
          <w:szCs w:val="17"/>
          <w:color w:val="auto"/>
        </w:rPr>
        <w:t>Our executive compensation philosophy is to provide a complementary set of compensation programs to our NEOs with attractive, flexible and market-based total compensation tied to annual and long-term performance and aligned with the interests of our shareholders. The key elements of our compensation programs for our NEOs are summarized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73660</wp:posOffset>
            </wp:positionV>
            <wp:extent cx="7261860" cy="267017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61860" cy="2670175"/>
                    </a:xfrm>
                    <a:prstGeom prst="rect">
                      <a:avLst/>
                    </a:prstGeom>
                    <a:noFill/>
                  </pic:spPr>
                </pic:pic>
              </a:graphicData>
            </a:graphic>
          </wp:anchor>
        </w:drawing>
      </w:r>
    </w:p>
    <w:p>
      <w:pPr>
        <w:sectPr>
          <w:pgSz w:w="11900" w:h="16838" w:orient="portrait"/>
          <w:cols w:equalWidth="0" w:num="1">
            <w:col w:w="11420"/>
          </w:cols>
          <w:pgMar w:left="240" w:top="723" w:right="239" w:bottom="1440" w:gutter="0" w:footer="0" w:header="0"/>
        </w:sectPr>
      </w:pPr>
    </w:p>
    <w:p>
      <w:pPr>
        <w:spacing w:after="0" w:line="147" w:lineRule="exact"/>
        <w:rPr>
          <w:sz w:val="20"/>
          <w:szCs w:val="20"/>
          <w:color w:val="auto"/>
        </w:rPr>
      </w:pPr>
    </w:p>
    <w:tbl>
      <w:tblPr>
        <w:tblLayout w:type="fixed"/>
        <w:tblInd w:w="10" w:type="dxa"/>
        <w:tblCellMar>
          <w:top w:w="0" w:type="dxa"/>
          <w:left w:w="0" w:type="dxa"/>
          <w:bottom w:w="0" w:type="dxa"/>
          <w:right w:w="0" w:type="dxa"/>
        </w:tblCellMar>
      </w:tblPr>
      <w:tr>
        <w:trPr>
          <w:trHeight w:val="232"/>
        </w:trPr>
        <w:tc>
          <w:tcPr>
            <w:tcW w:w="1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0" w:type="dxa"/>
            <w:vAlign w:val="bottom"/>
            <w:gridSpan w:val="2"/>
          </w:tcPr>
          <w:p>
            <w:pPr>
              <w:jc w:val="center"/>
              <w:ind w:right="140"/>
              <w:spacing w:after="0"/>
              <w:rPr>
                <w:sz w:val="20"/>
                <w:szCs w:val="20"/>
                <w:color w:val="auto"/>
              </w:rPr>
            </w:pPr>
            <w:r>
              <w:rPr>
                <w:rFonts w:ascii="Arial" w:cs="Arial" w:eastAsia="Arial" w:hAnsi="Arial"/>
                <w:sz w:val="17"/>
                <w:szCs w:val="17"/>
                <w:b w:val="1"/>
                <w:bCs w:val="1"/>
                <w:color w:val="auto"/>
              </w:rPr>
              <w:t>Compensation Element</w:t>
            </w:r>
          </w:p>
        </w:tc>
        <w:tc>
          <w:tcPr>
            <w:tcW w:w="2960" w:type="dxa"/>
            <w:vAlign w:val="bottom"/>
          </w:tcPr>
          <w:p>
            <w:pPr>
              <w:jc w:val="center"/>
              <w:spacing w:after="0"/>
              <w:rPr>
                <w:sz w:val="20"/>
                <w:szCs w:val="20"/>
                <w:color w:val="auto"/>
              </w:rPr>
            </w:pPr>
            <w:r>
              <w:rPr>
                <w:rFonts w:ascii="Arial" w:cs="Arial" w:eastAsia="Arial" w:hAnsi="Arial"/>
                <w:sz w:val="17"/>
                <w:szCs w:val="17"/>
                <w:b w:val="1"/>
                <w:bCs w:val="1"/>
                <w:color w:val="auto"/>
                <w:w w:val="99"/>
              </w:rPr>
              <w:t>Purpose</w:t>
            </w:r>
          </w:p>
        </w:tc>
        <w:tc>
          <w:tcPr>
            <w:tcW w:w="0" w:type="dxa"/>
            <w:vAlign w:val="bottom"/>
          </w:tcPr>
          <w:p>
            <w:pPr>
              <w:spacing w:after="0"/>
              <w:rPr>
                <w:sz w:val="1"/>
                <w:szCs w:val="1"/>
                <w:color w:val="auto"/>
              </w:rPr>
            </w:pPr>
          </w:p>
        </w:tc>
      </w:tr>
      <w:tr>
        <w:trPr>
          <w:trHeight w:val="128"/>
        </w:trPr>
        <w:tc>
          <w:tcPr>
            <w:tcW w:w="162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2280" w:type="dxa"/>
            <w:vAlign w:val="bottom"/>
            <w:tcBorders>
              <w:top w:val="single" w:sz="8" w:color="auto"/>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960" w:type="dxa"/>
            <w:vAlign w:val="bottom"/>
            <w:tcBorders>
              <w:top w:val="single" w:sz="8" w:color="auto"/>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95"/>
        </w:trPr>
        <w:tc>
          <w:tcPr>
            <w:tcW w:w="1620" w:type="dxa"/>
            <w:vAlign w:val="bottom"/>
            <w:tcBorders>
              <w:left w:val="single" w:sz="8" w:color="auto"/>
              <w:right w:val="single" w:sz="8" w:color="auto"/>
            </w:tcBorders>
            <w:shd w:val="clear" w:color="auto" w:fill="A8AAA8"/>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Base Salary</w:t>
            </w:r>
          </w:p>
        </w:tc>
        <w:tc>
          <w:tcPr>
            <w:tcW w:w="120" w:type="dxa"/>
            <w:vAlign w:val="bottom"/>
            <w:tcBorders>
              <w:right w:val="single" w:sz="8" w:color="auto"/>
            </w:tcBorders>
          </w:tcPr>
          <w:p>
            <w:pPr>
              <w:spacing w:after="0"/>
              <w:rPr>
                <w:sz w:val="24"/>
                <w:szCs w:val="24"/>
                <w:color w:val="auto"/>
              </w:rPr>
            </w:pPr>
          </w:p>
        </w:tc>
        <w:tc>
          <w:tcPr>
            <w:tcW w:w="296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Compensate fairly and competitively</w:t>
            </w:r>
          </w:p>
        </w:tc>
        <w:tc>
          <w:tcPr>
            <w:tcW w:w="0" w:type="dxa"/>
            <w:vAlign w:val="bottom"/>
          </w:tcPr>
          <w:p>
            <w:pPr>
              <w:spacing w:after="0"/>
              <w:rPr>
                <w:sz w:val="1"/>
                <w:szCs w:val="1"/>
                <w:color w:val="auto"/>
              </w:rPr>
            </w:pPr>
          </w:p>
        </w:tc>
      </w:tr>
      <w:tr>
        <w:trPr>
          <w:trHeight w:val="108"/>
        </w:trPr>
        <w:tc>
          <w:tcPr>
            <w:tcW w:w="1620" w:type="dxa"/>
            <w:vAlign w:val="bottom"/>
            <w:tcBorders>
              <w:left w:val="single" w:sz="8" w:color="auto"/>
              <w:bottom w:val="single" w:sz="8" w:color="A8AAA8"/>
              <w:right w:val="single" w:sz="8" w:color="auto"/>
            </w:tcBorders>
            <w:vMerge w:val="restart"/>
            <w:shd w:val="clear" w:color="auto" w:fill="A8AAA8"/>
          </w:tcPr>
          <w:p>
            <w:pPr>
              <w:jc w:val="center"/>
              <w:spacing w:after="0"/>
              <w:rPr>
                <w:sz w:val="20"/>
                <w:szCs w:val="20"/>
                <w:color w:val="auto"/>
              </w:rPr>
            </w:pPr>
            <w:r>
              <w:rPr>
                <w:rFonts w:ascii="Arial" w:cs="Arial" w:eastAsia="Arial" w:hAnsi="Arial"/>
                <w:sz w:val="17"/>
                <w:szCs w:val="17"/>
                <w:b w:val="1"/>
                <w:bCs w:val="1"/>
                <w:color w:val="FFFFFF"/>
              </w:rPr>
              <w:t>Fixed Component</w:t>
            </w:r>
          </w:p>
        </w:tc>
        <w:tc>
          <w:tcPr>
            <w:tcW w:w="140" w:type="dxa"/>
            <w:vAlign w:val="bottom"/>
            <w:tcBorders>
              <w:right w:val="single" w:sz="8" w:color="auto"/>
            </w:tcBorders>
          </w:tcPr>
          <w:p>
            <w:pPr>
              <w:spacing w:after="0"/>
              <w:rPr>
                <w:sz w:val="9"/>
                <w:szCs w:val="9"/>
                <w:color w:val="auto"/>
              </w:rPr>
            </w:pPr>
          </w:p>
        </w:tc>
        <w:tc>
          <w:tcPr>
            <w:tcW w:w="2280" w:type="dxa"/>
            <w:vAlign w:val="bottom"/>
            <w:tcBorders>
              <w:bottom w:val="single" w:sz="8" w:color="auto"/>
              <w:right w:val="single" w:sz="8" w:color="auto"/>
            </w:tcBorders>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29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1620" w:type="dxa"/>
            <w:vAlign w:val="bottom"/>
            <w:tcBorders>
              <w:left w:val="single" w:sz="8" w:color="auto"/>
              <w:bottom w:val="single" w:sz="8" w:color="A8AAA8"/>
              <w:right w:val="single" w:sz="8" w:color="auto"/>
            </w:tcBorders>
            <w:vMerge w:val="continue"/>
            <w:shd w:val="clear" w:color="auto" w:fill="A8AAA8"/>
          </w:tcPr>
          <w:p>
            <w:pPr>
              <w:spacing w:after="0"/>
              <w:rPr>
                <w:sz w:val="10"/>
                <w:szCs w:val="10"/>
                <w:color w:val="auto"/>
              </w:rPr>
            </w:pPr>
          </w:p>
        </w:tc>
        <w:tc>
          <w:tcPr>
            <w:tcW w:w="140" w:type="dxa"/>
            <w:vAlign w:val="bottom"/>
          </w:tcPr>
          <w:p>
            <w:pPr>
              <w:spacing w:after="0"/>
              <w:rPr>
                <w:sz w:val="10"/>
                <w:szCs w:val="10"/>
                <w:color w:val="auto"/>
              </w:rPr>
            </w:pPr>
          </w:p>
        </w:tc>
        <w:tc>
          <w:tcPr>
            <w:tcW w:w="228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29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1620" w:type="dxa"/>
            <w:vAlign w:val="bottom"/>
            <w:tcBorders>
              <w:left w:val="single" w:sz="8" w:color="auto"/>
              <w:right w:val="single" w:sz="8" w:color="auto"/>
            </w:tcBorders>
            <w:vMerge w:val="continue"/>
            <w:shd w:val="clear" w:color="auto" w:fill="A8AAA8"/>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22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Long-Term Incentive Plan (LTIP)</w:t>
            </w:r>
          </w:p>
        </w:tc>
        <w:tc>
          <w:tcPr>
            <w:tcW w:w="120" w:type="dxa"/>
            <w:vAlign w:val="bottom"/>
            <w:tcBorders>
              <w:right w:val="single" w:sz="8" w:color="auto"/>
            </w:tcBorders>
          </w:tcPr>
          <w:p>
            <w:pPr>
              <w:spacing w:after="0"/>
              <w:rPr>
                <w:sz w:val="12"/>
                <w:szCs w:val="12"/>
                <w:color w:val="auto"/>
              </w:rPr>
            </w:pPr>
          </w:p>
        </w:tc>
        <w:tc>
          <w:tcPr>
            <w:tcW w:w="29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Link the interests of our executive officers</w:t>
            </w:r>
          </w:p>
        </w:tc>
        <w:tc>
          <w:tcPr>
            <w:tcW w:w="0" w:type="dxa"/>
            <w:vAlign w:val="bottom"/>
          </w:tcPr>
          <w:p>
            <w:pPr>
              <w:spacing w:after="0"/>
              <w:rPr>
                <w:sz w:val="1"/>
                <w:szCs w:val="1"/>
                <w:color w:val="auto"/>
              </w:rPr>
            </w:pPr>
          </w:p>
        </w:tc>
      </w:tr>
      <w:tr>
        <w:trPr>
          <w:trHeight w:val="54"/>
        </w:trPr>
        <w:tc>
          <w:tcPr>
            <w:tcW w:w="1620" w:type="dxa"/>
            <w:vAlign w:val="bottom"/>
            <w:tcBorders>
              <w:left w:val="single" w:sz="8" w:color="auto"/>
              <w:right w:val="single" w:sz="8" w:color="auto"/>
            </w:tcBorders>
            <w:shd w:val="clear" w:color="auto" w:fill="A8AAA8"/>
          </w:tcPr>
          <w:p>
            <w:pPr>
              <w:spacing w:after="0"/>
              <w:rPr>
                <w:sz w:val="4"/>
                <w:szCs w:val="4"/>
                <w:color w:val="auto"/>
              </w:rPr>
            </w:pPr>
          </w:p>
        </w:tc>
        <w:tc>
          <w:tcPr>
            <w:tcW w:w="140" w:type="dxa"/>
            <w:vAlign w:val="bottom"/>
            <w:tcBorders>
              <w:right w:val="single" w:sz="8" w:color="auto"/>
            </w:tcBorders>
          </w:tcPr>
          <w:p>
            <w:pPr>
              <w:spacing w:after="0"/>
              <w:rPr>
                <w:sz w:val="4"/>
                <w:szCs w:val="4"/>
                <w:color w:val="auto"/>
              </w:rPr>
            </w:pPr>
          </w:p>
        </w:tc>
        <w:tc>
          <w:tcPr>
            <w:tcW w:w="2280" w:type="dxa"/>
            <w:vAlign w:val="bottom"/>
            <w:tcBorders>
              <w:right w:val="single" w:sz="8" w:color="auto"/>
            </w:tcBorders>
            <w:vMerge w:val="continue"/>
          </w:tcPr>
          <w:p>
            <w:pPr>
              <w:spacing w:after="0"/>
              <w:rPr>
                <w:sz w:val="4"/>
                <w:szCs w:val="4"/>
                <w:color w:val="auto"/>
              </w:rPr>
            </w:pPr>
          </w:p>
        </w:tc>
        <w:tc>
          <w:tcPr>
            <w:tcW w:w="120" w:type="dxa"/>
            <w:vAlign w:val="bottom"/>
            <w:tcBorders>
              <w:right w:val="single" w:sz="8" w:color="auto"/>
            </w:tcBorders>
          </w:tcPr>
          <w:p>
            <w:pPr>
              <w:spacing w:after="0"/>
              <w:rPr>
                <w:sz w:val="4"/>
                <w:szCs w:val="4"/>
                <w:color w:val="auto"/>
              </w:rPr>
            </w:pPr>
          </w:p>
        </w:tc>
        <w:tc>
          <w:tcPr>
            <w:tcW w:w="296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8"/>
        </w:trPr>
        <w:tc>
          <w:tcPr>
            <w:tcW w:w="1620" w:type="dxa"/>
            <w:vAlign w:val="bottom"/>
            <w:tcBorders>
              <w:left w:val="single" w:sz="8" w:color="auto"/>
              <w:right w:val="single" w:sz="8" w:color="auto"/>
            </w:tcBorders>
            <w:shd w:val="clear" w:color="auto" w:fill="A8AAA8"/>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2280" w:type="dxa"/>
            <w:vAlign w:val="bottom"/>
            <w:tcBorders>
              <w:right w:val="single" w:sz="8" w:color="auto"/>
            </w:tcBorders>
            <w:vMerge w:val="continue"/>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29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to shareholders and retain executive</w:t>
            </w:r>
          </w:p>
        </w:tc>
        <w:tc>
          <w:tcPr>
            <w:tcW w:w="0" w:type="dxa"/>
            <w:vAlign w:val="bottom"/>
          </w:tcPr>
          <w:p>
            <w:pPr>
              <w:spacing w:after="0"/>
              <w:rPr>
                <w:sz w:val="1"/>
                <w:szCs w:val="1"/>
                <w:color w:val="auto"/>
              </w:rPr>
            </w:pPr>
          </w:p>
        </w:tc>
      </w:tr>
      <w:tr>
        <w:trPr>
          <w:trHeight w:val="51"/>
        </w:trPr>
        <w:tc>
          <w:tcPr>
            <w:tcW w:w="1620" w:type="dxa"/>
            <w:vAlign w:val="bottom"/>
            <w:tcBorders>
              <w:left w:val="single" w:sz="8" w:color="auto"/>
              <w:right w:val="single" w:sz="8" w:color="auto"/>
            </w:tcBorders>
            <w:shd w:val="clear" w:color="auto" w:fill="A8AAA8"/>
          </w:tcPr>
          <w:p>
            <w:pPr>
              <w:spacing w:after="0"/>
              <w:rPr>
                <w:sz w:val="4"/>
                <w:szCs w:val="4"/>
                <w:color w:val="auto"/>
              </w:rPr>
            </w:pPr>
          </w:p>
        </w:tc>
        <w:tc>
          <w:tcPr>
            <w:tcW w:w="140" w:type="dxa"/>
            <w:vAlign w:val="bottom"/>
            <w:tcBorders>
              <w:right w:val="single" w:sz="8" w:color="auto"/>
            </w:tcBorders>
          </w:tcPr>
          <w:p>
            <w:pPr>
              <w:spacing w:after="0"/>
              <w:rPr>
                <w:sz w:val="4"/>
                <w:szCs w:val="4"/>
                <w:color w:val="auto"/>
              </w:rPr>
            </w:pPr>
          </w:p>
        </w:tc>
        <w:tc>
          <w:tcPr>
            <w:tcW w:w="22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RSRs</w:t>
            </w:r>
          </w:p>
        </w:tc>
        <w:tc>
          <w:tcPr>
            <w:tcW w:w="120" w:type="dxa"/>
            <w:vAlign w:val="bottom"/>
            <w:tcBorders>
              <w:right w:val="single" w:sz="8" w:color="auto"/>
            </w:tcBorders>
          </w:tcPr>
          <w:p>
            <w:pPr>
              <w:spacing w:after="0"/>
              <w:rPr>
                <w:sz w:val="4"/>
                <w:szCs w:val="4"/>
                <w:color w:val="auto"/>
              </w:rPr>
            </w:pPr>
          </w:p>
        </w:tc>
        <w:tc>
          <w:tcPr>
            <w:tcW w:w="296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4"/>
        </w:trPr>
        <w:tc>
          <w:tcPr>
            <w:tcW w:w="1620" w:type="dxa"/>
            <w:vAlign w:val="bottom"/>
            <w:tcBorders>
              <w:left w:val="single" w:sz="8" w:color="auto"/>
              <w:right w:val="single" w:sz="8" w:color="auto"/>
            </w:tcBorders>
            <w:shd w:val="clear" w:color="auto" w:fill="A8AAA8"/>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2280" w:type="dxa"/>
            <w:vAlign w:val="bottom"/>
            <w:tcBorders>
              <w:right w:val="single" w:sz="8" w:color="auto"/>
            </w:tcBorders>
            <w:vMerge w:val="continue"/>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29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talent</w:t>
            </w:r>
          </w:p>
        </w:tc>
        <w:tc>
          <w:tcPr>
            <w:tcW w:w="0" w:type="dxa"/>
            <w:vAlign w:val="bottom"/>
          </w:tcPr>
          <w:p>
            <w:pPr>
              <w:spacing w:after="0"/>
              <w:rPr>
                <w:sz w:val="1"/>
                <w:szCs w:val="1"/>
                <w:color w:val="auto"/>
              </w:rPr>
            </w:pPr>
          </w:p>
        </w:tc>
      </w:tr>
      <w:tr>
        <w:trPr>
          <w:trHeight w:val="51"/>
        </w:trPr>
        <w:tc>
          <w:tcPr>
            <w:tcW w:w="1620" w:type="dxa"/>
            <w:vAlign w:val="bottom"/>
            <w:tcBorders>
              <w:left w:val="single" w:sz="8" w:color="auto"/>
              <w:right w:val="single" w:sz="8" w:color="auto"/>
            </w:tcBorders>
            <w:shd w:val="clear" w:color="auto" w:fill="A8AAA8"/>
          </w:tcPr>
          <w:p>
            <w:pPr>
              <w:spacing w:after="0"/>
              <w:rPr>
                <w:sz w:val="4"/>
                <w:szCs w:val="4"/>
                <w:color w:val="auto"/>
              </w:rPr>
            </w:pPr>
          </w:p>
        </w:tc>
        <w:tc>
          <w:tcPr>
            <w:tcW w:w="140" w:type="dxa"/>
            <w:vAlign w:val="bottom"/>
            <w:tcBorders>
              <w:right w:val="single" w:sz="8" w:color="auto"/>
            </w:tcBorders>
          </w:tcPr>
          <w:p>
            <w:pPr>
              <w:spacing w:after="0"/>
              <w:rPr>
                <w:sz w:val="4"/>
                <w:szCs w:val="4"/>
                <w:color w:val="auto"/>
              </w:rPr>
            </w:pPr>
          </w:p>
        </w:tc>
        <w:tc>
          <w:tcPr>
            <w:tcW w:w="2280" w:type="dxa"/>
            <w:vAlign w:val="bottom"/>
            <w:tcBorders>
              <w:right w:val="single" w:sz="8" w:color="auto"/>
            </w:tcBorders>
          </w:tcPr>
          <w:p>
            <w:pPr>
              <w:spacing w:after="0"/>
              <w:rPr>
                <w:sz w:val="4"/>
                <w:szCs w:val="4"/>
                <w:color w:val="auto"/>
              </w:rPr>
            </w:pPr>
          </w:p>
        </w:tc>
        <w:tc>
          <w:tcPr>
            <w:tcW w:w="120" w:type="dxa"/>
            <w:vAlign w:val="bottom"/>
            <w:tcBorders>
              <w:right w:val="single" w:sz="8" w:color="auto"/>
            </w:tcBorders>
          </w:tcPr>
          <w:p>
            <w:pPr>
              <w:spacing w:after="0"/>
              <w:rPr>
                <w:sz w:val="4"/>
                <w:szCs w:val="4"/>
                <w:color w:val="auto"/>
              </w:rPr>
            </w:pPr>
          </w:p>
        </w:tc>
        <w:tc>
          <w:tcPr>
            <w:tcW w:w="296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1620" w:type="dxa"/>
            <w:vAlign w:val="bottom"/>
            <w:tcBorders>
              <w:left w:val="single" w:sz="8" w:color="auto"/>
              <w:bottom w:val="single" w:sz="8" w:color="auto"/>
              <w:right w:val="single" w:sz="8" w:color="auto"/>
            </w:tcBorders>
            <w:shd w:val="clear" w:color="auto" w:fill="A8AAA8"/>
          </w:tcPr>
          <w:p>
            <w:pPr>
              <w:spacing w:after="0"/>
              <w:rPr>
                <w:sz w:val="8"/>
                <w:szCs w:val="8"/>
                <w:color w:val="auto"/>
              </w:rPr>
            </w:pPr>
          </w:p>
        </w:tc>
        <w:tc>
          <w:tcPr>
            <w:tcW w:w="140" w:type="dxa"/>
            <w:vAlign w:val="bottom"/>
            <w:tcBorders>
              <w:right w:val="single" w:sz="8" w:color="auto"/>
            </w:tcBorders>
          </w:tcPr>
          <w:p>
            <w:pPr>
              <w:spacing w:after="0"/>
              <w:rPr>
                <w:sz w:val="8"/>
                <w:szCs w:val="8"/>
                <w:color w:val="auto"/>
              </w:rPr>
            </w:pPr>
          </w:p>
        </w:tc>
        <w:tc>
          <w:tcPr>
            <w:tcW w:w="2280" w:type="dxa"/>
            <w:vAlign w:val="bottom"/>
            <w:tcBorders>
              <w:bottom w:val="single" w:sz="8" w:color="auto"/>
              <w:right w:val="single" w:sz="8" w:color="auto"/>
            </w:tcBorders>
          </w:tcPr>
          <w:p>
            <w:pPr>
              <w:spacing w:after="0"/>
              <w:rPr>
                <w:sz w:val="8"/>
                <w:szCs w:val="8"/>
                <w:color w:val="auto"/>
              </w:rPr>
            </w:pPr>
          </w:p>
        </w:tc>
        <w:tc>
          <w:tcPr>
            <w:tcW w:w="120" w:type="dxa"/>
            <w:vAlign w:val="bottom"/>
            <w:tcBorders>
              <w:right w:val="single" w:sz="8" w:color="auto"/>
            </w:tcBorders>
          </w:tcPr>
          <w:p>
            <w:pPr>
              <w:spacing w:after="0"/>
              <w:rPr>
                <w:sz w:val="8"/>
                <w:szCs w:val="8"/>
                <w:color w:val="auto"/>
              </w:rPr>
            </w:pPr>
          </w:p>
        </w:tc>
        <w:tc>
          <w:tcPr>
            <w:tcW w:w="29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1620" w:type="dxa"/>
            <w:vAlign w:val="bottom"/>
            <w:tcBorders>
              <w:bottom w:val="single" w:sz="8" w:color="34657F"/>
            </w:tcBorders>
          </w:tcPr>
          <w:p>
            <w:pPr>
              <w:spacing w:after="0"/>
              <w:rPr>
                <w:sz w:val="10"/>
                <w:szCs w:val="10"/>
                <w:color w:val="auto"/>
              </w:rPr>
            </w:pPr>
          </w:p>
        </w:tc>
        <w:tc>
          <w:tcPr>
            <w:tcW w:w="140" w:type="dxa"/>
            <w:vAlign w:val="bottom"/>
          </w:tcPr>
          <w:p>
            <w:pPr>
              <w:spacing w:after="0"/>
              <w:rPr>
                <w:sz w:val="10"/>
                <w:szCs w:val="10"/>
                <w:color w:val="auto"/>
              </w:rPr>
            </w:pPr>
          </w:p>
        </w:tc>
        <w:tc>
          <w:tcPr>
            <w:tcW w:w="2280" w:type="dxa"/>
            <w:vAlign w:val="bottom"/>
            <w:tcBorders>
              <w:bottom w:val="single" w:sz="8" w:color="34657F"/>
            </w:tcBorders>
          </w:tcPr>
          <w:p>
            <w:pPr>
              <w:spacing w:after="0"/>
              <w:rPr>
                <w:sz w:val="10"/>
                <w:szCs w:val="10"/>
                <w:color w:val="auto"/>
              </w:rPr>
            </w:pPr>
          </w:p>
        </w:tc>
        <w:tc>
          <w:tcPr>
            <w:tcW w:w="120" w:type="dxa"/>
            <w:vAlign w:val="bottom"/>
          </w:tcPr>
          <w:p>
            <w:pPr>
              <w:spacing w:after="0"/>
              <w:rPr>
                <w:sz w:val="10"/>
                <w:szCs w:val="10"/>
                <w:color w:val="auto"/>
              </w:rPr>
            </w:pPr>
          </w:p>
        </w:tc>
        <w:tc>
          <w:tcPr>
            <w:tcW w:w="2960" w:type="dxa"/>
            <w:vAlign w:val="bottom"/>
            <w:tcBorders>
              <w:bottom w:val="single" w:sz="8" w:color="34657F"/>
            </w:tcBorders>
          </w:tcPr>
          <w:p>
            <w:pPr>
              <w:spacing w:after="0"/>
              <w:rPr>
                <w:sz w:val="10"/>
                <w:szCs w:val="10"/>
                <w:color w:val="auto"/>
              </w:rPr>
            </w:pPr>
          </w:p>
        </w:tc>
        <w:tc>
          <w:tcPr>
            <w:tcW w:w="0" w:type="dxa"/>
            <w:vAlign w:val="bottom"/>
          </w:tcPr>
          <w:p>
            <w:pPr>
              <w:spacing w:after="0"/>
              <w:rPr>
                <w:sz w:val="1"/>
                <w:szCs w:val="1"/>
                <w:color w:val="auto"/>
              </w:rPr>
            </w:pPr>
          </w:p>
        </w:tc>
      </w:tr>
      <w:tr>
        <w:trPr>
          <w:trHeight w:val="648"/>
        </w:trPr>
        <w:tc>
          <w:tcPr>
            <w:tcW w:w="1620" w:type="dxa"/>
            <w:vAlign w:val="bottom"/>
            <w:tcBorders>
              <w:left w:val="single" w:sz="8" w:color="34657F"/>
              <w:right w:val="single" w:sz="8" w:color="34657F"/>
            </w:tcBorders>
            <w:shd w:val="clear" w:color="auto" w:fill="34657F"/>
          </w:tcPr>
          <w:p>
            <w:pPr>
              <w:spacing w:after="0"/>
              <w:rPr>
                <w:sz w:val="24"/>
                <w:szCs w:val="24"/>
                <w:color w:val="auto"/>
              </w:rPr>
            </w:pPr>
          </w:p>
        </w:tc>
        <w:tc>
          <w:tcPr>
            <w:tcW w:w="140" w:type="dxa"/>
            <w:vAlign w:val="bottom"/>
            <w:tcBorders>
              <w:right w:val="single" w:sz="8" w:color="34657F"/>
            </w:tcBorders>
          </w:tcPr>
          <w:p>
            <w:pPr>
              <w:spacing w:after="0"/>
              <w:rPr>
                <w:sz w:val="24"/>
                <w:szCs w:val="24"/>
                <w:color w:val="auto"/>
              </w:rPr>
            </w:pPr>
          </w:p>
        </w:tc>
        <w:tc>
          <w:tcPr>
            <w:tcW w:w="2280" w:type="dxa"/>
            <w:vAlign w:val="bottom"/>
            <w:tcBorders>
              <w:right w:val="single" w:sz="8" w:color="34657F"/>
            </w:tcBorders>
            <w:vMerge w:val="restart"/>
          </w:tcPr>
          <w:p>
            <w:pPr>
              <w:jc w:val="center"/>
              <w:spacing w:after="0"/>
              <w:rPr>
                <w:sz w:val="20"/>
                <w:szCs w:val="20"/>
                <w:color w:val="auto"/>
              </w:rPr>
            </w:pPr>
            <w:r>
              <w:rPr>
                <w:rFonts w:ascii="Arial" w:cs="Arial" w:eastAsia="Arial" w:hAnsi="Arial"/>
                <w:sz w:val="15"/>
                <w:szCs w:val="15"/>
                <w:color w:val="auto"/>
              </w:rPr>
              <w:t>Annual Incentive Plan (AIP)</w:t>
            </w:r>
          </w:p>
        </w:tc>
        <w:tc>
          <w:tcPr>
            <w:tcW w:w="120" w:type="dxa"/>
            <w:vAlign w:val="bottom"/>
            <w:tcBorders>
              <w:right w:val="single" w:sz="8" w:color="34657F"/>
            </w:tcBorders>
          </w:tcPr>
          <w:p>
            <w:pPr>
              <w:spacing w:after="0"/>
              <w:rPr>
                <w:sz w:val="24"/>
                <w:szCs w:val="24"/>
                <w:color w:val="auto"/>
              </w:rPr>
            </w:pPr>
          </w:p>
        </w:tc>
        <w:tc>
          <w:tcPr>
            <w:tcW w:w="2960" w:type="dxa"/>
            <w:vAlign w:val="bottom"/>
            <w:tcBorders>
              <w:right w:val="single" w:sz="8" w:color="34657F"/>
            </w:tcBorders>
          </w:tcPr>
          <w:p>
            <w:pPr>
              <w:jc w:val="center"/>
              <w:spacing w:after="0"/>
              <w:rPr>
                <w:sz w:val="20"/>
                <w:szCs w:val="20"/>
                <w:color w:val="auto"/>
              </w:rPr>
            </w:pPr>
            <w:r>
              <w:rPr>
                <w:rFonts w:ascii="Arial" w:cs="Arial" w:eastAsia="Arial" w:hAnsi="Arial"/>
                <w:sz w:val="15"/>
                <w:szCs w:val="15"/>
                <w:color w:val="auto"/>
              </w:rPr>
              <w:t>Motivate and reward achievement of</w:t>
            </w:r>
          </w:p>
        </w:tc>
        <w:tc>
          <w:tcPr>
            <w:tcW w:w="0" w:type="dxa"/>
            <w:vAlign w:val="bottom"/>
          </w:tcPr>
          <w:p>
            <w:pPr>
              <w:spacing w:after="0"/>
              <w:rPr>
                <w:sz w:val="1"/>
                <w:szCs w:val="1"/>
                <w:color w:val="auto"/>
              </w:rPr>
            </w:pPr>
          </w:p>
        </w:tc>
      </w:tr>
      <w:tr>
        <w:trPr>
          <w:trHeight w:val="95"/>
        </w:trPr>
        <w:tc>
          <w:tcPr>
            <w:tcW w:w="1620" w:type="dxa"/>
            <w:vAlign w:val="bottom"/>
            <w:tcBorders>
              <w:left w:val="single" w:sz="8" w:color="34657F"/>
              <w:right w:val="single" w:sz="8" w:color="34657F"/>
            </w:tcBorders>
            <w:shd w:val="clear" w:color="auto" w:fill="34657F"/>
          </w:tcPr>
          <w:p>
            <w:pPr>
              <w:spacing w:after="0"/>
              <w:rPr>
                <w:sz w:val="8"/>
                <w:szCs w:val="8"/>
                <w:color w:val="auto"/>
              </w:rPr>
            </w:pPr>
          </w:p>
        </w:tc>
        <w:tc>
          <w:tcPr>
            <w:tcW w:w="140" w:type="dxa"/>
            <w:vAlign w:val="bottom"/>
            <w:tcBorders>
              <w:right w:val="single" w:sz="8" w:color="34657F"/>
            </w:tcBorders>
          </w:tcPr>
          <w:p>
            <w:pPr>
              <w:spacing w:after="0"/>
              <w:rPr>
                <w:sz w:val="8"/>
                <w:szCs w:val="8"/>
                <w:color w:val="auto"/>
              </w:rPr>
            </w:pPr>
          </w:p>
        </w:tc>
        <w:tc>
          <w:tcPr>
            <w:tcW w:w="2280" w:type="dxa"/>
            <w:vAlign w:val="bottom"/>
            <w:tcBorders>
              <w:right w:val="single" w:sz="8" w:color="34657F"/>
            </w:tcBorders>
            <w:vMerge w:val="continue"/>
          </w:tcPr>
          <w:p>
            <w:pPr>
              <w:spacing w:after="0"/>
              <w:rPr>
                <w:sz w:val="8"/>
                <w:szCs w:val="8"/>
                <w:color w:val="auto"/>
              </w:rPr>
            </w:pPr>
          </w:p>
        </w:tc>
        <w:tc>
          <w:tcPr>
            <w:tcW w:w="120" w:type="dxa"/>
            <w:vAlign w:val="bottom"/>
            <w:tcBorders>
              <w:right w:val="single" w:sz="8" w:color="34657F"/>
            </w:tcBorders>
          </w:tcPr>
          <w:p>
            <w:pPr>
              <w:spacing w:after="0"/>
              <w:rPr>
                <w:sz w:val="8"/>
                <w:szCs w:val="8"/>
                <w:color w:val="auto"/>
              </w:rPr>
            </w:pPr>
          </w:p>
        </w:tc>
        <w:tc>
          <w:tcPr>
            <w:tcW w:w="2960" w:type="dxa"/>
            <w:vAlign w:val="bottom"/>
            <w:tcBorders>
              <w:right w:val="single" w:sz="8" w:color="34657F"/>
            </w:tcBorders>
            <w:vMerge w:val="restart"/>
          </w:tcPr>
          <w:p>
            <w:pPr>
              <w:jc w:val="center"/>
              <w:spacing w:after="0"/>
              <w:rPr>
                <w:sz w:val="20"/>
                <w:szCs w:val="20"/>
                <w:color w:val="auto"/>
              </w:rPr>
            </w:pPr>
            <w:r>
              <w:rPr>
                <w:rFonts w:ascii="Arial" w:cs="Arial" w:eastAsia="Arial" w:hAnsi="Arial"/>
                <w:sz w:val="15"/>
                <w:szCs w:val="15"/>
                <w:color w:val="auto"/>
              </w:rPr>
              <w:t>annual business objectives</w:t>
            </w:r>
          </w:p>
        </w:tc>
        <w:tc>
          <w:tcPr>
            <w:tcW w:w="0" w:type="dxa"/>
            <w:vAlign w:val="bottom"/>
          </w:tcPr>
          <w:p>
            <w:pPr>
              <w:spacing w:after="0"/>
              <w:rPr>
                <w:sz w:val="1"/>
                <w:szCs w:val="1"/>
                <w:color w:val="auto"/>
              </w:rPr>
            </w:pPr>
          </w:p>
        </w:tc>
      </w:tr>
      <w:tr>
        <w:trPr>
          <w:trHeight w:val="90"/>
        </w:trPr>
        <w:tc>
          <w:tcPr>
            <w:tcW w:w="1620" w:type="dxa"/>
            <w:vAlign w:val="bottom"/>
            <w:tcBorders>
              <w:left w:val="single" w:sz="8" w:color="34657F"/>
              <w:right w:val="single" w:sz="8" w:color="34657F"/>
            </w:tcBorders>
            <w:shd w:val="clear" w:color="auto" w:fill="34657F"/>
          </w:tcPr>
          <w:p>
            <w:pPr>
              <w:spacing w:after="0"/>
              <w:rPr>
                <w:sz w:val="7"/>
                <w:szCs w:val="7"/>
                <w:color w:val="auto"/>
              </w:rPr>
            </w:pPr>
          </w:p>
        </w:tc>
        <w:tc>
          <w:tcPr>
            <w:tcW w:w="140" w:type="dxa"/>
            <w:vAlign w:val="bottom"/>
            <w:tcBorders>
              <w:right w:val="single" w:sz="8" w:color="34657F"/>
            </w:tcBorders>
          </w:tcPr>
          <w:p>
            <w:pPr>
              <w:spacing w:after="0"/>
              <w:rPr>
                <w:sz w:val="7"/>
                <w:szCs w:val="7"/>
                <w:color w:val="auto"/>
              </w:rPr>
            </w:pPr>
          </w:p>
        </w:tc>
        <w:tc>
          <w:tcPr>
            <w:tcW w:w="2280" w:type="dxa"/>
            <w:vAlign w:val="bottom"/>
            <w:tcBorders>
              <w:right w:val="single" w:sz="8" w:color="34657F"/>
            </w:tcBorders>
          </w:tcPr>
          <w:p>
            <w:pPr>
              <w:spacing w:after="0"/>
              <w:rPr>
                <w:sz w:val="7"/>
                <w:szCs w:val="7"/>
                <w:color w:val="auto"/>
              </w:rPr>
            </w:pPr>
          </w:p>
        </w:tc>
        <w:tc>
          <w:tcPr>
            <w:tcW w:w="120" w:type="dxa"/>
            <w:vAlign w:val="bottom"/>
            <w:tcBorders>
              <w:right w:val="single" w:sz="8" w:color="34657F"/>
            </w:tcBorders>
          </w:tcPr>
          <w:p>
            <w:pPr>
              <w:spacing w:after="0"/>
              <w:rPr>
                <w:sz w:val="7"/>
                <w:szCs w:val="7"/>
                <w:color w:val="auto"/>
              </w:rPr>
            </w:pPr>
          </w:p>
        </w:tc>
        <w:tc>
          <w:tcPr>
            <w:tcW w:w="2960" w:type="dxa"/>
            <w:vAlign w:val="bottom"/>
            <w:tcBorders>
              <w:right w:val="single" w:sz="8" w:color="34657F"/>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1"/>
        </w:trPr>
        <w:tc>
          <w:tcPr>
            <w:tcW w:w="1620" w:type="dxa"/>
            <w:vAlign w:val="bottom"/>
            <w:tcBorders>
              <w:left w:val="single" w:sz="8" w:color="34657F"/>
              <w:right w:val="single" w:sz="8" w:color="34657F"/>
            </w:tcBorders>
            <w:shd w:val="clear" w:color="auto" w:fill="34657F"/>
          </w:tcPr>
          <w:p>
            <w:pPr>
              <w:jc w:val="center"/>
              <w:spacing w:after="0"/>
              <w:rPr>
                <w:sz w:val="20"/>
                <w:szCs w:val="20"/>
                <w:color w:val="auto"/>
              </w:rPr>
            </w:pPr>
            <w:r>
              <w:rPr>
                <w:rFonts w:ascii="Arial" w:cs="Arial" w:eastAsia="Arial" w:hAnsi="Arial"/>
                <w:sz w:val="17"/>
                <w:szCs w:val="17"/>
                <w:b w:val="1"/>
                <w:bCs w:val="1"/>
                <w:color w:val="FFFFFF"/>
              </w:rPr>
              <w:t>Performance-</w:t>
            </w:r>
          </w:p>
        </w:tc>
        <w:tc>
          <w:tcPr>
            <w:tcW w:w="140" w:type="dxa"/>
            <w:vAlign w:val="bottom"/>
            <w:tcBorders>
              <w:right w:val="single" w:sz="8" w:color="34657F"/>
            </w:tcBorders>
          </w:tcPr>
          <w:p>
            <w:pPr>
              <w:spacing w:after="0"/>
              <w:rPr>
                <w:sz w:val="24"/>
                <w:szCs w:val="24"/>
                <w:color w:val="auto"/>
              </w:rPr>
            </w:pPr>
          </w:p>
        </w:tc>
        <w:tc>
          <w:tcPr>
            <w:tcW w:w="2280" w:type="dxa"/>
            <w:vAlign w:val="bottom"/>
            <w:tcBorders>
              <w:right w:val="single" w:sz="8" w:color="34657F"/>
            </w:tcBorders>
          </w:tcPr>
          <w:p>
            <w:pPr>
              <w:spacing w:after="0"/>
              <w:rPr>
                <w:sz w:val="24"/>
                <w:szCs w:val="24"/>
                <w:color w:val="auto"/>
              </w:rPr>
            </w:pPr>
          </w:p>
        </w:tc>
        <w:tc>
          <w:tcPr>
            <w:tcW w:w="120" w:type="dxa"/>
            <w:vAlign w:val="bottom"/>
            <w:tcBorders>
              <w:right w:val="single" w:sz="8" w:color="34657F"/>
            </w:tcBorders>
          </w:tcPr>
          <w:p>
            <w:pPr>
              <w:spacing w:after="0"/>
              <w:rPr>
                <w:sz w:val="24"/>
                <w:szCs w:val="24"/>
                <w:color w:val="auto"/>
              </w:rPr>
            </w:pPr>
          </w:p>
        </w:tc>
        <w:tc>
          <w:tcPr>
            <w:tcW w:w="2960" w:type="dxa"/>
            <w:vAlign w:val="bottom"/>
            <w:tcBorders>
              <w:right w:val="single" w:sz="8" w:color="34657F"/>
            </w:tcBorders>
          </w:tcPr>
          <w:p>
            <w:pPr>
              <w:spacing w:after="0"/>
              <w:rPr>
                <w:sz w:val="24"/>
                <w:szCs w:val="24"/>
                <w:color w:val="auto"/>
              </w:rPr>
            </w:pPr>
          </w:p>
        </w:tc>
        <w:tc>
          <w:tcPr>
            <w:tcW w:w="0" w:type="dxa"/>
            <w:vAlign w:val="bottom"/>
          </w:tcPr>
          <w:p>
            <w:pPr>
              <w:spacing w:after="0"/>
              <w:rPr>
                <w:sz w:val="1"/>
                <w:szCs w:val="1"/>
                <w:color w:val="auto"/>
              </w:rPr>
            </w:pPr>
          </w:p>
        </w:tc>
      </w:tr>
      <w:tr>
        <w:trPr>
          <w:trHeight w:val="136"/>
        </w:trPr>
        <w:tc>
          <w:tcPr>
            <w:tcW w:w="1620" w:type="dxa"/>
            <w:vAlign w:val="bottom"/>
            <w:tcBorders>
              <w:left w:val="single" w:sz="8" w:color="34657F"/>
              <w:bottom w:val="single" w:sz="8" w:color="34657F"/>
              <w:right w:val="single" w:sz="8" w:color="34657F"/>
            </w:tcBorders>
            <w:vMerge w:val="restart"/>
            <w:shd w:val="clear" w:color="auto" w:fill="34657F"/>
          </w:tcPr>
          <w:p>
            <w:pPr>
              <w:jc w:val="center"/>
              <w:spacing w:after="0"/>
              <w:rPr>
                <w:sz w:val="20"/>
                <w:szCs w:val="20"/>
                <w:color w:val="auto"/>
              </w:rPr>
            </w:pPr>
            <w:r>
              <w:rPr>
                <w:rFonts w:ascii="Arial" w:cs="Arial" w:eastAsia="Arial" w:hAnsi="Arial"/>
                <w:sz w:val="17"/>
                <w:szCs w:val="17"/>
                <w:b w:val="1"/>
                <w:bCs w:val="1"/>
                <w:color w:val="FFFFFF"/>
              </w:rPr>
              <w:t>based Component</w:t>
            </w:r>
          </w:p>
        </w:tc>
        <w:tc>
          <w:tcPr>
            <w:tcW w:w="140" w:type="dxa"/>
            <w:vAlign w:val="bottom"/>
            <w:tcBorders>
              <w:right w:val="single" w:sz="8" w:color="34657F"/>
            </w:tcBorders>
          </w:tcPr>
          <w:p>
            <w:pPr>
              <w:spacing w:after="0"/>
              <w:rPr>
                <w:sz w:val="11"/>
                <w:szCs w:val="11"/>
                <w:color w:val="auto"/>
              </w:rPr>
            </w:pPr>
          </w:p>
        </w:tc>
        <w:tc>
          <w:tcPr>
            <w:tcW w:w="2280" w:type="dxa"/>
            <w:vAlign w:val="bottom"/>
            <w:tcBorders>
              <w:bottom w:val="single" w:sz="8" w:color="34657F"/>
              <w:right w:val="single" w:sz="8" w:color="34657F"/>
            </w:tcBorders>
          </w:tcPr>
          <w:p>
            <w:pPr>
              <w:spacing w:after="0"/>
              <w:rPr>
                <w:sz w:val="11"/>
                <w:szCs w:val="11"/>
                <w:color w:val="auto"/>
              </w:rPr>
            </w:pPr>
          </w:p>
        </w:tc>
        <w:tc>
          <w:tcPr>
            <w:tcW w:w="120" w:type="dxa"/>
            <w:vAlign w:val="bottom"/>
            <w:tcBorders>
              <w:right w:val="single" w:sz="8" w:color="34657F"/>
            </w:tcBorders>
          </w:tcPr>
          <w:p>
            <w:pPr>
              <w:spacing w:after="0"/>
              <w:rPr>
                <w:sz w:val="11"/>
                <w:szCs w:val="11"/>
                <w:color w:val="auto"/>
              </w:rPr>
            </w:pPr>
          </w:p>
        </w:tc>
        <w:tc>
          <w:tcPr>
            <w:tcW w:w="2960" w:type="dxa"/>
            <w:vAlign w:val="bottom"/>
            <w:tcBorders>
              <w:bottom w:val="single" w:sz="8" w:color="34657F"/>
              <w:right w:val="single" w:sz="8" w:color="34657F"/>
            </w:tcBorders>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1620" w:type="dxa"/>
            <w:vAlign w:val="bottom"/>
            <w:tcBorders>
              <w:left w:val="single" w:sz="8" w:color="34657F"/>
              <w:right w:val="single" w:sz="8" w:color="34657F"/>
            </w:tcBorders>
            <w:vMerge w:val="continue"/>
            <w:shd w:val="clear" w:color="auto" w:fill="34657F"/>
          </w:tcPr>
          <w:p>
            <w:pPr>
              <w:spacing w:after="0"/>
              <w:rPr>
                <w:sz w:val="5"/>
                <w:szCs w:val="5"/>
                <w:color w:val="auto"/>
              </w:rPr>
            </w:pPr>
          </w:p>
        </w:tc>
        <w:tc>
          <w:tcPr>
            <w:tcW w:w="140" w:type="dxa"/>
            <w:vAlign w:val="bottom"/>
          </w:tcPr>
          <w:p>
            <w:pPr>
              <w:spacing w:after="0"/>
              <w:rPr>
                <w:sz w:val="5"/>
                <w:szCs w:val="5"/>
                <w:color w:val="auto"/>
              </w:rPr>
            </w:pPr>
          </w:p>
        </w:tc>
        <w:tc>
          <w:tcPr>
            <w:tcW w:w="2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9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
        </w:trPr>
        <w:tc>
          <w:tcPr>
            <w:tcW w:w="1620" w:type="dxa"/>
            <w:vAlign w:val="bottom"/>
            <w:tcBorders>
              <w:left w:val="single" w:sz="8" w:color="34657F"/>
              <w:bottom w:val="single" w:sz="8" w:color="34657F"/>
              <w:right w:val="single" w:sz="8" w:color="34657F"/>
            </w:tcBorders>
            <w:shd w:val="clear" w:color="auto" w:fill="34657F"/>
          </w:tcPr>
          <w:p>
            <w:pPr>
              <w:spacing w:after="0"/>
              <w:rPr>
                <w:sz w:val="4"/>
                <w:szCs w:val="4"/>
                <w:color w:val="auto"/>
              </w:rPr>
            </w:pPr>
          </w:p>
        </w:tc>
        <w:tc>
          <w:tcPr>
            <w:tcW w:w="140" w:type="dxa"/>
            <w:vAlign w:val="bottom"/>
          </w:tcPr>
          <w:p>
            <w:pPr>
              <w:spacing w:after="0"/>
              <w:rPr>
                <w:sz w:val="4"/>
                <w:szCs w:val="4"/>
                <w:color w:val="auto"/>
              </w:rPr>
            </w:pPr>
          </w:p>
        </w:tc>
        <w:tc>
          <w:tcPr>
            <w:tcW w:w="2280" w:type="dxa"/>
            <w:vAlign w:val="bottom"/>
            <w:tcBorders>
              <w:bottom w:val="single" w:sz="8" w:color="34657F"/>
            </w:tcBorders>
          </w:tcPr>
          <w:p>
            <w:pPr>
              <w:spacing w:after="0"/>
              <w:rPr>
                <w:sz w:val="4"/>
                <w:szCs w:val="4"/>
                <w:color w:val="auto"/>
              </w:rPr>
            </w:pPr>
          </w:p>
        </w:tc>
        <w:tc>
          <w:tcPr>
            <w:tcW w:w="120" w:type="dxa"/>
            <w:vAlign w:val="bottom"/>
          </w:tcPr>
          <w:p>
            <w:pPr>
              <w:spacing w:after="0"/>
              <w:rPr>
                <w:sz w:val="4"/>
                <w:szCs w:val="4"/>
                <w:color w:val="auto"/>
              </w:rPr>
            </w:pPr>
          </w:p>
        </w:tc>
        <w:tc>
          <w:tcPr>
            <w:tcW w:w="2960" w:type="dxa"/>
            <w:vAlign w:val="bottom"/>
            <w:tcBorders>
              <w:bottom w:val="single" w:sz="8" w:color="34657F"/>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1620" w:type="dxa"/>
            <w:vAlign w:val="bottom"/>
            <w:tcBorders>
              <w:left w:val="single" w:sz="8" w:color="34657F"/>
              <w:right w:val="single" w:sz="8" w:color="34657F"/>
            </w:tcBorders>
            <w:shd w:val="clear" w:color="auto" w:fill="34657F"/>
          </w:tcPr>
          <w:p>
            <w:pPr>
              <w:spacing w:after="0"/>
              <w:rPr>
                <w:sz w:val="20"/>
                <w:szCs w:val="20"/>
                <w:color w:val="auto"/>
              </w:rPr>
            </w:pPr>
          </w:p>
        </w:tc>
        <w:tc>
          <w:tcPr>
            <w:tcW w:w="140" w:type="dxa"/>
            <w:vAlign w:val="bottom"/>
            <w:tcBorders>
              <w:right w:val="single" w:sz="8" w:color="34657F"/>
            </w:tcBorders>
          </w:tcPr>
          <w:p>
            <w:pPr>
              <w:spacing w:after="0"/>
              <w:rPr>
                <w:sz w:val="20"/>
                <w:szCs w:val="20"/>
                <w:color w:val="auto"/>
              </w:rPr>
            </w:pPr>
          </w:p>
        </w:tc>
        <w:tc>
          <w:tcPr>
            <w:tcW w:w="2280" w:type="dxa"/>
            <w:vAlign w:val="bottom"/>
            <w:tcBorders>
              <w:right w:val="single" w:sz="8" w:color="34657F"/>
            </w:tcBorders>
          </w:tcPr>
          <w:p>
            <w:pPr>
              <w:spacing w:after="0"/>
              <w:rPr>
                <w:sz w:val="20"/>
                <w:szCs w:val="20"/>
                <w:color w:val="auto"/>
              </w:rPr>
            </w:pPr>
          </w:p>
        </w:tc>
        <w:tc>
          <w:tcPr>
            <w:tcW w:w="120" w:type="dxa"/>
            <w:vAlign w:val="bottom"/>
            <w:tcBorders>
              <w:right w:val="single" w:sz="8" w:color="34657F"/>
            </w:tcBorders>
          </w:tcPr>
          <w:p>
            <w:pPr>
              <w:spacing w:after="0"/>
              <w:rPr>
                <w:sz w:val="20"/>
                <w:szCs w:val="20"/>
                <w:color w:val="auto"/>
              </w:rPr>
            </w:pPr>
          </w:p>
        </w:tc>
        <w:tc>
          <w:tcPr>
            <w:tcW w:w="2960" w:type="dxa"/>
            <w:vAlign w:val="bottom"/>
            <w:tcBorders>
              <w:right w:val="single" w:sz="8" w:color="34657F"/>
            </w:tcBorders>
          </w:tcPr>
          <w:p>
            <w:pPr>
              <w:jc w:val="center"/>
              <w:spacing w:after="0"/>
              <w:rPr>
                <w:sz w:val="20"/>
                <w:szCs w:val="20"/>
                <w:color w:val="auto"/>
              </w:rPr>
            </w:pPr>
            <w:r>
              <w:rPr>
                <w:rFonts w:ascii="Arial" w:cs="Arial" w:eastAsia="Arial" w:hAnsi="Arial"/>
                <w:sz w:val="15"/>
                <w:szCs w:val="15"/>
                <w:color w:val="auto"/>
              </w:rPr>
              <w:t>Link the interests of our executive officers</w:t>
            </w:r>
          </w:p>
        </w:tc>
        <w:tc>
          <w:tcPr>
            <w:tcW w:w="0" w:type="dxa"/>
            <w:vAlign w:val="bottom"/>
          </w:tcPr>
          <w:p>
            <w:pPr>
              <w:spacing w:after="0"/>
              <w:rPr>
                <w:sz w:val="1"/>
                <w:szCs w:val="1"/>
                <w:color w:val="auto"/>
              </w:rPr>
            </w:pPr>
          </w:p>
        </w:tc>
      </w:tr>
      <w:tr>
        <w:trPr>
          <w:trHeight w:val="179"/>
        </w:trPr>
        <w:tc>
          <w:tcPr>
            <w:tcW w:w="1620" w:type="dxa"/>
            <w:vAlign w:val="bottom"/>
            <w:tcBorders>
              <w:left w:val="single" w:sz="8" w:color="34657F"/>
              <w:right w:val="single" w:sz="8" w:color="34657F"/>
            </w:tcBorders>
            <w:shd w:val="clear" w:color="auto" w:fill="34657F"/>
          </w:tcPr>
          <w:p>
            <w:pPr>
              <w:spacing w:after="0"/>
              <w:rPr>
                <w:sz w:val="15"/>
                <w:szCs w:val="15"/>
                <w:color w:val="auto"/>
              </w:rPr>
            </w:pPr>
          </w:p>
        </w:tc>
        <w:tc>
          <w:tcPr>
            <w:tcW w:w="140" w:type="dxa"/>
            <w:vAlign w:val="bottom"/>
            <w:tcBorders>
              <w:right w:val="single" w:sz="8" w:color="34657F"/>
            </w:tcBorders>
          </w:tcPr>
          <w:p>
            <w:pPr>
              <w:spacing w:after="0"/>
              <w:rPr>
                <w:sz w:val="15"/>
                <w:szCs w:val="15"/>
                <w:color w:val="auto"/>
              </w:rPr>
            </w:pPr>
          </w:p>
        </w:tc>
        <w:tc>
          <w:tcPr>
            <w:tcW w:w="2280" w:type="dxa"/>
            <w:vAlign w:val="bottom"/>
            <w:tcBorders>
              <w:right w:val="single" w:sz="8" w:color="34657F"/>
            </w:tcBorders>
            <w:vMerge w:val="restart"/>
          </w:tcPr>
          <w:p>
            <w:pPr>
              <w:jc w:val="center"/>
              <w:spacing w:after="0"/>
              <w:rPr>
                <w:sz w:val="20"/>
                <w:szCs w:val="20"/>
                <w:color w:val="auto"/>
              </w:rPr>
            </w:pPr>
            <w:r>
              <w:rPr>
                <w:rFonts w:ascii="Arial" w:cs="Arial" w:eastAsia="Arial" w:hAnsi="Arial"/>
                <w:sz w:val="15"/>
                <w:szCs w:val="15"/>
                <w:color w:val="auto"/>
              </w:rPr>
              <w:t>LTIP RPSRs</w:t>
            </w:r>
          </w:p>
        </w:tc>
        <w:tc>
          <w:tcPr>
            <w:tcW w:w="120" w:type="dxa"/>
            <w:vAlign w:val="bottom"/>
            <w:tcBorders>
              <w:right w:val="single" w:sz="8" w:color="34657F"/>
            </w:tcBorders>
          </w:tcPr>
          <w:p>
            <w:pPr>
              <w:spacing w:after="0"/>
              <w:rPr>
                <w:sz w:val="15"/>
                <w:szCs w:val="15"/>
                <w:color w:val="auto"/>
              </w:rPr>
            </w:pPr>
          </w:p>
        </w:tc>
        <w:tc>
          <w:tcPr>
            <w:tcW w:w="2960" w:type="dxa"/>
            <w:vAlign w:val="bottom"/>
            <w:tcBorders>
              <w:right w:val="single" w:sz="8" w:color="34657F"/>
            </w:tcBorders>
          </w:tcPr>
          <w:p>
            <w:pPr>
              <w:jc w:val="center"/>
              <w:spacing w:after="0"/>
              <w:rPr>
                <w:sz w:val="20"/>
                <w:szCs w:val="20"/>
                <w:color w:val="auto"/>
              </w:rPr>
            </w:pPr>
            <w:r>
              <w:rPr>
                <w:rFonts w:ascii="Arial" w:cs="Arial" w:eastAsia="Arial" w:hAnsi="Arial"/>
                <w:sz w:val="15"/>
                <w:szCs w:val="15"/>
                <w:color w:val="auto"/>
              </w:rPr>
              <w:t>to shareholders, motivate and reward</w:t>
            </w:r>
          </w:p>
        </w:tc>
        <w:tc>
          <w:tcPr>
            <w:tcW w:w="0" w:type="dxa"/>
            <w:vAlign w:val="bottom"/>
          </w:tcPr>
          <w:p>
            <w:pPr>
              <w:spacing w:after="0"/>
              <w:rPr>
                <w:sz w:val="1"/>
                <w:szCs w:val="1"/>
                <w:color w:val="auto"/>
              </w:rPr>
            </w:pPr>
          </w:p>
        </w:tc>
      </w:tr>
      <w:tr>
        <w:trPr>
          <w:trHeight w:val="134"/>
        </w:trPr>
        <w:tc>
          <w:tcPr>
            <w:tcW w:w="1620" w:type="dxa"/>
            <w:vAlign w:val="bottom"/>
            <w:tcBorders>
              <w:left w:val="single" w:sz="8" w:color="34657F"/>
              <w:right w:val="single" w:sz="8" w:color="34657F"/>
            </w:tcBorders>
            <w:shd w:val="clear" w:color="auto" w:fill="34657F"/>
          </w:tcPr>
          <w:p>
            <w:pPr>
              <w:spacing w:after="0"/>
              <w:rPr>
                <w:sz w:val="11"/>
                <w:szCs w:val="11"/>
                <w:color w:val="auto"/>
              </w:rPr>
            </w:pPr>
          </w:p>
        </w:tc>
        <w:tc>
          <w:tcPr>
            <w:tcW w:w="140" w:type="dxa"/>
            <w:vAlign w:val="bottom"/>
            <w:tcBorders>
              <w:right w:val="single" w:sz="8" w:color="34657F"/>
            </w:tcBorders>
          </w:tcPr>
          <w:p>
            <w:pPr>
              <w:spacing w:after="0"/>
              <w:rPr>
                <w:sz w:val="11"/>
                <w:szCs w:val="11"/>
                <w:color w:val="auto"/>
              </w:rPr>
            </w:pPr>
          </w:p>
        </w:tc>
        <w:tc>
          <w:tcPr>
            <w:tcW w:w="2280" w:type="dxa"/>
            <w:vAlign w:val="bottom"/>
            <w:tcBorders>
              <w:right w:val="single" w:sz="8" w:color="34657F"/>
            </w:tcBorders>
            <w:vMerge w:val="continue"/>
          </w:tcPr>
          <w:p>
            <w:pPr>
              <w:spacing w:after="0"/>
              <w:rPr>
                <w:sz w:val="11"/>
                <w:szCs w:val="11"/>
                <w:color w:val="auto"/>
              </w:rPr>
            </w:pPr>
          </w:p>
        </w:tc>
        <w:tc>
          <w:tcPr>
            <w:tcW w:w="120" w:type="dxa"/>
            <w:vAlign w:val="bottom"/>
            <w:tcBorders>
              <w:right w:val="single" w:sz="8" w:color="34657F"/>
            </w:tcBorders>
          </w:tcPr>
          <w:p>
            <w:pPr>
              <w:spacing w:after="0"/>
              <w:rPr>
                <w:sz w:val="11"/>
                <w:szCs w:val="11"/>
                <w:color w:val="auto"/>
              </w:rPr>
            </w:pPr>
          </w:p>
        </w:tc>
        <w:tc>
          <w:tcPr>
            <w:tcW w:w="2960" w:type="dxa"/>
            <w:vAlign w:val="bottom"/>
            <w:tcBorders>
              <w:right w:val="single" w:sz="8" w:color="34657F"/>
            </w:tcBorders>
            <w:vMerge w:val="restart"/>
          </w:tcPr>
          <w:p>
            <w:pPr>
              <w:jc w:val="center"/>
              <w:spacing w:after="0"/>
              <w:rPr>
                <w:sz w:val="20"/>
                <w:szCs w:val="20"/>
                <w:color w:val="auto"/>
              </w:rPr>
            </w:pPr>
            <w:r>
              <w:rPr>
                <w:rFonts w:ascii="Arial" w:cs="Arial" w:eastAsia="Arial" w:hAnsi="Arial"/>
                <w:sz w:val="15"/>
                <w:szCs w:val="15"/>
                <w:color w:val="auto"/>
              </w:rPr>
              <w:t>achievement of long-term strategic goals</w:t>
            </w:r>
          </w:p>
        </w:tc>
        <w:tc>
          <w:tcPr>
            <w:tcW w:w="0" w:type="dxa"/>
            <w:vAlign w:val="bottom"/>
          </w:tcPr>
          <w:p>
            <w:pPr>
              <w:spacing w:after="0"/>
              <w:rPr>
                <w:sz w:val="1"/>
                <w:szCs w:val="1"/>
                <w:color w:val="auto"/>
              </w:rPr>
            </w:pPr>
          </w:p>
        </w:tc>
      </w:tr>
      <w:tr>
        <w:trPr>
          <w:trHeight w:val="46"/>
        </w:trPr>
        <w:tc>
          <w:tcPr>
            <w:tcW w:w="1620" w:type="dxa"/>
            <w:vAlign w:val="bottom"/>
            <w:tcBorders>
              <w:left w:val="single" w:sz="8" w:color="34657F"/>
              <w:right w:val="single" w:sz="8" w:color="34657F"/>
            </w:tcBorders>
            <w:shd w:val="clear" w:color="auto" w:fill="34657F"/>
          </w:tcPr>
          <w:p>
            <w:pPr>
              <w:spacing w:after="0"/>
              <w:rPr>
                <w:sz w:val="3"/>
                <w:szCs w:val="3"/>
                <w:color w:val="auto"/>
              </w:rPr>
            </w:pPr>
          </w:p>
        </w:tc>
        <w:tc>
          <w:tcPr>
            <w:tcW w:w="140" w:type="dxa"/>
            <w:vAlign w:val="bottom"/>
            <w:tcBorders>
              <w:right w:val="single" w:sz="8" w:color="34657F"/>
            </w:tcBorders>
          </w:tcPr>
          <w:p>
            <w:pPr>
              <w:spacing w:after="0"/>
              <w:rPr>
                <w:sz w:val="3"/>
                <w:szCs w:val="3"/>
                <w:color w:val="auto"/>
              </w:rPr>
            </w:pPr>
          </w:p>
        </w:tc>
        <w:tc>
          <w:tcPr>
            <w:tcW w:w="2280" w:type="dxa"/>
            <w:vAlign w:val="bottom"/>
            <w:tcBorders>
              <w:right w:val="single" w:sz="8" w:color="34657F"/>
            </w:tcBorders>
          </w:tcPr>
          <w:p>
            <w:pPr>
              <w:spacing w:after="0"/>
              <w:rPr>
                <w:sz w:val="3"/>
                <w:szCs w:val="3"/>
                <w:color w:val="auto"/>
              </w:rPr>
            </w:pPr>
          </w:p>
        </w:tc>
        <w:tc>
          <w:tcPr>
            <w:tcW w:w="120" w:type="dxa"/>
            <w:vAlign w:val="bottom"/>
            <w:tcBorders>
              <w:right w:val="single" w:sz="8" w:color="34657F"/>
            </w:tcBorders>
          </w:tcPr>
          <w:p>
            <w:pPr>
              <w:spacing w:after="0"/>
              <w:rPr>
                <w:sz w:val="3"/>
                <w:szCs w:val="3"/>
                <w:color w:val="auto"/>
              </w:rPr>
            </w:pPr>
          </w:p>
        </w:tc>
        <w:tc>
          <w:tcPr>
            <w:tcW w:w="2960" w:type="dxa"/>
            <w:vAlign w:val="bottom"/>
            <w:tcBorders>
              <w:right w:val="single" w:sz="8" w:color="34657F"/>
            </w:tcBorders>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1620" w:type="dxa"/>
            <w:vAlign w:val="bottom"/>
            <w:tcBorders>
              <w:left w:val="single" w:sz="8" w:color="34657F"/>
              <w:right w:val="single" w:sz="8" w:color="34657F"/>
            </w:tcBorders>
            <w:shd w:val="clear" w:color="auto" w:fill="34657F"/>
          </w:tcPr>
          <w:p>
            <w:pPr>
              <w:spacing w:after="0"/>
              <w:rPr>
                <w:sz w:val="16"/>
                <w:szCs w:val="16"/>
                <w:color w:val="auto"/>
              </w:rPr>
            </w:pPr>
          </w:p>
        </w:tc>
        <w:tc>
          <w:tcPr>
            <w:tcW w:w="140" w:type="dxa"/>
            <w:vAlign w:val="bottom"/>
            <w:tcBorders>
              <w:right w:val="single" w:sz="8" w:color="34657F"/>
            </w:tcBorders>
          </w:tcPr>
          <w:p>
            <w:pPr>
              <w:spacing w:after="0"/>
              <w:rPr>
                <w:sz w:val="16"/>
                <w:szCs w:val="16"/>
                <w:color w:val="auto"/>
              </w:rPr>
            </w:pPr>
          </w:p>
        </w:tc>
        <w:tc>
          <w:tcPr>
            <w:tcW w:w="2280" w:type="dxa"/>
            <w:vAlign w:val="bottom"/>
            <w:tcBorders>
              <w:right w:val="single" w:sz="8" w:color="34657F"/>
            </w:tcBorders>
          </w:tcPr>
          <w:p>
            <w:pPr>
              <w:spacing w:after="0"/>
              <w:rPr>
                <w:sz w:val="16"/>
                <w:szCs w:val="16"/>
                <w:color w:val="auto"/>
              </w:rPr>
            </w:pPr>
          </w:p>
        </w:tc>
        <w:tc>
          <w:tcPr>
            <w:tcW w:w="120" w:type="dxa"/>
            <w:vAlign w:val="bottom"/>
            <w:tcBorders>
              <w:right w:val="single" w:sz="8" w:color="34657F"/>
            </w:tcBorders>
          </w:tcPr>
          <w:p>
            <w:pPr>
              <w:spacing w:after="0"/>
              <w:rPr>
                <w:sz w:val="16"/>
                <w:szCs w:val="16"/>
                <w:color w:val="auto"/>
              </w:rPr>
            </w:pPr>
          </w:p>
        </w:tc>
        <w:tc>
          <w:tcPr>
            <w:tcW w:w="2960" w:type="dxa"/>
            <w:vAlign w:val="bottom"/>
            <w:tcBorders>
              <w:right w:val="single" w:sz="8" w:color="34657F"/>
            </w:tcBorders>
          </w:tcPr>
          <w:p>
            <w:pPr>
              <w:jc w:val="center"/>
              <w:spacing w:after="0"/>
              <w:rPr>
                <w:sz w:val="20"/>
                <w:szCs w:val="20"/>
                <w:color w:val="auto"/>
              </w:rPr>
            </w:pPr>
            <w:r>
              <w:rPr>
                <w:rFonts w:ascii="Arial" w:cs="Arial" w:eastAsia="Arial" w:hAnsi="Arial"/>
                <w:sz w:val="15"/>
                <w:szCs w:val="15"/>
                <w:color w:val="auto"/>
              </w:rPr>
              <w:t>and retain executive talent</w:t>
            </w:r>
          </w:p>
        </w:tc>
        <w:tc>
          <w:tcPr>
            <w:tcW w:w="0" w:type="dxa"/>
            <w:vAlign w:val="bottom"/>
          </w:tcPr>
          <w:p>
            <w:pPr>
              <w:spacing w:after="0"/>
              <w:rPr>
                <w:sz w:val="1"/>
                <w:szCs w:val="1"/>
                <w:color w:val="auto"/>
              </w:rPr>
            </w:pPr>
          </w:p>
        </w:tc>
      </w:tr>
      <w:tr>
        <w:trPr>
          <w:trHeight w:val="146"/>
        </w:trPr>
        <w:tc>
          <w:tcPr>
            <w:tcW w:w="1620" w:type="dxa"/>
            <w:vAlign w:val="bottom"/>
            <w:tcBorders>
              <w:left w:val="single" w:sz="8" w:color="34657F"/>
              <w:right w:val="single" w:sz="8" w:color="34657F"/>
            </w:tcBorders>
            <w:shd w:val="clear" w:color="auto" w:fill="34657F"/>
          </w:tcPr>
          <w:p>
            <w:pPr>
              <w:spacing w:after="0"/>
              <w:rPr>
                <w:sz w:val="12"/>
                <w:szCs w:val="12"/>
                <w:color w:val="auto"/>
              </w:rPr>
            </w:pPr>
          </w:p>
        </w:tc>
        <w:tc>
          <w:tcPr>
            <w:tcW w:w="140" w:type="dxa"/>
            <w:vAlign w:val="bottom"/>
            <w:tcBorders>
              <w:right w:val="single" w:sz="8" w:color="34657F"/>
            </w:tcBorders>
          </w:tcPr>
          <w:p>
            <w:pPr>
              <w:spacing w:after="0"/>
              <w:rPr>
                <w:sz w:val="12"/>
                <w:szCs w:val="12"/>
                <w:color w:val="auto"/>
              </w:rPr>
            </w:pPr>
          </w:p>
        </w:tc>
        <w:tc>
          <w:tcPr>
            <w:tcW w:w="2280" w:type="dxa"/>
            <w:vAlign w:val="bottom"/>
            <w:tcBorders>
              <w:right w:val="single" w:sz="8" w:color="34657F"/>
            </w:tcBorders>
          </w:tcPr>
          <w:p>
            <w:pPr>
              <w:spacing w:after="0"/>
              <w:rPr>
                <w:sz w:val="12"/>
                <w:szCs w:val="12"/>
                <w:color w:val="auto"/>
              </w:rPr>
            </w:pPr>
          </w:p>
        </w:tc>
        <w:tc>
          <w:tcPr>
            <w:tcW w:w="120" w:type="dxa"/>
            <w:vAlign w:val="bottom"/>
            <w:tcBorders>
              <w:right w:val="single" w:sz="8" w:color="34657F"/>
            </w:tcBorders>
          </w:tcPr>
          <w:p>
            <w:pPr>
              <w:spacing w:after="0"/>
              <w:rPr>
                <w:sz w:val="12"/>
                <w:szCs w:val="12"/>
                <w:color w:val="auto"/>
              </w:rPr>
            </w:pPr>
          </w:p>
        </w:tc>
        <w:tc>
          <w:tcPr>
            <w:tcW w:w="2960" w:type="dxa"/>
            <w:vAlign w:val="bottom"/>
            <w:tcBorders>
              <w:right w:val="single" w:sz="8" w:color="34657F"/>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Key Characteristics</w:t>
      </w:r>
    </w:p>
    <w:p>
      <w:pPr>
        <w:spacing w:after="0" w:line="225" w:lineRule="exact"/>
        <w:rPr>
          <w:sz w:val="20"/>
          <w:szCs w:val="20"/>
          <w:color w:val="auto"/>
        </w:rPr>
      </w:pPr>
    </w:p>
    <w:p>
      <w:pPr>
        <w:jc w:val="center"/>
        <w:ind w:right="40"/>
        <w:spacing w:after="0" w:line="267" w:lineRule="auto"/>
        <w:rPr>
          <w:sz w:val="20"/>
          <w:szCs w:val="20"/>
          <w:color w:val="auto"/>
        </w:rPr>
      </w:pPr>
      <w:r>
        <w:rPr>
          <w:rFonts w:ascii="Arial" w:cs="Arial" w:eastAsia="Arial" w:hAnsi="Arial"/>
          <w:sz w:val="15"/>
          <w:szCs w:val="15"/>
          <w:color w:val="auto"/>
        </w:rPr>
        <w:t>Determined by level of responsibility, competitive market pay assessment and individual performance</w:t>
      </w:r>
    </w:p>
    <w:p>
      <w:pPr>
        <w:spacing w:after="0" w:line="270" w:lineRule="exact"/>
        <w:rPr>
          <w:sz w:val="20"/>
          <w:szCs w:val="20"/>
          <w:color w:val="auto"/>
        </w:rPr>
      </w:pPr>
    </w:p>
    <w:p>
      <w:pPr>
        <w:jc w:val="center"/>
        <w:ind w:right="40"/>
        <w:spacing w:after="0"/>
        <w:rPr>
          <w:sz w:val="20"/>
          <w:szCs w:val="20"/>
          <w:color w:val="auto"/>
        </w:rPr>
      </w:pPr>
      <w:r>
        <w:rPr>
          <w:rFonts w:ascii="Arial" w:cs="Arial" w:eastAsia="Arial" w:hAnsi="Arial"/>
          <w:sz w:val="15"/>
          <w:szCs w:val="15"/>
          <w:color w:val="auto"/>
        </w:rPr>
        <w:t>30% of annual LTIP grant</w:t>
      </w:r>
    </w:p>
    <w:p>
      <w:pPr>
        <w:spacing w:after="0" w:line="84" w:lineRule="exact"/>
        <w:rPr>
          <w:sz w:val="20"/>
          <w:szCs w:val="20"/>
          <w:color w:val="auto"/>
        </w:rPr>
      </w:pPr>
    </w:p>
    <w:p>
      <w:pPr>
        <w:jc w:val="center"/>
        <w:ind w:right="40"/>
        <w:spacing w:after="0"/>
        <w:rPr>
          <w:sz w:val="20"/>
          <w:szCs w:val="20"/>
          <w:color w:val="auto"/>
        </w:rPr>
      </w:pPr>
      <w:r>
        <w:rPr>
          <w:rFonts w:ascii="Arial" w:cs="Arial" w:eastAsia="Arial" w:hAnsi="Arial"/>
          <w:sz w:val="15"/>
          <w:szCs w:val="15"/>
          <w:color w:val="auto"/>
        </w:rPr>
        <w:t>Three-year cliff vesting</w:t>
      </w:r>
    </w:p>
    <w:p>
      <w:pPr>
        <w:spacing w:after="0" w:line="302" w:lineRule="exact"/>
        <w:rPr>
          <w:sz w:val="20"/>
          <w:szCs w:val="20"/>
          <w:color w:val="auto"/>
        </w:rPr>
      </w:pPr>
    </w:p>
    <w:p>
      <w:pPr>
        <w:jc w:val="center"/>
        <w:ind w:right="40"/>
        <w:spacing w:after="0"/>
        <w:rPr>
          <w:sz w:val="20"/>
          <w:szCs w:val="20"/>
          <w:color w:val="auto"/>
        </w:rPr>
      </w:pPr>
      <w:r>
        <w:rPr>
          <w:rFonts w:ascii="Arial" w:cs="Arial" w:eastAsia="Arial" w:hAnsi="Arial"/>
          <w:sz w:val="15"/>
          <w:szCs w:val="15"/>
          <w:u w:val="single" w:color="auto"/>
          <w:color w:val="auto"/>
        </w:rPr>
        <w:t>Financial Metrics</w:t>
      </w:r>
    </w:p>
    <w:p>
      <w:pPr>
        <w:spacing w:after="0" w:line="7" w:lineRule="exact"/>
        <w:rPr>
          <w:sz w:val="20"/>
          <w:szCs w:val="20"/>
          <w:color w:val="auto"/>
        </w:rPr>
      </w:pPr>
    </w:p>
    <w:p>
      <w:pPr>
        <w:jc w:val="center"/>
        <w:ind w:left="-19" w:right="300"/>
        <w:spacing w:after="0" w:line="258" w:lineRule="auto"/>
        <w:rPr>
          <w:sz w:val="20"/>
          <w:szCs w:val="20"/>
          <w:color w:val="auto"/>
        </w:rPr>
      </w:pPr>
      <w:r>
        <w:rPr>
          <w:rFonts w:ascii="Arial" w:cs="Arial" w:eastAsia="Arial" w:hAnsi="Arial"/>
          <w:sz w:val="15"/>
          <w:szCs w:val="15"/>
          <w:color w:val="auto"/>
        </w:rPr>
        <w:t>1/3 Pension-adjusted Operating Margin (OM) Rate* 1/3 Pension-adjusted Cash Flow from Operations* 1/3 Pension-adjusted Net Income* Growth</w:t>
      </w:r>
    </w:p>
    <w:p>
      <w:pPr>
        <w:spacing w:after="0" w:line="162" w:lineRule="exact"/>
        <w:rPr>
          <w:sz w:val="20"/>
          <w:szCs w:val="20"/>
          <w:color w:val="auto"/>
        </w:rPr>
      </w:pPr>
    </w:p>
    <w:p>
      <w:pPr>
        <w:jc w:val="center"/>
        <w:ind w:left="60" w:right="40"/>
        <w:spacing w:after="0" w:line="267" w:lineRule="auto"/>
        <w:rPr>
          <w:sz w:val="20"/>
          <w:szCs w:val="20"/>
          <w:color w:val="auto"/>
        </w:rPr>
      </w:pPr>
      <w:r>
        <w:rPr>
          <w:rFonts w:ascii="Arial" w:cs="Arial" w:eastAsia="Arial" w:hAnsi="Arial"/>
          <w:sz w:val="15"/>
          <w:szCs w:val="15"/>
          <w:color w:val="auto"/>
        </w:rPr>
        <w:t>Subject to downward adjustment for failure to achieve non-financial objectives</w:t>
      </w:r>
    </w:p>
    <w:p>
      <w:pPr>
        <w:spacing w:after="0" w:line="180" w:lineRule="exact"/>
        <w:rPr>
          <w:sz w:val="20"/>
          <w:szCs w:val="20"/>
          <w:color w:val="auto"/>
        </w:rPr>
      </w:pPr>
    </w:p>
    <w:p>
      <w:pPr>
        <w:jc w:val="center"/>
        <w:ind w:right="40"/>
        <w:spacing w:after="0"/>
        <w:rPr>
          <w:sz w:val="20"/>
          <w:szCs w:val="20"/>
          <w:color w:val="auto"/>
        </w:rPr>
      </w:pPr>
      <w:r>
        <w:rPr>
          <w:rFonts w:ascii="Arial" w:cs="Arial" w:eastAsia="Arial" w:hAnsi="Arial"/>
          <w:sz w:val="15"/>
          <w:szCs w:val="15"/>
          <w:color w:val="auto"/>
        </w:rPr>
        <w:t>70% of annual LTIP grant</w:t>
      </w:r>
    </w:p>
    <w:p>
      <w:pPr>
        <w:spacing w:after="0" w:line="84" w:lineRule="exact"/>
        <w:rPr>
          <w:sz w:val="20"/>
          <w:szCs w:val="20"/>
          <w:color w:val="auto"/>
        </w:rPr>
      </w:pPr>
    </w:p>
    <w:p>
      <w:pPr>
        <w:jc w:val="center"/>
        <w:ind w:right="40"/>
        <w:spacing w:after="0"/>
        <w:rPr>
          <w:sz w:val="20"/>
          <w:szCs w:val="20"/>
          <w:color w:val="auto"/>
        </w:rPr>
      </w:pPr>
      <w:r>
        <w:rPr>
          <w:rFonts w:ascii="Arial" w:cs="Arial" w:eastAsia="Arial" w:hAnsi="Arial"/>
          <w:sz w:val="15"/>
          <w:szCs w:val="15"/>
          <w:color w:val="auto"/>
        </w:rPr>
        <w:t>Three-year performance period</w:t>
      </w:r>
    </w:p>
    <w:p>
      <w:pPr>
        <w:spacing w:after="0" w:line="84" w:lineRule="exact"/>
        <w:rPr>
          <w:sz w:val="20"/>
          <w:szCs w:val="20"/>
          <w:color w:val="auto"/>
        </w:rPr>
      </w:pPr>
    </w:p>
    <w:p>
      <w:pPr>
        <w:jc w:val="center"/>
        <w:ind w:left="20" w:right="40"/>
        <w:spacing w:after="0" w:line="267" w:lineRule="auto"/>
        <w:rPr>
          <w:sz w:val="20"/>
          <w:szCs w:val="20"/>
          <w:color w:val="auto"/>
        </w:rPr>
      </w:pPr>
      <w:r>
        <w:rPr>
          <w:rFonts w:ascii="Arial" w:cs="Arial" w:eastAsia="Arial" w:hAnsi="Arial"/>
          <w:sz w:val="15"/>
          <w:szCs w:val="15"/>
          <w:color w:val="auto"/>
        </w:rPr>
        <w:t>Actual shares earned are weighted 50% to relative TSR and 50% to Cumulative Free Cash Flow* (Cumulative FCF*)</w:t>
      </w:r>
    </w:p>
    <w:p>
      <w:pPr>
        <w:spacing w:after="0" w:line="38" w:lineRule="exact"/>
        <w:rPr>
          <w:sz w:val="20"/>
          <w:szCs w:val="20"/>
          <w:color w:val="auto"/>
        </w:rPr>
      </w:pPr>
    </w:p>
    <w:p>
      <w:pPr>
        <w:sectPr>
          <w:pgSz w:w="11900" w:h="16838" w:orient="portrait"/>
          <w:cols w:equalWidth="0" w:num="2">
            <w:col w:w="7100" w:space="160"/>
            <w:col w:w="4160"/>
          </w:cols>
          <w:pgMar w:left="240" w:top="723" w:right="239" w:bottom="1440" w:gutter="0" w:footer="0" w:header="0"/>
          <w:type w:val="continuous"/>
        </w:sectPr>
      </w:pPr>
    </w:p>
    <w:p>
      <w:pPr>
        <w:ind w:left="20"/>
        <w:spacing w:after="0"/>
        <w:rPr>
          <w:sz w:val="20"/>
          <w:szCs w:val="20"/>
          <w:color w:val="auto"/>
        </w:rPr>
      </w:pPr>
      <w:r>
        <w:rPr>
          <w:rFonts w:ascii="Arial" w:cs="Arial" w:eastAsia="Arial" w:hAnsi="Arial"/>
          <w:sz w:val="15"/>
          <w:szCs w:val="15"/>
          <w:color w:val="auto"/>
        </w:rPr>
        <w:t>* This metric is a non-GAAP financial measure. For more information, see "Appendix A - Use of Non-GAAP Financial Measures."</w:t>
      </w:r>
    </w:p>
    <w:p>
      <w:pPr>
        <w:spacing w:after="0" w:line="233" w:lineRule="exact"/>
        <w:rPr>
          <w:sz w:val="20"/>
          <w:szCs w:val="20"/>
          <w:color w:val="auto"/>
        </w:rPr>
      </w:pPr>
    </w:p>
    <w:p>
      <w:pPr>
        <w:ind w:left="20"/>
        <w:spacing w:after="0"/>
        <w:rPr>
          <w:sz w:val="20"/>
          <w:szCs w:val="20"/>
          <w:color w:val="auto"/>
        </w:rPr>
      </w:pPr>
      <w:r>
        <w:rPr>
          <w:rFonts w:ascii="Arial" w:cs="Arial" w:eastAsia="Arial" w:hAnsi="Arial"/>
          <w:sz w:val="24"/>
          <w:szCs w:val="24"/>
          <w:b w:val="1"/>
          <w:bCs w:val="1"/>
          <w:color w:val="auto"/>
        </w:rPr>
        <w:t>Our Compensation Pay Practices (pages 40 - 51)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38100</wp:posOffset>
            </wp:positionV>
            <wp:extent cx="7253605" cy="1651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color w:val="auto"/>
        </w:rPr>
        <w:t>Our compensation programs incorporate best practices, including the following:</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34657F"/>
        </w:rPr>
        <w:t>Best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38100</wp:posOffset>
            </wp:positionV>
            <wp:extent cx="725360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53605" cy="8255"/>
                    </a:xfrm>
                    <a:prstGeom prst="rect">
                      <a:avLst/>
                    </a:prstGeom>
                    <a:noFill/>
                  </pic:spPr>
                </pic:pic>
              </a:graphicData>
            </a:graphic>
          </wp:anchor>
        </w:drawing>
      </w:r>
    </w:p>
    <w:p>
      <w:pPr>
        <w:sectPr>
          <w:pgSz w:w="11900" w:h="16838" w:orient="portrait"/>
          <w:cols w:equalWidth="0" w:num="1">
            <w:col w:w="11420"/>
          </w:cols>
          <w:pgMar w:left="240" w:top="723" w:right="239" w:bottom="1440" w:gutter="0" w:footer="0" w:header="0"/>
          <w:type w:val="continuous"/>
        </w:sectPr>
      </w:pPr>
    </w:p>
    <w:p>
      <w:pPr>
        <w:spacing w:after="0" w:line="211" w:lineRule="exact"/>
        <w:rPr>
          <w:sz w:val="20"/>
          <w:szCs w:val="20"/>
          <w:color w:val="auto"/>
        </w:rPr>
      </w:pPr>
    </w:p>
    <w:p>
      <w:pPr>
        <w:ind w:left="220" w:hanging="192"/>
        <w:spacing w:after="0"/>
        <w:tabs>
          <w:tab w:leader="none" w:pos="220" w:val="left"/>
        </w:tabs>
        <w:numPr>
          <w:ilvl w:val="0"/>
          <w:numId w:val="42"/>
        </w:numPr>
        <w:rPr>
          <w:rFonts w:ascii="Arial" w:cs="Arial" w:eastAsia="Arial" w:hAnsi="Arial"/>
          <w:sz w:val="21"/>
          <w:szCs w:val="21"/>
          <w:color w:val="34657F"/>
        </w:rPr>
      </w:pPr>
      <w:r>
        <w:rPr>
          <w:rFonts w:ascii="Arial" w:cs="Arial" w:eastAsia="Arial" w:hAnsi="Arial"/>
          <w:sz w:val="15"/>
          <w:szCs w:val="15"/>
          <w:color w:val="auto"/>
        </w:rPr>
        <w:t>Pay for Performance</w:t>
      </w:r>
    </w:p>
    <w:p>
      <w:pPr>
        <w:spacing w:after="0" w:line="96" w:lineRule="exact"/>
        <w:rPr>
          <w:rFonts w:ascii="Arial" w:cs="Arial" w:eastAsia="Arial" w:hAnsi="Arial"/>
          <w:sz w:val="21"/>
          <w:szCs w:val="21"/>
          <w:color w:val="34657F"/>
        </w:rPr>
      </w:pPr>
    </w:p>
    <w:p>
      <w:pPr>
        <w:ind w:left="260" w:right="260" w:hanging="232"/>
        <w:spacing w:after="0" w:line="227" w:lineRule="auto"/>
        <w:tabs>
          <w:tab w:leader="none" w:pos="215" w:val="left"/>
        </w:tabs>
        <w:numPr>
          <w:ilvl w:val="0"/>
          <w:numId w:val="42"/>
        </w:numPr>
        <w:rPr>
          <w:rFonts w:ascii="Arial" w:cs="Arial" w:eastAsia="Arial" w:hAnsi="Arial"/>
          <w:sz w:val="21"/>
          <w:szCs w:val="21"/>
          <w:color w:val="34657F"/>
        </w:rPr>
      </w:pPr>
      <w:r>
        <w:rPr>
          <w:rFonts w:ascii="Arial" w:cs="Arial" w:eastAsia="Arial" w:hAnsi="Arial"/>
          <w:sz w:val="15"/>
          <w:szCs w:val="15"/>
          <w:color w:val="auto"/>
        </w:rPr>
        <w:t>Above Target and Maximum Annual Incentive Payouts Only When We Outperform Our Peer Benchmarks</w:t>
      </w:r>
    </w:p>
    <w:p>
      <w:pPr>
        <w:spacing w:after="0" w:line="30" w:lineRule="exact"/>
        <w:rPr>
          <w:rFonts w:ascii="Arial" w:cs="Arial" w:eastAsia="Arial" w:hAnsi="Arial"/>
          <w:sz w:val="21"/>
          <w:szCs w:val="21"/>
          <w:color w:val="34657F"/>
        </w:rPr>
      </w:pPr>
    </w:p>
    <w:p>
      <w:pPr>
        <w:ind w:left="220" w:hanging="192"/>
        <w:spacing w:after="0"/>
        <w:tabs>
          <w:tab w:leader="none" w:pos="220" w:val="left"/>
        </w:tabs>
        <w:numPr>
          <w:ilvl w:val="0"/>
          <w:numId w:val="42"/>
        </w:numPr>
        <w:rPr>
          <w:rFonts w:ascii="Arial" w:cs="Arial" w:eastAsia="Arial" w:hAnsi="Arial"/>
          <w:sz w:val="21"/>
          <w:szCs w:val="21"/>
          <w:color w:val="34657F"/>
        </w:rPr>
      </w:pPr>
      <w:r>
        <w:rPr>
          <w:rFonts w:ascii="Arial" w:cs="Arial" w:eastAsia="Arial" w:hAnsi="Arial"/>
          <w:sz w:val="15"/>
          <w:szCs w:val="15"/>
          <w:color w:val="auto"/>
        </w:rPr>
        <w:t>Long-Term Incentives Focused on Performance</w:t>
      </w:r>
    </w:p>
    <w:p>
      <w:pPr>
        <w:spacing w:after="0" w:line="96" w:lineRule="exact"/>
        <w:rPr>
          <w:rFonts w:ascii="Arial" w:cs="Arial" w:eastAsia="Arial" w:hAnsi="Arial"/>
          <w:sz w:val="21"/>
          <w:szCs w:val="21"/>
          <w:color w:val="34657F"/>
        </w:rPr>
      </w:pPr>
    </w:p>
    <w:p>
      <w:pPr>
        <w:ind w:left="260" w:hanging="232"/>
        <w:spacing w:after="0" w:line="218" w:lineRule="auto"/>
        <w:tabs>
          <w:tab w:leader="none" w:pos="272" w:val="left"/>
        </w:tabs>
        <w:numPr>
          <w:ilvl w:val="0"/>
          <w:numId w:val="42"/>
        </w:numPr>
        <w:rPr>
          <w:rFonts w:ascii="Arial" w:cs="Arial" w:eastAsia="Arial" w:hAnsi="Arial"/>
          <w:sz w:val="21"/>
          <w:szCs w:val="21"/>
          <w:color w:val="34657F"/>
        </w:rPr>
      </w:pPr>
      <w:r>
        <w:rPr>
          <w:rFonts w:ascii="Arial" w:cs="Arial" w:eastAsia="Arial" w:hAnsi="Arial"/>
          <w:sz w:val="15"/>
          <w:szCs w:val="15"/>
          <w:color w:val="auto"/>
        </w:rPr>
        <w:t>Cap on Annual Bonuses and Performance-Based Long-Term Incentive Share Payouts</w:t>
      </w:r>
    </w:p>
    <w:p>
      <w:pPr>
        <w:spacing w:after="0" w:line="85" w:lineRule="exact"/>
        <w:rPr>
          <w:rFonts w:ascii="Arial" w:cs="Arial" w:eastAsia="Arial" w:hAnsi="Arial"/>
          <w:sz w:val="21"/>
          <w:szCs w:val="21"/>
          <w:color w:val="34657F"/>
        </w:rPr>
      </w:pPr>
    </w:p>
    <w:p>
      <w:pPr>
        <w:ind w:left="260" w:right="20" w:hanging="232"/>
        <w:spacing w:after="0" w:line="218" w:lineRule="auto"/>
        <w:tabs>
          <w:tab w:leader="none" w:pos="272" w:val="left"/>
        </w:tabs>
        <w:numPr>
          <w:ilvl w:val="0"/>
          <w:numId w:val="42"/>
        </w:numPr>
        <w:rPr>
          <w:rFonts w:ascii="Arial" w:cs="Arial" w:eastAsia="Arial" w:hAnsi="Arial"/>
          <w:sz w:val="21"/>
          <w:szCs w:val="21"/>
          <w:color w:val="34657F"/>
        </w:rPr>
      </w:pPr>
      <w:r>
        <w:rPr>
          <w:rFonts w:ascii="Arial" w:cs="Arial" w:eastAsia="Arial" w:hAnsi="Arial"/>
          <w:sz w:val="15"/>
          <w:szCs w:val="15"/>
          <w:color w:val="auto"/>
        </w:rPr>
        <w:t>Compensation Elements Benchmarked at Market Median</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6"/>
        </w:trPr>
        <w:tc>
          <w:tcPr>
            <w:tcW w:w="3720" w:type="dxa"/>
            <w:vAlign w:val="bottom"/>
          </w:tcPr>
          <w:p>
            <w:pPr>
              <w:spacing w:after="0"/>
              <w:rPr>
                <w:sz w:val="20"/>
                <w:szCs w:val="20"/>
                <w:color w:val="auto"/>
              </w:rPr>
            </w:pPr>
            <w:r>
              <w:rPr>
                <w:rFonts w:ascii="Arial" w:cs="Arial" w:eastAsia="Arial" w:hAnsi="Arial"/>
                <w:sz w:val="21"/>
                <w:szCs w:val="21"/>
                <w:color w:val="34657F"/>
              </w:rPr>
              <w:t xml:space="preserve">•  </w:t>
            </w:r>
            <w:r>
              <w:rPr>
                <w:rFonts w:ascii="Arial" w:cs="Arial" w:eastAsia="Arial" w:hAnsi="Arial"/>
                <w:sz w:val="15"/>
                <w:szCs w:val="15"/>
                <w:color w:val="000000"/>
              </w:rPr>
              <w:t>Annual Peer Group Review</w:t>
            </w:r>
          </w:p>
        </w:tc>
        <w:tc>
          <w:tcPr>
            <w:tcW w:w="3700" w:type="dxa"/>
            <w:vAlign w:val="bottom"/>
          </w:tcPr>
          <w:p>
            <w:pPr>
              <w:ind w:left="140"/>
              <w:spacing w:after="0"/>
              <w:rPr>
                <w:sz w:val="20"/>
                <w:szCs w:val="20"/>
                <w:color w:val="auto"/>
              </w:rPr>
            </w:pPr>
            <w:r>
              <w:rPr>
                <w:rFonts w:ascii="Arial" w:cs="Arial" w:eastAsia="Arial" w:hAnsi="Arial"/>
                <w:sz w:val="21"/>
                <w:szCs w:val="21"/>
                <w:color w:val="34657F"/>
              </w:rPr>
              <w:t xml:space="preserve">• </w:t>
            </w:r>
            <w:r>
              <w:rPr>
                <w:rFonts w:ascii="Arial" w:cs="Arial" w:eastAsia="Arial" w:hAnsi="Arial"/>
                <w:sz w:val="15"/>
                <w:szCs w:val="15"/>
                <w:color w:val="000000"/>
              </w:rPr>
              <w:t>No Hedging or Pledging of Company Stock</w:t>
            </w:r>
          </w:p>
        </w:tc>
        <w:tc>
          <w:tcPr>
            <w:tcW w:w="0" w:type="dxa"/>
            <w:vAlign w:val="bottom"/>
          </w:tcPr>
          <w:p>
            <w:pPr>
              <w:spacing w:after="0"/>
              <w:rPr>
                <w:sz w:val="1"/>
                <w:szCs w:val="1"/>
                <w:color w:val="auto"/>
              </w:rPr>
            </w:pPr>
          </w:p>
        </w:tc>
      </w:tr>
      <w:tr>
        <w:trPr>
          <w:trHeight w:val="275"/>
        </w:trPr>
        <w:tc>
          <w:tcPr>
            <w:tcW w:w="3720" w:type="dxa"/>
            <w:vAlign w:val="bottom"/>
          </w:tcPr>
          <w:p>
            <w:pPr>
              <w:spacing w:after="0"/>
              <w:rPr>
                <w:sz w:val="20"/>
                <w:szCs w:val="20"/>
                <w:color w:val="auto"/>
              </w:rPr>
            </w:pPr>
            <w:r>
              <w:rPr>
                <w:rFonts w:ascii="Arial" w:cs="Arial" w:eastAsia="Arial" w:hAnsi="Arial"/>
                <w:sz w:val="21"/>
                <w:szCs w:val="21"/>
                <w:color w:val="34657F"/>
              </w:rPr>
              <w:t xml:space="preserve">• </w:t>
            </w:r>
            <w:r>
              <w:rPr>
                <w:rFonts w:ascii="Arial" w:cs="Arial" w:eastAsia="Arial" w:hAnsi="Arial"/>
                <w:sz w:val="15"/>
                <w:szCs w:val="15"/>
                <w:color w:val="000000"/>
              </w:rPr>
              <w:t>Independent Consultant Reports Directly to</w:t>
            </w:r>
          </w:p>
        </w:tc>
        <w:tc>
          <w:tcPr>
            <w:tcW w:w="3700" w:type="dxa"/>
            <w:vAlign w:val="bottom"/>
          </w:tcPr>
          <w:p>
            <w:pPr>
              <w:ind w:left="140"/>
              <w:spacing w:after="0"/>
              <w:rPr>
                <w:sz w:val="20"/>
                <w:szCs w:val="20"/>
                <w:color w:val="auto"/>
              </w:rPr>
            </w:pPr>
            <w:r>
              <w:rPr>
                <w:rFonts w:ascii="Arial" w:cs="Arial" w:eastAsia="Arial" w:hAnsi="Arial"/>
                <w:sz w:val="21"/>
                <w:szCs w:val="21"/>
                <w:color w:val="34657F"/>
              </w:rPr>
              <w:t xml:space="preserve">• </w:t>
            </w:r>
            <w:r>
              <w:rPr>
                <w:rFonts w:ascii="Arial" w:cs="Arial" w:eastAsia="Arial" w:hAnsi="Arial"/>
                <w:sz w:val="15"/>
                <w:szCs w:val="15"/>
                <w:color w:val="000000"/>
              </w:rPr>
              <w:t>Dividends Paid Upon Vesting</w:t>
            </w:r>
          </w:p>
        </w:tc>
        <w:tc>
          <w:tcPr>
            <w:tcW w:w="0" w:type="dxa"/>
            <w:vAlign w:val="bottom"/>
          </w:tcPr>
          <w:p>
            <w:pPr>
              <w:spacing w:after="0"/>
              <w:rPr>
                <w:sz w:val="1"/>
                <w:szCs w:val="1"/>
                <w:color w:val="auto"/>
              </w:rPr>
            </w:pPr>
          </w:p>
        </w:tc>
      </w:tr>
      <w:tr>
        <w:trPr>
          <w:trHeight w:val="185"/>
        </w:trPr>
        <w:tc>
          <w:tcPr>
            <w:tcW w:w="3720" w:type="dxa"/>
            <w:vAlign w:val="bottom"/>
          </w:tcPr>
          <w:p>
            <w:pPr>
              <w:ind w:left="220"/>
              <w:spacing w:after="0"/>
              <w:rPr>
                <w:sz w:val="20"/>
                <w:szCs w:val="20"/>
                <w:color w:val="auto"/>
              </w:rPr>
            </w:pPr>
            <w:r>
              <w:rPr>
                <w:rFonts w:ascii="Arial" w:cs="Arial" w:eastAsia="Arial" w:hAnsi="Arial"/>
                <w:sz w:val="15"/>
                <w:szCs w:val="15"/>
                <w:color w:val="auto"/>
              </w:rPr>
              <w:t>Compensation Committee</w:t>
            </w:r>
          </w:p>
        </w:tc>
        <w:tc>
          <w:tcPr>
            <w:tcW w:w="3700" w:type="dxa"/>
            <w:vAlign w:val="bottom"/>
            <w:vMerge w:val="restart"/>
          </w:tcPr>
          <w:p>
            <w:pPr>
              <w:ind w:left="140"/>
              <w:spacing w:after="0"/>
              <w:rPr>
                <w:sz w:val="20"/>
                <w:szCs w:val="20"/>
                <w:color w:val="auto"/>
              </w:rPr>
            </w:pPr>
            <w:r>
              <w:rPr>
                <w:rFonts w:ascii="Arial" w:cs="Arial" w:eastAsia="Arial" w:hAnsi="Arial"/>
                <w:sz w:val="21"/>
                <w:szCs w:val="21"/>
                <w:color w:val="34657F"/>
              </w:rPr>
              <w:t xml:space="preserve">• </w:t>
            </w:r>
            <w:r>
              <w:rPr>
                <w:rFonts w:ascii="Arial" w:cs="Arial" w:eastAsia="Arial" w:hAnsi="Arial"/>
                <w:sz w:val="15"/>
                <w:szCs w:val="15"/>
                <w:color w:val="000000"/>
              </w:rPr>
              <w:t>Recoupment Policy on Incentive Compensation</w:t>
            </w:r>
          </w:p>
        </w:tc>
        <w:tc>
          <w:tcPr>
            <w:tcW w:w="0" w:type="dxa"/>
            <w:vAlign w:val="bottom"/>
          </w:tcPr>
          <w:p>
            <w:pPr>
              <w:spacing w:after="0"/>
              <w:rPr>
                <w:sz w:val="1"/>
                <w:szCs w:val="1"/>
                <w:color w:val="auto"/>
              </w:rPr>
            </w:pPr>
          </w:p>
        </w:tc>
      </w:tr>
      <w:tr>
        <w:trPr>
          <w:trHeight w:val="97"/>
        </w:trPr>
        <w:tc>
          <w:tcPr>
            <w:tcW w:w="3720" w:type="dxa"/>
            <w:vAlign w:val="bottom"/>
            <w:vMerge w:val="restart"/>
          </w:tcPr>
          <w:p>
            <w:pPr>
              <w:spacing w:after="0"/>
              <w:rPr>
                <w:sz w:val="20"/>
                <w:szCs w:val="20"/>
                <w:color w:val="auto"/>
              </w:rPr>
            </w:pPr>
            <w:r>
              <w:rPr>
                <w:rFonts w:ascii="Arial" w:cs="Arial" w:eastAsia="Arial" w:hAnsi="Arial"/>
                <w:sz w:val="21"/>
                <w:szCs w:val="21"/>
                <w:color w:val="34657F"/>
              </w:rPr>
              <w:t xml:space="preserve">• </w:t>
            </w:r>
            <w:r>
              <w:rPr>
                <w:rFonts w:ascii="Arial" w:cs="Arial" w:eastAsia="Arial" w:hAnsi="Arial"/>
                <w:sz w:val="15"/>
                <w:szCs w:val="15"/>
                <w:color w:val="000000"/>
              </w:rPr>
              <w:t>Double Trigger Provisions for Change in Control</w:t>
            </w:r>
          </w:p>
        </w:tc>
        <w:tc>
          <w:tcPr>
            <w:tcW w:w="37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6"/>
        </w:trPr>
        <w:tc>
          <w:tcPr>
            <w:tcW w:w="3720" w:type="dxa"/>
            <w:vAlign w:val="bottom"/>
            <w:vMerge w:val="continue"/>
          </w:tcPr>
          <w:p>
            <w:pPr>
              <w:spacing w:after="0"/>
              <w:rPr>
                <w:sz w:val="16"/>
                <w:szCs w:val="16"/>
                <w:color w:val="auto"/>
              </w:rPr>
            </w:pPr>
          </w:p>
        </w:tc>
        <w:tc>
          <w:tcPr>
            <w:tcW w:w="3700" w:type="dxa"/>
            <w:vAlign w:val="bottom"/>
          </w:tcPr>
          <w:p>
            <w:pPr>
              <w:ind w:left="380"/>
              <w:spacing w:after="0"/>
              <w:rPr>
                <w:sz w:val="20"/>
                <w:szCs w:val="20"/>
                <w:color w:val="auto"/>
              </w:rPr>
            </w:pPr>
            <w:r>
              <w:rPr>
                <w:rFonts w:ascii="Arial" w:cs="Arial" w:eastAsia="Arial" w:hAnsi="Arial"/>
                <w:sz w:val="15"/>
                <w:szCs w:val="15"/>
                <w:color w:val="auto"/>
              </w:rPr>
              <w:t>Payments</w:t>
            </w:r>
          </w:p>
        </w:tc>
        <w:tc>
          <w:tcPr>
            <w:tcW w:w="0" w:type="dxa"/>
            <w:vAlign w:val="bottom"/>
          </w:tcPr>
          <w:p>
            <w:pPr>
              <w:spacing w:after="0"/>
              <w:rPr>
                <w:sz w:val="1"/>
                <w:szCs w:val="1"/>
                <w:color w:val="auto"/>
              </w:rPr>
            </w:pPr>
          </w:p>
        </w:tc>
      </w:tr>
      <w:tr>
        <w:trPr>
          <w:trHeight w:val="275"/>
        </w:trPr>
        <w:tc>
          <w:tcPr>
            <w:tcW w:w="3720" w:type="dxa"/>
            <w:vAlign w:val="bottom"/>
          </w:tcPr>
          <w:p>
            <w:pPr>
              <w:spacing w:after="0"/>
              <w:rPr>
                <w:sz w:val="20"/>
                <w:szCs w:val="20"/>
                <w:color w:val="auto"/>
              </w:rPr>
            </w:pPr>
            <w:r>
              <w:rPr>
                <w:rFonts w:ascii="Arial" w:cs="Arial" w:eastAsia="Arial" w:hAnsi="Arial"/>
                <w:sz w:val="21"/>
                <w:szCs w:val="21"/>
                <w:color w:val="34657F"/>
              </w:rPr>
              <w:t xml:space="preserve">•  </w:t>
            </w:r>
            <w:r>
              <w:rPr>
                <w:rFonts w:ascii="Arial" w:cs="Arial" w:eastAsia="Arial" w:hAnsi="Arial"/>
                <w:sz w:val="15"/>
                <w:szCs w:val="15"/>
                <w:color w:val="000000"/>
              </w:rPr>
              <w:t>No Individual Change in Control Agreements</w:t>
            </w:r>
          </w:p>
        </w:tc>
        <w:tc>
          <w:tcPr>
            <w:tcW w:w="3700" w:type="dxa"/>
            <w:vAlign w:val="bottom"/>
          </w:tcPr>
          <w:p>
            <w:pPr>
              <w:ind w:left="140"/>
              <w:spacing w:after="0"/>
              <w:rPr>
                <w:sz w:val="20"/>
                <w:szCs w:val="20"/>
                <w:color w:val="auto"/>
              </w:rPr>
            </w:pPr>
            <w:r>
              <w:rPr>
                <w:rFonts w:ascii="Arial" w:cs="Arial" w:eastAsia="Arial" w:hAnsi="Arial"/>
                <w:sz w:val="21"/>
                <w:szCs w:val="21"/>
                <w:color w:val="34657F"/>
              </w:rPr>
              <w:t xml:space="preserve">• </w:t>
            </w:r>
            <w:r>
              <w:rPr>
                <w:rFonts w:ascii="Arial" w:cs="Arial" w:eastAsia="Arial" w:hAnsi="Arial"/>
                <w:sz w:val="15"/>
                <w:szCs w:val="15"/>
                <w:color w:val="000000"/>
              </w:rPr>
              <w:t>Stock Ownership Guidelines and Stock Holding</w:t>
            </w:r>
          </w:p>
        </w:tc>
        <w:tc>
          <w:tcPr>
            <w:tcW w:w="0" w:type="dxa"/>
            <w:vAlign w:val="bottom"/>
          </w:tcPr>
          <w:p>
            <w:pPr>
              <w:spacing w:after="0"/>
              <w:rPr>
                <w:sz w:val="1"/>
                <w:szCs w:val="1"/>
                <w:color w:val="auto"/>
              </w:rPr>
            </w:pPr>
          </w:p>
        </w:tc>
      </w:tr>
      <w:tr>
        <w:trPr>
          <w:trHeight w:val="185"/>
        </w:trPr>
        <w:tc>
          <w:tcPr>
            <w:tcW w:w="3720" w:type="dxa"/>
            <w:vAlign w:val="bottom"/>
            <w:vMerge w:val="restart"/>
          </w:tcPr>
          <w:p>
            <w:pPr>
              <w:spacing w:after="0"/>
              <w:rPr>
                <w:sz w:val="20"/>
                <w:szCs w:val="20"/>
                <w:color w:val="auto"/>
              </w:rPr>
            </w:pPr>
            <w:r>
              <w:rPr>
                <w:rFonts w:ascii="Arial" w:cs="Arial" w:eastAsia="Arial" w:hAnsi="Arial"/>
                <w:sz w:val="21"/>
                <w:szCs w:val="21"/>
                <w:color w:val="34657F"/>
              </w:rPr>
              <w:t xml:space="preserve">•  </w:t>
            </w:r>
            <w:r>
              <w:rPr>
                <w:rFonts w:ascii="Arial" w:cs="Arial" w:eastAsia="Arial" w:hAnsi="Arial"/>
                <w:sz w:val="15"/>
                <w:szCs w:val="15"/>
                <w:color w:val="000000"/>
              </w:rPr>
              <w:t>No Excise Tax Gross-ups for Payments Received</w:t>
            </w:r>
          </w:p>
        </w:tc>
        <w:tc>
          <w:tcPr>
            <w:tcW w:w="3700" w:type="dxa"/>
            <w:vAlign w:val="bottom"/>
          </w:tcPr>
          <w:p>
            <w:pPr>
              <w:ind w:left="380"/>
              <w:spacing w:after="0"/>
              <w:rPr>
                <w:sz w:val="20"/>
                <w:szCs w:val="20"/>
                <w:color w:val="auto"/>
              </w:rPr>
            </w:pPr>
            <w:r>
              <w:rPr>
                <w:rFonts w:ascii="Arial" w:cs="Arial" w:eastAsia="Arial" w:hAnsi="Arial"/>
                <w:sz w:val="15"/>
                <w:szCs w:val="15"/>
                <w:color w:val="auto"/>
              </w:rPr>
              <w:t>Requirements</w:t>
            </w:r>
          </w:p>
        </w:tc>
        <w:tc>
          <w:tcPr>
            <w:tcW w:w="0" w:type="dxa"/>
            <w:vAlign w:val="bottom"/>
          </w:tcPr>
          <w:p>
            <w:pPr>
              <w:spacing w:after="0"/>
              <w:rPr>
                <w:sz w:val="1"/>
                <w:szCs w:val="1"/>
                <w:color w:val="auto"/>
              </w:rPr>
            </w:pPr>
          </w:p>
        </w:tc>
      </w:tr>
      <w:tr>
        <w:trPr>
          <w:trHeight w:val="97"/>
        </w:trPr>
        <w:tc>
          <w:tcPr>
            <w:tcW w:w="3720" w:type="dxa"/>
            <w:vAlign w:val="bottom"/>
            <w:vMerge w:val="continue"/>
          </w:tcPr>
          <w:p>
            <w:pPr>
              <w:spacing w:after="0"/>
              <w:rPr>
                <w:sz w:val="8"/>
                <w:szCs w:val="8"/>
                <w:color w:val="auto"/>
              </w:rPr>
            </w:pPr>
          </w:p>
        </w:tc>
        <w:tc>
          <w:tcPr>
            <w:tcW w:w="3700" w:type="dxa"/>
            <w:vAlign w:val="bottom"/>
            <w:vMerge w:val="restart"/>
          </w:tcPr>
          <w:p>
            <w:pPr>
              <w:ind w:left="140"/>
              <w:spacing w:after="0"/>
              <w:rPr>
                <w:sz w:val="20"/>
                <w:szCs w:val="20"/>
                <w:color w:val="auto"/>
              </w:rPr>
            </w:pPr>
            <w:r>
              <w:rPr>
                <w:rFonts w:ascii="Arial" w:cs="Arial" w:eastAsia="Arial" w:hAnsi="Arial"/>
                <w:sz w:val="21"/>
                <w:szCs w:val="21"/>
                <w:color w:val="34657F"/>
              </w:rPr>
              <w:t xml:space="preserve">• </w:t>
            </w:r>
            <w:r>
              <w:rPr>
                <w:rFonts w:ascii="Arial" w:cs="Arial" w:eastAsia="Arial" w:hAnsi="Arial"/>
                <w:sz w:val="15"/>
                <w:szCs w:val="15"/>
                <w:color w:val="000000"/>
              </w:rPr>
              <w:t>Regular Risk Assessments Performed</w:t>
            </w:r>
          </w:p>
        </w:tc>
        <w:tc>
          <w:tcPr>
            <w:tcW w:w="0" w:type="dxa"/>
            <w:vAlign w:val="bottom"/>
          </w:tcPr>
          <w:p>
            <w:pPr>
              <w:spacing w:after="0"/>
              <w:rPr>
                <w:sz w:val="1"/>
                <w:szCs w:val="1"/>
                <w:color w:val="auto"/>
              </w:rPr>
            </w:pPr>
          </w:p>
        </w:tc>
      </w:tr>
      <w:tr>
        <w:trPr>
          <w:trHeight w:val="186"/>
        </w:trPr>
        <w:tc>
          <w:tcPr>
            <w:tcW w:w="3720" w:type="dxa"/>
            <w:vAlign w:val="bottom"/>
          </w:tcPr>
          <w:p>
            <w:pPr>
              <w:ind w:left="220"/>
              <w:spacing w:after="0"/>
              <w:rPr>
                <w:sz w:val="20"/>
                <w:szCs w:val="20"/>
                <w:color w:val="auto"/>
              </w:rPr>
            </w:pPr>
            <w:r>
              <w:rPr>
                <w:rFonts w:ascii="Arial" w:cs="Arial" w:eastAsia="Arial" w:hAnsi="Arial"/>
                <w:sz w:val="15"/>
                <w:szCs w:val="15"/>
                <w:color w:val="auto"/>
              </w:rPr>
              <w:t>Upon Termination After a Change in Control</w:t>
            </w:r>
          </w:p>
        </w:tc>
        <w:tc>
          <w:tcPr>
            <w:tcW w:w="3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82"/>
        </w:trPr>
        <w:tc>
          <w:tcPr>
            <w:tcW w:w="3720" w:type="dxa"/>
            <w:vAlign w:val="bottom"/>
          </w:tcPr>
          <w:p>
            <w:pPr>
              <w:spacing w:after="0"/>
              <w:rPr>
                <w:sz w:val="24"/>
                <w:szCs w:val="24"/>
                <w:color w:val="auto"/>
              </w:rPr>
            </w:pPr>
          </w:p>
        </w:tc>
        <w:tc>
          <w:tcPr>
            <w:tcW w:w="3700" w:type="dxa"/>
            <w:vAlign w:val="bottom"/>
          </w:tcPr>
          <w:p>
            <w:pPr>
              <w:ind w:left="140"/>
              <w:spacing w:after="0"/>
              <w:rPr>
                <w:sz w:val="20"/>
                <w:szCs w:val="20"/>
                <w:color w:val="auto"/>
              </w:rPr>
            </w:pPr>
            <w:r>
              <w:rPr>
                <w:rFonts w:ascii="Arial" w:cs="Arial" w:eastAsia="Arial" w:hAnsi="Arial"/>
                <w:sz w:val="21"/>
                <w:szCs w:val="21"/>
                <w:color w:val="34657F"/>
              </w:rPr>
              <w:t xml:space="preserve">• </w:t>
            </w:r>
            <w:r>
              <w:rPr>
                <w:rFonts w:ascii="Arial" w:cs="Arial" w:eastAsia="Arial" w:hAnsi="Arial"/>
                <w:sz w:val="15"/>
                <w:szCs w:val="15"/>
                <w:color w:val="000000"/>
              </w:rPr>
              <w:t>No Employment Contracts for CEO or other NEOs</w:t>
            </w:r>
          </w:p>
        </w:tc>
        <w:tc>
          <w:tcPr>
            <w:tcW w:w="0" w:type="dxa"/>
            <w:vAlign w:val="bottom"/>
          </w:tcPr>
          <w:p>
            <w:pPr>
              <w:spacing w:after="0"/>
              <w:rPr>
                <w:sz w:val="1"/>
                <w:szCs w:val="1"/>
                <w:color w:val="auto"/>
              </w:rPr>
            </w:pPr>
          </w:p>
        </w:tc>
      </w:tr>
    </w:tbl>
    <w:p>
      <w:pPr>
        <w:spacing w:after="0" w:line="274" w:lineRule="exact"/>
        <w:rPr>
          <w:sz w:val="20"/>
          <w:szCs w:val="20"/>
          <w:color w:val="auto"/>
        </w:rPr>
      </w:pPr>
    </w:p>
    <w:p>
      <w:pPr>
        <w:sectPr>
          <w:pgSz w:w="11900" w:h="16838" w:orient="portrait"/>
          <w:cols w:equalWidth="0" w:num="2">
            <w:col w:w="3640" w:space="180"/>
            <w:col w:w="7600"/>
          </w:cols>
          <w:pgMar w:left="240" w:top="723" w:right="239" w:bottom="1440" w:gutter="0" w:footer="0" w:header="0"/>
          <w:type w:val="continuous"/>
        </w:sectPr>
      </w:pPr>
    </w:p>
    <w:p>
      <w:pPr>
        <w:spacing w:after="0" w:line="183" w:lineRule="exact"/>
        <w:rPr>
          <w:sz w:val="20"/>
          <w:szCs w:val="20"/>
          <w:color w:val="auto"/>
        </w:rPr>
      </w:pPr>
    </w:p>
    <w:p>
      <w:pPr>
        <w:ind w:left="5740"/>
        <w:spacing w:after="0"/>
        <w:rPr>
          <w:sz w:val="20"/>
          <w:szCs w:val="20"/>
          <w:color w:val="auto"/>
        </w:rPr>
      </w:pPr>
      <w:r>
        <w:rPr>
          <w:rFonts w:ascii="Arial" w:cs="Arial" w:eastAsia="Arial" w:hAnsi="Arial"/>
          <w:sz w:val="13"/>
          <w:szCs w:val="13"/>
          <w:color w:val="34657F"/>
        </w:rPr>
        <w:t xml:space="preserve">NOTICE OF 2019 ANNUAL MEETING OF SHAREHOLDERS AND PROXY STATEMENT </w:t>
      </w:r>
      <w:r>
        <w:rPr>
          <w:rFonts w:ascii="Arial" w:cs="Arial" w:eastAsia="Arial" w:hAnsi="Arial"/>
          <w:sz w:val="13"/>
          <w:szCs w:val="13"/>
          <w:color w:val="000000"/>
        </w:rPr>
        <w:t>I 37</w:t>
      </w:r>
    </w:p>
    <w:p>
      <w:pPr>
        <w:sectPr>
          <w:pgSz w:w="11900" w:h="16838" w:orient="portrait"/>
          <w:cols w:equalWidth="0" w:num="1">
            <w:col w:w="11420"/>
          </w:cols>
          <w:pgMar w:left="240" w:top="723" w:right="239" w:bottom="1440" w:gutter="0" w:footer="0" w:header="0"/>
          <w:type w:val="continuous"/>
        </w:sectPr>
      </w:pPr>
    </w:p>
    <w:bookmarkStart w:id="43" w:name="page44"/>
    <w:bookmarkEnd w:id="43"/>
    <w:p>
      <w:pPr>
        <w:ind w:left="20"/>
        <w:spacing w:after="0"/>
        <w:rPr>
          <w:sz w:val="20"/>
          <w:szCs w:val="20"/>
          <w:color w:val="auto"/>
        </w:rPr>
      </w:pPr>
      <w:r>
        <w:rPr>
          <w:rFonts w:ascii="Arial" w:cs="Arial" w:eastAsia="Arial" w:hAnsi="Arial"/>
          <w:sz w:val="21"/>
          <w:szCs w:val="21"/>
          <w:b w:val="1"/>
          <w:bCs w:val="1"/>
          <w:color w:val="FFFFFF"/>
        </w:rPr>
        <w:drawing>
          <wp:anchor simplePos="0" relativeHeight="251657728" behindDoc="1" locked="0" layoutInCell="0" allowOverlap="1">
            <wp:simplePos x="0" y="0"/>
            <wp:positionH relativeFrom="page">
              <wp:posOffset>154305</wp:posOffset>
            </wp:positionH>
            <wp:positionV relativeFrom="page">
              <wp:posOffset>398145</wp:posOffset>
            </wp:positionV>
            <wp:extent cx="7253605" cy="56197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53605" cy="561975"/>
                    </a:xfrm>
                    <a:prstGeom prst="rect">
                      <a:avLst/>
                    </a:prstGeom>
                    <a:noFill/>
                  </pic:spPr>
                </pic:pic>
              </a:graphicData>
            </a:graphic>
          </wp:anchor>
        </w:drawing>
        <w:t>COMPENSATION DISCUSSION AND ANALYSIS | E</w:t>
      </w:r>
      <w:r>
        <w:rPr>
          <w:rFonts w:ascii="Arial" w:cs="Arial" w:eastAsia="Arial" w:hAnsi="Arial"/>
          <w:sz w:val="17"/>
          <w:szCs w:val="17"/>
          <w:b w:val="1"/>
          <w:bCs w:val="1"/>
          <w:color w:val="FFFFFF"/>
        </w:rPr>
        <w:t>XECUTIVE</w:t>
      </w:r>
      <w:r>
        <w:rPr>
          <w:rFonts w:ascii="Arial" w:cs="Arial" w:eastAsia="Arial" w:hAnsi="Arial"/>
          <w:sz w:val="21"/>
          <w:szCs w:val="21"/>
          <w:b w:val="1"/>
          <w:bCs w:val="1"/>
          <w:color w:val="FFFFFF"/>
        </w:rPr>
        <w:t xml:space="preserve"> S</w:t>
      </w:r>
      <w:r>
        <w:rPr>
          <w:rFonts w:ascii="Arial" w:cs="Arial" w:eastAsia="Arial" w:hAnsi="Arial"/>
          <w:sz w:val="17"/>
          <w:szCs w:val="17"/>
          <w:b w:val="1"/>
          <w:bCs w:val="1"/>
          <w:color w:val="FFFFFF"/>
        </w:rPr>
        <w:t>UMMARY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20"/>
        <w:spacing w:after="0"/>
        <w:rPr>
          <w:sz w:val="20"/>
          <w:szCs w:val="20"/>
          <w:color w:val="auto"/>
        </w:rPr>
      </w:pPr>
      <w:r>
        <w:rPr>
          <w:rFonts w:ascii="Arial" w:cs="Arial" w:eastAsia="Arial" w:hAnsi="Arial"/>
          <w:sz w:val="24"/>
          <w:szCs w:val="24"/>
          <w:b w:val="1"/>
          <w:bCs w:val="1"/>
          <w:color w:val="auto"/>
        </w:rPr>
        <w:t>2018 Performance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38100</wp:posOffset>
            </wp:positionV>
            <wp:extent cx="7253605" cy="1651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pacing w:after="0" w:line="142"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We continued to generate strong financial results in 2018, including higher sales, operating income, segment operating income*, net earnings, cash from operations and free cash flow*. 2018 mark-to-market (MTM)-adjusted diluted earnings per share* increased to $21.33. Our strong cash generation allowed us to invest $1.25 billion in our business and return approximately $2.1 billion to our shareholders through share repurchases and dividends.</w:t>
      </w:r>
    </w:p>
    <w:p>
      <w:pPr>
        <w:spacing w:after="0" w:line="193" w:lineRule="exact"/>
        <w:rPr>
          <w:sz w:val="20"/>
          <w:szCs w:val="20"/>
          <w:color w:val="auto"/>
        </w:rPr>
      </w:pPr>
    </w:p>
    <w:p>
      <w:pPr>
        <w:jc w:val="center"/>
        <w:ind w:right="-179"/>
        <w:spacing w:after="0"/>
        <w:rPr>
          <w:sz w:val="20"/>
          <w:szCs w:val="20"/>
          <w:color w:val="auto"/>
        </w:rPr>
      </w:pPr>
      <w:r>
        <w:rPr>
          <w:rFonts w:ascii="Arial" w:cs="Arial" w:eastAsia="Arial" w:hAnsi="Arial"/>
          <w:sz w:val="24"/>
          <w:szCs w:val="24"/>
          <w:b w:val="1"/>
          <w:bCs w:val="1"/>
          <w:color w:val="auto"/>
        </w:rPr>
        <w:t>Earnings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1084580</wp:posOffset>
            </wp:positionH>
            <wp:positionV relativeFrom="paragraph">
              <wp:posOffset>38100</wp:posOffset>
            </wp:positionV>
            <wp:extent cx="5095875" cy="271081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5095875" cy="2710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left="620"/>
        <w:spacing w:after="0"/>
        <w:rPr>
          <w:sz w:val="20"/>
          <w:szCs w:val="20"/>
          <w:color w:val="auto"/>
        </w:rPr>
      </w:pPr>
      <w:r>
        <w:rPr>
          <w:rFonts w:ascii="Arial" w:cs="Arial" w:eastAsia="Arial" w:hAnsi="Arial"/>
          <w:sz w:val="15"/>
          <w:szCs w:val="15"/>
          <w:color w:val="auto"/>
        </w:rPr>
        <w:t>* This metric is a non-GAAP financial measure. For more information, see "Appendix A - Use of Non-GAAP Financial Measures."</w:t>
      </w:r>
    </w:p>
    <w:p>
      <w:pPr>
        <w:spacing w:after="0" w:line="207" w:lineRule="exact"/>
        <w:rPr>
          <w:sz w:val="20"/>
          <w:szCs w:val="20"/>
          <w:color w:val="auto"/>
        </w:rPr>
      </w:pPr>
    </w:p>
    <w:p>
      <w:pPr>
        <w:ind w:left="3460"/>
        <w:spacing w:after="0"/>
        <w:rPr>
          <w:sz w:val="20"/>
          <w:szCs w:val="20"/>
          <w:color w:val="auto"/>
        </w:rPr>
      </w:pPr>
      <w:r>
        <w:rPr>
          <w:rFonts w:ascii="Arial" w:cs="Arial" w:eastAsia="Arial" w:hAnsi="Arial"/>
          <w:sz w:val="24"/>
          <w:szCs w:val="24"/>
          <w:b w:val="1"/>
          <w:bCs w:val="1"/>
          <w:color w:val="auto"/>
        </w:rPr>
        <w:t xml:space="preserve">Total Shareholder Return </w:t>
      </w:r>
      <w:r>
        <w:rPr>
          <w:rFonts w:ascii="Arial" w:cs="Arial" w:eastAsia="Arial" w:hAnsi="Arial"/>
          <w:sz w:val="39"/>
          <w:szCs w:val="39"/>
          <w:b w:val="1"/>
          <w:bCs w:val="1"/>
          <w:color w:val="auto"/>
          <w:vertAlign w:val="superscript"/>
        </w:rPr>
        <w:t>(1)</w:t>
      </w:r>
      <w:r>
        <w:rPr>
          <w:rFonts w:ascii="Arial" w:cs="Arial" w:eastAsia="Arial" w:hAnsi="Arial"/>
          <w:sz w:val="24"/>
          <w:szCs w:val="24"/>
          <w:b w:val="1"/>
          <w:bCs w:val="1"/>
          <w:color w:val="auto"/>
        </w:rPr>
        <w:t xml:space="preserve"> (3-Year Average)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920" w:hanging="202"/>
        <w:spacing w:after="0"/>
        <w:tabs>
          <w:tab w:leader="none" w:pos="920" w:val="left"/>
        </w:tabs>
        <w:numPr>
          <w:ilvl w:val="0"/>
          <w:numId w:val="43"/>
        </w:numPr>
        <w:rPr>
          <w:rFonts w:ascii="Arial" w:cs="Arial" w:eastAsia="Arial" w:hAnsi="Arial"/>
          <w:sz w:val="23"/>
          <w:szCs w:val="23"/>
          <w:color w:val="auto"/>
          <w:vertAlign w:val="superscript"/>
        </w:rPr>
      </w:pPr>
      <w:r>
        <w:rPr>
          <w:rFonts w:ascii="Arial" w:cs="Arial" w:eastAsia="Arial" w:hAnsi="Arial"/>
          <w:sz w:val="14"/>
          <w:szCs w:val="14"/>
          <w:color w:val="auto"/>
        </w:rPr>
        <w:t>The TSR calculation is based on a 30 calendar day average from the start of the performance period through the end of the performance period.</w:t>
      </w:r>
    </w:p>
    <w:p>
      <w:pPr>
        <w:spacing w:after="0" w:line="299"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38 </w:t>
      </w:r>
      <w:r>
        <w:rPr>
          <w:rFonts w:ascii="Arial" w:cs="Arial" w:eastAsia="Arial" w:hAnsi="Arial"/>
          <w:sz w:val="13"/>
          <w:szCs w:val="13"/>
          <w:color w:val="auto"/>
        </w:rPr>
        <w:t>I</w:t>
      </w:r>
      <w:r>
        <w:rPr>
          <w:rFonts w:ascii="Arial" w:cs="Arial" w:eastAsia="Arial" w:hAnsi="Arial"/>
          <w:sz w:val="17"/>
          <w:szCs w:val="17"/>
          <w:color w:val="auto"/>
        </w:rPr>
        <w:t xml:space="preserve"> </w:t>
      </w:r>
      <w:r>
        <w:rPr>
          <w:rFonts w:ascii="Arial" w:cs="Arial" w:eastAsia="Arial" w:hAnsi="Arial"/>
          <w:sz w:val="13"/>
          <w:szCs w:val="13"/>
          <w:color w:val="34657F"/>
        </w:rPr>
        <w:t>NOTICE OF 2019 ANNUAL MEETING OF SHAREHOLDERS AND PROXY STATEMENT</w:t>
      </w:r>
    </w:p>
    <w:p>
      <w:pPr>
        <w:sectPr>
          <w:pgSz w:w="11900" w:h="16838" w:orient="portrait"/>
          <w:cols w:equalWidth="0" w:num="1">
            <w:col w:w="11240"/>
          </w:cols>
          <w:pgMar w:left="240" w:top="723" w:right="419" w:bottom="1440" w:gutter="0" w:footer="0" w:header="0"/>
        </w:sectPr>
      </w:pPr>
    </w:p>
    <w:bookmarkStart w:id="44" w:name="page45"/>
    <w:bookmarkEnd w:id="44"/>
    <w:p>
      <w:pPr>
        <w:ind w:left="20"/>
        <w:spacing w:after="0"/>
        <w:rPr>
          <w:sz w:val="20"/>
          <w:szCs w:val="20"/>
          <w:color w:val="auto"/>
        </w:rPr>
      </w:pPr>
      <w:r>
        <w:rPr>
          <w:rFonts w:ascii="Arial" w:cs="Arial" w:eastAsia="Arial" w:hAnsi="Arial"/>
          <w:sz w:val="21"/>
          <w:szCs w:val="21"/>
          <w:b w:val="1"/>
          <w:bCs w:val="1"/>
          <w:color w:val="FFFFFF"/>
        </w:rPr>
        <w:drawing>
          <wp:anchor simplePos="0" relativeHeight="251657728" behindDoc="1" locked="0" layoutInCell="0" allowOverlap="1">
            <wp:simplePos x="0" y="0"/>
            <wp:positionH relativeFrom="page">
              <wp:posOffset>154305</wp:posOffset>
            </wp:positionH>
            <wp:positionV relativeFrom="page">
              <wp:posOffset>398145</wp:posOffset>
            </wp:positionV>
            <wp:extent cx="7253605" cy="56197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53605" cy="561975"/>
                    </a:xfrm>
                    <a:prstGeom prst="rect">
                      <a:avLst/>
                    </a:prstGeom>
                    <a:noFill/>
                  </pic:spPr>
                </pic:pic>
              </a:graphicData>
            </a:graphic>
          </wp:anchor>
        </w:drawing>
        <w:t>COMPENSATION DISCUSSION AND ANALYSIS | E</w:t>
      </w:r>
      <w:r>
        <w:rPr>
          <w:rFonts w:ascii="Arial" w:cs="Arial" w:eastAsia="Arial" w:hAnsi="Arial"/>
          <w:sz w:val="17"/>
          <w:szCs w:val="17"/>
          <w:b w:val="1"/>
          <w:bCs w:val="1"/>
          <w:color w:val="FFFFFF"/>
        </w:rPr>
        <w:t>XECUTIVE</w:t>
      </w:r>
      <w:r>
        <w:rPr>
          <w:rFonts w:ascii="Arial" w:cs="Arial" w:eastAsia="Arial" w:hAnsi="Arial"/>
          <w:sz w:val="21"/>
          <w:szCs w:val="21"/>
          <w:b w:val="1"/>
          <w:bCs w:val="1"/>
          <w:color w:val="FFFFFF"/>
        </w:rPr>
        <w:t xml:space="preserve"> S</w:t>
      </w:r>
      <w:r>
        <w:rPr>
          <w:rFonts w:ascii="Arial" w:cs="Arial" w:eastAsia="Arial" w:hAnsi="Arial"/>
          <w:sz w:val="17"/>
          <w:szCs w:val="17"/>
          <w:b w:val="1"/>
          <w:bCs w:val="1"/>
          <w:color w:val="FFFFFF"/>
        </w:rPr>
        <w:t>UMMARY</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right="120"/>
        <w:spacing w:after="0" w:line="255" w:lineRule="auto"/>
        <w:rPr>
          <w:sz w:val="20"/>
          <w:szCs w:val="20"/>
          <w:color w:val="auto"/>
        </w:rPr>
      </w:pPr>
      <w:r>
        <w:rPr>
          <w:rFonts w:ascii="Arial" w:cs="Arial" w:eastAsia="Arial" w:hAnsi="Arial"/>
          <w:sz w:val="17"/>
          <w:szCs w:val="17"/>
          <w:color w:val="auto"/>
        </w:rPr>
        <w:t>Management and the Compensation Committee believe our executive compensation programs are competitive and support achieving strong financial performance while investing for profitable growth and value creation over the long-term. A 97% shareholder majority approved last year's say-on-pay proposal, and our ongoing shareholder engagement indicates continued support for the structure and elements of our executive incentive compensation programs.</w:t>
      </w:r>
    </w:p>
    <w:p>
      <w:pPr>
        <w:spacing w:after="0" w:line="193" w:lineRule="exact"/>
        <w:rPr>
          <w:sz w:val="20"/>
          <w:szCs w:val="20"/>
          <w:color w:val="auto"/>
        </w:rPr>
      </w:pPr>
    </w:p>
    <w:p>
      <w:pPr>
        <w:ind w:left="20"/>
        <w:spacing w:after="0"/>
        <w:rPr>
          <w:sz w:val="20"/>
          <w:szCs w:val="20"/>
          <w:color w:val="auto"/>
        </w:rPr>
      </w:pPr>
      <w:r>
        <w:rPr>
          <w:rFonts w:ascii="Arial" w:cs="Arial" w:eastAsia="Arial" w:hAnsi="Arial"/>
          <w:sz w:val="24"/>
          <w:szCs w:val="24"/>
          <w:b w:val="1"/>
          <w:bCs w:val="1"/>
          <w:color w:val="auto"/>
        </w:rPr>
        <w:t>Compensation Mix and Incentive Metrics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38100</wp:posOffset>
            </wp:positionV>
            <wp:extent cx="7253605" cy="1651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pacing w:after="0" w:line="142" w:lineRule="exact"/>
        <w:rPr>
          <w:sz w:val="20"/>
          <w:szCs w:val="20"/>
          <w:color w:val="auto"/>
        </w:rPr>
      </w:pPr>
    </w:p>
    <w:p>
      <w:pPr>
        <w:ind w:right="140"/>
        <w:spacing w:after="0" w:line="263" w:lineRule="auto"/>
        <w:rPr>
          <w:sz w:val="20"/>
          <w:szCs w:val="20"/>
          <w:color w:val="auto"/>
        </w:rPr>
      </w:pPr>
      <w:r>
        <w:rPr>
          <w:rFonts w:ascii="Arial" w:cs="Arial" w:eastAsia="Arial" w:hAnsi="Arial"/>
          <w:sz w:val="17"/>
          <w:szCs w:val="17"/>
          <w:color w:val="auto"/>
        </w:rPr>
        <w:t>We have a balanced pay for performance compensation structure that places an appropriate level of compensation at risk, based on our financial and non-financial performance measures and relative TSR. The following charts show performance-based compensation elements at target values.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701675</wp:posOffset>
            </wp:positionH>
            <wp:positionV relativeFrom="paragraph">
              <wp:posOffset>119380</wp:posOffset>
            </wp:positionV>
            <wp:extent cx="5861685" cy="303657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5861685" cy="30365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180" w:hanging="201"/>
        <w:spacing w:after="0"/>
        <w:tabs>
          <w:tab w:leader="none" w:pos="2180" w:val="left"/>
        </w:tabs>
        <w:numPr>
          <w:ilvl w:val="0"/>
          <w:numId w:val="44"/>
        </w:numPr>
        <w:rPr>
          <w:rFonts w:ascii="Arial" w:cs="Arial" w:eastAsia="Arial" w:hAnsi="Arial"/>
          <w:sz w:val="23"/>
          <w:szCs w:val="23"/>
          <w:color w:val="auto"/>
          <w:vertAlign w:val="superscript"/>
        </w:rPr>
      </w:pPr>
      <w:r>
        <w:rPr>
          <w:rFonts w:ascii="Arial" w:cs="Arial" w:eastAsia="Arial" w:hAnsi="Arial"/>
          <w:sz w:val="14"/>
          <w:szCs w:val="14"/>
          <w:color w:val="auto"/>
        </w:rPr>
        <w:t>The chart above excludes the sign-on RSR award granted to Mr. Larson, as it was a one-time compensation event.</w:t>
      </w:r>
    </w:p>
    <w:p>
      <w:pPr>
        <w:spacing w:after="0" w:line="69"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For AIP, following are the results for 2018 performance, which have been adjusted to exclude the impacts of the addition of Innovation Systems, certain Orbital ATK transaction-related expenses and certain impacts related to the Company's 2018 adoption of the MTM method of accounting for its pension and other postretirement benefit (OPB) plans as detailed in "Appendix A - Use of Non-GAAP Financial Measures":</w:t>
      </w:r>
    </w:p>
    <w:p>
      <w:pPr>
        <w:spacing w:after="0" w:line="72" w:lineRule="exact"/>
        <w:rPr>
          <w:sz w:val="20"/>
          <w:szCs w:val="20"/>
          <w:color w:val="auto"/>
        </w:rPr>
      </w:pPr>
    </w:p>
    <w:p>
      <w:pPr>
        <w:ind w:left="320" w:hanging="317"/>
        <w:spacing w:after="0"/>
        <w:tabs>
          <w:tab w:leader="none" w:pos="320" w:val="left"/>
        </w:tabs>
        <w:numPr>
          <w:ilvl w:val="0"/>
          <w:numId w:val="45"/>
        </w:numPr>
        <w:rPr>
          <w:rFonts w:ascii="Arial" w:cs="Arial" w:eastAsia="Arial" w:hAnsi="Arial"/>
          <w:sz w:val="21"/>
          <w:szCs w:val="21"/>
          <w:color w:val="34657F"/>
        </w:rPr>
      </w:pPr>
      <w:r>
        <w:rPr>
          <w:rFonts w:ascii="Arial" w:cs="Arial" w:eastAsia="Arial" w:hAnsi="Arial"/>
          <w:sz w:val="21"/>
          <w:szCs w:val="21"/>
          <w:color w:val="auto"/>
        </w:rPr>
        <w:t>Pension-adjusted OM Rate*</w:t>
      </w:r>
      <w:r>
        <w:rPr>
          <w:rFonts w:ascii="Arial" w:cs="Arial" w:eastAsia="Arial" w:hAnsi="Arial"/>
          <w:sz w:val="17"/>
          <w:szCs w:val="17"/>
          <w:color w:val="auto"/>
        </w:rPr>
        <w:t>:</w:t>
      </w:r>
      <w:r>
        <w:rPr>
          <w:rFonts w:ascii="Arial" w:cs="Arial" w:eastAsia="Arial" w:hAnsi="Arial"/>
          <w:sz w:val="21"/>
          <w:szCs w:val="21"/>
          <w:color w:val="auto"/>
        </w:rPr>
        <w:t xml:space="preserve"> </w:t>
      </w:r>
      <w:r>
        <w:rPr>
          <w:rFonts w:ascii="Arial" w:cs="Arial" w:eastAsia="Arial" w:hAnsi="Arial"/>
          <w:sz w:val="17"/>
          <w:szCs w:val="17"/>
          <w:color w:val="auto"/>
        </w:rPr>
        <w:t>11.4%</w:t>
      </w:r>
    </w:p>
    <w:p>
      <w:pPr>
        <w:spacing w:after="0" w:line="91" w:lineRule="exact"/>
        <w:rPr>
          <w:rFonts w:ascii="Arial" w:cs="Arial" w:eastAsia="Arial" w:hAnsi="Arial"/>
          <w:sz w:val="21"/>
          <w:szCs w:val="21"/>
          <w:color w:val="34657F"/>
        </w:rPr>
      </w:pPr>
    </w:p>
    <w:p>
      <w:pPr>
        <w:ind w:left="320" w:hanging="317"/>
        <w:spacing w:after="0"/>
        <w:tabs>
          <w:tab w:leader="none" w:pos="320" w:val="left"/>
        </w:tabs>
        <w:numPr>
          <w:ilvl w:val="0"/>
          <w:numId w:val="45"/>
        </w:numPr>
        <w:rPr>
          <w:rFonts w:ascii="Arial" w:cs="Arial" w:eastAsia="Arial" w:hAnsi="Arial"/>
          <w:sz w:val="21"/>
          <w:szCs w:val="21"/>
          <w:color w:val="34657F"/>
        </w:rPr>
      </w:pPr>
      <w:r>
        <w:rPr>
          <w:rFonts w:ascii="Arial" w:cs="Arial" w:eastAsia="Arial" w:hAnsi="Arial"/>
          <w:sz w:val="21"/>
          <w:szCs w:val="21"/>
          <w:color w:val="auto"/>
        </w:rPr>
        <w:t>Pension-adjusted Cash Flow from Operations*</w:t>
      </w:r>
      <w:r>
        <w:rPr>
          <w:rFonts w:ascii="Arial" w:cs="Arial" w:eastAsia="Arial" w:hAnsi="Arial"/>
          <w:sz w:val="17"/>
          <w:szCs w:val="17"/>
          <w:color w:val="auto"/>
        </w:rPr>
        <w:t>:</w:t>
      </w:r>
      <w:r>
        <w:rPr>
          <w:rFonts w:ascii="Arial" w:cs="Arial" w:eastAsia="Arial" w:hAnsi="Arial"/>
          <w:sz w:val="21"/>
          <w:szCs w:val="21"/>
          <w:color w:val="auto"/>
        </w:rPr>
        <w:t xml:space="preserve"> </w:t>
      </w:r>
      <w:r>
        <w:rPr>
          <w:rFonts w:ascii="Arial" w:cs="Arial" w:eastAsia="Arial" w:hAnsi="Arial"/>
          <w:sz w:val="17"/>
          <w:szCs w:val="17"/>
          <w:color w:val="auto"/>
        </w:rPr>
        <w:t>$3.2B</w:t>
      </w:r>
    </w:p>
    <w:p>
      <w:pPr>
        <w:spacing w:after="0" w:line="91" w:lineRule="exact"/>
        <w:rPr>
          <w:rFonts w:ascii="Arial" w:cs="Arial" w:eastAsia="Arial" w:hAnsi="Arial"/>
          <w:sz w:val="21"/>
          <w:szCs w:val="21"/>
          <w:color w:val="34657F"/>
        </w:rPr>
      </w:pPr>
    </w:p>
    <w:p>
      <w:pPr>
        <w:ind w:left="320" w:hanging="317"/>
        <w:spacing w:after="0"/>
        <w:tabs>
          <w:tab w:leader="none" w:pos="320" w:val="left"/>
        </w:tabs>
        <w:numPr>
          <w:ilvl w:val="0"/>
          <w:numId w:val="45"/>
        </w:numPr>
        <w:rPr>
          <w:rFonts w:ascii="Arial" w:cs="Arial" w:eastAsia="Arial" w:hAnsi="Arial"/>
          <w:sz w:val="21"/>
          <w:szCs w:val="21"/>
          <w:color w:val="34657F"/>
        </w:rPr>
      </w:pPr>
      <w:r>
        <w:rPr>
          <w:rFonts w:ascii="Arial" w:cs="Arial" w:eastAsia="Arial" w:hAnsi="Arial"/>
          <w:sz w:val="21"/>
          <w:szCs w:val="21"/>
          <w:color w:val="auto"/>
        </w:rPr>
        <w:t>Pension-adjusted Net Income* Growth</w:t>
      </w:r>
      <w:r>
        <w:rPr>
          <w:rFonts w:ascii="Arial" w:cs="Arial" w:eastAsia="Arial" w:hAnsi="Arial"/>
          <w:sz w:val="17"/>
          <w:szCs w:val="17"/>
          <w:color w:val="auto"/>
        </w:rPr>
        <w:t>:</w:t>
      </w:r>
      <w:r>
        <w:rPr>
          <w:rFonts w:ascii="Arial" w:cs="Arial" w:eastAsia="Arial" w:hAnsi="Arial"/>
          <w:sz w:val="21"/>
          <w:szCs w:val="21"/>
          <w:color w:val="auto"/>
        </w:rPr>
        <w:t xml:space="preserve"> </w:t>
      </w:r>
      <w:r>
        <w:rPr>
          <w:rFonts w:ascii="Arial" w:cs="Arial" w:eastAsia="Arial" w:hAnsi="Arial"/>
          <w:sz w:val="17"/>
          <w:szCs w:val="17"/>
          <w:color w:val="auto"/>
        </w:rPr>
        <w:t>$2.4B</w:t>
      </w:r>
    </w:p>
    <w:p>
      <w:pPr>
        <w:spacing w:after="0" w:line="84" w:lineRule="exact"/>
        <w:rPr>
          <w:sz w:val="20"/>
          <w:szCs w:val="20"/>
          <w:color w:val="auto"/>
        </w:rPr>
      </w:pPr>
    </w:p>
    <w:p>
      <w:pPr>
        <w:jc w:val="both"/>
        <w:ind w:right="540"/>
        <w:spacing w:after="0" w:line="257" w:lineRule="auto"/>
        <w:rPr>
          <w:sz w:val="20"/>
          <w:szCs w:val="20"/>
          <w:color w:val="auto"/>
        </w:rPr>
      </w:pPr>
      <w:r>
        <w:rPr>
          <w:rFonts w:ascii="Arial" w:cs="Arial" w:eastAsia="Arial" w:hAnsi="Arial"/>
          <w:sz w:val="17"/>
          <w:szCs w:val="17"/>
          <w:color w:val="auto"/>
        </w:rPr>
        <w:t>For the LTIP, our score covering the three-year 2016-2018 performance period was weighted 70% to relative TSR and 30% to Cumulative FCF*, maintaining strong alignment to shareholder interest and increased emphasis on operational performance. The combined weighted score for the metrics generated an overall performance score of 115%.</w:t>
      </w:r>
    </w:p>
    <w:p>
      <w:pPr>
        <w:spacing w:after="0" w:line="377" w:lineRule="exact"/>
        <w:rPr>
          <w:sz w:val="20"/>
          <w:szCs w:val="20"/>
          <w:color w:val="auto"/>
        </w:rPr>
      </w:pPr>
    </w:p>
    <w:p>
      <w:pPr>
        <w:jc w:val="right"/>
        <w:spacing w:after="0"/>
        <w:rPr>
          <w:sz w:val="20"/>
          <w:szCs w:val="20"/>
          <w:color w:val="auto"/>
        </w:rPr>
      </w:pPr>
      <w:r>
        <w:rPr>
          <w:rFonts w:ascii="Arial" w:cs="Arial" w:eastAsia="Arial" w:hAnsi="Arial"/>
          <w:sz w:val="14"/>
          <w:szCs w:val="14"/>
          <w:color w:val="34657F"/>
        </w:rPr>
        <w:t xml:space="preserve">NOTICE OF 2019 ANNUAL MEETING OF SHAREHOLDERS AND PROXY STATEMENT </w:t>
      </w:r>
      <w:r>
        <w:rPr>
          <w:rFonts w:ascii="Arial" w:cs="Arial" w:eastAsia="Arial" w:hAnsi="Arial"/>
          <w:sz w:val="14"/>
          <w:szCs w:val="14"/>
          <w:color w:val="000000"/>
        </w:rPr>
        <w:t>I 39</w:t>
      </w:r>
    </w:p>
    <w:p>
      <w:pPr>
        <w:sectPr>
          <w:pgSz w:w="11900" w:h="16838" w:orient="portrait"/>
          <w:cols w:equalWidth="0" w:num="1">
            <w:col w:w="11420"/>
          </w:cols>
          <w:pgMar w:left="240" w:top="723" w:right="239" w:bottom="1440" w:gutter="0" w:footer="0" w:header="0"/>
        </w:sectPr>
      </w:pPr>
    </w:p>
    <w:bookmarkStart w:id="45" w:name="page46"/>
    <w:bookmarkEnd w:id="45"/>
    <w:p>
      <w:pPr>
        <w:ind w:left="20"/>
        <w:spacing w:after="0"/>
        <w:rPr>
          <w:sz w:val="20"/>
          <w:szCs w:val="20"/>
          <w:color w:val="auto"/>
        </w:rPr>
      </w:pPr>
      <w:r>
        <w:rPr>
          <w:rFonts w:ascii="Arial" w:cs="Arial" w:eastAsia="Arial" w:hAnsi="Arial"/>
          <w:sz w:val="21"/>
          <w:szCs w:val="21"/>
          <w:b w:val="1"/>
          <w:bCs w:val="1"/>
          <w:color w:val="FFFFFF"/>
        </w:rPr>
        <w:drawing>
          <wp:anchor simplePos="0" relativeHeight="251657728" behindDoc="1" locked="0" layoutInCell="0" allowOverlap="1">
            <wp:simplePos x="0" y="0"/>
            <wp:positionH relativeFrom="page">
              <wp:posOffset>154305</wp:posOffset>
            </wp:positionH>
            <wp:positionV relativeFrom="page">
              <wp:posOffset>365760</wp:posOffset>
            </wp:positionV>
            <wp:extent cx="7253605" cy="56197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53605" cy="561975"/>
                    </a:xfrm>
                    <a:prstGeom prst="rect">
                      <a:avLst/>
                    </a:prstGeom>
                    <a:noFill/>
                  </pic:spPr>
                </pic:pic>
              </a:graphicData>
            </a:graphic>
          </wp:anchor>
        </w:drawing>
        <w:t>COMPENSATION DISCUSSION AND ANALYSIS | K</w:t>
      </w:r>
      <w:r>
        <w:rPr>
          <w:rFonts w:ascii="Arial" w:cs="Arial" w:eastAsia="Arial" w:hAnsi="Arial"/>
          <w:sz w:val="17"/>
          <w:szCs w:val="17"/>
          <w:b w:val="1"/>
          <w:bCs w:val="1"/>
          <w:color w:val="FFFFFF"/>
        </w:rPr>
        <w:t>EY</w:t>
      </w:r>
      <w:r>
        <w:rPr>
          <w:rFonts w:ascii="Arial" w:cs="Arial" w:eastAsia="Arial" w:hAnsi="Arial"/>
          <w:sz w:val="21"/>
          <w:szCs w:val="21"/>
          <w:b w:val="1"/>
          <w:bCs w:val="1"/>
          <w:color w:val="FFFFFF"/>
        </w:rPr>
        <w:t xml:space="preserve"> P</w:t>
      </w:r>
      <w:r>
        <w:rPr>
          <w:rFonts w:ascii="Arial" w:cs="Arial" w:eastAsia="Arial" w:hAnsi="Arial"/>
          <w:sz w:val="17"/>
          <w:szCs w:val="17"/>
          <w:b w:val="1"/>
          <w:bCs w:val="1"/>
          <w:color w:val="FFFFFF"/>
        </w:rPr>
        <w:t>RINCIPLES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20"/>
        <w:spacing w:after="0"/>
        <w:rPr>
          <w:sz w:val="20"/>
          <w:szCs w:val="20"/>
          <w:color w:val="auto"/>
        </w:rPr>
      </w:pPr>
      <w:r>
        <w:rPr>
          <w:rFonts w:ascii="Arial" w:cs="Arial" w:eastAsia="Arial" w:hAnsi="Arial"/>
          <w:sz w:val="24"/>
          <w:szCs w:val="24"/>
          <w:b w:val="1"/>
          <w:bCs w:val="1"/>
          <w:color w:val="auto"/>
        </w:rPr>
        <w:t>Compensation Philosophy and Objectives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38100</wp:posOffset>
            </wp:positionV>
            <wp:extent cx="7253605" cy="1651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pacing w:after="0" w:line="142"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We provide an attractive, flexible and market-based total compensation program tied to performance and aligned with the interests of our shareholders. Our objective is to recruit and retain the caliber of executives and other key employees capable of achieving top performance and generating value for our shareholders, customers and employees.</w:t>
      </w:r>
    </w:p>
    <w:p>
      <w:pPr>
        <w:spacing w:after="0" w:line="90" w:lineRule="exact"/>
        <w:rPr>
          <w:sz w:val="20"/>
          <w:szCs w:val="20"/>
          <w:color w:val="auto"/>
        </w:rPr>
      </w:pPr>
    </w:p>
    <w:p>
      <w:pPr>
        <w:spacing w:after="0" w:line="318" w:lineRule="auto"/>
        <w:rPr>
          <w:sz w:val="20"/>
          <w:szCs w:val="20"/>
          <w:color w:val="auto"/>
        </w:rPr>
      </w:pPr>
      <w:r>
        <w:rPr>
          <w:rFonts w:ascii="Arial" w:cs="Arial" w:eastAsia="Arial" w:hAnsi="Arial"/>
          <w:sz w:val="17"/>
          <w:szCs w:val="17"/>
          <w:color w:val="auto"/>
        </w:rPr>
        <w:t>Our goal is to lead our industry in sustainable performance, while maintaining strong, enduring values. The targets and thresholds of our AIP are based on the performance of our peers and the market. Our 2018 LTIP metrics are based on (1) TSR relative to our Performance Peer Group and the S&amp;P Industrials and (2) Cumulative FCF*. For each plan, we selected metrics that drive shareholder value and benchmark our performance against our peers and the market. Our executive compensation and benefit programs are guided by the following principles: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59055</wp:posOffset>
            </wp:positionV>
            <wp:extent cx="7261860" cy="39878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61860" cy="398780"/>
                    </a:xfrm>
                    <a:prstGeom prst="rect">
                      <a:avLst/>
                    </a:prstGeom>
                    <a:noFill/>
                  </pic:spPr>
                </pic:pic>
              </a:graphicData>
            </a:graphic>
          </wp:anchor>
        </w:drawing>
      </w:r>
    </w:p>
    <w:p>
      <w:pPr>
        <w:spacing w:after="0" w:line="88"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34657F"/>
        </w:rPr>
        <w:t>Pay for Performance</w:t>
      </w:r>
    </w:p>
    <w:p>
      <w:pPr>
        <w:spacing w:after="0" w:line="75" w:lineRule="exact"/>
        <w:rPr>
          <w:sz w:val="20"/>
          <w:szCs w:val="20"/>
          <w:color w:val="auto"/>
        </w:rPr>
      </w:pPr>
    </w:p>
    <w:p>
      <w:pPr>
        <w:ind w:left="360" w:hanging="319"/>
        <w:spacing w:after="0"/>
        <w:tabs>
          <w:tab w:leader="none" w:pos="360" w:val="left"/>
        </w:tabs>
        <w:numPr>
          <w:ilvl w:val="0"/>
          <w:numId w:val="46"/>
        </w:numPr>
        <w:rPr>
          <w:rFonts w:ascii="Arial" w:cs="Arial" w:eastAsia="Arial" w:hAnsi="Arial"/>
          <w:sz w:val="21"/>
          <w:szCs w:val="21"/>
          <w:color w:val="34657F"/>
        </w:rPr>
      </w:pPr>
      <w:r>
        <w:rPr>
          <w:rFonts w:ascii="Arial" w:cs="Arial" w:eastAsia="Arial" w:hAnsi="Arial"/>
          <w:sz w:val="15"/>
          <w:szCs w:val="15"/>
          <w:color w:val="auto"/>
        </w:rPr>
        <w:t>Our incentive plans are based on peer and market benchmarked performance metrics.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109220</wp:posOffset>
            </wp:positionV>
            <wp:extent cx="7261860" cy="57785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61860" cy="577850"/>
                    </a:xfrm>
                    <a:prstGeom prst="rect">
                      <a:avLst/>
                    </a:prstGeom>
                    <a:noFill/>
                  </pic:spPr>
                </pic:pic>
              </a:graphicData>
            </a:graphic>
          </wp:anchor>
        </w:drawing>
      </w:r>
    </w:p>
    <w:p>
      <w:pPr>
        <w:spacing w:after="0" w:line="166"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34657F"/>
        </w:rPr>
        <w:t>Leadership Retention and Succession</w:t>
      </w:r>
    </w:p>
    <w:p>
      <w:pPr>
        <w:spacing w:after="0" w:line="75" w:lineRule="exact"/>
        <w:rPr>
          <w:sz w:val="20"/>
          <w:szCs w:val="20"/>
          <w:color w:val="auto"/>
        </w:rPr>
      </w:pPr>
    </w:p>
    <w:p>
      <w:pPr>
        <w:ind w:left="360" w:hanging="319"/>
        <w:spacing w:after="0"/>
        <w:tabs>
          <w:tab w:leader="none" w:pos="360" w:val="left"/>
        </w:tabs>
        <w:numPr>
          <w:ilvl w:val="0"/>
          <w:numId w:val="47"/>
        </w:numPr>
        <w:rPr>
          <w:rFonts w:ascii="Arial" w:cs="Arial" w:eastAsia="Arial" w:hAnsi="Arial"/>
          <w:sz w:val="21"/>
          <w:szCs w:val="21"/>
          <w:color w:val="34657F"/>
        </w:rPr>
      </w:pPr>
      <w:r>
        <w:rPr>
          <w:rFonts w:ascii="Arial" w:cs="Arial" w:eastAsia="Arial" w:hAnsi="Arial"/>
          <w:sz w:val="15"/>
          <w:szCs w:val="15"/>
          <w:color w:val="auto"/>
        </w:rPr>
        <w:t>Compensation is designed to be competitive within our industry and retain top talent.</w:t>
      </w:r>
    </w:p>
    <w:p>
      <w:pPr>
        <w:spacing w:after="0" w:line="40" w:lineRule="exact"/>
        <w:rPr>
          <w:rFonts w:ascii="Arial" w:cs="Arial" w:eastAsia="Arial" w:hAnsi="Arial"/>
          <w:sz w:val="21"/>
          <w:szCs w:val="21"/>
          <w:color w:val="34657F"/>
        </w:rPr>
      </w:pPr>
    </w:p>
    <w:p>
      <w:pPr>
        <w:ind w:left="360" w:hanging="319"/>
        <w:spacing w:after="0"/>
        <w:tabs>
          <w:tab w:leader="none" w:pos="360" w:val="left"/>
        </w:tabs>
        <w:numPr>
          <w:ilvl w:val="0"/>
          <w:numId w:val="47"/>
        </w:numPr>
        <w:rPr>
          <w:rFonts w:ascii="Arial" w:cs="Arial" w:eastAsia="Arial" w:hAnsi="Arial"/>
          <w:sz w:val="21"/>
          <w:szCs w:val="21"/>
          <w:color w:val="34657F"/>
        </w:rPr>
      </w:pPr>
      <w:r>
        <w:rPr>
          <w:rFonts w:ascii="Arial" w:cs="Arial" w:eastAsia="Arial" w:hAnsi="Arial"/>
          <w:sz w:val="15"/>
          <w:szCs w:val="15"/>
          <w:color w:val="auto"/>
        </w:rPr>
        <w:t>Programs are designed to motivate and reward NEOs for delivering operational and strategic performance over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109220</wp:posOffset>
            </wp:positionV>
            <wp:extent cx="7261860" cy="51308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61860" cy="513080"/>
                    </a:xfrm>
                    <a:prstGeom prst="rect">
                      <a:avLst/>
                    </a:prstGeom>
                    <a:noFill/>
                  </pic:spPr>
                </pic:pic>
              </a:graphicData>
            </a:graphic>
          </wp:anchor>
        </w:drawing>
      </w:r>
    </w:p>
    <w:p>
      <w:pPr>
        <w:spacing w:after="0" w:line="166"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34657F"/>
        </w:rPr>
        <w:t>Sustainable Performance</w:t>
      </w:r>
    </w:p>
    <w:p>
      <w:pPr>
        <w:spacing w:after="0" w:line="132" w:lineRule="exact"/>
        <w:rPr>
          <w:sz w:val="20"/>
          <w:szCs w:val="20"/>
          <w:color w:val="auto"/>
        </w:rPr>
      </w:pPr>
    </w:p>
    <w:p>
      <w:pPr>
        <w:ind w:left="340" w:right="260" w:hanging="299"/>
        <w:spacing w:after="0" w:line="218" w:lineRule="auto"/>
        <w:tabs>
          <w:tab w:leader="none" w:pos="360" w:val="left"/>
        </w:tabs>
        <w:numPr>
          <w:ilvl w:val="0"/>
          <w:numId w:val="48"/>
        </w:numPr>
        <w:rPr>
          <w:rFonts w:ascii="Arial" w:cs="Arial" w:eastAsia="Arial" w:hAnsi="Arial"/>
          <w:sz w:val="21"/>
          <w:szCs w:val="21"/>
          <w:color w:val="34657F"/>
        </w:rPr>
      </w:pPr>
      <w:r>
        <w:rPr>
          <w:rFonts w:ascii="Arial" w:cs="Arial" w:eastAsia="Arial" w:hAnsi="Arial"/>
          <w:sz w:val="15"/>
          <w:szCs w:val="15"/>
          <w:color w:val="auto"/>
        </w:rPr>
        <w:t>Our AIP includes both financial and non-financial metrics to ensure we are building a strong foundation for long-term sustainable performance and shareholder value creation.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102235</wp:posOffset>
            </wp:positionV>
            <wp:extent cx="7261860" cy="9359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61860" cy="935990"/>
                    </a:xfrm>
                    <a:prstGeom prst="rect">
                      <a:avLst/>
                    </a:prstGeom>
                    <a:noFill/>
                  </pic:spPr>
                </pic:pic>
              </a:graphicData>
            </a:graphic>
          </wp:anchor>
        </w:drawing>
      </w:r>
    </w:p>
    <w:p>
      <w:pPr>
        <w:spacing w:after="0" w:line="155"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34657F"/>
        </w:rPr>
        <w:t>Alignment with Shareholder Interests</w:t>
      </w:r>
    </w:p>
    <w:p>
      <w:pPr>
        <w:spacing w:after="0" w:line="75" w:lineRule="exact"/>
        <w:rPr>
          <w:sz w:val="20"/>
          <w:szCs w:val="20"/>
          <w:color w:val="auto"/>
        </w:rPr>
      </w:pPr>
    </w:p>
    <w:p>
      <w:pPr>
        <w:ind w:left="360" w:hanging="319"/>
        <w:spacing w:after="0"/>
        <w:tabs>
          <w:tab w:leader="none" w:pos="360" w:val="left"/>
        </w:tabs>
        <w:numPr>
          <w:ilvl w:val="0"/>
          <w:numId w:val="49"/>
        </w:numPr>
        <w:rPr>
          <w:rFonts w:ascii="Arial" w:cs="Arial" w:eastAsia="Arial" w:hAnsi="Arial"/>
          <w:sz w:val="21"/>
          <w:szCs w:val="21"/>
          <w:color w:val="34657F"/>
        </w:rPr>
      </w:pPr>
      <w:r>
        <w:rPr>
          <w:rFonts w:ascii="Arial" w:cs="Arial" w:eastAsia="Arial" w:hAnsi="Arial"/>
          <w:sz w:val="15"/>
          <w:szCs w:val="15"/>
          <w:color w:val="auto"/>
        </w:rPr>
        <w:t>Our compensation structure places an appropriate amount of compensation at risk based on annual and long-term results.</w:t>
      </w:r>
    </w:p>
    <w:p>
      <w:pPr>
        <w:spacing w:after="0" w:line="40" w:lineRule="exact"/>
        <w:rPr>
          <w:rFonts w:ascii="Arial" w:cs="Arial" w:eastAsia="Arial" w:hAnsi="Arial"/>
          <w:sz w:val="21"/>
          <w:szCs w:val="21"/>
          <w:color w:val="34657F"/>
        </w:rPr>
      </w:pPr>
    </w:p>
    <w:p>
      <w:pPr>
        <w:ind w:left="360" w:hanging="319"/>
        <w:spacing w:after="0"/>
        <w:tabs>
          <w:tab w:leader="none" w:pos="360" w:val="left"/>
        </w:tabs>
        <w:numPr>
          <w:ilvl w:val="0"/>
          <w:numId w:val="49"/>
        </w:numPr>
        <w:rPr>
          <w:rFonts w:ascii="Arial" w:cs="Arial" w:eastAsia="Arial" w:hAnsi="Arial"/>
          <w:sz w:val="21"/>
          <w:szCs w:val="21"/>
          <w:color w:val="34657F"/>
        </w:rPr>
      </w:pPr>
      <w:r>
        <w:rPr>
          <w:rFonts w:ascii="Arial" w:cs="Arial" w:eastAsia="Arial" w:hAnsi="Arial"/>
          <w:sz w:val="15"/>
          <w:szCs w:val="15"/>
          <w:color w:val="auto"/>
        </w:rPr>
        <w:t>At-risk compensation is based on financial and non-financial performance measures and relative TSR.</w:t>
      </w:r>
    </w:p>
    <w:p>
      <w:pPr>
        <w:spacing w:after="0" w:line="40" w:lineRule="exact"/>
        <w:rPr>
          <w:rFonts w:ascii="Arial" w:cs="Arial" w:eastAsia="Arial" w:hAnsi="Arial"/>
          <w:sz w:val="21"/>
          <w:szCs w:val="21"/>
          <w:color w:val="34657F"/>
        </w:rPr>
      </w:pPr>
    </w:p>
    <w:p>
      <w:pPr>
        <w:ind w:left="360" w:hanging="319"/>
        <w:spacing w:after="0"/>
        <w:tabs>
          <w:tab w:leader="none" w:pos="360" w:val="left"/>
        </w:tabs>
        <w:numPr>
          <w:ilvl w:val="0"/>
          <w:numId w:val="49"/>
        </w:numPr>
        <w:rPr>
          <w:rFonts w:ascii="Arial" w:cs="Arial" w:eastAsia="Arial" w:hAnsi="Arial"/>
          <w:sz w:val="21"/>
          <w:szCs w:val="21"/>
          <w:color w:val="34657F"/>
        </w:rPr>
      </w:pPr>
      <w:r>
        <w:rPr>
          <w:rFonts w:ascii="Arial" w:cs="Arial" w:eastAsia="Arial" w:hAnsi="Arial"/>
          <w:sz w:val="15"/>
          <w:szCs w:val="15"/>
          <w:color w:val="auto"/>
        </w:rPr>
        <w:t>A significant portion of compensation is delivered in equity, the vesting and value of which provides alignment with shareholder returns.</w:t>
      </w:r>
    </w:p>
    <w:p>
      <w:pPr>
        <w:spacing w:after="0" w:line="40" w:lineRule="exact"/>
        <w:rPr>
          <w:rFonts w:ascii="Arial" w:cs="Arial" w:eastAsia="Arial" w:hAnsi="Arial"/>
          <w:sz w:val="21"/>
          <w:szCs w:val="21"/>
          <w:color w:val="34657F"/>
        </w:rPr>
      </w:pPr>
    </w:p>
    <w:p>
      <w:pPr>
        <w:ind w:left="360" w:hanging="319"/>
        <w:spacing w:after="0"/>
        <w:tabs>
          <w:tab w:leader="none" w:pos="360" w:val="left"/>
        </w:tabs>
        <w:numPr>
          <w:ilvl w:val="0"/>
          <w:numId w:val="49"/>
        </w:numPr>
        <w:rPr>
          <w:rFonts w:ascii="Arial" w:cs="Arial" w:eastAsia="Arial" w:hAnsi="Arial"/>
          <w:sz w:val="21"/>
          <w:szCs w:val="21"/>
          <w:color w:val="34657F"/>
        </w:rPr>
      </w:pPr>
      <w:r>
        <w:rPr>
          <w:rFonts w:ascii="Arial" w:cs="Arial" w:eastAsia="Arial" w:hAnsi="Arial"/>
          <w:sz w:val="15"/>
          <w:szCs w:val="15"/>
          <w:color w:val="auto"/>
        </w:rPr>
        <w:t>Stock ownership guidelines, holding requirements for equity awards and our recoupment policy further align executive and shareholder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109220</wp:posOffset>
            </wp:positionV>
            <wp:extent cx="7261860" cy="87122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61860" cy="871220"/>
                    </a:xfrm>
                    <a:prstGeom prst="rect">
                      <a:avLst/>
                    </a:prstGeom>
                    <a:noFill/>
                  </pic:spPr>
                </pic:pic>
              </a:graphicData>
            </a:graphic>
          </wp:anchor>
        </w:drawing>
      </w:r>
    </w:p>
    <w:p>
      <w:pPr>
        <w:spacing w:after="0" w:line="166"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34657F"/>
        </w:rPr>
        <w:t>Benchmarking</w:t>
      </w:r>
    </w:p>
    <w:p>
      <w:pPr>
        <w:spacing w:after="0" w:line="75" w:lineRule="exact"/>
        <w:rPr>
          <w:sz w:val="20"/>
          <w:szCs w:val="20"/>
          <w:color w:val="auto"/>
        </w:rPr>
      </w:pPr>
    </w:p>
    <w:p>
      <w:pPr>
        <w:ind w:left="360" w:hanging="319"/>
        <w:spacing w:after="0"/>
        <w:tabs>
          <w:tab w:leader="none" w:pos="360" w:val="left"/>
        </w:tabs>
        <w:numPr>
          <w:ilvl w:val="0"/>
          <w:numId w:val="50"/>
        </w:numPr>
        <w:rPr>
          <w:rFonts w:ascii="Arial" w:cs="Arial" w:eastAsia="Arial" w:hAnsi="Arial"/>
          <w:sz w:val="21"/>
          <w:szCs w:val="21"/>
          <w:color w:val="34657F"/>
        </w:rPr>
      </w:pPr>
      <w:r>
        <w:rPr>
          <w:rFonts w:ascii="Arial" w:cs="Arial" w:eastAsia="Arial" w:hAnsi="Arial"/>
          <w:sz w:val="15"/>
          <w:szCs w:val="15"/>
          <w:color w:val="auto"/>
        </w:rPr>
        <w:t>Compensation program provisions and financial objectives are evaluated on an annual basis and modified in accordance with industry and business conditions.</w:t>
      </w:r>
    </w:p>
    <w:p>
      <w:pPr>
        <w:spacing w:after="0" w:line="40" w:lineRule="exact"/>
        <w:rPr>
          <w:rFonts w:ascii="Arial" w:cs="Arial" w:eastAsia="Arial" w:hAnsi="Arial"/>
          <w:sz w:val="21"/>
          <w:szCs w:val="21"/>
          <w:color w:val="34657F"/>
        </w:rPr>
      </w:pPr>
    </w:p>
    <w:p>
      <w:pPr>
        <w:ind w:left="360" w:hanging="319"/>
        <w:spacing w:after="0"/>
        <w:tabs>
          <w:tab w:leader="none" w:pos="360" w:val="left"/>
        </w:tabs>
        <w:numPr>
          <w:ilvl w:val="0"/>
          <w:numId w:val="50"/>
        </w:numPr>
        <w:rPr>
          <w:rFonts w:ascii="Arial" w:cs="Arial" w:eastAsia="Arial" w:hAnsi="Arial"/>
          <w:sz w:val="21"/>
          <w:szCs w:val="21"/>
          <w:color w:val="34657F"/>
        </w:rPr>
      </w:pPr>
      <w:r>
        <w:rPr>
          <w:rFonts w:ascii="Arial" w:cs="Arial" w:eastAsia="Arial" w:hAnsi="Arial"/>
          <w:sz w:val="15"/>
          <w:szCs w:val="15"/>
          <w:color w:val="auto"/>
        </w:rPr>
        <w:t>We seek to outperform our peers (a group of top global defense companies identified as the Performance Peer Group on page 42).</w:t>
      </w:r>
    </w:p>
    <w:p>
      <w:pPr>
        <w:spacing w:after="0" w:line="96" w:lineRule="exact"/>
        <w:rPr>
          <w:rFonts w:ascii="Arial" w:cs="Arial" w:eastAsia="Arial" w:hAnsi="Arial"/>
          <w:sz w:val="21"/>
          <w:szCs w:val="21"/>
          <w:color w:val="34657F"/>
        </w:rPr>
      </w:pPr>
    </w:p>
    <w:p>
      <w:pPr>
        <w:ind w:left="340" w:right="180" w:hanging="299"/>
        <w:spacing w:after="0" w:line="218" w:lineRule="auto"/>
        <w:tabs>
          <w:tab w:leader="none" w:pos="360" w:val="left"/>
        </w:tabs>
        <w:numPr>
          <w:ilvl w:val="0"/>
          <w:numId w:val="50"/>
        </w:numPr>
        <w:rPr>
          <w:rFonts w:ascii="Arial" w:cs="Arial" w:eastAsia="Arial" w:hAnsi="Arial"/>
          <w:sz w:val="21"/>
          <w:szCs w:val="21"/>
          <w:color w:val="34657F"/>
        </w:rPr>
      </w:pPr>
      <w:r>
        <w:rPr>
          <w:rFonts w:ascii="Arial" w:cs="Arial" w:eastAsia="Arial" w:hAnsi="Arial"/>
          <w:sz w:val="15"/>
          <w:szCs w:val="15"/>
          <w:color w:val="auto"/>
        </w:rPr>
        <w:t>We use a Target Industry Peer Group (identified on page 43) for broader market executive compensation analyses that includes companies based on a peer-of-peers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102235</wp:posOffset>
            </wp:positionV>
            <wp:extent cx="7261860" cy="87122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61860" cy="871220"/>
                    </a:xfrm>
                    <a:prstGeom prst="rect">
                      <a:avLst/>
                    </a:prstGeom>
                    <a:noFill/>
                  </pic:spPr>
                </pic:pic>
              </a:graphicData>
            </a:graphic>
          </wp:anchor>
        </w:drawing>
      </w:r>
    </w:p>
    <w:p>
      <w:pPr>
        <w:spacing w:after="0" w:line="155"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34657F"/>
        </w:rPr>
        <w:t>Compensation Risk Management</w:t>
      </w:r>
    </w:p>
    <w:p>
      <w:pPr>
        <w:spacing w:after="0" w:line="132" w:lineRule="exact"/>
        <w:rPr>
          <w:sz w:val="20"/>
          <w:szCs w:val="20"/>
          <w:color w:val="auto"/>
        </w:rPr>
      </w:pPr>
    </w:p>
    <w:p>
      <w:pPr>
        <w:ind w:left="340" w:right="580" w:hanging="299"/>
        <w:spacing w:after="0" w:line="218" w:lineRule="auto"/>
        <w:tabs>
          <w:tab w:leader="none" w:pos="360" w:val="left"/>
        </w:tabs>
        <w:numPr>
          <w:ilvl w:val="0"/>
          <w:numId w:val="51"/>
        </w:numPr>
        <w:rPr>
          <w:rFonts w:ascii="Arial" w:cs="Arial" w:eastAsia="Arial" w:hAnsi="Arial"/>
          <w:sz w:val="21"/>
          <w:szCs w:val="21"/>
          <w:color w:val="34657F"/>
        </w:rPr>
      </w:pPr>
      <w:r>
        <w:rPr>
          <w:rFonts w:ascii="Arial" w:cs="Arial" w:eastAsia="Arial" w:hAnsi="Arial"/>
          <w:sz w:val="15"/>
          <w:szCs w:val="15"/>
          <w:color w:val="auto"/>
        </w:rPr>
        <w:t>The Compensation Committee, together with its independent compensation consultant, conducts an annual assessment of the compensation programs to determine if there are potential material risks to the Company.</w:t>
      </w:r>
    </w:p>
    <w:p>
      <w:pPr>
        <w:spacing w:after="0" w:line="29" w:lineRule="exact"/>
        <w:rPr>
          <w:rFonts w:ascii="Arial" w:cs="Arial" w:eastAsia="Arial" w:hAnsi="Arial"/>
          <w:sz w:val="21"/>
          <w:szCs w:val="21"/>
          <w:color w:val="34657F"/>
        </w:rPr>
      </w:pPr>
    </w:p>
    <w:p>
      <w:pPr>
        <w:ind w:left="360" w:hanging="319"/>
        <w:spacing w:after="0"/>
        <w:tabs>
          <w:tab w:leader="none" w:pos="360" w:val="left"/>
        </w:tabs>
        <w:numPr>
          <w:ilvl w:val="0"/>
          <w:numId w:val="51"/>
        </w:numPr>
        <w:rPr>
          <w:rFonts w:ascii="Arial" w:cs="Arial" w:eastAsia="Arial" w:hAnsi="Arial"/>
          <w:sz w:val="21"/>
          <w:szCs w:val="21"/>
          <w:color w:val="34657F"/>
        </w:rPr>
      </w:pPr>
      <w:r>
        <w:rPr>
          <w:rFonts w:ascii="Arial" w:cs="Arial" w:eastAsia="Arial" w:hAnsi="Arial"/>
          <w:sz w:val="15"/>
          <w:szCs w:val="15"/>
          <w:color w:val="auto"/>
        </w:rPr>
        <w:t>Both the Compensation Committee and its independent compensation consultant evaluate the mix of at-risk compensation linked to stock appreciation.</w:t>
      </w:r>
    </w:p>
    <w:p>
      <w:pPr>
        <w:spacing w:after="0" w:line="40" w:lineRule="exact"/>
        <w:rPr>
          <w:rFonts w:ascii="Arial" w:cs="Arial" w:eastAsia="Arial" w:hAnsi="Arial"/>
          <w:sz w:val="21"/>
          <w:szCs w:val="21"/>
          <w:color w:val="34657F"/>
        </w:rPr>
      </w:pPr>
    </w:p>
    <w:p>
      <w:pPr>
        <w:ind w:left="320" w:hanging="279"/>
        <w:spacing w:after="0"/>
        <w:tabs>
          <w:tab w:leader="none" w:pos="320" w:val="left"/>
        </w:tabs>
        <w:numPr>
          <w:ilvl w:val="0"/>
          <w:numId w:val="51"/>
        </w:numPr>
        <w:rPr>
          <w:rFonts w:ascii="Arial" w:cs="Arial" w:eastAsia="Arial" w:hAnsi="Arial"/>
          <w:sz w:val="21"/>
          <w:szCs w:val="21"/>
          <w:color w:val="34657F"/>
        </w:rPr>
      </w:pPr>
      <w:r>
        <w:rPr>
          <w:rFonts w:ascii="Arial" w:cs="Arial" w:eastAsia="Arial" w:hAnsi="Arial"/>
          <w:sz w:val="15"/>
          <w:szCs w:val="15"/>
          <w:color w:val="auto"/>
        </w:rPr>
        <w:t>The assessment is to confirm there is an appropriate balance in the executive compensation programs, practices and policies.</w:t>
      </w:r>
    </w:p>
    <w:p>
      <w:pPr>
        <w:spacing w:after="0" w:line="351"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40 </w:t>
      </w:r>
      <w:r>
        <w:rPr>
          <w:rFonts w:ascii="Arial" w:cs="Arial" w:eastAsia="Arial" w:hAnsi="Arial"/>
          <w:sz w:val="13"/>
          <w:szCs w:val="13"/>
          <w:color w:val="auto"/>
        </w:rPr>
        <w:t>I</w:t>
      </w:r>
      <w:r>
        <w:rPr>
          <w:rFonts w:ascii="Arial" w:cs="Arial" w:eastAsia="Arial" w:hAnsi="Arial"/>
          <w:sz w:val="17"/>
          <w:szCs w:val="17"/>
          <w:color w:val="auto"/>
        </w:rPr>
        <w:t xml:space="preserve"> </w:t>
      </w:r>
      <w:r>
        <w:rPr>
          <w:rFonts w:ascii="Arial" w:cs="Arial" w:eastAsia="Arial" w:hAnsi="Arial"/>
          <w:sz w:val="13"/>
          <w:szCs w:val="13"/>
          <w:color w:val="34657F"/>
        </w:rPr>
        <w:t>NOTICE OF 2019 ANNUAL MEETING OF SHAREHOLDERS AND PROXY STATEMENT</w:t>
      </w:r>
    </w:p>
    <w:p>
      <w:pPr>
        <w:sectPr>
          <w:pgSz w:w="11900" w:h="16838" w:orient="portrait"/>
          <w:cols w:equalWidth="0" w:num="1">
            <w:col w:w="11400"/>
          </w:cols>
          <w:pgMar w:left="240" w:top="671" w:right="259" w:bottom="1440" w:gutter="0" w:footer="0" w:header="0"/>
        </w:sectPr>
      </w:pPr>
    </w:p>
    <w:bookmarkStart w:id="46" w:name="page47"/>
    <w:bookmarkEnd w:id="46"/>
    <w:p>
      <w:pPr>
        <w:ind w:left="20"/>
        <w:spacing w:after="0"/>
        <w:rPr>
          <w:sz w:val="20"/>
          <w:szCs w:val="20"/>
          <w:color w:val="auto"/>
        </w:rPr>
      </w:pPr>
      <w:r>
        <w:rPr>
          <w:rFonts w:ascii="Arial" w:cs="Arial" w:eastAsia="Arial" w:hAnsi="Arial"/>
          <w:sz w:val="21"/>
          <w:szCs w:val="21"/>
          <w:b w:val="1"/>
          <w:bCs w:val="1"/>
          <w:color w:val="FFFFFF"/>
        </w:rPr>
        <w:drawing>
          <wp:anchor simplePos="0" relativeHeight="251657728" behindDoc="1" locked="0" layoutInCell="0" allowOverlap="1">
            <wp:simplePos x="0" y="0"/>
            <wp:positionH relativeFrom="page">
              <wp:posOffset>154305</wp:posOffset>
            </wp:positionH>
            <wp:positionV relativeFrom="page">
              <wp:posOffset>365760</wp:posOffset>
            </wp:positionV>
            <wp:extent cx="7253605" cy="56197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53605" cy="561975"/>
                    </a:xfrm>
                    <a:prstGeom prst="rect">
                      <a:avLst/>
                    </a:prstGeom>
                    <a:noFill/>
                  </pic:spPr>
                </pic:pic>
              </a:graphicData>
            </a:graphic>
          </wp:anchor>
        </w:drawing>
        <w:t>COMPENSATION DISCUSSION AND ANALYSIS | K</w:t>
      </w:r>
      <w:r>
        <w:rPr>
          <w:rFonts w:ascii="Arial" w:cs="Arial" w:eastAsia="Arial" w:hAnsi="Arial"/>
          <w:sz w:val="17"/>
          <w:szCs w:val="17"/>
          <w:b w:val="1"/>
          <w:bCs w:val="1"/>
          <w:color w:val="FFFFFF"/>
        </w:rPr>
        <w:t>EY</w:t>
      </w:r>
      <w:r>
        <w:rPr>
          <w:rFonts w:ascii="Arial" w:cs="Arial" w:eastAsia="Arial" w:hAnsi="Arial"/>
          <w:sz w:val="21"/>
          <w:szCs w:val="21"/>
          <w:b w:val="1"/>
          <w:bCs w:val="1"/>
          <w:color w:val="FFFFFF"/>
        </w:rPr>
        <w:t xml:space="preserve"> P</w:t>
      </w:r>
      <w:r>
        <w:rPr>
          <w:rFonts w:ascii="Arial" w:cs="Arial" w:eastAsia="Arial" w:hAnsi="Arial"/>
          <w:sz w:val="17"/>
          <w:szCs w:val="17"/>
          <w:b w:val="1"/>
          <w:bCs w:val="1"/>
          <w:color w:val="FFFFFF"/>
        </w:rPr>
        <w:t>RINCIPLES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20"/>
        <w:spacing w:after="0"/>
        <w:rPr>
          <w:sz w:val="20"/>
          <w:szCs w:val="20"/>
          <w:color w:val="auto"/>
        </w:rPr>
      </w:pPr>
      <w:r>
        <w:rPr>
          <w:rFonts w:ascii="Arial" w:cs="Arial" w:eastAsia="Arial" w:hAnsi="Arial"/>
          <w:sz w:val="24"/>
          <w:szCs w:val="24"/>
          <w:b w:val="1"/>
          <w:bCs w:val="1"/>
          <w:color w:val="auto"/>
        </w:rPr>
        <w:t>How We Make Compensation Decisions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38100</wp:posOffset>
            </wp:positionV>
            <wp:extent cx="7253605" cy="1651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pacing w:after="0" w:line="11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Role of the Compensation Committee</w:t>
      </w:r>
    </w:p>
    <w:p>
      <w:pPr>
        <w:spacing w:after="0" w:line="103" w:lineRule="exact"/>
        <w:rPr>
          <w:sz w:val="20"/>
          <w:szCs w:val="20"/>
          <w:color w:val="auto"/>
        </w:rPr>
      </w:pPr>
    </w:p>
    <w:p>
      <w:pPr>
        <w:ind w:right="80"/>
        <w:spacing w:after="0" w:line="255" w:lineRule="auto"/>
        <w:rPr>
          <w:sz w:val="20"/>
          <w:szCs w:val="20"/>
          <w:color w:val="auto"/>
        </w:rPr>
      </w:pPr>
      <w:r>
        <w:rPr>
          <w:rFonts w:ascii="Arial" w:cs="Arial" w:eastAsia="Arial" w:hAnsi="Arial"/>
          <w:sz w:val="17"/>
          <w:szCs w:val="17"/>
          <w:color w:val="auto"/>
        </w:rPr>
        <w:t>The Compensation Committee is responsible for overseeing our compensation policies, incentive and equity compensation plans and approving payments or grants under these plans for elected officers (other than the CEO). The Compensation Committee recommends the compensation for our CEO to the independent directors of the Board for approval and approves the compensation for the other NEOs. In performing its duties, the Compensation Committee:</w:t>
      </w:r>
    </w:p>
    <w:p>
      <w:pPr>
        <w:spacing w:after="0" w:line="92" w:lineRule="exact"/>
        <w:rPr>
          <w:sz w:val="20"/>
          <w:szCs w:val="20"/>
          <w:color w:val="auto"/>
        </w:rPr>
      </w:pPr>
    </w:p>
    <w:p>
      <w:pPr>
        <w:ind w:left="320" w:right="500" w:hanging="317"/>
        <w:spacing w:after="0" w:line="253" w:lineRule="auto"/>
        <w:tabs>
          <w:tab w:leader="none" w:pos="320" w:val="left"/>
        </w:tabs>
        <w:numPr>
          <w:ilvl w:val="0"/>
          <w:numId w:val="52"/>
        </w:numPr>
        <w:rPr>
          <w:rFonts w:ascii="Arial" w:cs="Arial" w:eastAsia="Arial" w:hAnsi="Arial"/>
          <w:sz w:val="21"/>
          <w:szCs w:val="21"/>
          <w:color w:val="34657F"/>
        </w:rPr>
      </w:pPr>
      <w:r>
        <w:rPr>
          <w:rFonts w:ascii="Arial" w:cs="Arial" w:eastAsia="Arial" w:hAnsi="Arial"/>
          <w:sz w:val="17"/>
          <w:szCs w:val="17"/>
          <w:color w:val="auto"/>
        </w:rPr>
        <w:t>receives advice from an independent compensation consultant who reports directly to the Compensation Committee and is discussed further below;</w:t>
      </w:r>
    </w:p>
    <w:p>
      <w:pPr>
        <w:spacing w:after="0" w:line="66" w:lineRule="exact"/>
        <w:rPr>
          <w:rFonts w:ascii="Arial" w:cs="Arial" w:eastAsia="Arial" w:hAnsi="Arial"/>
          <w:sz w:val="21"/>
          <w:szCs w:val="21"/>
          <w:color w:val="34657F"/>
        </w:rPr>
      </w:pPr>
    </w:p>
    <w:p>
      <w:pPr>
        <w:ind w:left="320" w:hanging="317"/>
        <w:spacing w:after="0"/>
        <w:tabs>
          <w:tab w:leader="none" w:pos="320" w:val="left"/>
        </w:tabs>
        <w:numPr>
          <w:ilvl w:val="0"/>
          <w:numId w:val="52"/>
        </w:numPr>
        <w:rPr>
          <w:rFonts w:ascii="Arial" w:cs="Arial" w:eastAsia="Arial" w:hAnsi="Arial"/>
          <w:sz w:val="21"/>
          <w:szCs w:val="21"/>
          <w:color w:val="34657F"/>
        </w:rPr>
      </w:pPr>
      <w:r>
        <w:rPr>
          <w:rFonts w:ascii="Arial" w:cs="Arial" w:eastAsia="Arial" w:hAnsi="Arial"/>
          <w:sz w:val="17"/>
          <w:szCs w:val="17"/>
          <w:color w:val="auto"/>
        </w:rPr>
        <w:t>reviews market data and other input from its independent compensation consultant;</w:t>
      </w:r>
    </w:p>
    <w:p>
      <w:pPr>
        <w:spacing w:after="0" w:line="79" w:lineRule="exact"/>
        <w:rPr>
          <w:rFonts w:ascii="Arial" w:cs="Arial" w:eastAsia="Arial" w:hAnsi="Arial"/>
          <w:sz w:val="21"/>
          <w:szCs w:val="21"/>
          <w:color w:val="34657F"/>
        </w:rPr>
      </w:pPr>
    </w:p>
    <w:p>
      <w:pPr>
        <w:ind w:left="320" w:hanging="317"/>
        <w:spacing w:after="0"/>
        <w:tabs>
          <w:tab w:leader="none" w:pos="320" w:val="left"/>
        </w:tabs>
        <w:numPr>
          <w:ilvl w:val="0"/>
          <w:numId w:val="52"/>
        </w:numPr>
        <w:rPr>
          <w:rFonts w:ascii="Arial" w:cs="Arial" w:eastAsia="Arial" w:hAnsi="Arial"/>
          <w:sz w:val="21"/>
          <w:szCs w:val="21"/>
          <w:color w:val="34657F"/>
        </w:rPr>
      </w:pPr>
      <w:r>
        <w:rPr>
          <w:rFonts w:ascii="Arial" w:cs="Arial" w:eastAsia="Arial" w:hAnsi="Arial"/>
          <w:sz w:val="17"/>
          <w:szCs w:val="17"/>
          <w:color w:val="auto"/>
        </w:rPr>
        <w:t>reviews and approves incentive goals and objectives (CEO goals and objectives are reviewed and approved by the independent directors);</w:t>
      </w:r>
    </w:p>
    <w:p>
      <w:pPr>
        <w:spacing w:after="0" w:line="79" w:lineRule="exact"/>
        <w:rPr>
          <w:rFonts w:ascii="Arial" w:cs="Arial" w:eastAsia="Arial" w:hAnsi="Arial"/>
          <w:sz w:val="21"/>
          <w:szCs w:val="21"/>
          <w:color w:val="34657F"/>
        </w:rPr>
      </w:pPr>
    </w:p>
    <w:p>
      <w:pPr>
        <w:ind w:left="320" w:hanging="317"/>
        <w:spacing w:after="0"/>
        <w:tabs>
          <w:tab w:leader="none" w:pos="320" w:val="left"/>
        </w:tabs>
        <w:numPr>
          <w:ilvl w:val="0"/>
          <w:numId w:val="52"/>
        </w:numPr>
        <w:rPr>
          <w:rFonts w:ascii="Arial" w:cs="Arial" w:eastAsia="Arial" w:hAnsi="Arial"/>
          <w:sz w:val="21"/>
          <w:szCs w:val="21"/>
          <w:color w:val="34657F"/>
        </w:rPr>
      </w:pPr>
      <w:r>
        <w:rPr>
          <w:rFonts w:ascii="Arial" w:cs="Arial" w:eastAsia="Arial" w:hAnsi="Arial"/>
          <w:sz w:val="17"/>
          <w:szCs w:val="17"/>
          <w:color w:val="auto"/>
        </w:rPr>
        <w:t>evaluates and approves executive benefit and perquisite programs; and</w:t>
      </w:r>
    </w:p>
    <w:p>
      <w:pPr>
        <w:spacing w:after="0" w:line="79" w:lineRule="exact"/>
        <w:rPr>
          <w:rFonts w:ascii="Arial" w:cs="Arial" w:eastAsia="Arial" w:hAnsi="Arial"/>
          <w:sz w:val="21"/>
          <w:szCs w:val="21"/>
          <w:color w:val="34657F"/>
        </w:rPr>
      </w:pPr>
    </w:p>
    <w:p>
      <w:pPr>
        <w:ind w:left="320" w:hanging="317"/>
        <w:spacing w:after="0"/>
        <w:tabs>
          <w:tab w:leader="none" w:pos="320" w:val="left"/>
        </w:tabs>
        <w:numPr>
          <w:ilvl w:val="0"/>
          <w:numId w:val="52"/>
        </w:numPr>
        <w:rPr>
          <w:rFonts w:ascii="Arial" w:cs="Arial" w:eastAsia="Arial" w:hAnsi="Arial"/>
          <w:sz w:val="21"/>
          <w:szCs w:val="21"/>
          <w:color w:val="34657F"/>
        </w:rPr>
      </w:pPr>
      <w:r>
        <w:rPr>
          <w:rFonts w:ascii="Arial" w:cs="Arial" w:eastAsia="Arial" w:hAnsi="Arial"/>
          <w:sz w:val="17"/>
          <w:szCs w:val="17"/>
          <w:color w:val="auto"/>
        </w:rPr>
        <w:t>evaluates the competitiveness of each elected officer's total compensation package.</w:t>
      </w:r>
    </w:p>
    <w:p>
      <w:pPr>
        <w:spacing w:after="0" w:line="90" w:lineRule="exact"/>
        <w:rPr>
          <w:sz w:val="20"/>
          <w:szCs w:val="20"/>
          <w:color w:val="auto"/>
        </w:rPr>
      </w:pPr>
    </w:p>
    <w:p>
      <w:pPr>
        <w:ind w:right="440"/>
        <w:spacing w:after="0" w:line="263" w:lineRule="auto"/>
        <w:rPr>
          <w:sz w:val="20"/>
          <w:szCs w:val="20"/>
          <w:color w:val="auto"/>
        </w:rPr>
      </w:pPr>
      <w:r>
        <w:rPr>
          <w:rFonts w:ascii="Arial" w:cs="Arial" w:eastAsia="Arial" w:hAnsi="Arial"/>
          <w:sz w:val="17"/>
          <w:szCs w:val="17"/>
          <w:color w:val="auto"/>
        </w:rPr>
        <w:t>In addition, the Compensation Committee annually reviews and discusses with management the CD&amp;A and provides a Compensation Committee Report for inclusion in the proxy statement.</w:t>
      </w:r>
    </w:p>
    <w:p>
      <w:pPr>
        <w:spacing w:after="0" w:line="59" w:lineRule="exact"/>
        <w:rPr>
          <w:sz w:val="20"/>
          <w:szCs w:val="20"/>
          <w:color w:val="auto"/>
        </w:rPr>
      </w:pPr>
    </w:p>
    <w:p>
      <w:pPr>
        <w:ind w:right="400"/>
        <w:spacing w:after="0" w:line="263" w:lineRule="auto"/>
        <w:rPr>
          <w:sz w:val="20"/>
          <w:szCs w:val="20"/>
          <w:color w:val="auto"/>
        </w:rPr>
      </w:pPr>
      <w:r>
        <w:rPr>
          <w:rFonts w:ascii="Arial" w:cs="Arial" w:eastAsia="Arial" w:hAnsi="Arial"/>
          <w:sz w:val="17"/>
          <w:szCs w:val="17"/>
          <w:color w:val="auto"/>
        </w:rPr>
        <w:t>For more information regarding the composition of the Compensation Committee and its duties and responsibilities, see "Corporate Governance – Committees of the Board of Directors – Compensation Committee."</w:t>
      </w:r>
    </w:p>
    <w:p>
      <w:pPr>
        <w:spacing w:after="0" w:line="3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Role of the Independent Compensation Consultant</w:t>
      </w:r>
    </w:p>
    <w:p>
      <w:pPr>
        <w:spacing w:after="0" w:line="103" w:lineRule="exact"/>
        <w:rPr>
          <w:sz w:val="20"/>
          <w:szCs w:val="20"/>
          <w:color w:val="auto"/>
        </w:rPr>
      </w:pPr>
    </w:p>
    <w:p>
      <w:pPr>
        <w:ind w:right="380"/>
        <w:spacing w:after="0" w:line="253" w:lineRule="auto"/>
        <w:rPr>
          <w:sz w:val="20"/>
          <w:szCs w:val="20"/>
          <w:color w:val="auto"/>
        </w:rPr>
      </w:pPr>
      <w:r>
        <w:rPr>
          <w:rFonts w:ascii="Arial" w:cs="Arial" w:eastAsia="Arial" w:hAnsi="Arial"/>
          <w:sz w:val="17"/>
          <w:szCs w:val="17"/>
          <w:color w:val="auto"/>
        </w:rPr>
        <w:t>The Compensation Committee retains an independent compensation consultant, Frederic W. Cook &amp; Co. (the Compensation Consultant). The Compensation Consultant reports directly to the Compensation Committee, and the Compensation Committee may replace the Compensation Consultant or hire additional consultants at any time. A representative of the Compensation Consultant regularly participates in meetings of the Compensation Committee and communicates with the Compensation Committee Chairperson between meetings as needed; however, the Compensation Committee and the independent directors of the Board make final decisions on the compensation actions for the NEOs. The Compensation Consultant also participates in executive session with the Compensation Committee. Other than the fees paid to the Compensation Consultant pursuant to its engagement by the Compensation Committee for its advice on executive and director compensation, the Compensation Consultant does not receive any fees or income from the Company.</w:t>
      </w:r>
    </w:p>
    <w:p>
      <w:pPr>
        <w:spacing w:after="0" w:line="69"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The Compensation Consultant provides an independent review of market data and advises the Compensation Committee on the levels and structure of our executive compensation policies and procedures, including compensation matters for NEOs. The Compensation Consultant utilizes aerospace and defense industry market data and conducts an independent review of publicly available data.</w:t>
      </w:r>
    </w:p>
    <w:p>
      <w:pPr>
        <w:spacing w:after="0" w:line="64" w:lineRule="exact"/>
        <w:rPr>
          <w:sz w:val="20"/>
          <w:szCs w:val="20"/>
          <w:color w:val="auto"/>
        </w:rPr>
      </w:pPr>
    </w:p>
    <w:p>
      <w:pPr>
        <w:spacing w:after="0"/>
        <w:rPr>
          <w:sz w:val="20"/>
          <w:szCs w:val="20"/>
          <w:color w:val="auto"/>
        </w:rPr>
      </w:pPr>
      <w:r>
        <w:rPr>
          <w:rFonts w:ascii="Arial" w:cs="Arial" w:eastAsia="Arial" w:hAnsi="Arial"/>
          <w:sz w:val="17"/>
          <w:szCs w:val="17"/>
          <w:color w:val="auto"/>
        </w:rPr>
        <w:t>The roles of the Compensation Consultant include:</w:t>
      </w:r>
    </w:p>
    <w:p>
      <w:pPr>
        <w:spacing w:after="0" w:line="75" w:lineRule="exact"/>
        <w:rPr>
          <w:sz w:val="20"/>
          <w:szCs w:val="20"/>
          <w:color w:val="auto"/>
        </w:rPr>
      </w:pPr>
    </w:p>
    <w:p>
      <w:pPr>
        <w:ind w:left="320" w:hanging="317"/>
        <w:spacing w:after="0"/>
        <w:tabs>
          <w:tab w:leader="none" w:pos="320" w:val="left"/>
        </w:tabs>
        <w:numPr>
          <w:ilvl w:val="0"/>
          <w:numId w:val="53"/>
        </w:numPr>
        <w:rPr>
          <w:rFonts w:ascii="Arial" w:cs="Arial" w:eastAsia="Arial" w:hAnsi="Arial"/>
          <w:sz w:val="21"/>
          <w:szCs w:val="21"/>
          <w:color w:val="34657F"/>
        </w:rPr>
      </w:pPr>
      <w:r>
        <w:rPr>
          <w:rFonts w:ascii="Arial" w:cs="Arial" w:eastAsia="Arial" w:hAnsi="Arial"/>
          <w:sz w:val="17"/>
          <w:szCs w:val="17"/>
          <w:color w:val="auto"/>
        </w:rPr>
        <w:t>reviewing and advising the Compensation Committee on our total compensation philosophy, peer groups and target competitive positioning;</w:t>
      </w:r>
    </w:p>
    <w:p>
      <w:pPr>
        <w:spacing w:after="0" w:line="79" w:lineRule="exact"/>
        <w:rPr>
          <w:rFonts w:ascii="Arial" w:cs="Arial" w:eastAsia="Arial" w:hAnsi="Arial"/>
          <w:sz w:val="21"/>
          <w:szCs w:val="21"/>
          <w:color w:val="34657F"/>
        </w:rPr>
      </w:pPr>
    </w:p>
    <w:p>
      <w:pPr>
        <w:ind w:left="320" w:hanging="317"/>
        <w:spacing w:after="0"/>
        <w:tabs>
          <w:tab w:leader="none" w:pos="320" w:val="left"/>
        </w:tabs>
        <w:numPr>
          <w:ilvl w:val="0"/>
          <w:numId w:val="53"/>
        </w:numPr>
        <w:rPr>
          <w:rFonts w:ascii="Arial" w:cs="Arial" w:eastAsia="Arial" w:hAnsi="Arial"/>
          <w:sz w:val="21"/>
          <w:szCs w:val="21"/>
          <w:color w:val="34657F"/>
        </w:rPr>
      </w:pPr>
      <w:r>
        <w:rPr>
          <w:rFonts w:ascii="Arial" w:cs="Arial" w:eastAsia="Arial" w:hAnsi="Arial"/>
          <w:sz w:val="17"/>
          <w:szCs w:val="17"/>
          <w:color w:val="auto"/>
        </w:rPr>
        <w:t>identifying market trends and practices and advising the Compensation Committee on program design implications;</w:t>
      </w:r>
    </w:p>
    <w:p>
      <w:pPr>
        <w:spacing w:after="0" w:line="115" w:lineRule="exact"/>
        <w:rPr>
          <w:rFonts w:ascii="Arial" w:cs="Arial" w:eastAsia="Arial" w:hAnsi="Arial"/>
          <w:sz w:val="21"/>
          <w:szCs w:val="21"/>
          <w:color w:val="34657F"/>
        </w:rPr>
      </w:pPr>
    </w:p>
    <w:p>
      <w:pPr>
        <w:jc w:val="both"/>
        <w:ind w:left="320" w:right="300" w:hanging="317"/>
        <w:spacing w:after="0" w:line="272" w:lineRule="auto"/>
        <w:tabs>
          <w:tab w:leader="none" w:pos="320" w:val="left"/>
        </w:tabs>
        <w:numPr>
          <w:ilvl w:val="0"/>
          <w:numId w:val="53"/>
        </w:numPr>
        <w:rPr>
          <w:rFonts w:ascii="Arial" w:cs="Arial" w:eastAsia="Arial" w:hAnsi="Arial"/>
          <w:sz w:val="21"/>
          <w:szCs w:val="21"/>
          <w:color w:val="34657F"/>
        </w:rPr>
      </w:pPr>
      <w:r>
        <w:rPr>
          <w:rFonts w:ascii="Arial" w:cs="Arial" w:eastAsia="Arial" w:hAnsi="Arial"/>
          <w:sz w:val="17"/>
          <w:szCs w:val="17"/>
          <w:color w:val="auto"/>
        </w:rPr>
        <w:t>providing proactive advice to the Compensation Committee on best practices for Board governance of executive compensation, compensation-related risk management, and any areas for program design to most appropriately support the Company's business strategy and organizational values; and</w:t>
      </w:r>
    </w:p>
    <w:p>
      <w:pPr>
        <w:spacing w:after="0" w:line="90" w:lineRule="exact"/>
        <w:rPr>
          <w:rFonts w:ascii="Arial" w:cs="Arial" w:eastAsia="Arial" w:hAnsi="Arial"/>
          <w:sz w:val="21"/>
          <w:szCs w:val="21"/>
          <w:color w:val="34657F"/>
        </w:rPr>
      </w:pPr>
    </w:p>
    <w:p>
      <w:pPr>
        <w:ind w:left="320" w:right="800" w:hanging="317"/>
        <w:spacing w:after="0" w:line="253" w:lineRule="auto"/>
        <w:tabs>
          <w:tab w:leader="none" w:pos="320" w:val="left"/>
        </w:tabs>
        <w:numPr>
          <w:ilvl w:val="0"/>
          <w:numId w:val="53"/>
        </w:numPr>
        <w:rPr>
          <w:rFonts w:ascii="Arial" w:cs="Arial" w:eastAsia="Arial" w:hAnsi="Arial"/>
          <w:sz w:val="21"/>
          <w:szCs w:val="21"/>
          <w:color w:val="34657F"/>
        </w:rPr>
      </w:pPr>
      <w:r>
        <w:rPr>
          <w:rFonts w:ascii="Arial" w:cs="Arial" w:eastAsia="Arial" w:hAnsi="Arial"/>
          <w:sz w:val="17"/>
          <w:szCs w:val="17"/>
          <w:color w:val="auto"/>
        </w:rPr>
        <w:t>serving as a resource to the Compensation Committee Chairperson on setting agenda items for Compensation Committee meetings and undertaking special projects.</w:t>
      </w:r>
    </w:p>
    <w:p>
      <w:pPr>
        <w:spacing w:after="0" w:line="78" w:lineRule="exact"/>
        <w:rPr>
          <w:sz w:val="20"/>
          <w:szCs w:val="20"/>
          <w:color w:val="auto"/>
        </w:rPr>
      </w:pPr>
    </w:p>
    <w:p>
      <w:pPr>
        <w:ind w:right="40"/>
        <w:spacing w:after="0" w:line="263" w:lineRule="auto"/>
        <w:rPr>
          <w:sz w:val="20"/>
          <w:szCs w:val="20"/>
          <w:color w:val="auto"/>
        </w:rPr>
      </w:pPr>
      <w:r>
        <w:rPr>
          <w:rFonts w:ascii="Arial" w:cs="Arial" w:eastAsia="Arial" w:hAnsi="Arial"/>
          <w:sz w:val="17"/>
          <w:szCs w:val="17"/>
          <w:color w:val="auto"/>
        </w:rPr>
        <w:t>In February 2019, the Compensation Committee determined that there were no relationships between the Compensation Consultant and the Company or any of the Company's directors or executive officers that raised a conflict of interest.</w:t>
      </w:r>
    </w:p>
    <w:p>
      <w:pPr>
        <w:spacing w:after="0" w:line="3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Role of Management</w:t>
      </w:r>
    </w:p>
    <w:p>
      <w:pPr>
        <w:spacing w:after="0" w:line="103" w:lineRule="exact"/>
        <w:rPr>
          <w:sz w:val="20"/>
          <w:szCs w:val="20"/>
          <w:color w:val="auto"/>
        </w:rPr>
      </w:pPr>
    </w:p>
    <w:p>
      <w:pPr>
        <w:ind w:right="160"/>
        <w:spacing w:after="0" w:line="257" w:lineRule="auto"/>
        <w:rPr>
          <w:sz w:val="20"/>
          <w:szCs w:val="20"/>
          <w:color w:val="auto"/>
        </w:rPr>
      </w:pPr>
      <w:r>
        <w:rPr>
          <w:rFonts w:ascii="Arial" w:cs="Arial" w:eastAsia="Arial" w:hAnsi="Arial"/>
          <w:sz w:val="17"/>
          <w:szCs w:val="17"/>
          <w:color w:val="auto"/>
        </w:rPr>
        <w:t>Our CEO makes compensation-related recommendations for elected officers to the Compensation Committee for its review and approval. The CEO's evaluation is based on each officer's compensation relative to market and the overall framework, philosophy and objectives for our executive compensation programs set by the Compensation Committee.</w:t>
      </w:r>
    </w:p>
    <w:p>
      <w:pPr>
        <w:spacing w:after="0" w:line="300" w:lineRule="exact"/>
        <w:rPr>
          <w:sz w:val="20"/>
          <w:szCs w:val="20"/>
          <w:color w:val="auto"/>
        </w:rPr>
      </w:pPr>
    </w:p>
    <w:p>
      <w:pPr>
        <w:jc w:val="right"/>
        <w:spacing w:after="0"/>
        <w:rPr>
          <w:sz w:val="20"/>
          <w:szCs w:val="20"/>
          <w:color w:val="auto"/>
        </w:rPr>
      </w:pPr>
      <w:r>
        <w:rPr>
          <w:rFonts w:ascii="Arial" w:cs="Arial" w:eastAsia="Arial" w:hAnsi="Arial"/>
          <w:sz w:val="14"/>
          <w:szCs w:val="14"/>
          <w:color w:val="34657F"/>
        </w:rPr>
        <w:t xml:space="preserve">NOTICE OF 2019 ANNUAL MEETING OF SHAREHOLDERS AND PROXY STATEMENT </w:t>
      </w:r>
      <w:r>
        <w:rPr>
          <w:rFonts w:ascii="Arial" w:cs="Arial" w:eastAsia="Arial" w:hAnsi="Arial"/>
          <w:sz w:val="14"/>
          <w:szCs w:val="14"/>
          <w:color w:val="000000"/>
        </w:rPr>
        <w:t>I 41</w:t>
      </w:r>
    </w:p>
    <w:p>
      <w:pPr>
        <w:sectPr>
          <w:pgSz w:w="11900" w:h="16838" w:orient="portrait"/>
          <w:cols w:equalWidth="0" w:num="1">
            <w:col w:w="11420"/>
          </w:cols>
          <w:pgMar w:left="240" w:top="671" w:right="239" w:bottom="1440" w:gutter="0" w:footer="0" w:header="0"/>
        </w:sectPr>
      </w:pPr>
    </w:p>
    <w:bookmarkStart w:id="47" w:name="page48"/>
    <w:bookmarkEnd w:id="47"/>
    <w:p>
      <w:pPr>
        <w:ind w:left="20"/>
        <w:spacing w:after="0"/>
        <w:rPr>
          <w:sz w:val="20"/>
          <w:szCs w:val="20"/>
          <w:color w:val="auto"/>
        </w:rPr>
      </w:pPr>
      <w:r>
        <w:rPr>
          <w:rFonts w:ascii="Arial" w:cs="Arial" w:eastAsia="Arial" w:hAnsi="Arial"/>
          <w:sz w:val="21"/>
          <w:szCs w:val="21"/>
          <w:b w:val="1"/>
          <w:bCs w:val="1"/>
          <w:color w:val="FFFFFF"/>
        </w:rPr>
        <w:drawing>
          <wp:anchor simplePos="0" relativeHeight="251657728" behindDoc="1" locked="0" layoutInCell="0" allowOverlap="1">
            <wp:simplePos x="0" y="0"/>
            <wp:positionH relativeFrom="page">
              <wp:posOffset>154305</wp:posOffset>
            </wp:positionH>
            <wp:positionV relativeFrom="page">
              <wp:posOffset>365760</wp:posOffset>
            </wp:positionV>
            <wp:extent cx="7253605" cy="56197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53605" cy="561975"/>
                    </a:xfrm>
                    <a:prstGeom prst="rect">
                      <a:avLst/>
                    </a:prstGeom>
                    <a:noFill/>
                  </pic:spPr>
                </pic:pic>
              </a:graphicData>
            </a:graphic>
          </wp:anchor>
        </w:drawing>
        <w:t>COMPENSATION DISCUSSION AND ANALYSIS | K</w:t>
      </w:r>
      <w:r>
        <w:rPr>
          <w:rFonts w:ascii="Arial" w:cs="Arial" w:eastAsia="Arial" w:hAnsi="Arial"/>
          <w:sz w:val="17"/>
          <w:szCs w:val="17"/>
          <w:b w:val="1"/>
          <w:bCs w:val="1"/>
          <w:color w:val="FFFFFF"/>
        </w:rPr>
        <w:t>EY</w:t>
      </w:r>
      <w:r>
        <w:rPr>
          <w:rFonts w:ascii="Arial" w:cs="Arial" w:eastAsia="Arial" w:hAnsi="Arial"/>
          <w:sz w:val="21"/>
          <w:szCs w:val="21"/>
          <w:b w:val="1"/>
          <w:bCs w:val="1"/>
          <w:color w:val="FFFFFF"/>
        </w:rPr>
        <w:t xml:space="preserve"> P</w:t>
      </w:r>
      <w:r>
        <w:rPr>
          <w:rFonts w:ascii="Arial" w:cs="Arial" w:eastAsia="Arial" w:hAnsi="Arial"/>
          <w:sz w:val="17"/>
          <w:szCs w:val="17"/>
          <w:b w:val="1"/>
          <w:bCs w:val="1"/>
          <w:color w:val="FFFFFF"/>
        </w:rPr>
        <w:t>RINCIPLES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both"/>
        <w:ind w:right="440"/>
        <w:spacing w:after="0" w:line="255" w:lineRule="auto"/>
        <w:rPr>
          <w:sz w:val="20"/>
          <w:szCs w:val="20"/>
          <w:color w:val="auto"/>
        </w:rPr>
      </w:pPr>
      <w:r>
        <w:rPr>
          <w:rFonts w:ascii="Arial" w:cs="Arial" w:eastAsia="Arial" w:hAnsi="Arial"/>
          <w:sz w:val="17"/>
          <w:szCs w:val="17"/>
          <w:color w:val="auto"/>
        </w:rPr>
        <w:t>The recommendations for elected officers are based on an assessment of each executive's performance, skills and industry knowledge, market compensation benchmarks, and succession and retention considerations. The Chief Human Resources Officer provides a summary of historical compensation and benefits-related data when compensation decisions are considered by the Compensation Committee to ensure compensation decisions are made within our total compensation framework.</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color w:val="auto"/>
        </w:rPr>
        <w:t>Management also provides recommendations to the Compensation Committee regarding executive incentive and benefit plan designs and strategies.</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These recommendations include financial and non-financial operational goals and criteria for our annual and long-term incentive plans.</w:t>
      </w:r>
    </w:p>
    <w:p>
      <w:pPr>
        <w:spacing w:after="0" w:line="213" w:lineRule="exact"/>
        <w:rPr>
          <w:sz w:val="20"/>
          <w:szCs w:val="20"/>
          <w:color w:val="auto"/>
        </w:rPr>
      </w:pPr>
    </w:p>
    <w:p>
      <w:pPr>
        <w:ind w:left="20"/>
        <w:spacing w:after="0"/>
        <w:rPr>
          <w:sz w:val="20"/>
          <w:szCs w:val="20"/>
          <w:color w:val="auto"/>
        </w:rPr>
      </w:pPr>
      <w:r>
        <w:rPr>
          <w:rFonts w:ascii="Arial" w:cs="Arial" w:eastAsia="Arial" w:hAnsi="Arial"/>
          <w:sz w:val="24"/>
          <w:szCs w:val="24"/>
          <w:b w:val="1"/>
          <w:bCs w:val="1"/>
          <w:color w:val="auto"/>
        </w:rPr>
        <w:t>Use of Competitive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38100</wp:posOffset>
            </wp:positionV>
            <wp:extent cx="7253605" cy="1651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pacing w:after="0" w:line="11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Performance Peer Group: Set Performance Targets and Evaluate Performance</w:t>
      </w:r>
    </w:p>
    <w:p>
      <w:pPr>
        <w:spacing w:after="0" w:line="103" w:lineRule="exact"/>
        <w:rPr>
          <w:sz w:val="20"/>
          <w:szCs w:val="20"/>
          <w:color w:val="auto"/>
        </w:rPr>
      </w:pPr>
    </w:p>
    <w:p>
      <w:pPr>
        <w:ind w:right="40"/>
        <w:spacing w:after="0" w:line="255" w:lineRule="auto"/>
        <w:rPr>
          <w:sz w:val="20"/>
          <w:szCs w:val="20"/>
          <w:color w:val="auto"/>
        </w:rPr>
      </w:pPr>
      <w:r>
        <w:rPr>
          <w:rFonts w:ascii="Arial" w:cs="Arial" w:eastAsia="Arial" w:hAnsi="Arial"/>
          <w:sz w:val="17"/>
          <w:szCs w:val="17"/>
          <w:color w:val="auto"/>
        </w:rPr>
        <w:t>The Compensation Committee uses the Performance Peer Group for purposes of setting performance targets and evaluating performance for our AIP and LTIP. The Performance Peer Group is comprised of the largest global defense companies by government revenues within the aerospace and defense market space. AIP goals for 2018 and goals for the LTIP grants made during 2018 that will vest in 2020 were established based on the 2018 Performance 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490220</wp:posOffset>
            </wp:positionH>
            <wp:positionV relativeFrom="paragraph">
              <wp:posOffset>124460</wp:posOffset>
            </wp:positionV>
            <wp:extent cx="6292850" cy="16256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292850" cy="162560"/>
                    </a:xfrm>
                    <a:prstGeom prst="rect">
                      <a:avLst/>
                    </a:prstGeom>
                    <a:noFill/>
                  </pic:spPr>
                </pic:pic>
              </a:graphicData>
            </a:graphic>
          </wp:anchor>
        </w:drawing>
      </w:r>
    </w:p>
    <w:p>
      <w:pPr>
        <w:spacing w:after="0" w:line="198" w:lineRule="exact"/>
        <w:rPr>
          <w:sz w:val="20"/>
          <w:szCs w:val="20"/>
          <w:color w:val="auto"/>
        </w:rPr>
      </w:pPr>
    </w:p>
    <w:p>
      <w:pPr>
        <w:jc w:val="center"/>
        <w:ind w:right="-79"/>
        <w:spacing w:after="0"/>
        <w:rPr>
          <w:sz w:val="20"/>
          <w:szCs w:val="20"/>
          <w:color w:val="auto"/>
        </w:rPr>
      </w:pPr>
      <w:r>
        <w:rPr>
          <w:rFonts w:ascii="Arial" w:cs="Arial" w:eastAsia="Arial" w:hAnsi="Arial"/>
          <w:sz w:val="15"/>
          <w:szCs w:val="15"/>
          <w:b w:val="1"/>
          <w:bCs w:val="1"/>
          <w:color w:val="FFFFFF"/>
        </w:rPr>
        <w:t>2018 PERFORMANCE PEER GROUP</w:t>
      </w:r>
    </w:p>
    <w:p>
      <w:pPr>
        <w:spacing w:after="0" w:line="51" w:lineRule="exact"/>
        <w:rPr>
          <w:sz w:val="20"/>
          <w:szCs w:val="20"/>
          <w:color w:val="auto"/>
        </w:rPr>
      </w:pPr>
    </w:p>
    <w:tbl>
      <w:tblPr>
        <w:tblLayout w:type="fixed"/>
        <w:tblInd w:w="780" w:type="dxa"/>
        <w:tblCellMar>
          <w:top w:w="0" w:type="dxa"/>
          <w:left w:w="0" w:type="dxa"/>
          <w:bottom w:w="0" w:type="dxa"/>
          <w:right w:w="0" w:type="dxa"/>
        </w:tblCellMar>
      </w:tblPr>
      <w:tr>
        <w:trPr>
          <w:trHeight w:val="242"/>
        </w:trPr>
        <w:tc>
          <w:tcPr>
            <w:tcW w:w="3100" w:type="dxa"/>
            <w:vAlign w:val="bottom"/>
            <w:shd w:val="clear" w:color="auto" w:fill="D1DDE6"/>
          </w:tcPr>
          <w:p>
            <w:pPr>
              <w:ind w:left="20"/>
              <w:spacing w:after="0"/>
              <w:rPr>
                <w:sz w:val="20"/>
                <w:szCs w:val="20"/>
                <w:color w:val="auto"/>
              </w:rPr>
            </w:pPr>
            <w:r>
              <w:rPr>
                <w:rFonts w:ascii="Arial" w:cs="Arial" w:eastAsia="Arial" w:hAnsi="Arial"/>
                <w:sz w:val="15"/>
                <w:szCs w:val="15"/>
                <w:color w:val="auto"/>
              </w:rPr>
              <w:t>BAE Systems</w:t>
            </w:r>
          </w:p>
        </w:tc>
        <w:tc>
          <w:tcPr>
            <w:tcW w:w="2640" w:type="dxa"/>
            <w:vAlign w:val="bottom"/>
            <w:shd w:val="clear" w:color="auto" w:fill="D1DDE6"/>
          </w:tcPr>
          <w:p>
            <w:pPr>
              <w:ind w:left="280"/>
              <w:spacing w:after="0"/>
              <w:rPr>
                <w:sz w:val="20"/>
                <w:szCs w:val="20"/>
                <w:color w:val="auto"/>
              </w:rPr>
            </w:pPr>
            <w:r>
              <w:rPr>
                <w:rFonts w:ascii="Arial" w:cs="Arial" w:eastAsia="Arial" w:hAnsi="Arial"/>
                <w:sz w:val="15"/>
                <w:szCs w:val="15"/>
                <w:color w:val="auto"/>
              </w:rPr>
              <w:t>Harris Corporation</w:t>
            </w:r>
          </w:p>
        </w:tc>
        <w:tc>
          <w:tcPr>
            <w:tcW w:w="4140" w:type="dxa"/>
            <w:vAlign w:val="bottom"/>
            <w:shd w:val="clear" w:color="auto" w:fill="D1DDE6"/>
          </w:tcPr>
          <w:p>
            <w:pPr>
              <w:ind w:left="920"/>
              <w:spacing w:after="0"/>
              <w:rPr>
                <w:sz w:val="20"/>
                <w:szCs w:val="20"/>
                <w:color w:val="auto"/>
              </w:rPr>
            </w:pPr>
            <w:r>
              <w:rPr>
                <w:rFonts w:ascii="Arial" w:cs="Arial" w:eastAsia="Arial" w:hAnsi="Arial"/>
                <w:sz w:val="15"/>
                <w:szCs w:val="15"/>
                <w:color w:val="auto"/>
              </w:rPr>
              <w:t>Lockheed Martin Corporation</w:t>
            </w:r>
          </w:p>
        </w:tc>
      </w:tr>
      <w:tr>
        <w:trPr>
          <w:trHeight w:val="222"/>
        </w:trPr>
        <w:tc>
          <w:tcPr>
            <w:tcW w:w="3100" w:type="dxa"/>
            <w:vAlign w:val="bottom"/>
          </w:tcPr>
          <w:p>
            <w:pPr>
              <w:ind w:left="20"/>
              <w:spacing w:after="0"/>
              <w:rPr>
                <w:sz w:val="20"/>
                <w:szCs w:val="20"/>
                <w:color w:val="auto"/>
              </w:rPr>
            </w:pPr>
            <w:r>
              <w:rPr>
                <w:rFonts w:ascii="Arial" w:cs="Arial" w:eastAsia="Arial" w:hAnsi="Arial"/>
                <w:sz w:val="15"/>
                <w:szCs w:val="15"/>
                <w:color w:val="auto"/>
              </w:rPr>
              <w:t>The Boeing Company</w:t>
            </w:r>
          </w:p>
        </w:tc>
        <w:tc>
          <w:tcPr>
            <w:tcW w:w="2640" w:type="dxa"/>
            <w:vAlign w:val="bottom"/>
          </w:tcPr>
          <w:p>
            <w:pPr>
              <w:ind w:left="280"/>
              <w:spacing w:after="0"/>
              <w:rPr>
                <w:sz w:val="20"/>
                <w:szCs w:val="20"/>
                <w:color w:val="auto"/>
              </w:rPr>
            </w:pPr>
            <w:r>
              <w:rPr>
                <w:rFonts w:ascii="Arial" w:cs="Arial" w:eastAsia="Arial" w:hAnsi="Arial"/>
                <w:sz w:val="15"/>
                <w:szCs w:val="15"/>
                <w:color w:val="auto"/>
              </w:rPr>
              <w:t>L3 Technologies, Inc.</w:t>
            </w:r>
          </w:p>
        </w:tc>
        <w:tc>
          <w:tcPr>
            <w:tcW w:w="4140" w:type="dxa"/>
            <w:vAlign w:val="bottom"/>
          </w:tcPr>
          <w:p>
            <w:pPr>
              <w:ind w:left="920"/>
              <w:spacing w:after="0"/>
              <w:rPr>
                <w:sz w:val="20"/>
                <w:szCs w:val="20"/>
                <w:color w:val="auto"/>
              </w:rPr>
            </w:pPr>
            <w:r>
              <w:rPr>
                <w:rFonts w:ascii="Arial" w:cs="Arial" w:eastAsia="Arial" w:hAnsi="Arial"/>
                <w:sz w:val="15"/>
                <w:szCs w:val="15"/>
                <w:color w:val="auto"/>
              </w:rPr>
              <w:t>Raytheon Company</w:t>
            </w:r>
          </w:p>
        </w:tc>
      </w:tr>
      <w:tr>
        <w:trPr>
          <w:trHeight w:val="240"/>
        </w:trPr>
        <w:tc>
          <w:tcPr>
            <w:tcW w:w="3100" w:type="dxa"/>
            <w:vAlign w:val="bottom"/>
            <w:shd w:val="clear" w:color="auto" w:fill="D1DDE6"/>
          </w:tcPr>
          <w:p>
            <w:pPr>
              <w:ind w:left="20"/>
              <w:spacing w:after="0"/>
              <w:rPr>
                <w:sz w:val="20"/>
                <w:szCs w:val="20"/>
                <w:color w:val="auto"/>
              </w:rPr>
            </w:pPr>
            <w:r>
              <w:rPr>
                <w:rFonts w:ascii="Arial" w:cs="Arial" w:eastAsia="Arial" w:hAnsi="Arial"/>
                <w:sz w:val="15"/>
                <w:szCs w:val="15"/>
                <w:color w:val="auto"/>
              </w:rPr>
              <w:t>Booz Allen Hamilton Holding Corporation</w:t>
            </w:r>
          </w:p>
        </w:tc>
        <w:tc>
          <w:tcPr>
            <w:tcW w:w="2640" w:type="dxa"/>
            <w:vAlign w:val="bottom"/>
            <w:shd w:val="clear" w:color="auto" w:fill="D1DDE6"/>
          </w:tcPr>
          <w:p>
            <w:pPr>
              <w:ind w:left="280"/>
              <w:spacing w:after="0"/>
              <w:rPr>
                <w:sz w:val="20"/>
                <w:szCs w:val="20"/>
                <w:color w:val="auto"/>
              </w:rPr>
            </w:pPr>
            <w:r>
              <w:rPr>
                <w:rFonts w:ascii="Arial" w:cs="Arial" w:eastAsia="Arial" w:hAnsi="Arial"/>
                <w:sz w:val="15"/>
                <w:szCs w:val="15"/>
                <w:color w:val="auto"/>
              </w:rPr>
              <w:t>Leidos Holdings, Inc.</w:t>
            </w:r>
          </w:p>
        </w:tc>
        <w:tc>
          <w:tcPr>
            <w:tcW w:w="4140" w:type="dxa"/>
            <w:vAlign w:val="bottom"/>
            <w:shd w:val="clear" w:color="auto" w:fill="D1DDE6"/>
          </w:tcPr>
          <w:p>
            <w:pPr>
              <w:ind w:left="920"/>
              <w:spacing w:after="0"/>
              <w:rPr>
                <w:sz w:val="20"/>
                <w:szCs w:val="20"/>
                <w:color w:val="auto"/>
              </w:rPr>
            </w:pPr>
            <w:r>
              <w:rPr>
                <w:rFonts w:ascii="Arial" w:cs="Arial" w:eastAsia="Arial" w:hAnsi="Arial"/>
                <w:sz w:val="15"/>
                <w:szCs w:val="15"/>
                <w:color w:val="auto"/>
              </w:rPr>
              <w:t>Thales Group</w:t>
            </w:r>
          </w:p>
        </w:tc>
      </w:tr>
      <w:tr>
        <w:trPr>
          <w:trHeight w:val="225"/>
        </w:trPr>
        <w:tc>
          <w:tcPr>
            <w:tcW w:w="3100" w:type="dxa"/>
            <w:vAlign w:val="bottom"/>
          </w:tcPr>
          <w:p>
            <w:pPr>
              <w:ind w:left="20"/>
              <w:spacing w:after="0"/>
              <w:rPr>
                <w:sz w:val="20"/>
                <w:szCs w:val="20"/>
                <w:color w:val="auto"/>
              </w:rPr>
            </w:pPr>
            <w:r>
              <w:rPr>
                <w:rFonts w:ascii="Arial" w:cs="Arial" w:eastAsia="Arial" w:hAnsi="Arial"/>
                <w:sz w:val="15"/>
                <w:szCs w:val="15"/>
                <w:color w:val="auto"/>
              </w:rPr>
              <w:t>General Dynamics Corporation</w:t>
            </w:r>
          </w:p>
        </w:tc>
        <w:tc>
          <w:tcPr>
            <w:tcW w:w="2640" w:type="dxa"/>
            <w:vAlign w:val="bottom"/>
          </w:tcPr>
          <w:p>
            <w:pPr>
              <w:ind w:left="280"/>
              <w:spacing w:after="0"/>
              <w:rPr>
                <w:sz w:val="20"/>
                <w:szCs w:val="20"/>
                <w:color w:val="auto"/>
              </w:rPr>
            </w:pPr>
            <w:r>
              <w:rPr>
                <w:rFonts w:ascii="Arial" w:cs="Arial" w:eastAsia="Arial" w:hAnsi="Arial"/>
                <w:sz w:val="15"/>
                <w:szCs w:val="15"/>
                <w:color w:val="auto"/>
              </w:rPr>
              <w:t>Leonardo</w:t>
            </w:r>
          </w:p>
        </w:tc>
        <w:tc>
          <w:tcPr>
            <w:tcW w:w="4140" w:type="dxa"/>
            <w:vAlign w:val="bottom"/>
          </w:tcPr>
          <w:p>
            <w:pPr>
              <w:spacing w:after="0"/>
              <w:rPr>
                <w:sz w:val="19"/>
                <w:szCs w:val="19"/>
                <w:color w:val="auto"/>
              </w:rPr>
            </w:pPr>
          </w:p>
        </w:tc>
      </w:tr>
      <w:tr>
        <w:trPr>
          <w:trHeight w:val="31"/>
        </w:trPr>
        <w:tc>
          <w:tcPr>
            <w:tcW w:w="3100" w:type="dxa"/>
            <w:vAlign w:val="bottom"/>
            <w:tcBorders>
              <w:bottom w:val="single" w:sz="8" w:color="34657F"/>
            </w:tcBorders>
          </w:tcPr>
          <w:p>
            <w:pPr>
              <w:spacing w:after="0"/>
              <w:rPr>
                <w:sz w:val="2"/>
                <w:szCs w:val="2"/>
                <w:color w:val="auto"/>
              </w:rPr>
            </w:pPr>
          </w:p>
        </w:tc>
        <w:tc>
          <w:tcPr>
            <w:tcW w:w="2640" w:type="dxa"/>
            <w:vAlign w:val="bottom"/>
            <w:tcBorders>
              <w:bottom w:val="single" w:sz="8" w:color="34657F"/>
            </w:tcBorders>
          </w:tcPr>
          <w:p>
            <w:pPr>
              <w:spacing w:after="0"/>
              <w:rPr>
                <w:sz w:val="2"/>
                <w:szCs w:val="2"/>
                <w:color w:val="auto"/>
              </w:rPr>
            </w:pPr>
          </w:p>
        </w:tc>
        <w:tc>
          <w:tcPr>
            <w:tcW w:w="4140" w:type="dxa"/>
            <w:vAlign w:val="bottom"/>
            <w:tcBorders>
              <w:bottom w:val="single" w:sz="8" w:color="34657F"/>
            </w:tcBorders>
          </w:tcPr>
          <w:p>
            <w:pPr>
              <w:spacing w:after="0"/>
              <w:rPr>
                <w:sz w:val="2"/>
                <w:szCs w:val="2"/>
                <w:color w:val="auto"/>
              </w:rPr>
            </w:pPr>
          </w:p>
        </w:tc>
      </w:tr>
    </w:tbl>
    <w:p>
      <w:pPr>
        <w:spacing w:after="0" w:line="76" w:lineRule="exact"/>
        <w:rPr>
          <w:sz w:val="20"/>
          <w:szCs w:val="20"/>
          <w:color w:val="auto"/>
        </w:rPr>
      </w:pPr>
    </w:p>
    <w:p>
      <w:pPr>
        <w:ind w:right="820"/>
        <w:spacing w:after="0" w:line="263" w:lineRule="auto"/>
        <w:rPr>
          <w:sz w:val="20"/>
          <w:szCs w:val="20"/>
          <w:color w:val="auto"/>
        </w:rPr>
      </w:pPr>
      <w:r>
        <w:rPr>
          <w:rFonts w:ascii="Arial" w:cs="Arial" w:eastAsia="Arial" w:hAnsi="Arial"/>
          <w:sz w:val="17"/>
          <w:szCs w:val="17"/>
          <w:color w:val="auto"/>
        </w:rPr>
        <w:t>Performance targets for the LTIP grants for the three-year performance period vesting in 2018 were established in 2016, based on the 2016 Performance 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490220</wp:posOffset>
            </wp:positionH>
            <wp:positionV relativeFrom="paragraph">
              <wp:posOffset>119380</wp:posOffset>
            </wp:positionV>
            <wp:extent cx="6292850" cy="16256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292850" cy="162560"/>
                    </a:xfrm>
                    <a:prstGeom prst="rect">
                      <a:avLst/>
                    </a:prstGeom>
                    <a:noFill/>
                  </pic:spPr>
                </pic:pic>
              </a:graphicData>
            </a:graphic>
          </wp:anchor>
        </w:drawing>
      </w:r>
    </w:p>
    <w:p>
      <w:pPr>
        <w:spacing w:after="0" w:line="190" w:lineRule="exact"/>
        <w:rPr>
          <w:sz w:val="20"/>
          <w:szCs w:val="20"/>
          <w:color w:val="auto"/>
        </w:rPr>
      </w:pPr>
    </w:p>
    <w:p>
      <w:pPr>
        <w:jc w:val="center"/>
        <w:ind w:right="-79"/>
        <w:spacing w:after="0"/>
        <w:rPr>
          <w:sz w:val="20"/>
          <w:szCs w:val="20"/>
          <w:color w:val="auto"/>
        </w:rPr>
      </w:pPr>
      <w:r>
        <w:rPr>
          <w:rFonts w:ascii="Arial" w:cs="Arial" w:eastAsia="Arial" w:hAnsi="Arial"/>
          <w:sz w:val="15"/>
          <w:szCs w:val="15"/>
          <w:b w:val="1"/>
          <w:bCs w:val="1"/>
          <w:color w:val="FFFFFF"/>
        </w:rPr>
        <w:t>2016 PERFORMANCE PEER GROUP</w:t>
      </w:r>
    </w:p>
    <w:p>
      <w:pPr>
        <w:spacing w:after="0" w:line="51" w:lineRule="exact"/>
        <w:rPr>
          <w:sz w:val="20"/>
          <w:szCs w:val="20"/>
          <w:color w:val="auto"/>
        </w:rPr>
      </w:pPr>
    </w:p>
    <w:tbl>
      <w:tblPr>
        <w:tblLayout w:type="fixed"/>
        <w:tblInd w:w="780" w:type="dxa"/>
        <w:tblCellMar>
          <w:top w:w="0" w:type="dxa"/>
          <w:left w:w="0" w:type="dxa"/>
          <w:bottom w:w="0" w:type="dxa"/>
          <w:right w:w="0" w:type="dxa"/>
        </w:tblCellMar>
      </w:tblPr>
      <w:tr>
        <w:trPr>
          <w:trHeight w:val="242"/>
        </w:trPr>
        <w:tc>
          <w:tcPr>
            <w:tcW w:w="3100" w:type="dxa"/>
            <w:vAlign w:val="bottom"/>
            <w:shd w:val="clear" w:color="auto" w:fill="D1DDE6"/>
          </w:tcPr>
          <w:p>
            <w:pPr>
              <w:ind w:left="20"/>
              <w:spacing w:after="0"/>
              <w:rPr>
                <w:sz w:val="20"/>
                <w:szCs w:val="20"/>
                <w:color w:val="auto"/>
              </w:rPr>
            </w:pPr>
            <w:r>
              <w:rPr>
                <w:rFonts w:ascii="Arial" w:cs="Arial" w:eastAsia="Arial" w:hAnsi="Arial"/>
                <w:sz w:val="15"/>
                <w:szCs w:val="15"/>
                <w:color w:val="auto"/>
              </w:rPr>
              <w:t>BAE Systems</w:t>
            </w:r>
          </w:p>
        </w:tc>
        <w:tc>
          <w:tcPr>
            <w:tcW w:w="2640" w:type="dxa"/>
            <w:vAlign w:val="bottom"/>
            <w:shd w:val="clear" w:color="auto" w:fill="D1DDE6"/>
          </w:tcPr>
          <w:p>
            <w:pPr>
              <w:ind w:left="280"/>
              <w:spacing w:after="0"/>
              <w:rPr>
                <w:sz w:val="20"/>
                <w:szCs w:val="20"/>
                <w:color w:val="auto"/>
              </w:rPr>
            </w:pPr>
            <w:r>
              <w:rPr>
                <w:rFonts w:ascii="Arial" w:cs="Arial" w:eastAsia="Arial" w:hAnsi="Arial"/>
                <w:sz w:val="15"/>
                <w:szCs w:val="15"/>
                <w:color w:val="auto"/>
              </w:rPr>
              <w:t>Harris Corporation</w:t>
            </w:r>
          </w:p>
        </w:tc>
        <w:tc>
          <w:tcPr>
            <w:tcW w:w="4140" w:type="dxa"/>
            <w:vAlign w:val="bottom"/>
            <w:shd w:val="clear" w:color="auto" w:fill="D1DDE6"/>
          </w:tcPr>
          <w:p>
            <w:pPr>
              <w:ind w:left="920"/>
              <w:spacing w:after="0"/>
              <w:rPr>
                <w:sz w:val="20"/>
                <w:szCs w:val="20"/>
                <w:color w:val="auto"/>
              </w:rPr>
            </w:pPr>
            <w:r>
              <w:rPr>
                <w:rFonts w:ascii="Arial" w:cs="Arial" w:eastAsia="Arial" w:hAnsi="Arial"/>
                <w:sz w:val="15"/>
                <w:szCs w:val="15"/>
                <w:color w:val="auto"/>
              </w:rPr>
              <w:t>Lockheed Martin Corporation</w:t>
            </w:r>
          </w:p>
        </w:tc>
      </w:tr>
      <w:tr>
        <w:trPr>
          <w:trHeight w:val="222"/>
        </w:trPr>
        <w:tc>
          <w:tcPr>
            <w:tcW w:w="3100" w:type="dxa"/>
            <w:vAlign w:val="bottom"/>
          </w:tcPr>
          <w:p>
            <w:pPr>
              <w:ind w:left="20"/>
              <w:spacing w:after="0"/>
              <w:rPr>
                <w:sz w:val="20"/>
                <w:szCs w:val="20"/>
                <w:color w:val="auto"/>
              </w:rPr>
            </w:pPr>
            <w:r>
              <w:rPr>
                <w:rFonts w:ascii="Arial" w:cs="Arial" w:eastAsia="Arial" w:hAnsi="Arial"/>
                <w:sz w:val="15"/>
                <w:szCs w:val="15"/>
                <w:color w:val="auto"/>
              </w:rPr>
              <w:t>The Boeing Company</w:t>
            </w:r>
          </w:p>
        </w:tc>
        <w:tc>
          <w:tcPr>
            <w:tcW w:w="2640" w:type="dxa"/>
            <w:vAlign w:val="bottom"/>
          </w:tcPr>
          <w:p>
            <w:pPr>
              <w:ind w:left="280"/>
              <w:spacing w:after="0"/>
              <w:rPr>
                <w:sz w:val="20"/>
                <w:szCs w:val="20"/>
                <w:color w:val="auto"/>
              </w:rPr>
            </w:pPr>
            <w:r>
              <w:rPr>
                <w:rFonts w:ascii="Arial" w:cs="Arial" w:eastAsia="Arial" w:hAnsi="Arial"/>
                <w:sz w:val="15"/>
                <w:szCs w:val="15"/>
                <w:color w:val="auto"/>
              </w:rPr>
              <w:t>L3 Technologies, Inc.</w:t>
            </w:r>
          </w:p>
        </w:tc>
        <w:tc>
          <w:tcPr>
            <w:tcW w:w="4140" w:type="dxa"/>
            <w:vAlign w:val="bottom"/>
          </w:tcPr>
          <w:p>
            <w:pPr>
              <w:ind w:left="920"/>
              <w:spacing w:after="0"/>
              <w:rPr>
                <w:sz w:val="20"/>
                <w:szCs w:val="20"/>
                <w:color w:val="auto"/>
              </w:rPr>
            </w:pPr>
            <w:r>
              <w:rPr>
                <w:rFonts w:ascii="Arial" w:cs="Arial" w:eastAsia="Arial" w:hAnsi="Arial"/>
                <w:sz w:val="15"/>
                <w:szCs w:val="15"/>
                <w:color w:val="auto"/>
              </w:rPr>
              <w:t>Raytheon Company</w:t>
            </w:r>
          </w:p>
        </w:tc>
      </w:tr>
      <w:tr>
        <w:trPr>
          <w:trHeight w:val="240"/>
        </w:trPr>
        <w:tc>
          <w:tcPr>
            <w:tcW w:w="3100" w:type="dxa"/>
            <w:vAlign w:val="bottom"/>
            <w:shd w:val="clear" w:color="auto" w:fill="D1DDE6"/>
          </w:tcPr>
          <w:p>
            <w:pPr>
              <w:ind w:left="20"/>
              <w:spacing w:after="0"/>
              <w:rPr>
                <w:sz w:val="20"/>
                <w:szCs w:val="20"/>
                <w:color w:val="auto"/>
              </w:rPr>
            </w:pPr>
            <w:r>
              <w:rPr>
                <w:rFonts w:ascii="Arial" w:cs="Arial" w:eastAsia="Arial" w:hAnsi="Arial"/>
                <w:sz w:val="15"/>
                <w:szCs w:val="15"/>
                <w:color w:val="auto"/>
              </w:rPr>
              <w:t>Booz Allen Hamilton Holding Corporation</w:t>
            </w:r>
          </w:p>
        </w:tc>
        <w:tc>
          <w:tcPr>
            <w:tcW w:w="2640" w:type="dxa"/>
            <w:vAlign w:val="bottom"/>
            <w:shd w:val="clear" w:color="auto" w:fill="D1DDE6"/>
          </w:tcPr>
          <w:p>
            <w:pPr>
              <w:ind w:left="280"/>
              <w:spacing w:after="0"/>
              <w:rPr>
                <w:sz w:val="20"/>
                <w:szCs w:val="20"/>
                <w:color w:val="auto"/>
              </w:rPr>
            </w:pPr>
            <w:r>
              <w:rPr>
                <w:rFonts w:ascii="Arial" w:cs="Arial" w:eastAsia="Arial" w:hAnsi="Arial"/>
                <w:sz w:val="15"/>
                <w:szCs w:val="15"/>
                <w:color w:val="auto"/>
              </w:rPr>
              <w:t>Leidos Holdings, Inc.</w:t>
            </w:r>
          </w:p>
        </w:tc>
        <w:tc>
          <w:tcPr>
            <w:tcW w:w="4140" w:type="dxa"/>
            <w:vAlign w:val="bottom"/>
            <w:shd w:val="clear" w:color="auto" w:fill="D1DDE6"/>
          </w:tcPr>
          <w:p>
            <w:pPr>
              <w:ind w:left="920"/>
              <w:spacing w:after="0"/>
              <w:rPr>
                <w:sz w:val="20"/>
                <w:szCs w:val="20"/>
                <w:color w:val="auto"/>
              </w:rPr>
            </w:pPr>
            <w:r>
              <w:rPr>
                <w:rFonts w:ascii="Arial" w:cs="Arial" w:eastAsia="Arial" w:hAnsi="Arial"/>
                <w:sz w:val="15"/>
                <w:szCs w:val="15"/>
                <w:color w:val="auto"/>
              </w:rPr>
              <w:t>Thales Group</w:t>
            </w:r>
          </w:p>
        </w:tc>
      </w:tr>
      <w:tr>
        <w:trPr>
          <w:trHeight w:val="225"/>
        </w:trPr>
        <w:tc>
          <w:tcPr>
            <w:tcW w:w="3100" w:type="dxa"/>
            <w:vAlign w:val="bottom"/>
          </w:tcPr>
          <w:p>
            <w:pPr>
              <w:ind w:left="20"/>
              <w:spacing w:after="0"/>
              <w:rPr>
                <w:sz w:val="20"/>
                <w:szCs w:val="20"/>
                <w:color w:val="auto"/>
              </w:rPr>
            </w:pPr>
            <w:r>
              <w:rPr>
                <w:rFonts w:ascii="Arial" w:cs="Arial" w:eastAsia="Arial" w:hAnsi="Arial"/>
                <w:sz w:val="15"/>
                <w:szCs w:val="15"/>
                <w:color w:val="auto"/>
              </w:rPr>
              <w:t>General Dynamics Corporation</w:t>
            </w:r>
          </w:p>
        </w:tc>
        <w:tc>
          <w:tcPr>
            <w:tcW w:w="2640" w:type="dxa"/>
            <w:vAlign w:val="bottom"/>
          </w:tcPr>
          <w:p>
            <w:pPr>
              <w:ind w:left="280"/>
              <w:spacing w:after="0"/>
              <w:rPr>
                <w:sz w:val="20"/>
                <w:szCs w:val="20"/>
                <w:color w:val="auto"/>
              </w:rPr>
            </w:pPr>
            <w:r>
              <w:rPr>
                <w:rFonts w:ascii="Arial" w:cs="Arial" w:eastAsia="Arial" w:hAnsi="Arial"/>
                <w:sz w:val="15"/>
                <w:szCs w:val="15"/>
                <w:color w:val="auto"/>
              </w:rPr>
              <w:t>Leonardo</w:t>
            </w:r>
          </w:p>
        </w:tc>
        <w:tc>
          <w:tcPr>
            <w:tcW w:w="4140" w:type="dxa"/>
            <w:vAlign w:val="bottom"/>
          </w:tcPr>
          <w:p>
            <w:pPr>
              <w:spacing w:after="0"/>
              <w:rPr>
                <w:sz w:val="19"/>
                <w:szCs w:val="19"/>
                <w:color w:val="auto"/>
              </w:rPr>
            </w:pPr>
          </w:p>
        </w:tc>
      </w:tr>
      <w:tr>
        <w:trPr>
          <w:trHeight w:val="31"/>
        </w:trPr>
        <w:tc>
          <w:tcPr>
            <w:tcW w:w="3100" w:type="dxa"/>
            <w:vAlign w:val="bottom"/>
            <w:tcBorders>
              <w:bottom w:val="single" w:sz="8" w:color="34657F"/>
            </w:tcBorders>
          </w:tcPr>
          <w:p>
            <w:pPr>
              <w:spacing w:after="0"/>
              <w:rPr>
                <w:sz w:val="2"/>
                <w:szCs w:val="2"/>
                <w:color w:val="auto"/>
              </w:rPr>
            </w:pPr>
          </w:p>
        </w:tc>
        <w:tc>
          <w:tcPr>
            <w:tcW w:w="2640" w:type="dxa"/>
            <w:vAlign w:val="bottom"/>
            <w:tcBorders>
              <w:bottom w:val="single" w:sz="8" w:color="34657F"/>
            </w:tcBorders>
          </w:tcPr>
          <w:p>
            <w:pPr>
              <w:spacing w:after="0"/>
              <w:rPr>
                <w:sz w:val="2"/>
                <w:szCs w:val="2"/>
                <w:color w:val="auto"/>
              </w:rPr>
            </w:pPr>
          </w:p>
        </w:tc>
        <w:tc>
          <w:tcPr>
            <w:tcW w:w="4140" w:type="dxa"/>
            <w:vAlign w:val="bottom"/>
            <w:tcBorders>
              <w:bottom w:val="single" w:sz="8" w:color="34657F"/>
            </w:tcBorders>
          </w:tcPr>
          <w:p>
            <w:pPr>
              <w:spacing w:after="0"/>
              <w:rPr>
                <w:sz w:val="2"/>
                <w:szCs w:val="2"/>
                <w:color w:val="auto"/>
              </w:rPr>
            </w:pPr>
          </w:p>
        </w:tc>
      </w:tr>
    </w:tbl>
    <w:p>
      <w:pPr>
        <w:spacing w:after="0" w:line="4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Target Industry Peer Group: Benchmark Executive Compensation Practices</w:t>
      </w:r>
    </w:p>
    <w:p>
      <w:pPr>
        <w:spacing w:after="0" w:line="103"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The Compensation Committee benchmarks our executive compensation levels and practices against a Target Industry Peer Group of 14 companies, as well as against a subset of the Target Industry Peer Group containing six direct peers. Prior to the beginning of the year, the Compensation Committee sets the Target Industry Peer Group and the subset of direct peers used to benchmark compensation for the following year. To identify peer companies for compensation benchmarking purposes, the Compensation Consultant employed an objective criteria-based methodology where:</w:t>
      </w:r>
    </w:p>
    <w:p>
      <w:pPr>
        <w:spacing w:after="0" w:line="30" w:lineRule="exact"/>
        <w:rPr>
          <w:sz w:val="20"/>
          <w:szCs w:val="20"/>
          <w:color w:val="auto"/>
        </w:rPr>
      </w:pPr>
    </w:p>
    <w:p>
      <w:pPr>
        <w:ind w:left="320" w:hanging="317"/>
        <w:spacing w:after="0"/>
        <w:tabs>
          <w:tab w:leader="none" w:pos="320" w:val="left"/>
        </w:tabs>
        <w:numPr>
          <w:ilvl w:val="0"/>
          <w:numId w:val="54"/>
        </w:numPr>
        <w:rPr>
          <w:rFonts w:ascii="Arial" w:cs="Arial" w:eastAsia="Arial" w:hAnsi="Arial"/>
          <w:sz w:val="21"/>
          <w:szCs w:val="21"/>
          <w:color w:val="34657F"/>
        </w:rPr>
      </w:pPr>
      <w:r>
        <w:rPr>
          <w:rFonts w:ascii="Arial" w:cs="Arial" w:eastAsia="Arial" w:hAnsi="Arial"/>
          <w:sz w:val="17"/>
          <w:szCs w:val="17"/>
          <w:color w:val="auto"/>
        </w:rPr>
        <w:t>the company was identified as a peer by at least two aerospace and defense peers or proxy advisory services;</w:t>
      </w:r>
    </w:p>
    <w:p>
      <w:pPr>
        <w:spacing w:after="0" w:line="40" w:lineRule="exact"/>
        <w:rPr>
          <w:rFonts w:ascii="Arial" w:cs="Arial" w:eastAsia="Arial" w:hAnsi="Arial"/>
          <w:sz w:val="21"/>
          <w:szCs w:val="21"/>
          <w:color w:val="34657F"/>
        </w:rPr>
      </w:pPr>
    </w:p>
    <w:p>
      <w:pPr>
        <w:ind w:left="320" w:hanging="317"/>
        <w:spacing w:after="0"/>
        <w:tabs>
          <w:tab w:leader="none" w:pos="320" w:val="left"/>
        </w:tabs>
        <w:numPr>
          <w:ilvl w:val="0"/>
          <w:numId w:val="54"/>
        </w:numPr>
        <w:rPr>
          <w:rFonts w:ascii="Arial" w:cs="Arial" w:eastAsia="Arial" w:hAnsi="Arial"/>
          <w:sz w:val="21"/>
          <w:szCs w:val="21"/>
          <w:color w:val="34657F"/>
        </w:rPr>
      </w:pPr>
      <w:r>
        <w:rPr>
          <w:rFonts w:ascii="Arial" w:cs="Arial" w:eastAsia="Arial" w:hAnsi="Arial"/>
          <w:sz w:val="17"/>
          <w:szCs w:val="17"/>
          <w:color w:val="auto"/>
        </w:rPr>
        <w:t>the company participated in the annual Aon Hewitt executive compensation study; and</w:t>
      </w:r>
    </w:p>
    <w:p>
      <w:pPr>
        <w:spacing w:after="0" w:line="40" w:lineRule="exact"/>
        <w:rPr>
          <w:rFonts w:ascii="Arial" w:cs="Arial" w:eastAsia="Arial" w:hAnsi="Arial"/>
          <w:sz w:val="21"/>
          <w:szCs w:val="21"/>
          <w:color w:val="34657F"/>
        </w:rPr>
      </w:pPr>
    </w:p>
    <w:p>
      <w:pPr>
        <w:ind w:left="320" w:hanging="317"/>
        <w:spacing w:after="0"/>
        <w:tabs>
          <w:tab w:leader="none" w:pos="320" w:val="left"/>
        </w:tabs>
        <w:numPr>
          <w:ilvl w:val="0"/>
          <w:numId w:val="54"/>
        </w:numPr>
        <w:rPr>
          <w:rFonts w:ascii="Arial" w:cs="Arial" w:eastAsia="Arial" w:hAnsi="Arial"/>
          <w:sz w:val="21"/>
          <w:szCs w:val="21"/>
          <w:color w:val="34657F"/>
        </w:rPr>
      </w:pPr>
      <w:r>
        <w:rPr>
          <w:rFonts w:ascii="Arial" w:cs="Arial" w:eastAsia="Arial" w:hAnsi="Arial"/>
          <w:sz w:val="17"/>
          <w:szCs w:val="17"/>
          <w:color w:val="auto"/>
        </w:rPr>
        <w:t>revenues, total employees and market capitalization of the company were broadly similar to those of the Company.</w:t>
      </w:r>
    </w:p>
    <w:p>
      <w:pPr>
        <w:spacing w:after="0" w:line="308"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42 </w:t>
      </w:r>
      <w:r>
        <w:rPr>
          <w:rFonts w:ascii="Arial" w:cs="Arial" w:eastAsia="Arial" w:hAnsi="Arial"/>
          <w:sz w:val="13"/>
          <w:szCs w:val="13"/>
          <w:color w:val="auto"/>
        </w:rPr>
        <w:t>I</w:t>
      </w:r>
      <w:r>
        <w:rPr>
          <w:rFonts w:ascii="Arial" w:cs="Arial" w:eastAsia="Arial" w:hAnsi="Arial"/>
          <w:sz w:val="17"/>
          <w:szCs w:val="17"/>
          <w:color w:val="auto"/>
        </w:rPr>
        <w:t xml:space="preserve"> </w:t>
      </w:r>
      <w:r>
        <w:rPr>
          <w:rFonts w:ascii="Arial" w:cs="Arial" w:eastAsia="Arial" w:hAnsi="Arial"/>
          <w:sz w:val="13"/>
          <w:szCs w:val="13"/>
          <w:color w:val="34657F"/>
        </w:rPr>
        <w:t>NOTICE OF 2019 ANNUAL MEETING OF SHAREHOLDERS AND PROXY STATEMENT</w:t>
      </w:r>
    </w:p>
    <w:p>
      <w:pPr>
        <w:sectPr>
          <w:pgSz w:w="11900" w:h="16838" w:orient="portrait"/>
          <w:cols w:equalWidth="0" w:num="1">
            <w:col w:w="11360"/>
          </w:cols>
          <w:pgMar w:left="240" w:top="671" w:right="299" w:bottom="1440" w:gutter="0" w:footer="0" w:header="0"/>
        </w:sectPr>
      </w:pPr>
    </w:p>
    <w:bookmarkStart w:id="48" w:name="page49"/>
    <w:bookmarkEnd w:id="48"/>
    <w:p>
      <w:pPr>
        <w:ind w:left="20"/>
        <w:spacing w:after="0"/>
        <w:rPr>
          <w:sz w:val="20"/>
          <w:szCs w:val="20"/>
          <w:color w:val="auto"/>
        </w:rPr>
      </w:pPr>
      <w:r>
        <w:rPr>
          <w:rFonts w:ascii="Arial" w:cs="Arial" w:eastAsia="Arial" w:hAnsi="Arial"/>
          <w:sz w:val="21"/>
          <w:szCs w:val="21"/>
          <w:b w:val="1"/>
          <w:bCs w:val="1"/>
          <w:color w:val="FFFFFF"/>
        </w:rPr>
        <w:drawing>
          <wp:anchor simplePos="0" relativeHeight="251657728" behindDoc="1" locked="0" layoutInCell="0" allowOverlap="1">
            <wp:simplePos x="0" y="0"/>
            <wp:positionH relativeFrom="page">
              <wp:posOffset>154305</wp:posOffset>
            </wp:positionH>
            <wp:positionV relativeFrom="page">
              <wp:posOffset>365760</wp:posOffset>
            </wp:positionV>
            <wp:extent cx="7253605" cy="56197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53605" cy="561975"/>
                    </a:xfrm>
                    <a:prstGeom prst="rect">
                      <a:avLst/>
                    </a:prstGeom>
                    <a:noFill/>
                  </pic:spPr>
                </pic:pic>
              </a:graphicData>
            </a:graphic>
          </wp:anchor>
        </w:drawing>
        <w:t>COMPENSATION DISCUSSION AND ANALYSIS | K</w:t>
      </w:r>
      <w:r>
        <w:rPr>
          <w:rFonts w:ascii="Arial" w:cs="Arial" w:eastAsia="Arial" w:hAnsi="Arial"/>
          <w:sz w:val="17"/>
          <w:szCs w:val="17"/>
          <w:b w:val="1"/>
          <w:bCs w:val="1"/>
          <w:color w:val="FFFFFF"/>
        </w:rPr>
        <w:t>EY</w:t>
      </w:r>
      <w:r>
        <w:rPr>
          <w:rFonts w:ascii="Arial" w:cs="Arial" w:eastAsia="Arial" w:hAnsi="Arial"/>
          <w:sz w:val="21"/>
          <w:szCs w:val="21"/>
          <w:b w:val="1"/>
          <w:bCs w:val="1"/>
          <w:color w:val="FFFFFF"/>
        </w:rPr>
        <w:t xml:space="preserve"> P</w:t>
      </w:r>
      <w:r>
        <w:rPr>
          <w:rFonts w:ascii="Arial" w:cs="Arial" w:eastAsia="Arial" w:hAnsi="Arial"/>
          <w:sz w:val="17"/>
          <w:szCs w:val="17"/>
          <w:b w:val="1"/>
          <w:bCs w:val="1"/>
          <w:color w:val="FFFFFF"/>
        </w:rPr>
        <w:t>RINCIPLES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both"/>
        <w:ind w:right="200"/>
        <w:spacing w:after="0" w:line="257" w:lineRule="auto"/>
        <w:rPr>
          <w:sz w:val="20"/>
          <w:szCs w:val="20"/>
          <w:color w:val="auto"/>
        </w:rPr>
      </w:pPr>
      <w:r>
        <w:rPr>
          <w:rFonts w:ascii="Arial" w:cs="Arial" w:eastAsia="Arial" w:hAnsi="Arial"/>
          <w:sz w:val="17"/>
          <w:szCs w:val="17"/>
          <w:color w:val="auto"/>
        </w:rPr>
        <w:t>While the Target Industry Peer Group is reviewed annually by the Compensation Committee with the Compensation Consultant, our goal is to keep it as consistent as reasonably possible on a year-over-year basis. The companies that comprise the 2018 Target Industry Peer Group are listed in the following table:</w:t>
      </w:r>
    </w:p>
    <w:p>
      <w:pPr>
        <w:spacing w:after="0" w:line="193" w:lineRule="exact"/>
        <w:rPr>
          <w:sz w:val="20"/>
          <w:szCs w:val="20"/>
          <w:color w:val="auto"/>
        </w:rPr>
      </w:pPr>
    </w:p>
    <w:tbl>
      <w:tblPr>
        <w:tblLayout w:type="fixed"/>
        <w:tblInd w:w="780" w:type="dxa"/>
        <w:tblCellMar>
          <w:top w:w="0" w:type="dxa"/>
          <w:left w:w="0" w:type="dxa"/>
          <w:bottom w:w="0" w:type="dxa"/>
          <w:right w:w="0" w:type="dxa"/>
        </w:tblCellMar>
      </w:tblPr>
      <w:tr>
        <w:trPr>
          <w:trHeight w:val="236"/>
        </w:trPr>
        <w:tc>
          <w:tcPr>
            <w:tcW w:w="2940" w:type="dxa"/>
            <w:vAlign w:val="bottom"/>
            <w:tcBorders>
              <w:bottom w:val="single" w:sz="8" w:color="34657F"/>
            </w:tcBorders>
            <w:shd w:val="clear" w:color="auto" w:fill="34657F"/>
          </w:tcPr>
          <w:p>
            <w:pPr>
              <w:spacing w:after="0"/>
              <w:rPr>
                <w:sz w:val="20"/>
                <w:szCs w:val="20"/>
                <w:color w:val="auto"/>
              </w:rPr>
            </w:pPr>
          </w:p>
        </w:tc>
        <w:tc>
          <w:tcPr>
            <w:tcW w:w="6940" w:type="dxa"/>
            <w:vAlign w:val="bottom"/>
            <w:tcBorders>
              <w:bottom w:val="single" w:sz="8" w:color="34657F"/>
            </w:tcBorders>
            <w:shd w:val="clear" w:color="auto" w:fill="34657F"/>
          </w:tcPr>
          <w:p>
            <w:pPr>
              <w:ind w:left="560"/>
              <w:spacing w:after="0"/>
              <w:rPr>
                <w:sz w:val="20"/>
                <w:szCs w:val="20"/>
                <w:color w:val="auto"/>
              </w:rPr>
            </w:pPr>
            <w:r>
              <w:rPr>
                <w:rFonts w:ascii="Arial" w:cs="Arial" w:eastAsia="Arial" w:hAnsi="Arial"/>
                <w:sz w:val="15"/>
                <w:szCs w:val="15"/>
                <w:b w:val="1"/>
                <w:bCs w:val="1"/>
                <w:color w:val="FFFFFF"/>
              </w:rPr>
              <w:t>2018 TARGET INDUSTRY PEER GROUP</w:t>
            </w:r>
          </w:p>
        </w:tc>
        <w:tc>
          <w:tcPr>
            <w:tcW w:w="20" w:type="dxa"/>
            <w:vAlign w:val="bottom"/>
            <w:tcBorders>
              <w:bottom w:val="single" w:sz="8" w:color="34657F"/>
            </w:tcBorders>
            <w:shd w:val="clear" w:color="auto" w:fill="34657F"/>
          </w:tcPr>
          <w:p>
            <w:pPr>
              <w:spacing w:after="0"/>
              <w:rPr>
                <w:sz w:val="20"/>
                <w:szCs w:val="20"/>
                <w:color w:val="auto"/>
              </w:rPr>
            </w:pPr>
          </w:p>
        </w:tc>
      </w:tr>
      <w:tr>
        <w:trPr>
          <w:trHeight w:val="231"/>
        </w:trPr>
        <w:tc>
          <w:tcPr>
            <w:tcW w:w="2940" w:type="dxa"/>
            <w:vAlign w:val="bottom"/>
            <w:shd w:val="clear" w:color="auto" w:fill="D1DDE6"/>
          </w:tcPr>
          <w:p>
            <w:pPr>
              <w:ind w:left="80"/>
              <w:spacing w:after="0"/>
              <w:rPr>
                <w:sz w:val="20"/>
                <w:szCs w:val="20"/>
                <w:color w:val="auto"/>
              </w:rPr>
            </w:pPr>
            <w:r>
              <w:rPr>
                <w:rFonts w:ascii="Arial" w:cs="Arial" w:eastAsia="Arial" w:hAnsi="Arial"/>
                <w:sz w:val="15"/>
                <w:szCs w:val="15"/>
                <w:color w:val="auto"/>
              </w:rPr>
              <w:t>3M Company</w:t>
            </w:r>
          </w:p>
        </w:tc>
        <w:tc>
          <w:tcPr>
            <w:tcW w:w="6940" w:type="dxa"/>
            <w:vAlign w:val="bottom"/>
            <w:shd w:val="clear" w:color="auto" w:fill="D1DDE6"/>
          </w:tcPr>
          <w:p>
            <w:pPr>
              <w:ind w:left="2100"/>
              <w:spacing w:after="0"/>
              <w:rPr>
                <w:sz w:val="20"/>
                <w:szCs w:val="20"/>
                <w:color w:val="auto"/>
              </w:rPr>
            </w:pPr>
            <w:r>
              <w:rPr>
                <w:rFonts w:ascii="Arial" w:cs="Arial" w:eastAsia="Arial" w:hAnsi="Arial"/>
                <w:sz w:val="15"/>
                <w:szCs w:val="15"/>
                <w:color w:val="auto"/>
              </w:rPr>
              <w:t>Johnson Controls International</w:t>
            </w:r>
          </w:p>
        </w:tc>
        <w:tc>
          <w:tcPr>
            <w:tcW w:w="20" w:type="dxa"/>
            <w:vAlign w:val="bottom"/>
          </w:tcPr>
          <w:p>
            <w:pPr>
              <w:spacing w:after="0"/>
              <w:rPr>
                <w:sz w:val="20"/>
                <w:szCs w:val="20"/>
                <w:color w:val="auto"/>
              </w:rPr>
            </w:pPr>
          </w:p>
        </w:tc>
      </w:tr>
      <w:tr>
        <w:trPr>
          <w:trHeight w:val="231"/>
        </w:trPr>
        <w:tc>
          <w:tcPr>
            <w:tcW w:w="2940" w:type="dxa"/>
            <w:vAlign w:val="bottom"/>
          </w:tcPr>
          <w:p>
            <w:pPr>
              <w:ind w:left="80"/>
              <w:spacing w:after="0" w:line="230" w:lineRule="exact"/>
              <w:rPr>
                <w:sz w:val="20"/>
                <w:szCs w:val="20"/>
                <w:color w:val="auto"/>
              </w:rPr>
            </w:pPr>
            <w:r>
              <w:rPr>
                <w:rFonts w:ascii="Arial" w:cs="Arial" w:eastAsia="Arial" w:hAnsi="Arial"/>
                <w:sz w:val="15"/>
                <w:szCs w:val="15"/>
                <w:color w:val="auto"/>
              </w:rPr>
              <w:t xml:space="preserve">The Boeing Company </w:t>
            </w:r>
            <w:r>
              <w:rPr>
                <w:rFonts w:ascii="Arial" w:cs="Arial" w:eastAsia="Arial" w:hAnsi="Arial"/>
                <w:sz w:val="25"/>
                <w:szCs w:val="25"/>
                <w:color w:val="auto"/>
                <w:vertAlign w:val="superscript"/>
              </w:rPr>
              <w:t>(1)</w:t>
            </w:r>
          </w:p>
        </w:tc>
        <w:tc>
          <w:tcPr>
            <w:tcW w:w="6940" w:type="dxa"/>
            <w:vAlign w:val="bottom"/>
          </w:tcPr>
          <w:p>
            <w:pPr>
              <w:ind w:left="2100"/>
              <w:spacing w:after="0" w:line="230" w:lineRule="exact"/>
              <w:rPr>
                <w:sz w:val="20"/>
                <w:szCs w:val="20"/>
                <w:color w:val="auto"/>
              </w:rPr>
            </w:pPr>
            <w:r>
              <w:rPr>
                <w:rFonts w:ascii="Arial" w:cs="Arial" w:eastAsia="Arial" w:hAnsi="Arial"/>
                <w:sz w:val="15"/>
                <w:szCs w:val="15"/>
                <w:color w:val="auto"/>
              </w:rPr>
              <w:t xml:space="preserve">L3 Technologies, Inc. </w:t>
            </w:r>
            <w:r>
              <w:rPr>
                <w:rFonts w:ascii="Arial" w:cs="Arial" w:eastAsia="Arial" w:hAnsi="Arial"/>
                <w:sz w:val="25"/>
                <w:szCs w:val="25"/>
                <w:color w:val="auto"/>
                <w:vertAlign w:val="superscript"/>
              </w:rPr>
              <w:t>(1)</w:t>
            </w:r>
          </w:p>
        </w:tc>
        <w:tc>
          <w:tcPr>
            <w:tcW w:w="20" w:type="dxa"/>
            <w:vAlign w:val="bottom"/>
          </w:tcPr>
          <w:p>
            <w:pPr>
              <w:spacing w:after="0"/>
              <w:rPr>
                <w:sz w:val="20"/>
                <w:szCs w:val="20"/>
                <w:color w:val="auto"/>
              </w:rPr>
            </w:pPr>
          </w:p>
        </w:tc>
      </w:tr>
      <w:tr>
        <w:trPr>
          <w:trHeight w:val="231"/>
        </w:trPr>
        <w:tc>
          <w:tcPr>
            <w:tcW w:w="2940" w:type="dxa"/>
            <w:vAlign w:val="bottom"/>
            <w:shd w:val="clear" w:color="auto" w:fill="D1DDE6"/>
          </w:tcPr>
          <w:p>
            <w:pPr>
              <w:ind w:left="80"/>
              <w:spacing w:after="0"/>
              <w:rPr>
                <w:sz w:val="20"/>
                <w:szCs w:val="20"/>
                <w:color w:val="auto"/>
              </w:rPr>
            </w:pPr>
            <w:r>
              <w:rPr>
                <w:rFonts w:ascii="Arial" w:cs="Arial" w:eastAsia="Arial" w:hAnsi="Arial"/>
                <w:sz w:val="15"/>
                <w:szCs w:val="15"/>
                <w:color w:val="auto"/>
              </w:rPr>
              <w:t>Caterpillar, Inc.</w:t>
            </w:r>
          </w:p>
        </w:tc>
        <w:tc>
          <w:tcPr>
            <w:tcW w:w="6940" w:type="dxa"/>
            <w:vAlign w:val="bottom"/>
            <w:shd w:val="clear" w:color="auto" w:fill="D1DDE6"/>
          </w:tcPr>
          <w:p>
            <w:pPr>
              <w:ind w:left="2100"/>
              <w:spacing w:after="0" w:line="230" w:lineRule="exact"/>
              <w:rPr>
                <w:sz w:val="20"/>
                <w:szCs w:val="20"/>
                <w:color w:val="auto"/>
              </w:rPr>
            </w:pPr>
            <w:r>
              <w:rPr>
                <w:rFonts w:ascii="Arial" w:cs="Arial" w:eastAsia="Arial" w:hAnsi="Arial"/>
                <w:sz w:val="15"/>
                <w:szCs w:val="15"/>
                <w:color w:val="auto"/>
              </w:rPr>
              <w:t xml:space="preserve">Lockheed Martin Corporation </w:t>
            </w:r>
            <w:r>
              <w:rPr>
                <w:rFonts w:ascii="Arial" w:cs="Arial" w:eastAsia="Arial" w:hAnsi="Arial"/>
                <w:sz w:val="25"/>
                <w:szCs w:val="25"/>
                <w:color w:val="auto"/>
                <w:vertAlign w:val="superscript"/>
              </w:rPr>
              <w:t>(1)</w:t>
            </w:r>
          </w:p>
        </w:tc>
        <w:tc>
          <w:tcPr>
            <w:tcW w:w="20" w:type="dxa"/>
            <w:vAlign w:val="bottom"/>
          </w:tcPr>
          <w:p>
            <w:pPr>
              <w:spacing w:after="0"/>
              <w:rPr>
                <w:sz w:val="20"/>
                <w:szCs w:val="20"/>
                <w:color w:val="auto"/>
              </w:rPr>
            </w:pPr>
          </w:p>
        </w:tc>
      </w:tr>
      <w:tr>
        <w:trPr>
          <w:trHeight w:val="231"/>
        </w:trPr>
        <w:tc>
          <w:tcPr>
            <w:tcW w:w="2940" w:type="dxa"/>
            <w:vAlign w:val="bottom"/>
          </w:tcPr>
          <w:p>
            <w:pPr>
              <w:ind w:left="80"/>
              <w:spacing w:after="0"/>
              <w:rPr>
                <w:sz w:val="20"/>
                <w:szCs w:val="20"/>
                <w:color w:val="auto"/>
              </w:rPr>
            </w:pPr>
            <w:r>
              <w:rPr>
                <w:rFonts w:ascii="Arial" w:cs="Arial" w:eastAsia="Arial" w:hAnsi="Arial"/>
                <w:sz w:val="15"/>
                <w:szCs w:val="15"/>
                <w:color w:val="auto"/>
              </w:rPr>
              <w:t>Eaton Corporation</w:t>
            </w:r>
          </w:p>
        </w:tc>
        <w:tc>
          <w:tcPr>
            <w:tcW w:w="6940" w:type="dxa"/>
            <w:vAlign w:val="bottom"/>
          </w:tcPr>
          <w:p>
            <w:pPr>
              <w:ind w:left="2100"/>
              <w:spacing w:after="0" w:line="230" w:lineRule="exact"/>
              <w:rPr>
                <w:sz w:val="20"/>
                <w:szCs w:val="20"/>
                <w:color w:val="auto"/>
              </w:rPr>
            </w:pPr>
            <w:r>
              <w:rPr>
                <w:rFonts w:ascii="Arial" w:cs="Arial" w:eastAsia="Arial" w:hAnsi="Arial"/>
                <w:sz w:val="15"/>
                <w:szCs w:val="15"/>
                <w:color w:val="auto"/>
              </w:rPr>
              <w:t xml:space="preserve">Raytheon Company </w:t>
            </w:r>
            <w:r>
              <w:rPr>
                <w:rFonts w:ascii="Arial" w:cs="Arial" w:eastAsia="Arial" w:hAnsi="Arial"/>
                <w:sz w:val="25"/>
                <w:szCs w:val="25"/>
                <w:color w:val="auto"/>
                <w:vertAlign w:val="superscript"/>
              </w:rPr>
              <w:t>(1)</w:t>
            </w:r>
          </w:p>
        </w:tc>
        <w:tc>
          <w:tcPr>
            <w:tcW w:w="20" w:type="dxa"/>
            <w:vAlign w:val="bottom"/>
          </w:tcPr>
          <w:p>
            <w:pPr>
              <w:spacing w:after="0"/>
              <w:rPr>
                <w:sz w:val="20"/>
                <w:szCs w:val="20"/>
                <w:color w:val="auto"/>
              </w:rPr>
            </w:pPr>
          </w:p>
        </w:tc>
      </w:tr>
      <w:tr>
        <w:trPr>
          <w:trHeight w:val="231"/>
        </w:trPr>
        <w:tc>
          <w:tcPr>
            <w:tcW w:w="2940" w:type="dxa"/>
            <w:vAlign w:val="bottom"/>
            <w:shd w:val="clear" w:color="auto" w:fill="D1DDE6"/>
          </w:tcPr>
          <w:p>
            <w:pPr>
              <w:ind w:left="80"/>
              <w:spacing w:after="0"/>
              <w:rPr>
                <w:sz w:val="20"/>
                <w:szCs w:val="20"/>
                <w:color w:val="auto"/>
              </w:rPr>
            </w:pPr>
            <w:r>
              <w:rPr>
                <w:rFonts w:ascii="Arial" w:cs="Arial" w:eastAsia="Arial" w:hAnsi="Arial"/>
                <w:sz w:val="15"/>
                <w:szCs w:val="15"/>
                <w:color w:val="auto"/>
              </w:rPr>
              <w:t>Emerson Electric Company</w:t>
            </w:r>
          </w:p>
        </w:tc>
        <w:tc>
          <w:tcPr>
            <w:tcW w:w="6940" w:type="dxa"/>
            <w:vAlign w:val="bottom"/>
            <w:shd w:val="clear" w:color="auto" w:fill="D1DDE6"/>
          </w:tcPr>
          <w:p>
            <w:pPr>
              <w:ind w:left="2100"/>
              <w:spacing w:after="0"/>
              <w:rPr>
                <w:sz w:val="20"/>
                <w:szCs w:val="20"/>
                <w:color w:val="auto"/>
              </w:rPr>
            </w:pPr>
            <w:r>
              <w:rPr>
                <w:rFonts w:ascii="Arial" w:cs="Arial" w:eastAsia="Arial" w:hAnsi="Arial"/>
                <w:sz w:val="15"/>
                <w:szCs w:val="15"/>
                <w:color w:val="auto"/>
              </w:rPr>
              <w:t>Rockwell Collins, Inc.</w:t>
            </w:r>
          </w:p>
        </w:tc>
        <w:tc>
          <w:tcPr>
            <w:tcW w:w="20" w:type="dxa"/>
            <w:vAlign w:val="bottom"/>
          </w:tcPr>
          <w:p>
            <w:pPr>
              <w:spacing w:after="0"/>
              <w:rPr>
                <w:sz w:val="20"/>
                <w:szCs w:val="20"/>
                <w:color w:val="auto"/>
              </w:rPr>
            </w:pPr>
          </w:p>
        </w:tc>
      </w:tr>
      <w:tr>
        <w:trPr>
          <w:trHeight w:val="231"/>
        </w:trPr>
        <w:tc>
          <w:tcPr>
            <w:tcW w:w="2940" w:type="dxa"/>
            <w:vAlign w:val="bottom"/>
          </w:tcPr>
          <w:p>
            <w:pPr>
              <w:ind w:left="80"/>
              <w:spacing w:after="0" w:line="230" w:lineRule="exact"/>
              <w:rPr>
                <w:sz w:val="20"/>
                <w:szCs w:val="20"/>
                <w:color w:val="auto"/>
              </w:rPr>
            </w:pPr>
            <w:r>
              <w:rPr>
                <w:rFonts w:ascii="Arial" w:cs="Arial" w:eastAsia="Arial" w:hAnsi="Arial"/>
                <w:sz w:val="15"/>
                <w:szCs w:val="15"/>
                <w:color w:val="auto"/>
              </w:rPr>
              <w:t xml:space="preserve">General Dynamics Corporation </w:t>
            </w:r>
            <w:r>
              <w:rPr>
                <w:rFonts w:ascii="Arial" w:cs="Arial" w:eastAsia="Arial" w:hAnsi="Arial"/>
                <w:sz w:val="25"/>
                <w:szCs w:val="25"/>
                <w:color w:val="auto"/>
                <w:vertAlign w:val="superscript"/>
              </w:rPr>
              <w:t>(1)</w:t>
            </w:r>
          </w:p>
        </w:tc>
        <w:tc>
          <w:tcPr>
            <w:tcW w:w="6940" w:type="dxa"/>
            <w:vAlign w:val="bottom"/>
          </w:tcPr>
          <w:p>
            <w:pPr>
              <w:ind w:left="2100"/>
              <w:spacing w:after="0"/>
              <w:rPr>
                <w:sz w:val="20"/>
                <w:szCs w:val="20"/>
                <w:color w:val="auto"/>
              </w:rPr>
            </w:pPr>
            <w:r>
              <w:rPr>
                <w:rFonts w:ascii="Arial" w:cs="Arial" w:eastAsia="Arial" w:hAnsi="Arial"/>
                <w:sz w:val="15"/>
                <w:szCs w:val="15"/>
                <w:color w:val="auto"/>
              </w:rPr>
              <w:t>Textron, Inc.</w:t>
            </w:r>
          </w:p>
        </w:tc>
        <w:tc>
          <w:tcPr>
            <w:tcW w:w="20" w:type="dxa"/>
            <w:vAlign w:val="bottom"/>
          </w:tcPr>
          <w:p>
            <w:pPr>
              <w:spacing w:after="0"/>
              <w:rPr>
                <w:sz w:val="20"/>
                <w:szCs w:val="20"/>
                <w:color w:val="auto"/>
              </w:rPr>
            </w:pPr>
          </w:p>
        </w:tc>
      </w:tr>
      <w:tr>
        <w:trPr>
          <w:trHeight w:val="231"/>
        </w:trPr>
        <w:tc>
          <w:tcPr>
            <w:tcW w:w="2940" w:type="dxa"/>
            <w:vAlign w:val="bottom"/>
            <w:tcBorders>
              <w:bottom w:val="single" w:sz="8" w:color="34657F"/>
            </w:tcBorders>
            <w:shd w:val="clear" w:color="auto" w:fill="D1DDE6"/>
          </w:tcPr>
          <w:p>
            <w:pPr>
              <w:ind w:left="80"/>
              <w:spacing w:after="0" w:line="230" w:lineRule="exact"/>
              <w:rPr>
                <w:sz w:val="20"/>
                <w:szCs w:val="20"/>
                <w:color w:val="auto"/>
              </w:rPr>
            </w:pPr>
            <w:r>
              <w:rPr>
                <w:rFonts w:ascii="Arial" w:cs="Arial" w:eastAsia="Arial" w:hAnsi="Arial"/>
                <w:sz w:val="15"/>
                <w:szCs w:val="15"/>
                <w:color w:val="auto"/>
              </w:rPr>
              <w:t xml:space="preserve">Honeywell International, Inc. </w:t>
            </w:r>
            <w:r>
              <w:rPr>
                <w:rFonts w:ascii="Arial" w:cs="Arial" w:eastAsia="Arial" w:hAnsi="Arial"/>
                <w:sz w:val="25"/>
                <w:szCs w:val="25"/>
                <w:color w:val="auto"/>
                <w:vertAlign w:val="superscript"/>
              </w:rPr>
              <w:t>(1)</w:t>
            </w:r>
          </w:p>
        </w:tc>
        <w:tc>
          <w:tcPr>
            <w:tcW w:w="6940" w:type="dxa"/>
            <w:vAlign w:val="bottom"/>
            <w:tcBorders>
              <w:bottom w:val="single" w:sz="8" w:color="34657F"/>
            </w:tcBorders>
            <w:shd w:val="clear" w:color="auto" w:fill="D1DDE6"/>
          </w:tcPr>
          <w:p>
            <w:pPr>
              <w:ind w:left="2100"/>
              <w:spacing w:after="0"/>
              <w:rPr>
                <w:sz w:val="20"/>
                <w:szCs w:val="20"/>
                <w:color w:val="auto"/>
              </w:rPr>
            </w:pPr>
            <w:r>
              <w:rPr>
                <w:rFonts w:ascii="Arial" w:cs="Arial" w:eastAsia="Arial" w:hAnsi="Arial"/>
                <w:sz w:val="15"/>
                <w:szCs w:val="15"/>
                <w:color w:val="auto"/>
              </w:rPr>
              <w:t>United Technologies Corporation</w:t>
            </w:r>
          </w:p>
        </w:tc>
        <w:tc>
          <w:tcPr>
            <w:tcW w:w="20" w:type="dxa"/>
            <w:vAlign w:val="bottom"/>
          </w:tcPr>
          <w:p>
            <w:pPr>
              <w:spacing w:after="0"/>
              <w:rPr>
                <w:sz w:val="20"/>
                <w:szCs w:val="20"/>
                <w:color w:val="auto"/>
              </w:rPr>
            </w:pPr>
          </w:p>
        </w:tc>
      </w:tr>
    </w:tbl>
    <w:p>
      <w:pPr>
        <w:ind w:left="1000" w:hanging="209"/>
        <w:spacing w:after="0" w:line="192" w:lineRule="auto"/>
        <w:tabs>
          <w:tab w:leader="none" w:pos="1000" w:val="left"/>
        </w:tabs>
        <w:numPr>
          <w:ilvl w:val="0"/>
          <w:numId w:val="55"/>
        </w:numPr>
        <w:rPr>
          <w:rFonts w:ascii="Arial" w:cs="Arial" w:eastAsia="Arial" w:hAnsi="Arial"/>
          <w:sz w:val="23"/>
          <w:szCs w:val="23"/>
          <w:color w:val="auto"/>
          <w:vertAlign w:val="superscript"/>
        </w:rPr>
      </w:pPr>
      <w:r>
        <w:rPr>
          <w:rFonts w:ascii="Arial" w:cs="Arial" w:eastAsia="Arial" w:hAnsi="Arial"/>
          <w:sz w:val="14"/>
          <w:szCs w:val="14"/>
          <w:color w:val="auto"/>
        </w:rPr>
        <w:t>Included in the subset of six direct peers also used for compensation benchmarking</w:t>
      </w:r>
    </w:p>
    <w:p>
      <w:pPr>
        <w:spacing w:after="0" w:line="95" w:lineRule="exact"/>
        <w:rPr>
          <w:sz w:val="20"/>
          <w:szCs w:val="20"/>
          <w:color w:val="auto"/>
        </w:rPr>
      </w:pPr>
    </w:p>
    <w:p>
      <w:pPr>
        <w:ind w:right="380"/>
        <w:spacing w:after="0" w:line="257" w:lineRule="auto"/>
        <w:rPr>
          <w:sz w:val="20"/>
          <w:szCs w:val="20"/>
          <w:color w:val="auto"/>
        </w:rPr>
      </w:pPr>
      <w:r>
        <w:rPr>
          <w:rFonts w:ascii="Arial" w:cs="Arial" w:eastAsia="Arial" w:hAnsi="Arial"/>
          <w:sz w:val="17"/>
          <w:szCs w:val="17"/>
          <w:color w:val="auto"/>
        </w:rPr>
        <w:t>It is the Company's pay philosophy to provide the CEO a compensation package that comprises competitive elements of base salary and target variable pay relative to the Target Industry Peer Group. In 2018, the CEO's target total direct compensation approximated the median of the Target Industry Peer Group.</w:t>
      </w:r>
    </w:p>
    <w:p>
      <w:pPr>
        <w:spacing w:after="0" w:line="64" w:lineRule="exact"/>
        <w:rPr>
          <w:sz w:val="20"/>
          <w:szCs w:val="20"/>
          <w:color w:val="auto"/>
        </w:rPr>
      </w:pPr>
    </w:p>
    <w:p>
      <w:pPr>
        <w:ind w:right="700"/>
        <w:spacing w:after="0" w:line="263" w:lineRule="auto"/>
        <w:rPr>
          <w:sz w:val="20"/>
          <w:szCs w:val="20"/>
          <w:color w:val="auto"/>
        </w:rPr>
      </w:pPr>
      <w:r>
        <w:rPr>
          <w:rFonts w:ascii="Arial" w:cs="Arial" w:eastAsia="Arial" w:hAnsi="Arial"/>
          <w:sz w:val="17"/>
          <w:szCs w:val="17"/>
          <w:color w:val="auto"/>
        </w:rPr>
        <w:t>Another element of the Company's pay philosophy is to tie a significant portion of the CEO's pay to performance. As a result, the CEO's actual compensation may differ from this market median based on the Company's actual performance.</w:t>
      </w:r>
    </w:p>
    <w:p>
      <w:pPr>
        <w:spacing w:after="0" w:line="59" w:lineRule="exact"/>
        <w:rPr>
          <w:sz w:val="20"/>
          <w:szCs w:val="20"/>
          <w:color w:val="auto"/>
        </w:rPr>
      </w:pPr>
    </w:p>
    <w:p>
      <w:pPr>
        <w:ind w:right="60"/>
        <w:spacing w:after="0" w:line="254" w:lineRule="auto"/>
        <w:rPr>
          <w:sz w:val="20"/>
          <w:szCs w:val="20"/>
          <w:color w:val="auto"/>
        </w:rPr>
      </w:pPr>
      <w:r>
        <w:rPr>
          <w:rFonts w:ascii="Arial" w:cs="Arial" w:eastAsia="Arial" w:hAnsi="Arial"/>
          <w:sz w:val="17"/>
          <w:szCs w:val="17"/>
          <w:color w:val="auto"/>
        </w:rPr>
        <w:t>In determining the base salary and target variable pay elements for the other NEOs, the Compensation Committee does not set any specific benchmark relative to the Target Industry Peer Group; rather, the Compensation Committee considers several factors in determining their compensation, including executive compensation levels and practices of the Target Industry Peer Group, NEO individual experience, growth in job as demonstrated through sustained performance, leadership impact, retention and pay relative to the CEO. Actual annual incentive awards and long-term incentive award opportunities reflect these factors, as well as Company performance.</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right"/>
        <w:spacing w:after="0"/>
        <w:rPr>
          <w:sz w:val="20"/>
          <w:szCs w:val="20"/>
          <w:color w:val="auto"/>
        </w:rPr>
      </w:pPr>
      <w:r>
        <w:rPr>
          <w:rFonts w:ascii="Arial" w:cs="Arial" w:eastAsia="Arial" w:hAnsi="Arial"/>
          <w:sz w:val="14"/>
          <w:szCs w:val="14"/>
          <w:color w:val="34657F"/>
        </w:rPr>
        <w:t xml:space="preserve">NOTICE OF 2019 ANNUAL MEETING OF SHAREHOLDERS AND PROXY STATEMENT </w:t>
      </w:r>
      <w:r>
        <w:rPr>
          <w:rFonts w:ascii="Arial" w:cs="Arial" w:eastAsia="Arial" w:hAnsi="Arial"/>
          <w:sz w:val="14"/>
          <w:szCs w:val="14"/>
          <w:color w:val="000000"/>
        </w:rPr>
        <w:t>I 43</w:t>
      </w:r>
    </w:p>
    <w:p>
      <w:pPr>
        <w:sectPr>
          <w:pgSz w:w="11900" w:h="16838" w:orient="portrait"/>
          <w:cols w:equalWidth="0" w:num="1">
            <w:col w:w="11420"/>
          </w:cols>
          <w:pgMar w:left="240" w:top="671" w:right="239" w:bottom="1440" w:gutter="0" w:footer="0" w:header="0"/>
        </w:sectPr>
      </w:pPr>
    </w:p>
    <w:bookmarkStart w:id="49" w:name="page50"/>
    <w:bookmarkEnd w:id="49"/>
    <w:p>
      <w:pPr>
        <w:ind w:left="20"/>
        <w:spacing w:after="0"/>
        <w:rPr>
          <w:sz w:val="20"/>
          <w:szCs w:val="20"/>
          <w:color w:val="auto"/>
        </w:rPr>
      </w:pPr>
      <w:r>
        <w:rPr>
          <w:rFonts w:ascii="Arial" w:cs="Arial" w:eastAsia="Arial" w:hAnsi="Arial"/>
          <w:sz w:val="21"/>
          <w:szCs w:val="21"/>
          <w:b w:val="1"/>
          <w:bCs w:val="1"/>
          <w:color w:val="FFFFFF"/>
        </w:rPr>
        <w:drawing>
          <wp:anchor simplePos="0" relativeHeight="251657728" behindDoc="1" locked="0" layoutInCell="0" allowOverlap="1">
            <wp:simplePos x="0" y="0"/>
            <wp:positionH relativeFrom="page">
              <wp:posOffset>154305</wp:posOffset>
            </wp:positionH>
            <wp:positionV relativeFrom="page">
              <wp:posOffset>463550</wp:posOffset>
            </wp:positionV>
            <wp:extent cx="7253605" cy="56197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53605" cy="561975"/>
                    </a:xfrm>
                    <a:prstGeom prst="rect">
                      <a:avLst/>
                    </a:prstGeom>
                    <a:noFill/>
                  </pic:spPr>
                </pic:pic>
              </a:graphicData>
            </a:graphic>
          </wp:anchor>
        </w:drawing>
        <w:t>COMPENSATION DISCUSSION AND ANALYSIS | K</w:t>
      </w:r>
      <w:r>
        <w:rPr>
          <w:rFonts w:ascii="Arial" w:cs="Arial" w:eastAsia="Arial" w:hAnsi="Arial"/>
          <w:sz w:val="17"/>
          <w:szCs w:val="17"/>
          <w:b w:val="1"/>
          <w:bCs w:val="1"/>
          <w:color w:val="FFFFFF"/>
        </w:rPr>
        <w:t>EY</w:t>
      </w:r>
      <w:r>
        <w:rPr>
          <w:rFonts w:ascii="Arial" w:cs="Arial" w:eastAsia="Arial" w:hAnsi="Arial"/>
          <w:sz w:val="21"/>
          <w:szCs w:val="21"/>
          <w:b w:val="1"/>
          <w:bCs w:val="1"/>
          <w:color w:val="FFFFFF"/>
        </w:rPr>
        <w:t xml:space="preserve"> C</w:t>
      </w:r>
      <w:r>
        <w:rPr>
          <w:rFonts w:ascii="Arial" w:cs="Arial" w:eastAsia="Arial" w:hAnsi="Arial"/>
          <w:sz w:val="17"/>
          <w:szCs w:val="17"/>
          <w:b w:val="1"/>
          <w:bCs w:val="1"/>
          <w:color w:val="FFFFFF"/>
        </w:rPr>
        <w:t>OMPONENTS OF OUR</w:t>
      </w:r>
      <w:r>
        <w:rPr>
          <w:rFonts w:ascii="Arial" w:cs="Arial" w:eastAsia="Arial" w:hAnsi="Arial"/>
          <w:sz w:val="21"/>
          <w:szCs w:val="21"/>
          <w:b w:val="1"/>
          <w:bCs w:val="1"/>
          <w:color w:val="FFFFFF"/>
        </w:rPr>
        <w:t xml:space="preserve"> P</w:t>
      </w:r>
      <w:r>
        <w:rPr>
          <w:rFonts w:ascii="Arial" w:cs="Arial" w:eastAsia="Arial" w:hAnsi="Arial"/>
          <w:sz w:val="17"/>
          <w:szCs w:val="17"/>
          <w:b w:val="1"/>
          <w:bCs w:val="1"/>
          <w:color w:val="FFFFFF"/>
        </w:rPr>
        <w:t>ROGRAMS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0"/>
        <w:spacing w:after="0"/>
        <w:rPr>
          <w:sz w:val="20"/>
          <w:szCs w:val="20"/>
          <w:color w:val="auto"/>
        </w:rPr>
      </w:pPr>
      <w:r>
        <w:rPr>
          <w:rFonts w:ascii="Arial" w:cs="Arial" w:eastAsia="Arial" w:hAnsi="Arial"/>
          <w:sz w:val="24"/>
          <w:szCs w:val="24"/>
          <w:b w:val="1"/>
          <w:bCs w:val="1"/>
          <w:color w:val="auto"/>
        </w:rPr>
        <w:t>Annual Incentive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38100</wp:posOffset>
            </wp:positionV>
            <wp:extent cx="7253605" cy="1651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pacing w:after="0" w:line="142" w:lineRule="exact"/>
        <w:rPr>
          <w:sz w:val="20"/>
          <w:szCs w:val="20"/>
          <w:color w:val="auto"/>
        </w:rPr>
      </w:pPr>
    </w:p>
    <w:p>
      <w:pPr>
        <w:ind w:right="40"/>
        <w:spacing w:after="0" w:line="257" w:lineRule="auto"/>
        <w:rPr>
          <w:sz w:val="20"/>
          <w:szCs w:val="20"/>
          <w:color w:val="auto"/>
        </w:rPr>
      </w:pPr>
      <w:r>
        <w:rPr>
          <w:rFonts w:ascii="Arial" w:cs="Arial" w:eastAsia="Arial" w:hAnsi="Arial"/>
          <w:sz w:val="17"/>
          <w:szCs w:val="17"/>
          <w:color w:val="auto"/>
        </w:rPr>
        <w:t>Under our shareholder-approved 2002 Incentive Compensation Plan (the Plan), the Compensation Committee approves the annual incentive compensation target payout percentage for each NEO other than the CEO. For the CEO, such percentage is approved by the independent directors of the Board.</w:t>
      </w:r>
    </w:p>
    <w:p>
      <w:pPr>
        <w:spacing w:after="0" w:line="64" w:lineRule="exact"/>
        <w:rPr>
          <w:sz w:val="20"/>
          <w:szCs w:val="20"/>
          <w:color w:val="auto"/>
        </w:rPr>
      </w:pPr>
    </w:p>
    <w:p>
      <w:pPr>
        <w:jc w:val="both"/>
        <w:ind w:right="160"/>
        <w:spacing w:after="0" w:line="257" w:lineRule="auto"/>
        <w:rPr>
          <w:sz w:val="20"/>
          <w:szCs w:val="20"/>
          <w:color w:val="auto"/>
        </w:rPr>
      </w:pPr>
      <w:r>
        <w:rPr>
          <w:rFonts w:ascii="Arial" w:cs="Arial" w:eastAsia="Arial" w:hAnsi="Arial"/>
          <w:sz w:val="17"/>
          <w:szCs w:val="17"/>
          <w:color w:val="auto"/>
        </w:rPr>
        <w:t>The target incentive award (target bonus) represents a percentage of each NEO's base salary. Following the completion of the fiscal year, the target bonus is used by the Compensation Committee, together with its assessment of Company performance against pre-determined performance criteria, to determine the final bonus award amount.</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2018 Annual Incentive</w:t>
      </w:r>
    </w:p>
    <w:p>
      <w:pPr>
        <w:spacing w:after="0" w:line="103" w:lineRule="exact"/>
        <w:rPr>
          <w:sz w:val="20"/>
          <w:szCs w:val="20"/>
          <w:color w:val="auto"/>
        </w:rPr>
      </w:pPr>
    </w:p>
    <w:p>
      <w:pPr>
        <w:ind w:right="20"/>
        <w:spacing w:after="0" w:line="257" w:lineRule="auto"/>
        <w:rPr>
          <w:sz w:val="20"/>
          <w:szCs w:val="20"/>
          <w:color w:val="auto"/>
        </w:rPr>
      </w:pPr>
      <w:r>
        <w:rPr>
          <w:rFonts w:ascii="Arial" w:cs="Arial" w:eastAsia="Arial" w:hAnsi="Arial"/>
          <w:sz w:val="17"/>
          <w:szCs w:val="17"/>
          <w:color w:val="auto"/>
        </w:rPr>
        <w:t>The 2018 target bonus for the CEO was 180% of base salary, which was unchanged from 2017. The 2018 target bonus for the COO was 120% of base salary and 100% of base salary for the CFO and other NEOs, including Mr. Larson, as the new Innovation Systems sector president. Mr. Larson’s final bonus award reflects the time he served in his role as an elected officer of Orbital ATK and of Northrop Grumman.</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color w:val="auto"/>
        </w:rPr>
        <w:t>Final bonus awards for each NEO were determined by multiplying the Northrop Grumman Company Performance Factor (CPF) by the target bonus.</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The CPF can range from 0% to 200%.</w:t>
      </w:r>
    </w:p>
    <w:p>
      <w:pPr>
        <w:spacing w:after="0" w:line="6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 xml:space="preserve">Annual Incentive Formula for 2018 </w:t>
      </w:r>
      <w:r>
        <w:rPr>
          <w:rFonts w:ascii="Arial" w:cs="Arial" w:eastAsia="Arial" w:hAnsi="Arial"/>
          <w:sz w:val="14"/>
          <w:szCs w:val="14"/>
          <w:b w:val="1"/>
          <w:bCs w:val="1"/>
          <w:color w:val="auto"/>
        </w:rPr>
        <w:t>(1)</w:t>
      </w:r>
      <w:r>
        <w:rPr>
          <w:rFonts w:ascii="Arial" w:cs="Arial" w:eastAsia="Arial" w:hAnsi="Arial"/>
          <w:sz w:val="17"/>
          <w:szCs w:val="17"/>
          <w:b w:val="1"/>
          <w:bCs w:val="1"/>
          <w:color w:val="auto"/>
        </w:rPr>
        <w:t>:</w:t>
      </w:r>
    </w:p>
    <w:p>
      <w:pPr>
        <w:spacing w:after="0" w:line="159" w:lineRule="exact"/>
        <w:rPr>
          <w:sz w:val="20"/>
          <w:szCs w:val="20"/>
          <w:color w:val="auto"/>
        </w:rPr>
      </w:pPr>
    </w:p>
    <w:tbl>
      <w:tblPr>
        <w:tblLayout w:type="fixed"/>
        <w:tblInd w:w="3240" w:type="dxa"/>
        <w:tblCellMar>
          <w:top w:w="0" w:type="dxa"/>
          <w:left w:w="0" w:type="dxa"/>
          <w:bottom w:w="0" w:type="dxa"/>
          <w:right w:w="0" w:type="dxa"/>
        </w:tblCellMar>
      </w:tblPr>
      <w:tr>
        <w:trPr>
          <w:trHeight w:val="402"/>
        </w:trPr>
        <w:tc>
          <w:tcPr>
            <w:tcW w:w="1420" w:type="dxa"/>
            <w:vAlign w:val="bottom"/>
            <w:vMerge w:val="restart"/>
            <w:shd w:val="clear" w:color="auto" w:fill="34657F"/>
          </w:tcPr>
          <w:p>
            <w:pPr>
              <w:ind w:left="220"/>
              <w:spacing w:after="0"/>
              <w:rPr>
                <w:sz w:val="20"/>
                <w:szCs w:val="20"/>
                <w:color w:val="auto"/>
              </w:rPr>
            </w:pPr>
            <w:r>
              <w:rPr>
                <w:rFonts w:ascii="Arial" w:cs="Arial" w:eastAsia="Arial" w:hAnsi="Arial"/>
                <w:sz w:val="17"/>
                <w:szCs w:val="17"/>
                <w:b w:val="1"/>
                <w:bCs w:val="1"/>
                <w:color w:val="FFFFFF"/>
              </w:rPr>
              <w:t>Base Salary</w:t>
            </w:r>
          </w:p>
        </w:tc>
        <w:tc>
          <w:tcPr>
            <w:tcW w:w="480" w:type="dxa"/>
            <w:vAlign w:val="bottom"/>
            <w:vMerge w:val="restart"/>
          </w:tcPr>
          <w:p>
            <w:pPr>
              <w:ind w:left="180"/>
              <w:spacing w:after="0"/>
              <w:rPr>
                <w:sz w:val="20"/>
                <w:szCs w:val="20"/>
                <w:color w:val="auto"/>
              </w:rPr>
            </w:pPr>
            <w:r>
              <w:rPr>
                <w:rFonts w:ascii="Arial" w:cs="Arial" w:eastAsia="Arial" w:hAnsi="Arial"/>
                <w:sz w:val="19"/>
                <w:szCs w:val="19"/>
                <w:b w:val="1"/>
                <w:bCs w:val="1"/>
                <w:color w:val="auto"/>
              </w:rPr>
              <w:t>X</w:t>
            </w:r>
          </w:p>
        </w:tc>
        <w:tc>
          <w:tcPr>
            <w:tcW w:w="1300" w:type="dxa"/>
            <w:vAlign w:val="bottom"/>
            <w:shd w:val="clear" w:color="auto" w:fill="34657F"/>
          </w:tcPr>
          <w:p>
            <w:pPr>
              <w:jc w:val="center"/>
              <w:spacing w:after="0"/>
              <w:rPr>
                <w:sz w:val="20"/>
                <w:szCs w:val="20"/>
                <w:color w:val="auto"/>
              </w:rPr>
            </w:pPr>
            <w:r>
              <w:rPr>
                <w:rFonts w:ascii="Arial" w:cs="Arial" w:eastAsia="Arial" w:hAnsi="Arial"/>
                <w:sz w:val="17"/>
                <w:szCs w:val="17"/>
                <w:b w:val="1"/>
                <w:bCs w:val="1"/>
                <w:color w:val="FFFFFF"/>
                <w:w w:val="98"/>
              </w:rPr>
              <w:t>Target Payout</w:t>
            </w:r>
          </w:p>
        </w:tc>
        <w:tc>
          <w:tcPr>
            <w:tcW w:w="480" w:type="dxa"/>
            <w:vAlign w:val="bottom"/>
            <w:vMerge w:val="restart"/>
          </w:tcPr>
          <w:p>
            <w:pPr>
              <w:jc w:val="right"/>
              <w:ind w:right="106"/>
              <w:spacing w:after="0"/>
              <w:rPr>
                <w:sz w:val="20"/>
                <w:szCs w:val="20"/>
                <w:color w:val="auto"/>
              </w:rPr>
            </w:pPr>
            <w:r>
              <w:rPr>
                <w:rFonts w:ascii="Arial" w:cs="Arial" w:eastAsia="Arial" w:hAnsi="Arial"/>
                <w:sz w:val="19"/>
                <w:szCs w:val="19"/>
                <w:b w:val="1"/>
                <w:bCs w:val="1"/>
                <w:color w:val="auto"/>
              </w:rPr>
              <w:t>=</w:t>
            </w:r>
          </w:p>
        </w:tc>
        <w:tc>
          <w:tcPr>
            <w:tcW w:w="1280" w:type="dxa"/>
            <w:vAlign w:val="bottom"/>
            <w:vMerge w:val="restart"/>
            <w:shd w:val="clear" w:color="auto" w:fill="34657F"/>
          </w:tcPr>
          <w:p>
            <w:pPr>
              <w:ind w:left="80"/>
              <w:spacing w:after="0"/>
              <w:rPr>
                <w:sz w:val="20"/>
                <w:szCs w:val="20"/>
                <w:color w:val="auto"/>
              </w:rPr>
            </w:pPr>
            <w:r>
              <w:rPr>
                <w:rFonts w:ascii="Arial" w:cs="Arial" w:eastAsia="Arial" w:hAnsi="Arial"/>
                <w:sz w:val="17"/>
                <w:szCs w:val="17"/>
                <w:b w:val="1"/>
                <w:bCs w:val="1"/>
                <w:color w:val="FFFFFF"/>
              </w:rPr>
              <w:t>Target Bonus</w:t>
            </w:r>
          </w:p>
        </w:tc>
        <w:tc>
          <w:tcPr>
            <w:tcW w:w="0" w:type="dxa"/>
            <w:vAlign w:val="bottom"/>
          </w:tcPr>
          <w:p>
            <w:pPr>
              <w:spacing w:after="0"/>
              <w:rPr>
                <w:sz w:val="1"/>
                <w:szCs w:val="1"/>
                <w:color w:val="auto"/>
              </w:rPr>
            </w:pPr>
          </w:p>
        </w:tc>
      </w:tr>
      <w:tr>
        <w:trPr>
          <w:trHeight w:val="128"/>
        </w:trPr>
        <w:tc>
          <w:tcPr>
            <w:tcW w:w="1420" w:type="dxa"/>
            <w:vAlign w:val="bottom"/>
            <w:vMerge w:val="continue"/>
            <w:shd w:val="clear" w:color="auto" w:fill="34657F"/>
          </w:tcPr>
          <w:p>
            <w:pPr>
              <w:spacing w:after="0"/>
              <w:rPr>
                <w:sz w:val="11"/>
                <w:szCs w:val="11"/>
                <w:color w:val="auto"/>
              </w:rPr>
            </w:pPr>
          </w:p>
        </w:tc>
        <w:tc>
          <w:tcPr>
            <w:tcW w:w="480" w:type="dxa"/>
            <w:vAlign w:val="bottom"/>
            <w:vMerge w:val="continue"/>
          </w:tcPr>
          <w:p>
            <w:pPr>
              <w:spacing w:after="0"/>
              <w:rPr>
                <w:sz w:val="11"/>
                <w:szCs w:val="11"/>
                <w:color w:val="auto"/>
              </w:rPr>
            </w:pPr>
          </w:p>
        </w:tc>
        <w:tc>
          <w:tcPr>
            <w:tcW w:w="1300" w:type="dxa"/>
            <w:vAlign w:val="bottom"/>
            <w:vMerge w:val="restart"/>
            <w:shd w:val="clear" w:color="auto" w:fill="34657F"/>
          </w:tcPr>
          <w:p>
            <w:pPr>
              <w:jc w:val="right"/>
              <w:ind w:right="495"/>
              <w:spacing w:after="0"/>
              <w:rPr>
                <w:sz w:val="20"/>
                <w:szCs w:val="20"/>
                <w:color w:val="auto"/>
              </w:rPr>
            </w:pPr>
            <w:r>
              <w:rPr>
                <w:rFonts w:ascii="Arial" w:cs="Arial" w:eastAsia="Arial" w:hAnsi="Arial"/>
                <w:sz w:val="17"/>
                <w:szCs w:val="17"/>
                <w:b w:val="1"/>
                <w:bCs w:val="1"/>
                <w:color w:val="FFFFFF"/>
              </w:rPr>
              <w:t>%</w:t>
            </w:r>
          </w:p>
        </w:tc>
        <w:tc>
          <w:tcPr>
            <w:tcW w:w="480" w:type="dxa"/>
            <w:vAlign w:val="bottom"/>
            <w:vMerge w:val="continue"/>
          </w:tcPr>
          <w:p>
            <w:pPr>
              <w:spacing w:after="0"/>
              <w:rPr>
                <w:sz w:val="11"/>
                <w:szCs w:val="11"/>
                <w:color w:val="auto"/>
              </w:rPr>
            </w:pPr>
          </w:p>
        </w:tc>
        <w:tc>
          <w:tcPr>
            <w:tcW w:w="1280" w:type="dxa"/>
            <w:vAlign w:val="bottom"/>
            <w:vMerge w:val="continue"/>
            <w:shd w:val="clear" w:color="auto" w:fill="34657F"/>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1420" w:type="dxa"/>
            <w:vAlign w:val="bottom"/>
            <w:shd w:val="clear" w:color="auto" w:fill="34657F"/>
          </w:tcPr>
          <w:p>
            <w:pPr>
              <w:spacing w:after="0"/>
              <w:rPr>
                <w:sz w:val="8"/>
                <w:szCs w:val="8"/>
                <w:color w:val="auto"/>
              </w:rPr>
            </w:pPr>
          </w:p>
        </w:tc>
        <w:tc>
          <w:tcPr>
            <w:tcW w:w="480" w:type="dxa"/>
            <w:vAlign w:val="bottom"/>
          </w:tcPr>
          <w:p>
            <w:pPr>
              <w:spacing w:after="0"/>
              <w:rPr>
                <w:sz w:val="8"/>
                <w:szCs w:val="8"/>
                <w:color w:val="auto"/>
              </w:rPr>
            </w:pPr>
          </w:p>
        </w:tc>
        <w:tc>
          <w:tcPr>
            <w:tcW w:w="1300" w:type="dxa"/>
            <w:vAlign w:val="bottom"/>
            <w:vMerge w:val="continue"/>
            <w:shd w:val="clear" w:color="auto" w:fill="34657F"/>
          </w:tcPr>
          <w:p>
            <w:pPr>
              <w:spacing w:after="0"/>
              <w:rPr>
                <w:sz w:val="8"/>
                <w:szCs w:val="8"/>
                <w:color w:val="auto"/>
              </w:rPr>
            </w:pPr>
          </w:p>
        </w:tc>
        <w:tc>
          <w:tcPr>
            <w:tcW w:w="480" w:type="dxa"/>
            <w:vAlign w:val="bottom"/>
          </w:tcPr>
          <w:p>
            <w:pPr>
              <w:spacing w:after="0"/>
              <w:rPr>
                <w:sz w:val="8"/>
                <w:szCs w:val="8"/>
                <w:color w:val="auto"/>
              </w:rPr>
            </w:pPr>
          </w:p>
        </w:tc>
        <w:tc>
          <w:tcPr>
            <w:tcW w:w="1280" w:type="dxa"/>
            <w:vAlign w:val="bottom"/>
            <w:shd w:val="clear" w:color="auto" w:fill="34657F"/>
          </w:tcPr>
          <w:p>
            <w:pPr>
              <w:spacing w:after="0"/>
              <w:rPr>
                <w:sz w:val="8"/>
                <w:szCs w:val="8"/>
                <w:color w:val="auto"/>
              </w:rPr>
            </w:pPr>
          </w:p>
        </w:tc>
        <w:tc>
          <w:tcPr>
            <w:tcW w:w="0" w:type="dxa"/>
            <w:vAlign w:val="bottom"/>
          </w:tcPr>
          <w:p>
            <w:pPr>
              <w:spacing w:after="0"/>
              <w:rPr>
                <w:sz w:val="1"/>
                <w:szCs w:val="1"/>
                <w:color w:val="auto"/>
              </w:rPr>
            </w:pPr>
          </w:p>
        </w:tc>
      </w:tr>
      <w:tr>
        <w:trPr>
          <w:trHeight w:val="219"/>
        </w:trPr>
        <w:tc>
          <w:tcPr>
            <w:tcW w:w="1420" w:type="dxa"/>
            <w:vAlign w:val="bottom"/>
            <w:shd w:val="clear" w:color="auto" w:fill="34657F"/>
          </w:tcPr>
          <w:p>
            <w:pPr>
              <w:spacing w:after="0"/>
              <w:rPr>
                <w:sz w:val="19"/>
                <w:szCs w:val="19"/>
                <w:color w:val="auto"/>
              </w:rPr>
            </w:pPr>
          </w:p>
        </w:tc>
        <w:tc>
          <w:tcPr>
            <w:tcW w:w="480" w:type="dxa"/>
            <w:vAlign w:val="bottom"/>
          </w:tcPr>
          <w:p>
            <w:pPr>
              <w:spacing w:after="0"/>
              <w:rPr>
                <w:sz w:val="19"/>
                <w:szCs w:val="19"/>
                <w:color w:val="auto"/>
              </w:rPr>
            </w:pPr>
          </w:p>
        </w:tc>
        <w:tc>
          <w:tcPr>
            <w:tcW w:w="1300" w:type="dxa"/>
            <w:vAlign w:val="bottom"/>
            <w:shd w:val="clear" w:color="auto" w:fill="34657F"/>
          </w:tcPr>
          <w:p>
            <w:pPr>
              <w:spacing w:after="0"/>
              <w:rPr>
                <w:sz w:val="19"/>
                <w:szCs w:val="19"/>
                <w:color w:val="auto"/>
              </w:rPr>
            </w:pPr>
          </w:p>
        </w:tc>
        <w:tc>
          <w:tcPr>
            <w:tcW w:w="480" w:type="dxa"/>
            <w:vAlign w:val="bottom"/>
          </w:tcPr>
          <w:p>
            <w:pPr>
              <w:spacing w:after="0"/>
              <w:rPr>
                <w:sz w:val="19"/>
                <w:szCs w:val="19"/>
                <w:color w:val="auto"/>
              </w:rPr>
            </w:pPr>
          </w:p>
        </w:tc>
        <w:tc>
          <w:tcPr>
            <w:tcW w:w="1280" w:type="dxa"/>
            <w:vAlign w:val="bottom"/>
            <w:shd w:val="clear" w:color="auto" w:fill="34657F"/>
          </w:tcPr>
          <w:p>
            <w:pPr>
              <w:spacing w:after="0"/>
              <w:rPr>
                <w:sz w:val="19"/>
                <w:szCs w:val="19"/>
                <w:color w:val="auto"/>
              </w:rPr>
            </w:pPr>
          </w:p>
        </w:tc>
        <w:tc>
          <w:tcPr>
            <w:tcW w:w="0" w:type="dxa"/>
            <w:vAlign w:val="bottom"/>
          </w:tcPr>
          <w:p>
            <w:pPr>
              <w:spacing w:after="0"/>
              <w:rPr>
                <w:sz w:val="1"/>
                <w:szCs w:val="1"/>
                <w:color w:val="auto"/>
              </w:rPr>
            </w:pPr>
          </w:p>
        </w:tc>
      </w:tr>
    </w:tbl>
    <w:p>
      <w:pPr>
        <w:spacing w:after="0" w:line="308" w:lineRule="exact"/>
        <w:rPr>
          <w:sz w:val="20"/>
          <w:szCs w:val="20"/>
          <w:color w:val="auto"/>
        </w:rPr>
      </w:pPr>
    </w:p>
    <w:tbl>
      <w:tblPr>
        <w:tblLayout w:type="fixed"/>
        <w:tblInd w:w="3240" w:type="dxa"/>
        <w:tblCellMar>
          <w:top w:w="0" w:type="dxa"/>
          <w:left w:w="0" w:type="dxa"/>
          <w:bottom w:w="0" w:type="dxa"/>
          <w:right w:w="0" w:type="dxa"/>
        </w:tblCellMar>
      </w:tblPr>
      <w:tr>
        <w:trPr>
          <w:trHeight w:val="402"/>
        </w:trPr>
        <w:tc>
          <w:tcPr>
            <w:tcW w:w="1420" w:type="dxa"/>
            <w:vAlign w:val="bottom"/>
            <w:vMerge w:val="restart"/>
            <w:shd w:val="clear" w:color="auto" w:fill="34657F"/>
          </w:tcPr>
          <w:p>
            <w:pPr>
              <w:ind w:left="160"/>
              <w:spacing w:after="0"/>
              <w:rPr>
                <w:sz w:val="20"/>
                <w:szCs w:val="20"/>
                <w:color w:val="auto"/>
              </w:rPr>
            </w:pPr>
            <w:r>
              <w:rPr>
                <w:rFonts w:ascii="Arial" w:cs="Arial" w:eastAsia="Arial" w:hAnsi="Arial"/>
                <w:sz w:val="17"/>
                <w:szCs w:val="17"/>
                <w:b w:val="1"/>
                <w:bCs w:val="1"/>
                <w:color w:val="FFFFFF"/>
              </w:rPr>
              <w:t>Target Bonus</w:t>
            </w:r>
          </w:p>
        </w:tc>
        <w:tc>
          <w:tcPr>
            <w:tcW w:w="480" w:type="dxa"/>
            <w:vAlign w:val="bottom"/>
            <w:vMerge w:val="restart"/>
          </w:tcPr>
          <w:p>
            <w:pPr>
              <w:ind w:left="180"/>
              <w:spacing w:after="0"/>
              <w:rPr>
                <w:sz w:val="20"/>
                <w:szCs w:val="20"/>
                <w:color w:val="auto"/>
              </w:rPr>
            </w:pPr>
            <w:r>
              <w:rPr>
                <w:rFonts w:ascii="Arial" w:cs="Arial" w:eastAsia="Arial" w:hAnsi="Arial"/>
                <w:sz w:val="19"/>
                <w:szCs w:val="19"/>
                <w:b w:val="1"/>
                <w:bCs w:val="1"/>
                <w:color w:val="auto"/>
              </w:rPr>
              <w:t>X</w:t>
            </w:r>
          </w:p>
        </w:tc>
        <w:tc>
          <w:tcPr>
            <w:tcW w:w="1300" w:type="dxa"/>
            <w:vAlign w:val="bottom"/>
            <w:vMerge w:val="restart"/>
            <w:shd w:val="clear" w:color="auto" w:fill="34657F"/>
          </w:tcPr>
          <w:p>
            <w:pPr>
              <w:ind w:left="480"/>
              <w:spacing w:after="0"/>
              <w:rPr>
                <w:sz w:val="20"/>
                <w:szCs w:val="20"/>
                <w:color w:val="auto"/>
              </w:rPr>
            </w:pPr>
            <w:r>
              <w:rPr>
                <w:rFonts w:ascii="Arial" w:cs="Arial" w:eastAsia="Arial" w:hAnsi="Arial"/>
                <w:sz w:val="17"/>
                <w:szCs w:val="17"/>
                <w:b w:val="1"/>
                <w:bCs w:val="1"/>
                <w:color w:val="FFFFFF"/>
              </w:rPr>
              <w:t>CPF</w:t>
            </w:r>
          </w:p>
        </w:tc>
        <w:tc>
          <w:tcPr>
            <w:tcW w:w="480" w:type="dxa"/>
            <w:vAlign w:val="bottom"/>
            <w:vMerge w:val="restart"/>
          </w:tcPr>
          <w:p>
            <w:pPr>
              <w:jc w:val="right"/>
              <w:ind w:right="106"/>
              <w:spacing w:after="0"/>
              <w:rPr>
                <w:sz w:val="20"/>
                <w:szCs w:val="20"/>
                <w:color w:val="auto"/>
              </w:rPr>
            </w:pPr>
            <w:r>
              <w:rPr>
                <w:rFonts w:ascii="Arial" w:cs="Arial" w:eastAsia="Arial" w:hAnsi="Arial"/>
                <w:sz w:val="19"/>
                <w:szCs w:val="19"/>
                <w:b w:val="1"/>
                <w:bCs w:val="1"/>
                <w:color w:val="auto"/>
              </w:rPr>
              <w:t>=</w:t>
            </w:r>
          </w:p>
        </w:tc>
        <w:tc>
          <w:tcPr>
            <w:tcW w:w="1280" w:type="dxa"/>
            <w:vAlign w:val="bottom"/>
            <w:shd w:val="clear" w:color="auto" w:fill="34657F"/>
          </w:tcPr>
          <w:p>
            <w:pPr>
              <w:jc w:val="center"/>
              <w:spacing w:after="0"/>
              <w:rPr>
                <w:sz w:val="20"/>
                <w:szCs w:val="20"/>
                <w:color w:val="auto"/>
              </w:rPr>
            </w:pPr>
            <w:r>
              <w:rPr>
                <w:rFonts w:ascii="Arial" w:cs="Arial" w:eastAsia="Arial" w:hAnsi="Arial"/>
                <w:sz w:val="17"/>
                <w:szCs w:val="17"/>
                <w:b w:val="1"/>
                <w:bCs w:val="1"/>
                <w:color w:val="FFFFFF"/>
              </w:rPr>
              <w:t>Final Bonus</w:t>
            </w:r>
          </w:p>
        </w:tc>
        <w:tc>
          <w:tcPr>
            <w:tcW w:w="0" w:type="dxa"/>
            <w:vAlign w:val="bottom"/>
          </w:tcPr>
          <w:p>
            <w:pPr>
              <w:spacing w:after="0"/>
              <w:rPr>
                <w:sz w:val="1"/>
                <w:szCs w:val="1"/>
                <w:color w:val="auto"/>
              </w:rPr>
            </w:pPr>
          </w:p>
        </w:tc>
      </w:tr>
      <w:tr>
        <w:trPr>
          <w:trHeight w:val="128"/>
        </w:trPr>
        <w:tc>
          <w:tcPr>
            <w:tcW w:w="1420" w:type="dxa"/>
            <w:vAlign w:val="bottom"/>
            <w:vMerge w:val="continue"/>
            <w:shd w:val="clear" w:color="auto" w:fill="34657F"/>
          </w:tcPr>
          <w:p>
            <w:pPr>
              <w:spacing w:after="0"/>
              <w:rPr>
                <w:sz w:val="11"/>
                <w:szCs w:val="11"/>
                <w:color w:val="auto"/>
              </w:rPr>
            </w:pPr>
          </w:p>
        </w:tc>
        <w:tc>
          <w:tcPr>
            <w:tcW w:w="480" w:type="dxa"/>
            <w:vAlign w:val="bottom"/>
            <w:vMerge w:val="continue"/>
          </w:tcPr>
          <w:p>
            <w:pPr>
              <w:spacing w:after="0"/>
              <w:rPr>
                <w:sz w:val="11"/>
                <w:szCs w:val="11"/>
                <w:color w:val="auto"/>
              </w:rPr>
            </w:pPr>
          </w:p>
        </w:tc>
        <w:tc>
          <w:tcPr>
            <w:tcW w:w="1300" w:type="dxa"/>
            <w:vAlign w:val="bottom"/>
            <w:vMerge w:val="continue"/>
            <w:shd w:val="clear" w:color="auto" w:fill="34657F"/>
          </w:tcPr>
          <w:p>
            <w:pPr>
              <w:spacing w:after="0"/>
              <w:rPr>
                <w:sz w:val="11"/>
                <w:szCs w:val="11"/>
                <w:color w:val="auto"/>
              </w:rPr>
            </w:pPr>
          </w:p>
        </w:tc>
        <w:tc>
          <w:tcPr>
            <w:tcW w:w="480" w:type="dxa"/>
            <w:vAlign w:val="bottom"/>
            <w:vMerge w:val="continue"/>
          </w:tcPr>
          <w:p>
            <w:pPr>
              <w:spacing w:after="0"/>
              <w:rPr>
                <w:sz w:val="11"/>
                <w:szCs w:val="11"/>
                <w:color w:val="auto"/>
              </w:rPr>
            </w:pPr>
          </w:p>
        </w:tc>
        <w:tc>
          <w:tcPr>
            <w:tcW w:w="1280" w:type="dxa"/>
            <w:vAlign w:val="bottom"/>
            <w:vMerge w:val="restart"/>
            <w:shd w:val="clear" w:color="auto" w:fill="34657F"/>
          </w:tcPr>
          <w:p>
            <w:pPr>
              <w:jc w:val="center"/>
              <w:spacing w:after="0"/>
              <w:rPr>
                <w:sz w:val="20"/>
                <w:szCs w:val="20"/>
                <w:color w:val="auto"/>
              </w:rPr>
            </w:pPr>
            <w:r>
              <w:rPr>
                <w:rFonts w:ascii="Arial" w:cs="Arial" w:eastAsia="Arial" w:hAnsi="Arial"/>
                <w:sz w:val="17"/>
                <w:szCs w:val="17"/>
                <w:b w:val="1"/>
                <w:bCs w:val="1"/>
                <w:color w:val="FFFFFF"/>
                <w:w w:val="99"/>
              </w:rPr>
              <w:t>Award</w:t>
            </w:r>
          </w:p>
        </w:tc>
        <w:tc>
          <w:tcPr>
            <w:tcW w:w="0" w:type="dxa"/>
            <w:vAlign w:val="bottom"/>
          </w:tcPr>
          <w:p>
            <w:pPr>
              <w:spacing w:after="0"/>
              <w:rPr>
                <w:sz w:val="1"/>
                <w:szCs w:val="1"/>
                <w:color w:val="auto"/>
              </w:rPr>
            </w:pPr>
          </w:p>
        </w:tc>
      </w:tr>
      <w:tr>
        <w:trPr>
          <w:trHeight w:val="97"/>
        </w:trPr>
        <w:tc>
          <w:tcPr>
            <w:tcW w:w="1420" w:type="dxa"/>
            <w:vAlign w:val="bottom"/>
            <w:shd w:val="clear" w:color="auto" w:fill="34657F"/>
          </w:tcPr>
          <w:p>
            <w:pPr>
              <w:spacing w:after="0"/>
              <w:rPr>
                <w:sz w:val="8"/>
                <w:szCs w:val="8"/>
                <w:color w:val="auto"/>
              </w:rPr>
            </w:pPr>
          </w:p>
        </w:tc>
        <w:tc>
          <w:tcPr>
            <w:tcW w:w="480" w:type="dxa"/>
            <w:vAlign w:val="bottom"/>
          </w:tcPr>
          <w:p>
            <w:pPr>
              <w:spacing w:after="0"/>
              <w:rPr>
                <w:sz w:val="8"/>
                <w:szCs w:val="8"/>
                <w:color w:val="auto"/>
              </w:rPr>
            </w:pPr>
          </w:p>
        </w:tc>
        <w:tc>
          <w:tcPr>
            <w:tcW w:w="1300" w:type="dxa"/>
            <w:vAlign w:val="bottom"/>
            <w:shd w:val="clear" w:color="auto" w:fill="34657F"/>
          </w:tcPr>
          <w:p>
            <w:pPr>
              <w:spacing w:after="0"/>
              <w:rPr>
                <w:sz w:val="8"/>
                <w:szCs w:val="8"/>
                <w:color w:val="auto"/>
              </w:rPr>
            </w:pPr>
          </w:p>
        </w:tc>
        <w:tc>
          <w:tcPr>
            <w:tcW w:w="480" w:type="dxa"/>
            <w:vAlign w:val="bottom"/>
          </w:tcPr>
          <w:p>
            <w:pPr>
              <w:spacing w:after="0"/>
              <w:rPr>
                <w:sz w:val="8"/>
                <w:szCs w:val="8"/>
                <w:color w:val="auto"/>
              </w:rPr>
            </w:pPr>
          </w:p>
        </w:tc>
        <w:tc>
          <w:tcPr>
            <w:tcW w:w="1280" w:type="dxa"/>
            <w:vAlign w:val="bottom"/>
            <w:vMerge w:val="continue"/>
            <w:shd w:val="clear" w:color="auto" w:fill="34657F"/>
          </w:tcPr>
          <w:p>
            <w:pPr>
              <w:spacing w:after="0"/>
              <w:rPr>
                <w:sz w:val="8"/>
                <w:szCs w:val="8"/>
                <w:color w:val="auto"/>
              </w:rPr>
            </w:pPr>
          </w:p>
        </w:tc>
        <w:tc>
          <w:tcPr>
            <w:tcW w:w="0" w:type="dxa"/>
            <w:vAlign w:val="bottom"/>
          </w:tcPr>
          <w:p>
            <w:pPr>
              <w:spacing w:after="0"/>
              <w:rPr>
                <w:sz w:val="1"/>
                <w:szCs w:val="1"/>
                <w:color w:val="auto"/>
              </w:rPr>
            </w:pPr>
          </w:p>
        </w:tc>
      </w:tr>
      <w:tr>
        <w:trPr>
          <w:trHeight w:val="219"/>
        </w:trPr>
        <w:tc>
          <w:tcPr>
            <w:tcW w:w="1420" w:type="dxa"/>
            <w:vAlign w:val="bottom"/>
            <w:shd w:val="clear" w:color="auto" w:fill="34657F"/>
          </w:tcPr>
          <w:p>
            <w:pPr>
              <w:spacing w:after="0"/>
              <w:rPr>
                <w:sz w:val="19"/>
                <w:szCs w:val="19"/>
                <w:color w:val="auto"/>
              </w:rPr>
            </w:pPr>
          </w:p>
        </w:tc>
        <w:tc>
          <w:tcPr>
            <w:tcW w:w="480" w:type="dxa"/>
            <w:vAlign w:val="bottom"/>
          </w:tcPr>
          <w:p>
            <w:pPr>
              <w:spacing w:after="0"/>
              <w:rPr>
                <w:sz w:val="19"/>
                <w:szCs w:val="19"/>
                <w:color w:val="auto"/>
              </w:rPr>
            </w:pPr>
          </w:p>
        </w:tc>
        <w:tc>
          <w:tcPr>
            <w:tcW w:w="1300" w:type="dxa"/>
            <w:vAlign w:val="bottom"/>
            <w:shd w:val="clear" w:color="auto" w:fill="34657F"/>
          </w:tcPr>
          <w:p>
            <w:pPr>
              <w:spacing w:after="0"/>
              <w:rPr>
                <w:sz w:val="19"/>
                <w:szCs w:val="19"/>
                <w:color w:val="auto"/>
              </w:rPr>
            </w:pPr>
          </w:p>
        </w:tc>
        <w:tc>
          <w:tcPr>
            <w:tcW w:w="480" w:type="dxa"/>
            <w:vAlign w:val="bottom"/>
          </w:tcPr>
          <w:p>
            <w:pPr>
              <w:spacing w:after="0"/>
              <w:rPr>
                <w:sz w:val="19"/>
                <w:szCs w:val="19"/>
                <w:color w:val="auto"/>
              </w:rPr>
            </w:pPr>
          </w:p>
        </w:tc>
        <w:tc>
          <w:tcPr>
            <w:tcW w:w="1280" w:type="dxa"/>
            <w:vAlign w:val="bottom"/>
            <w:shd w:val="clear" w:color="auto" w:fill="34657F"/>
          </w:tcPr>
          <w:p>
            <w:pPr>
              <w:spacing w:after="0"/>
              <w:rPr>
                <w:sz w:val="19"/>
                <w:szCs w:val="19"/>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ind w:left="1980" w:right="1940" w:hanging="151"/>
        <w:spacing w:after="0" w:line="231" w:lineRule="auto"/>
        <w:tabs>
          <w:tab w:leader="none" w:pos="2003" w:val="left"/>
        </w:tabs>
        <w:numPr>
          <w:ilvl w:val="0"/>
          <w:numId w:val="56"/>
        </w:numPr>
        <w:rPr>
          <w:rFonts w:ascii="Arial" w:cs="Arial" w:eastAsia="Arial" w:hAnsi="Arial"/>
          <w:sz w:val="21"/>
          <w:szCs w:val="21"/>
          <w:color w:val="auto"/>
          <w:vertAlign w:val="superscript"/>
        </w:rPr>
      </w:pPr>
      <w:r>
        <w:rPr>
          <w:rFonts w:ascii="Arial" w:cs="Arial" w:eastAsia="Arial" w:hAnsi="Arial"/>
          <w:sz w:val="14"/>
          <w:szCs w:val="14"/>
          <w:color w:val="auto"/>
        </w:rPr>
        <w:t>The final bonus award for Mr. Larson was determined utilizing previously established 2018 annual incentive performance goals under the legacy Orbital ATK Executive Officer Incentive Plan (EOIP), discussed in greater detail on page 46.</w:t>
      </w:r>
    </w:p>
    <w:p>
      <w:pPr>
        <w:spacing w:after="0" w:line="96" w:lineRule="exact"/>
        <w:rPr>
          <w:sz w:val="20"/>
          <w:szCs w:val="20"/>
          <w:color w:val="auto"/>
        </w:rPr>
      </w:pPr>
    </w:p>
    <w:p>
      <w:pPr>
        <w:ind w:right="80"/>
        <w:spacing w:after="0" w:line="263" w:lineRule="auto"/>
        <w:rPr>
          <w:sz w:val="20"/>
          <w:szCs w:val="20"/>
          <w:color w:val="auto"/>
        </w:rPr>
      </w:pPr>
      <w:r>
        <w:rPr>
          <w:rFonts w:ascii="Arial" w:cs="Arial" w:eastAsia="Arial" w:hAnsi="Arial"/>
          <w:sz w:val="17"/>
          <w:szCs w:val="17"/>
          <w:color w:val="auto"/>
        </w:rPr>
        <w:t>Annual performance evaluations are conducted by the CEO for each NEO, other than the CEO, and reviewed with the Compensation Committee. The Compensation Committee considers this performance information as well as the comparison to market data.</w:t>
      </w:r>
    </w:p>
    <w:p>
      <w:pPr>
        <w:spacing w:after="0" w:line="59"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The Compensation Committee approves bonus amounts for all NEOs except the CEO, whose annual bonus is recommended by the Compensation Committee to the independent members of the Board for approval. The Compensation Committee has discretion to make adjustments to the annual bonus payouts for NEOs, except the CEO, if it determines such adjustment is warranted. For example, in instances where Company performance has been impacted by unforeseen or unusual events, the Compensation Committee has exercised its authority to increase the final awards as necessary to preserve the intended incentives and benefits. The Compensation Committee has also adjusted payouts downward in the past, despite performance targets having been met, when it determined that particular circumstances had a negative impact on the Company but were not reflected in the performance calculation.</w:t>
      </w:r>
    </w:p>
    <w:p>
      <w:pPr>
        <w:spacing w:after="0" w:line="301"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44 </w:t>
      </w:r>
      <w:r>
        <w:rPr>
          <w:rFonts w:ascii="Arial" w:cs="Arial" w:eastAsia="Arial" w:hAnsi="Arial"/>
          <w:sz w:val="13"/>
          <w:szCs w:val="13"/>
          <w:color w:val="auto"/>
        </w:rPr>
        <w:t>I</w:t>
      </w:r>
      <w:r>
        <w:rPr>
          <w:rFonts w:ascii="Arial" w:cs="Arial" w:eastAsia="Arial" w:hAnsi="Arial"/>
          <w:sz w:val="17"/>
          <w:szCs w:val="17"/>
          <w:color w:val="auto"/>
        </w:rPr>
        <w:t xml:space="preserve"> </w:t>
      </w:r>
      <w:r>
        <w:rPr>
          <w:rFonts w:ascii="Arial" w:cs="Arial" w:eastAsia="Arial" w:hAnsi="Arial"/>
          <w:sz w:val="13"/>
          <w:szCs w:val="13"/>
          <w:color w:val="34657F"/>
        </w:rPr>
        <w:t>NOTICE OF 2019 ANNUAL MEETING OF SHAREHOLDERS AND PROXY STATEMENT</w:t>
      </w:r>
    </w:p>
    <w:p>
      <w:pPr>
        <w:sectPr>
          <w:pgSz w:w="11900" w:h="16838" w:orient="portrait"/>
          <w:cols w:equalWidth="0" w:num="1">
            <w:col w:w="11400"/>
          </w:cols>
          <w:pgMar w:left="240" w:top="825" w:right="259" w:bottom="1440" w:gutter="0" w:footer="0" w:header="0"/>
        </w:sectPr>
      </w:pPr>
    </w:p>
    <w:bookmarkStart w:id="50" w:name="page51"/>
    <w:bookmarkEnd w:id="50"/>
    <w:p>
      <w:pPr>
        <w:ind w:left="20"/>
        <w:spacing w:after="0"/>
        <w:rPr>
          <w:sz w:val="20"/>
          <w:szCs w:val="20"/>
          <w:color w:val="auto"/>
        </w:rPr>
      </w:pPr>
      <w:r>
        <w:rPr>
          <w:rFonts w:ascii="Arial" w:cs="Arial" w:eastAsia="Arial" w:hAnsi="Arial"/>
          <w:sz w:val="21"/>
          <w:szCs w:val="21"/>
          <w:b w:val="1"/>
          <w:bCs w:val="1"/>
          <w:color w:val="FFFFFF"/>
        </w:rPr>
        <w:drawing>
          <wp:anchor simplePos="0" relativeHeight="251657728" behindDoc="1" locked="0" layoutInCell="0" allowOverlap="1">
            <wp:simplePos x="0" y="0"/>
            <wp:positionH relativeFrom="page">
              <wp:posOffset>154305</wp:posOffset>
            </wp:positionH>
            <wp:positionV relativeFrom="page">
              <wp:posOffset>463550</wp:posOffset>
            </wp:positionV>
            <wp:extent cx="7253605" cy="56197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53605" cy="561975"/>
                    </a:xfrm>
                    <a:prstGeom prst="rect">
                      <a:avLst/>
                    </a:prstGeom>
                    <a:noFill/>
                  </pic:spPr>
                </pic:pic>
              </a:graphicData>
            </a:graphic>
          </wp:anchor>
        </w:drawing>
        <w:t>COMPENSATION DISCUSSION AND ANALYSIS | K</w:t>
      </w:r>
      <w:r>
        <w:rPr>
          <w:rFonts w:ascii="Arial" w:cs="Arial" w:eastAsia="Arial" w:hAnsi="Arial"/>
          <w:sz w:val="17"/>
          <w:szCs w:val="17"/>
          <w:b w:val="1"/>
          <w:bCs w:val="1"/>
          <w:color w:val="FFFFFF"/>
        </w:rPr>
        <w:t>EY</w:t>
      </w:r>
      <w:r>
        <w:rPr>
          <w:rFonts w:ascii="Arial" w:cs="Arial" w:eastAsia="Arial" w:hAnsi="Arial"/>
          <w:sz w:val="21"/>
          <w:szCs w:val="21"/>
          <w:b w:val="1"/>
          <w:bCs w:val="1"/>
          <w:color w:val="FFFFFF"/>
        </w:rPr>
        <w:t xml:space="preserve"> C</w:t>
      </w:r>
      <w:r>
        <w:rPr>
          <w:rFonts w:ascii="Arial" w:cs="Arial" w:eastAsia="Arial" w:hAnsi="Arial"/>
          <w:sz w:val="17"/>
          <w:szCs w:val="17"/>
          <w:b w:val="1"/>
          <w:bCs w:val="1"/>
          <w:color w:val="FFFFFF"/>
        </w:rPr>
        <w:t>OMPONENTS OF OUR</w:t>
      </w:r>
      <w:r>
        <w:rPr>
          <w:rFonts w:ascii="Arial" w:cs="Arial" w:eastAsia="Arial" w:hAnsi="Arial"/>
          <w:sz w:val="21"/>
          <w:szCs w:val="21"/>
          <w:b w:val="1"/>
          <w:bCs w:val="1"/>
          <w:color w:val="FFFFFF"/>
        </w:rPr>
        <w:t xml:space="preserve"> P</w:t>
      </w:r>
      <w:r>
        <w:rPr>
          <w:rFonts w:ascii="Arial" w:cs="Arial" w:eastAsia="Arial" w:hAnsi="Arial"/>
          <w:sz w:val="17"/>
          <w:szCs w:val="17"/>
          <w:b w:val="1"/>
          <w:bCs w:val="1"/>
          <w:color w:val="FFFFFF"/>
        </w:rPr>
        <w:t>ROGRAMS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2018 Annual Incentive Goals and Results</w:t>
      </w:r>
    </w:p>
    <w:p>
      <w:pPr>
        <w:spacing w:after="0" w:line="180" w:lineRule="exact"/>
        <w:rPr>
          <w:sz w:val="20"/>
          <w:szCs w:val="20"/>
          <w:color w:val="auto"/>
        </w:rPr>
      </w:pPr>
    </w:p>
    <w:p>
      <w:pPr>
        <w:ind w:right="60"/>
        <w:spacing w:after="0" w:line="254" w:lineRule="auto"/>
        <w:rPr>
          <w:sz w:val="20"/>
          <w:szCs w:val="20"/>
          <w:color w:val="auto"/>
        </w:rPr>
      </w:pPr>
      <w:r>
        <w:rPr>
          <w:rFonts w:ascii="Arial" w:cs="Arial" w:eastAsia="Arial" w:hAnsi="Arial"/>
          <w:sz w:val="17"/>
          <w:szCs w:val="17"/>
          <w:color w:val="auto"/>
        </w:rPr>
        <w:t>For the AIP, we use a mix of financial and non-financial metrics to measure our performance. Our AIP metrics reflect our commitment to investing for and achieving long-term profitable growth; maintaining alignment with shareholders' interests; and incentivizing top performance against our industry peers. For 2018, the Compensation Committee again selected Pension-adjusted OM Rate* and Pension-adjusted Net Income* Growth and refined the cash performance metric to Pension-adjusted Cash Flow from Operations* from the previous metric of Pension-adjusted Cash Flow from Operations Conversion*. The financial metrics are each weighted at 1/3 and are defined as follows:</w:t>
      </w:r>
    </w:p>
    <w:p>
      <w:pPr>
        <w:spacing w:after="0" w:line="50" w:lineRule="exact"/>
        <w:rPr>
          <w:sz w:val="20"/>
          <w:szCs w:val="20"/>
          <w:color w:val="auto"/>
        </w:rPr>
      </w:pPr>
    </w:p>
    <w:p>
      <w:pPr>
        <w:ind w:left="320" w:right="20" w:hanging="317"/>
        <w:spacing w:after="0" w:line="281" w:lineRule="auto"/>
        <w:tabs>
          <w:tab w:leader="none" w:pos="320" w:val="left"/>
        </w:tabs>
        <w:numPr>
          <w:ilvl w:val="0"/>
          <w:numId w:val="57"/>
        </w:numPr>
        <w:rPr>
          <w:rFonts w:ascii="Arial" w:cs="Arial" w:eastAsia="Arial" w:hAnsi="Arial"/>
          <w:sz w:val="21"/>
          <w:szCs w:val="21"/>
          <w:color w:val="34657F"/>
        </w:rPr>
      </w:pPr>
      <w:r>
        <w:rPr>
          <w:rFonts w:ascii="Arial" w:cs="Arial" w:eastAsia="Arial" w:hAnsi="Arial"/>
          <w:sz w:val="21"/>
          <w:szCs w:val="21"/>
          <w:b w:val="1"/>
          <w:bCs w:val="1"/>
          <w:color w:val="auto"/>
        </w:rPr>
        <w:t>Pension-adjusted OM Rate*</w:t>
      </w:r>
      <w:r>
        <w:rPr>
          <w:rFonts w:ascii="Arial" w:cs="Arial" w:eastAsia="Arial" w:hAnsi="Arial"/>
          <w:sz w:val="17"/>
          <w:szCs w:val="17"/>
          <w:b w:val="1"/>
          <w:bCs w:val="1"/>
          <w:color w:val="auto"/>
        </w:rPr>
        <w:t>:</w:t>
      </w:r>
      <w:r>
        <w:rPr>
          <w:rFonts w:ascii="Arial" w:cs="Arial" w:eastAsia="Arial" w:hAnsi="Arial"/>
          <w:sz w:val="21"/>
          <w:szCs w:val="21"/>
          <w:b w:val="1"/>
          <w:bCs w:val="1"/>
          <w:color w:val="auto"/>
        </w:rPr>
        <w:t xml:space="preserve"> </w:t>
      </w:r>
      <w:r>
        <w:rPr>
          <w:rFonts w:ascii="Arial" w:cs="Arial" w:eastAsia="Arial" w:hAnsi="Arial"/>
          <w:sz w:val="17"/>
          <w:szCs w:val="17"/>
          <w:color w:val="auto"/>
        </w:rPr>
        <w:t>establishes high program performance expectations for the Company and is calculated as OM rate (operating</w:t>
      </w:r>
      <w:r>
        <w:rPr>
          <w:rFonts w:ascii="Arial" w:cs="Arial" w:eastAsia="Arial" w:hAnsi="Arial"/>
          <w:sz w:val="21"/>
          <w:szCs w:val="21"/>
          <w:b w:val="1"/>
          <w:bCs w:val="1"/>
          <w:color w:val="auto"/>
        </w:rPr>
        <w:t xml:space="preserve"> </w:t>
      </w:r>
      <w:r>
        <w:rPr>
          <w:rFonts w:ascii="Arial" w:cs="Arial" w:eastAsia="Arial" w:hAnsi="Arial"/>
          <w:sz w:val="17"/>
          <w:szCs w:val="17"/>
          <w:color w:val="auto"/>
        </w:rPr>
        <w:t>margin divided by sales) before net FAS (service)/CAS pension adjustment (the difference between pension expense charged to contracts and included as cost in segment operating income* in accordance with U.S. Government Cost Accounting Standards (CAS) and the service component of pension expense determined in accordance with GAAP (FAS)).</w:t>
      </w:r>
    </w:p>
    <w:p>
      <w:pPr>
        <w:spacing w:after="0" w:line="40" w:lineRule="exact"/>
        <w:rPr>
          <w:rFonts w:ascii="Arial" w:cs="Arial" w:eastAsia="Arial" w:hAnsi="Arial"/>
          <w:sz w:val="21"/>
          <w:szCs w:val="21"/>
          <w:color w:val="34657F"/>
        </w:rPr>
      </w:pPr>
    </w:p>
    <w:p>
      <w:pPr>
        <w:ind w:left="320" w:right="120" w:hanging="317"/>
        <w:spacing w:after="0" w:line="265" w:lineRule="auto"/>
        <w:tabs>
          <w:tab w:leader="none" w:pos="320" w:val="left"/>
        </w:tabs>
        <w:numPr>
          <w:ilvl w:val="0"/>
          <w:numId w:val="57"/>
        </w:numPr>
        <w:rPr>
          <w:rFonts w:ascii="Arial" w:cs="Arial" w:eastAsia="Arial" w:hAnsi="Arial"/>
          <w:sz w:val="21"/>
          <w:szCs w:val="21"/>
          <w:color w:val="34657F"/>
        </w:rPr>
      </w:pPr>
      <w:r>
        <w:rPr>
          <w:rFonts w:ascii="Arial" w:cs="Arial" w:eastAsia="Arial" w:hAnsi="Arial"/>
          <w:sz w:val="21"/>
          <w:szCs w:val="21"/>
          <w:b w:val="1"/>
          <w:bCs w:val="1"/>
          <w:color w:val="auto"/>
        </w:rPr>
        <w:t>Pension-adjusted Cash Flow from Operations*</w:t>
      </w:r>
      <w:r>
        <w:rPr>
          <w:rFonts w:ascii="Arial" w:cs="Arial" w:eastAsia="Arial" w:hAnsi="Arial"/>
          <w:sz w:val="17"/>
          <w:szCs w:val="17"/>
          <w:b w:val="1"/>
          <w:bCs w:val="1"/>
          <w:color w:val="auto"/>
        </w:rPr>
        <w:t>:</w:t>
      </w:r>
      <w:r>
        <w:rPr>
          <w:rFonts w:ascii="Arial" w:cs="Arial" w:eastAsia="Arial" w:hAnsi="Arial"/>
          <w:sz w:val="21"/>
          <w:szCs w:val="21"/>
          <w:b w:val="1"/>
          <w:bCs w:val="1"/>
          <w:color w:val="auto"/>
        </w:rPr>
        <w:t xml:space="preserve"> </w:t>
      </w:r>
      <w:r>
        <w:rPr>
          <w:rFonts w:ascii="Arial" w:cs="Arial" w:eastAsia="Arial" w:hAnsi="Arial"/>
          <w:sz w:val="17"/>
          <w:szCs w:val="17"/>
          <w:color w:val="auto"/>
        </w:rPr>
        <w:t>recognizes the importance of converting net income into cash. The metric is</w:t>
      </w:r>
      <w:r>
        <w:rPr>
          <w:rFonts w:ascii="Arial" w:cs="Arial" w:eastAsia="Arial" w:hAnsi="Arial"/>
          <w:sz w:val="21"/>
          <w:szCs w:val="21"/>
          <w:b w:val="1"/>
          <w:bCs w:val="1"/>
          <w:color w:val="auto"/>
        </w:rPr>
        <w:t xml:space="preserve"> </w:t>
      </w:r>
      <w:r>
        <w:rPr>
          <w:rFonts w:ascii="Arial" w:cs="Arial" w:eastAsia="Arial" w:hAnsi="Arial"/>
          <w:sz w:val="17"/>
          <w:szCs w:val="17"/>
          <w:color w:val="auto"/>
        </w:rPr>
        <w:t xml:space="preserve">calculated as cash provided by operating activities before the after-tax impact of discretionary pension contributions*. </w:t>
      </w:r>
      <w:r>
        <w:rPr>
          <w:rFonts w:ascii="Arial" w:cs="Arial" w:eastAsia="Arial" w:hAnsi="Arial"/>
          <w:sz w:val="20"/>
          <w:szCs w:val="20"/>
          <w:color w:val="auto"/>
        </w:rPr>
        <w:t>Pension-adjusted Cash</w:t>
      </w:r>
      <w:r>
        <w:rPr>
          <w:rFonts w:ascii="Arial" w:cs="Arial" w:eastAsia="Arial" w:hAnsi="Arial"/>
          <w:sz w:val="17"/>
          <w:szCs w:val="17"/>
          <w:color w:val="auto"/>
        </w:rPr>
        <w:t xml:space="preserve"> </w:t>
      </w:r>
      <w:r>
        <w:rPr>
          <w:rFonts w:ascii="Arial" w:cs="Arial" w:eastAsia="Arial" w:hAnsi="Arial"/>
          <w:sz w:val="20"/>
          <w:szCs w:val="20"/>
          <w:color w:val="auto"/>
        </w:rPr>
        <w:t xml:space="preserve">Flow from Operations* </w:t>
      </w:r>
      <w:r>
        <w:rPr>
          <w:rFonts w:ascii="Arial" w:cs="Arial" w:eastAsia="Arial" w:hAnsi="Arial"/>
          <w:sz w:val="17"/>
          <w:szCs w:val="17"/>
          <w:color w:val="auto"/>
        </w:rPr>
        <w:t>enables management to make capital investment decisions that support long-term profitable growth without impacting</w:t>
      </w:r>
      <w:r>
        <w:rPr>
          <w:rFonts w:ascii="Arial" w:cs="Arial" w:eastAsia="Arial" w:hAnsi="Arial"/>
          <w:sz w:val="20"/>
          <w:szCs w:val="20"/>
          <w:color w:val="auto"/>
        </w:rPr>
        <w:t xml:space="preserve"> </w:t>
      </w:r>
      <w:r>
        <w:rPr>
          <w:rFonts w:ascii="Arial" w:cs="Arial" w:eastAsia="Arial" w:hAnsi="Arial"/>
          <w:sz w:val="17"/>
          <w:szCs w:val="17"/>
          <w:color w:val="auto"/>
        </w:rPr>
        <w:t>performance-based incentive compensation.</w:t>
      </w:r>
    </w:p>
    <w:p>
      <w:pPr>
        <w:spacing w:after="0" w:line="48" w:lineRule="exact"/>
        <w:rPr>
          <w:rFonts w:ascii="Arial" w:cs="Arial" w:eastAsia="Arial" w:hAnsi="Arial"/>
          <w:sz w:val="21"/>
          <w:szCs w:val="21"/>
          <w:color w:val="34657F"/>
        </w:rPr>
      </w:pPr>
    </w:p>
    <w:p>
      <w:pPr>
        <w:ind w:left="320" w:hanging="317"/>
        <w:spacing w:after="0" w:line="285" w:lineRule="auto"/>
        <w:tabs>
          <w:tab w:leader="none" w:pos="320" w:val="left"/>
        </w:tabs>
        <w:numPr>
          <w:ilvl w:val="0"/>
          <w:numId w:val="57"/>
        </w:numPr>
        <w:rPr>
          <w:rFonts w:ascii="Arial" w:cs="Arial" w:eastAsia="Arial" w:hAnsi="Arial"/>
          <w:sz w:val="21"/>
          <w:szCs w:val="21"/>
          <w:color w:val="34657F"/>
        </w:rPr>
      </w:pPr>
      <w:r>
        <w:rPr>
          <w:rFonts w:ascii="Arial" w:cs="Arial" w:eastAsia="Arial" w:hAnsi="Arial"/>
          <w:sz w:val="21"/>
          <w:szCs w:val="21"/>
          <w:b w:val="1"/>
          <w:bCs w:val="1"/>
          <w:color w:val="auto"/>
        </w:rPr>
        <w:t>Pension-adjusted Net Income* Growth</w:t>
      </w:r>
      <w:r>
        <w:rPr>
          <w:rFonts w:ascii="Arial" w:cs="Arial" w:eastAsia="Arial" w:hAnsi="Arial"/>
          <w:sz w:val="17"/>
          <w:szCs w:val="17"/>
          <w:b w:val="1"/>
          <w:bCs w:val="1"/>
          <w:color w:val="auto"/>
        </w:rPr>
        <w:t>:</w:t>
      </w:r>
      <w:r>
        <w:rPr>
          <w:rFonts w:ascii="Arial" w:cs="Arial" w:eastAsia="Arial" w:hAnsi="Arial"/>
          <w:sz w:val="21"/>
          <w:szCs w:val="21"/>
          <w:b w:val="1"/>
          <w:bCs w:val="1"/>
          <w:color w:val="auto"/>
        </w:rPr>
        <w:t xml:space="preserve"> </w:t>
      </w:r>
      <w:r>
        <w:rPr>
          <w:rFonts w:ascii="Arial" w:cs="Arial" w:eastAsia="Arial" w:hAnsi="Arial"/>
          <w:sz w:val="17"/>
          <w:szCs w:val="17"/>
          <w:color w:val="auto"/>
        </w:rPr>
        <w:t>incentivizes management to achieve relative long-term profitable growth greater than a</w:t>
      </w:r>
      <w:r>
        <w:rPr>
          <w:rFonts w:ascii="Arial" w:cs="Arial" w:eastAsia="Arial" w:hAnsi="Arial"/>
          <w:sz w:val="21"/>
          <w:szCs w:val="21"/>
          <w:b w:val="1"/>
          <w:bCs w:val="1"/>
          <w:color w:val="auto"/>
        </w:rPr>
        <w:t xml:space="preserve"> </w:t>
      </w:r>
      <w:r>
        <w:rPr>
          <w:rFonts w:ascii="Arial" w:cs="Arial" w:eastAsia="Arial" w:hAnsi="Arial"/>
          <w:sz w:val="17"/>
          <w:szCs w:val="17"/>
          <w:color w:val="auto"/>
        </w:rPr>
        <w:t xml:space="preserve">projected industry growth rate. </w:t>
      </w:r>
      <w:r>
        <w:rPr>
          <w:rFonts w:ascii="Arial" w:cs="Arial" w:eastAsia="Arial" w:hAnsi="Arial"/>
          <w:sz w:val="20"/>
          <w:szCs w:val="20"/>
          <w:color w:val="auto"/>
        </w:rPr>
        <w:t>Pension-adjusted Net Income* Growth</w:t>
      </w:r>
      <w:r>
        <w:rPr>
          <w:rFonts w:ascii="Arial" w:cs="Arial" w:eastAsia="Arial" w:hAnsi="Arial"/>
          <w:sz w:val="17"/>
          <w:szCs w:val="17"/>
          <w:color w:val="auto"/>
        </w:rPr>
        <w:t xml:space="preserve"> is calculated as net income before the after-tax impact of the total net FAS/CAS pension adjustment.</w:t>
      </w:r>
    </w:p>
    <w:p>
      <w:pPr>
        <w:spacing w:after="0" w:line="46" w:lineRule="exact"/>
        <w:rPr>
          <w:sz w:val="20"/>
          <w:szCs w:val="20"/>
          <w:color w:val="auto"/>
        </w:rPr>
      </w:pPr>
    </w:p>
    <w:p>
      <w:pPr>
        <w:jc w:val="both"/>
        <w:ind w:right="440"/>
        <w:spacing w:after="0" w:line="263" w:lineRule="auto"/>
        <w:rPr>
          <w:sz w:val="20"/>
          <w:szCs w:val="20"/>
          <w:color w:val="auto"/>
        </w:rPr>
      </w:pPr>
      <w:r>
        <w:rPr>
          <w:rFonts w:ascii="Arial" w:cs="Arial" w:eastAsia="Arial" w:hAnsi="Arial"/>
          <w:sz w:val="17"/>
          <w:szCs w:val="17"/>
          <w:color w:val="auto"/>
        </w:rPr>
        <w:t>In addition to these financial goals, we established non-financial goals to align our objectives with all our stakeholders. Performance against non-financial metrics can result only in a downward adjustment to the financial metric score. For 2018, we selected the following non-financial metrics:</w:t>
      </w:r>
    </w:p>
    <w:p>
      <w:pPr>
        <w:spacing w:after="0" w:line="40" w:lineRule="exact"/>
        <w:rPr>
          <w:sz w:val="20"/>
          <w:szCs w:val="20"/>
          <w:color w:val="auto"/>
        </w:rPr>
      </w:pPr>
    </w:p>
    <w:p>
      <w:pPr>
        <w:ind w:left="320" w:right="60" w:hanging="317"/>
        <w:spacing w:after="0" w:line="262" w:lineRule="auto"/>
        <w:tabs>
          <w:tab w:leader="none" w:pos="320" w:val="left"/>
        </w:tabs>
        <w:numPr>
          <w:ilvl w:val="0"/>
          <w:numId w:val="58"/>
        </w:numPr>
        <w:rPr>
          <w:rFonts w:ascii="Arial" w:cs="Arial" w:eastAsia="Arial" w:hAnsi="Arial"/>
          <w:sz w:val="21"/>
          <w:szCs w:val="21"/>
          <w:color w:val="34657F"/>
        </w:rPr>
      </w:pPr>
      <w:r>
        <w:rPr>
          <w:rFonts w:ascii="Arial" w:cs="Arial" w:eastAsia="Arial" w:hAnsi="Arial"/>
          <w:sz w:val="21"/>
          <w:szCs w:val="21"/>
          <w:b w:val="1"/>
          <w:bCs w:val="1"/>
          <w:color w:val="auto"/>
        </w:rPr>
        <w:t>Customer Satisfaction</w:t>
      </w:r>
      <w:r>
        <w:rPr>
          <w:rFonts w:ascii="Arial" w:cs="Arial" w:eastAsia="Arial" w:hAnsi="Arial"/>
          <w:sz w:val="17"/>
          <w:szCs w:val="17"/>
          <w:b w:val="1"/>
          <w:bCs w:val="1"/>
          <w:color w:val="auto"/>
        </w:rPr>
        <w:t>:</w:t>
      </w:r>
      <w:r>
        <w:rPr>
          <w:rFonts w:ascii="Arial" w:cs="Arial" w:eastAsia="Arial" w:hAnsi="Arial"/>
          <w:sz w:val="21"/>
          <w:szCs w:val="21"/>
          <w:b w:val="1"/>
          <w:bCs w:val="1"/>
          <w:color w:val="auto"/>
        </w:rPr>
        <w:t xml:space="preserve"> </w:t>
      </w:r>
      <w:r>
        <w:rPr>
          <w:rFonts w:ascii="Arial" w:cs="Arial" w:eastAsia="Arial" w:hAnsi="Arial"/>
          <w:sz w:val="17"/>
          <w:szCs w:val="17"/>
          <w:color w:val="auto"/>
        </w:rPr>
        <w:t>measured in terms of customer feedback, including customer-generated performance scores, award fees and verbal</w:t>
      </w:r>
      <w:r>
        <w:rPr>
          <w:rFonts w:ascii="Arial" w:cs="Arial" w:eastAsia="Arial" w:hAnsi="Arial"/>
          <w:sz w:val="21"/>
          <w:szCs w:val="21"/>
          <w:b w:val="1"/>
          <w:bCs w:val="1"/>
          <w:color w:val="auto"/>
        </w:rPr>
        <w:t xml:space="preserve"> </w:t>
      </w:r>
      <w:r>
        <w:rPr>
          <w:rFonts w:ascii="Arial" w:cs="Arial" w:eastAsia="Arial" w:hAnsi="Arial"/>
          <w:sz w:val="17"/>
          <w:szCs w:val="17"/>
          <w:color w:val="auto"/>
        </w:rPr>
        <w:t>and written feedback.</w:t>
      </w:r>
    </w:p>
    <w:p>
      <w:pPr>
        <w:spacing w:after="0" w:line="49" w:lineRule="exact"/>
        <w:rPr>
          <w:rFonts w:ascii="Arial" w:cs="Arial" w:eastAsia="Arial" w:hAnsi="Arial"/>
          <w:sz w:val="21"/>
          <w:szCs w:val="21"/>
          <w:color w:val="34657F"/>
        </w:rPr>
      </w:pPr>
    </w:p>
    <w:p>
      <w:pPr>
        <w:ind w:left="320" w:right="540" w:hanging="317"/>
        <w:spacing w:after="0" w:line="262" w:lineRule="auto"/>
        <w:tabs>
          <w:tab w:leader="none" w:pos="320" w:val="left"/>
        </w:tabs>
        <w:numPr>
          <w:ilvl w:val="0"/>
          <w:numId w:val="58"/>
        </w:numPr>
        <w:rPr>
          <w:rFonts w:ascii="Arial" w:cs="Arial" w:eastAsia="Arial" w:hAnsi="Arial"/>
          <w:sz w:val="21"/>
          <w:szCs w:val="21"/>
          <w:color w:val="34657F"/>
        </w:rPr>
      </w:pPr>
      <w:r>
        <w:rPr>
          <w:rFonts w:ascii="Arial" w:cs="Arial" w:eastAsia="Arial" w:hAnsi="Arial"/>
          <w:sz w:val="21"/>
          <w:szCs w:val="21"/>
          <w:b w:val="1"/>
          <w:bCs w:val="1"/>
          <w:color w:val="auto"/>
        </w:rPr>
        <w:t xml:space="preserve">Diversity: </w:t>
      </w:r>
      <w:r>
        <w:rPr>
          <w:rFonts w:ascii="Arial" w:cs="Arial" w:eastAsia="Arial" w:hAnsi="Arial"/>
          <w:sz w:val="17"/>
          <w:szCs w:val="17"/>
          <w:color w:val="auto"/>
        </w:rPr>
        <w:t>measured in terms of improving representation of females and people of color in all management level positions with respect to</w:t>
      </w:r>
      <w:r>
        <w:rPr>
          <w:rFonts w:ascii="Arial" w:cs="Arial" w:eastAsia="Arial" w:hAnsi="Arial"/>
          <w:sz w:val="21"/>
          <w:szCs w:val="21"/>
          <w:b w:val="1"/>
          <w:bCs w:val="1"/>
          <w:color w:val="auto"/>
        </w:rPr>
        <w:t xml:space="preserve"> </w:t>
      </w:r>
      <w:r>
        <w:rPr>
          <w:rFonts w:ascii="Arial" w:cs="Arial" w:eastAsia="Arial" w:hAnsi="Arial"/>
          <w:sz w:val="17"/>
          <w:szCs w:val="17"/>
          <w:color w:val="auto"/>
        </w:rPr>
        <w:t>internal and external benchmarks.</w:t>
      </w:r>
    </w:p>
    <w:p>
      <w:pPr>
        <w:spacing w:after="0" w:line="49" w:lineRule="exact"/>
        <w:rPr>
          <w:rFonts w:ascii="Arial" w:cs="Arial" w:eastAsia="Arial" w:hAnsi="Arial"/>
          <w:sz w:val="21"/>
          <w:szCs w:val="21"/>
          <w:color w:val="34657F"/>
        </w:rPr>
      </w:pPr>
    </w:p>
    <w:p>
      <w:pPr>
        <w:ind w:left="320" w:right="440" w:hanging="317"/>
        <w:spacing w:after="0" w:line="262" w:lineRule="auto"/>
        <w:tabs>
          <w:tab w:leader="none" w:pos="320" w:val="left"/>
        </w:tabs>
        <w:numPr>
          <w:ilvl w:val="0"/>
          <w:numId w:val="58"/>
        </w:numPr>
        <w:rPr>
          <w:rFonts w:ascii="Arial" w:cs="Arial" w:eastAsia="Arial" w:hAnsi="Arial"/>
          <w:sz w:val="21"/>
          <w:szCs w:val="21"/>
          <w:color w:val="34657F"/>
        </w:rPr>
      </w:pPr>
      <w:r>
        <w:rPr>
          <w:rFonts w:ascii="Arial" w:cs="Arial" w:eastAsia="Arial" w:hAnsi="Arial"/>
          <w:sz w:val="21"/>
          <w:szCs w:val="21"/>
          <w:b w:val="1"/>
          <w:bCs w:val="1"/>
          <w:color w:val="auto"/>
        </w:rPr>
        <w:t>Engagement &amp; Inclusion</w:t>
      </w:r>
      <w:r>
        <w:rPr>
          <w:rFonts w:ascii="Arial" w:cs="Arial" w:eastAsia="Arial" w:hAnsi="Arial"/>
          <w:sz w:val="17"/>
          <w:szCs w:val="17"/>
          <w:b w:val="1"/>
          <w:bCs w:val="1"/>
          <w:color w:val="auto"/>
        </w:rPr>
        <w:t>:</w:t>
      </w:r>
      <w:r>
        <w:rPr>
          <w:rFonts w:ascii="Arial" w:cs="Arial" w:eastAsia="Arial" w:hAnsi="Arial"/>
          <w:sz w:val="21"/>
          <w:szCs w:val="21"/>
          <w:b w:val="1"/>
          <w:bCs w:val="1"/>
          <w:color w:val="auto"/>
        </w:rPr>
        <w:t xml:space="preserve"> </w:t>
      </w:r>
      <w:r>
        <w:rPr>
          <w:rFonts w:ascii="Arial" w:cs="Arial" w:eastAsia="Arial" w:hAnsi="Arial"/>
          <w:sz w:val="17"/>
          <w:szCs w:val="17"/>
          <w:color w:val="auto"/>
        </w:rPr>
        <w:t>measured based on performance at or above the global high performing norm for engagement and inclusion</w:t>
      </w:r>
      <w:r>
        <w:rPr>
          <w:rFonts w:ascii="Arial" w:cs="Arial" w:eastAsia="Arial" w:hAnsi="Arial"/>
          <w:sz w:val="21"/>
          <w:szCs w:val="21"/>
          <w:b w:val="1"/>
          <w:bCs w:val="1"/>
          <w:color w:val="auto"/>
        </w:rPr>
        <w:t xml:space="preserve"> </w:t>
      </w:r>
      <w:r>
        <w:rPr>
          <w:rFonts w:ascii="Arial" w:cs="Arial" w:eastAsia="Arial" w:hAnsi="Arial"/>
          <w:sz w:val="17"/>
          <w:szCs w:val="17"/>
          <w:color w:val="auto"/>
        </w:rPr>
        <w:t>indices and an accountability metric (as reported in a company-wide employee survey).</w:t>
      </w:r>
    </w:p>
    <w:p>
      <w:pPr>
        <w:spacing w:after="0" w:line="49" w:lineRule="exact"/>
        <w:rPr>
          <w:rFonts w:ascii="Arial" w:cs="Arial" w:eastAsia="Arial" w:hAnsi="Arial"/>
          <w:sz w:val="21"/>
          <w:szCs w:val="21"/>
          <w:color w:val="34657F"/>
        </w:rPr>
      </w:pPr>
    </w:p>
    <w:p>
      <w:pPr>
        <w:ind w:left="320" w:hanging="317"/>
        <w:spacing w:after="0" w:line="262" w:lineRule="auto"/>
        <w:tabs>
          <w:tab w:leader="none" w:pos="320" w:val="left"/>
        </w:tabs>
        <w:numPr>
          <w:ilvl w:val="0"/>
          <w:numId w:val="58"/>
        </w:numPr>
        <w:rPr>
          <w:rFonts w:ascii="Arial" w:cs="Arial" w:eastAsia="Arial" w:hAnsi="Arial"/>
          <w:sz w:val="21"/>
          <w:szCs w:val="21"/>
          <w:color w:val="34657F"/>
        </w:rPr>
      </w:pPr>
      <w:r>
        <w:rPr>
          <w:rFonts w:ascii="Arial" w:cs="Arial" w:eastAsia="Arial" w:hAnsi="Arial"/>
          <w:sz w:val="21"/>
          <w:szCs w:val="21"/>
          <w:b w:val="1"/>
          <w:bCs w:val="1"/>
          <w:color w:val="auto"/>
        </w:rPr>
        <w:t>Environmental Sustainability</w:t>
      </w:r>
      <w:r>
        <w:rPr>
          <w:rFonts w:ascii="Arial" w:cs="Arial" w:eastAsia="Arial" w:hAnsi="Arial"/>
          <w:sz w:val="17"/>
          <w:szCs w:val="17"/>
          <w:b w:val="1"/>
          <w:bCs w:val="1"/>
          <w:color w:val="auto"/>
        </w:rPr>
        <w:t>:</w:t>
      </w:r>
      <w:r>
        <w:rPr>
          <w:rFonts w:ascii="Arial" w:cs="Arial" w:eastAsia="Arial" w:hAnsi="Arial"/>
          <w:sz w:val="21"/>
          <w:szCs w:val="21"/>
          <w:b w:val="1"/>
          <w:bCs w:val="1"/>
          <w:color w:val="auto"/>
        </w:rPr>
        <w:t xml:space="preserve"> </w:t>
      </w:r>
      <w:r>
        <w:rPr>
          <w:rFonts w:ascii="Arial" w:cs="Arial" w:eastAsia="Arial" w:hAnsi="Arial"/>
          <w:sz w:val="17"/>
          <w:szCs w:val="17"/>
          <w:color w:val="auto"/>
        </w:rPr>
        <w:t>measured in terms of reductions in absolute greenhouse gas emissions and potable water use consumption,</w:t>
      </w:r>
      <w:r>
        <w:rPr>
          <w:rFonts w:ascii="Arial" w:cs="Arial" w:eastAsia="Arial" w:hAnsi="Arial"/>
          <w:sz w:val="21"/>
          <w:szCs w:val="21"/>
          <w:b w:val="1"/>
          <w:bCs w:val="1"/>
          <w:color w:val="auto"/>
        </w:rPr>
        <w:t xml:space="preserve"> </w:t>
      </w:r>
      <w:r>
        <w:rPr>
          <w:rFonts w:ascii="Arial" w:cs="Arial" w:eastAsia="Arial" w:hAnsi="Arial"/>
          <w:sz w:val="17"/>
          <w:szCs w:val="17"/>
          <w:color w:val="auto"/>
        </w:rPr>
        <w:t>and improvement in solid waste diversion (i.e., waste diverted from landfill disposal).</w:t>
      </w:r>
    </w:p>
    <w:p>
      <w:pPr>
        <w:spacing w:after="0" w:line="49" w:lineRule="exact"/>
        <w:rPr>
          <w:rFonts w:ascii="Arial" w:cs="Arial" w:eastAsia="Arial" w:hAnsi="Arial"/>
          <w:sz w:val="21"/>
          <w:szCs w:val="21"/>
          <w:color w:val="34657F"/>
        </w:rPr>
      </w:pPr>
    </w:p>
    <w:p>
      <w:pPr>
        <w:ind w:left="320" w:right="900" w:hanging="317"/>
        <w:spacing w:after="0" w:line="262" w:lineRule="auto"/>
        <w:tabs>
          <w:tab w:leader="none" w:pos="320" w:val="left"/>
        </w:tabs>
        <w:numPr>
          <w:ilvl w:val="0"/>
          <w:numId w:val="58"/>
        </w:numPr>
        <w:rPr>
          <w:rFonts w:ascii="Arial" w:cs="Arial" w:eastAsia="Arial" w:hAnsi="Arial"/>
          <w:sz w:val="21"/>
          <w:szCs w:val="21"/>
          <w:color w:val="34657F"/>
        </w:rPr>
      </w:pPr>
      <w:r>
        <w:rPr>
          <w:rFonts w:ascii="Arial" w:cs="Arial" w:eastAsia="Arial" w:hAnsi="Arial"/>
          <w:sz w:val="21"/>
          <w:szCs w:val="21"/>
          <w:b w:val="1"/>
          <w:bCs w:val="1"/>
          <w:color w:val="auto"/>
        </w:rPr>
        <w:t xml:space="preserve">Quality: </w:t>
      </w:r>
      <w:r>
        <w:rPr>
          <w:rFonts w:ascii="Arial" w:cs="Arial" w:eastAsia="Arial" w:hAnsi="Arial"/>
          <w:sz w:val="17"/>
          <w:szCs w:val="17"/>
          <w:color w:val="auto"/>
        </w:rPr>
        <w:t>measured using program-specific objectives, including defect rates, process quality, supplier quality, planning quality or other</w:t>
      </w:r>
      <w:r>
        <w:rPr>
          <w:rFonts w:ascii="Arial" w:cs="Arial" w:eastAsia="Arial" w:hAnsi="Arial"/>
          <w:sz w:val="21"/>
          <w:szCs w:val="21"/>
          <w:b w:val="1"/>
          <w:bCs w:val="1"/>
          <w:color w:val="auto"/>
        </w:rPr>
        <w:t xml:space="preserve"> </w:t>
      </w:r>
      <w:r>
        <w:rPr>
          <w:rFonts w:ascii="Arial" w:cs="Arial" w:eastAsia="Arial" w:hAnsi="Arial"/>
          <w:sz w:val="17"/>
          <w:szCs w:val="17"/>
          <w:color w:val="auto"/>
        </w:rPr>
        <w:t>appropriate criteria for program type and phase.</w:t>
      </w:r>
    </w:p>
    <w:p>
      <w:pPr>
        <w:spacing w:after="0" w:line="49" w:lineRule="exact"/>
        <w:rPr>
          <w:rFonts w:ascii="Arial" w:cs="Arial" w:eastAsia="Arial" w:hAnsi="Arial"/>
          <w:sz w:val="21"/>
          <w:szCs w:val="21"/>
          <w:color w:val="34657F"/>
        </w:rPr>
      </w:pPr>
    </w:p>
    <w:p>
      <w:pPr>
        <w:ind w:left="320" w:right="100" w:hanging="317"/>
        <w:spacing w:after="0" w:line="262" w:lineRule="auto"/>
        <w:tabs>
          <w:tab w:leader="none" w:pos="320" w:val="left"/>
        </w:tabs>
        <w:numPr>
          <w:ilvl w:val="0"/>
          <w:numId w:val="58"/>
        </w:numPr>
        <w:rPr>
          <w:rFonts w:ascii="Arial" w:cs="Arial" w:eastAsia="Arial" w:hAnsi="Arial"/>
          <w:sz w:val="21"/>
          <w:szCs w:val="21"/>
          <w:color w:val="34657F"/>
        </w:rPr>
      </w:pPr>
      <w:r>
        <w:rPr>
          <w:rFonts w:ascii="Arial" w:cs="Arial" w:eastAsia="Arial" w:hAnsi="Arial"/>
          <w:sz w:val="21"/>
          <w:szCs w:val="21"/>
          <w:b w:val="1"/>
          <w:bCs w:val="1"/>
          <w:color w:val="auto"/>
        </w:rPr>
        <w:t>Safety</w:t>
      </w:r>
      <w:r>
        <w:rPr>
          <w:rFonts w:ascii="Arial" w:cs="Arial" w:eastAsia="Arial" w:hAnsi="Arial"/>
          <w:sz w:val="17"/>
          <w:szCs w:val="17"/>
          <w:b w:val="1"/>
          <w:bCs w:val="1"/>
          <w:color w:val="auto"/>
        </w:rPr>
        <w:t>:</w:t>
      </w:r>
      <w:r>
        <w:rPr>
          <w:rFonts w:ascii="Arial" w:cs="Arial" w:eastAsia="Arial" w:hAnsi="Arial"/>
          <w:sz w:val="21"/>
          <w:szCs w:val="21"/>
          <w:b w:val="1"/>
          <w:bCs w:val="1"/>
          <w:color w:val="auto"/>
        </w:rPr>
        <w:t xml:space="preserve"> </w:t>
      </w:r>
      <w:r>
        <w:rPr>
          <w:rFonts w:ascii="Arial" w:cs="Arial" w:eastAsia="Arial" w:hAnsi="Arial"/>
          <w:sz w:val="17"/>
          <w:szCs w:val="17"/>
          <w:color w:val="auto"/>
        </w:rPr>
        <w:t>measured by total case rate, defined as the number of Occupational Safety &amp; Health Administration recordable injuries as well as by lost</w:t>
      </w:r>
      <w:r>
        <w:rPr>
          <w:rFonts w:ascii="Arial" w:cs="Arial" w:eastAsia="Arial" w:hAnsi="Arial"/>
          <w:sz w:val="21"/>
          <w:szCs w:val="21"/>
          <w:b w:val="1"/>
          <w:bCs w:val="1"/>
          <w:color w:val="auto"/>
        </w:rPr>
        <w:t xml:space="preserve"> </w:t>
      </w:r>
      <w:r>
        <w:rPr>
          <w:rFonts w:ascii="Arial" w:cs="Arial" w:eastAsia="Arial" w:hAnsi="Arial"/>
          <w:sz w:val="17"/>
          <w:szCs w:val="17"/>
          <w:color w:val="auto"/>
        </w:rPr>
        <w:t>work day rate associated with those injuries.</w:t>
      </w:r>
    </w:p>
    <w:p>
      <w:pPr>
        <w:spacing w:after="0" w:line="68" w:lineRule="exact"/>
        <w:rPr>
          <w:sz w:val="20"/>
          <w:szCs w:val="20"/>
          <w:color w:val="auto"/>
        </w:rPr>
      </w:pPr>
    </w:p>
    <w:p>
      <w:pPr>
        <w:ind w:right="80"/>
        <w:spacing w:after="0" w:line="253" w:lineRule="auto"/>
        <w:rPr>
          <w:sz w:val="20"/>
          <w:szCs w:val="20"/>
          <w:color w:val="auto"/>
        </w:rPr>
      </w:pPr>
      <w:r>
        <w:rPr>
          <w:rFonts w:ascii="Arial" w:cs="Arial" w:eastAsia="Arial" w:hAnsi="Arial"/>
          <w:sz w:val="17"/>
          <w:szCs w:val="17"/>
          <w:color w:val="auto"/>
        </w:rPr>
        <w:t>Our AIP provides for payout levels from 0% to 200% of target. The minimum, target and maximum performance levels are derived based on an analysis of the past performance of our Performance Peer Group (Pension-adjusted Net Income* Growth is based on projected market growth rates). Specific values are identified for each metric at selected points in the range between minimum and maximum and other values are determined by linear interpolation between these points. No payout is made if performance is below the minimum. Above target payout can be earned only if the Company’s performance exceeds the performance threshold noted in the table below. The maximum 200% payout is based upon top quartile past performance of the Performance Peer Group. This structure rewards superior performance by aligning above-target payouts to outperforming our peer benchmarks and provides reduced awards for below target performance.</w:t>
      </w:r>
    </w:p>
    <w:p>
      <w:pPr>
        <w:spacing w:after="0" w:line="306" w:lineRule="exact"/>
        <w:rPr>
          <w:sz w:val="20"/>
          <w:szCs w:val="20"/>
          <w:color w:val="auto"/>
        </w:rPr>
      </w:pPr>
    </w:p>
    <w:p>
      <w:pPr>
        <w:jc w:val="right"/>
        <w:spacing w:after="0"/>
        <w:rPr>
          <w:sz w:val="20"/>
          <w:szCs w:val="20"/>
          <w:color w:val="auto"/>
        </w:rPr>
      </w:pPr>
      <w:r>
        <w:rPr>
          <w:rFonts w:ascii="Arial" w:cs="Arial" w:eastAsia="Arial" w:hAnsi="Arial"/>
          <w:sz w:val="14"/>
          <w:szCs w:val="14"/>
          <w:color w:val="34657F"/>
        </w:rPr>
        <w:t xml:space="preserve">NOTICE OF 2019 ANNUAL MEETING OF SHAREHOLDERS AND PROXY STATEMENT </w:t>
      </w:r>
      <w:r>
        <w:rPr>
          <w:rFonts w:ascii="Arial" w:cs="Arial" w:eastAsia="Arial" w:hAnsi="Arial"/>
          <w:sz w:val="14"/>
          <w:szCs w:val="14"/>
          <w:color w:val="000000"/>
        </w:rPr>
        <w:t>I 45</w:t>
      </w:r>
    </w:p>
    <w:p>
      <w:pPr>
        <w:sectPr>
          <w:pgSz w:w="11900" w:h="16838" w:orient="portrait"/>
          <w:cols w:equalWidth="0" w:num="1">
            <w:col w:w="11420"/>
          </w:cols>
          <w:pgMar w:left="240" w:top="825" w:right="239" w:bottom="1440" w:gutter="0" w:footer="0" w:header="0"/>
        </w:sectPr>
      </w:pPr>
    </w:p>
    <w:bookmarkStart w:id="51" w:name="page52"/>
    <w:bookmarkEnd w:id="51"/>
    <w:p>
      <w:pPr>
        <w:ind w:left="20"/>
        <w:spacing w:after="0"/>
        <w:rPr>
          <w:sz w:val="20"/>
          <w:szCs w:val="20"/>
          <w:color w:val="auto"/>
        </w:rPr>
      </w:pPr>
      <w:r>
        <w:rPr>
          <w:rFonts w:ascii="Arial" w:cs="Arial" w:eastAsia="Arial" w:hAnsi="Arial"/>
          <w:sz w:val="21"/>
          <w:szCs w:val="21"/>
          <w:b w:val="1"/>
          <w:bCs w:val="1"/>
          <w:color w:val="FFFFFF"/>
        </w:rPr>
        <w:drawing>
          <wp:anchor simplePos="0" relativeHeight="251657728" behindDoc="1" locked="0" layoutInCell="0" allowOverlap="1">
            <wp:simplePos x="0" y="0"/>
            <wp:positionH relativeFrom="page">
              <wp:posOffset>154305</wp:posOffset>
            </wp:positionH>
            <wp:positionV relativeFrom="page">
              <wp:posOffset>463550</wp:posOffset>
            </wp:positionV>
            <wp:extent cx="7253605" cy="56197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53605" cy="561975"/>
                    </a:xfrm>
                    <a:prstGeom prst="rect">
                      <a:avLst/>
                    </a:prstGeom>
                    <a:noFill/>
                  </pic:spPr>
                </pic:pic>
              </a:graphicData>
            </a:graphic>
          </wp:anchor>
        </w:drawing>
        <w:t>COMPENSATION DISCUSSION AND ANALYSIS | K</w:t>
      </w:r>
      <w:r>
        <w:rPr>
          <w:rFonts w:ascii="Arial" w:cs="Arial" w:eastAsia="Arial" w:hAnsi="Arial"/>
          <w:sz w:val="17"/>
          <w:szCs w:val="17"/>
          <w:b w:val="1"/>
          <w:bCs w:val="1"/>
          <w:color w:val="FFFFFF"/>
        </w:rPr>
        <w:t>EY</w:t>
      </w:r>
      <w:r>
        <w:rPr>
          <w:rFonts w:ascii="Arial" w:cs="Arial" w:eastAsia="Arial" w:hAnsi="Arial"/>
          <w:sz w:val="21"/>
          <w:szCs w:val="21"/>
          <w:b w:val="1"/>
          <w:bCs w:val="1"/>
          <w:color w:val="FFFFFF"/>
        </w:rPr>
        <w:t xml:space="preserve"> C</w:t>
      </w:r>
      <w:r>
        <w:rPr>
          <w:rFonts w:ascii="Arial" w:cs="Arial" w:eastAsia="Arial" w:hAnsi="Arial"/>
          <w:sz w:val="17"/>
          <w:szCs w:val="17"/>
          <w:b w:val="1"/>
          <w:bCs w:val="1"/>
          <w:color w:val="FFFFFF"/>
        </w:rPr>
        <w:t>OMPONENTS OF OUR</w:t>
      </w:r>
      <w:r>
        <w:rPr>
          <w:rFonts w:ascii="Arial" w:cs="Arial" w:eastAsia="Arial" w:hAnsi="Arial"/>
          <w:sz w:val="21"/>
          <w:szCs w:val="21"/>
          <w:b w:val="1"/>
          <w:bCs w:val="1"/>
          <w:color w:val="FFFFFF"/>
        </w:rPr>
        <w:t xml:space="preserve"> P</w:t>
      </w:r>
      <w:r>
        <w:rPr>
          <w:rFonts w:ascii="Arial" w:cs="Arial" w:eastAsia="Arial" w:hAnsi="Arial"/>
          <w:sz w:val="17"/>
          <w:szCs w:val="17"/>
          <w:b w:val="1"/>
          <w:bCs w:val="1"/>
          <w:color w:val="FFFFFF"/>
        </w:rPr>
        <w:t>ROGRAMS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right="80"/>
        <w:spacing w:after="0" w:line="254" w:lineRule="auto"/>
        <w:rPr>
          <w:sz w:val="20"/>
          <w:szCs w:val="20"/>
          <w:color w:val="auto"/>
        </w:rPr>
      </w:pPr>
      <w:r>
        <w:rPr>
          <w:rFonts w:ascii="Arial" w:cs="Arial" w:eastAsia="Arial" w:hAnsi="Arial"/>
          <w:sz w:val="17"/>
          <w:szCs w:val="17"/>
          <w:color w:val="auto"/>
        </w:rPr>
        <w:t>In determining the Company Performance Factor, both financial and non-financial performance against goals is assessed. The Company financial performance for the three metrics shown in the table below was 166%. As approved by the Compensation Committee, Company performance calculations exclude the impacts of the addition of Innovation Systems, certain Orbital ATK transaction-related expenses and certain impacts related to the Company's 2018 adoption of the MTM method of accounting for its pension and OPB plans as detailed in "Appendix A - Use of Non-GAAP Financial Measures".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580" w:type="dxa"/>
            <w:vAlign w:val="bottom"/>
            <w:shd w:val="clear" w:color="auto" w:fill="34657F"/>
          </w:tcPr>
          <w:p>
            <w:pPr>
              <w:spacing w:after="0"/>
              <w:rPr>
                <w:sz w:val="17"/>
                <w:szCs w:val="17"/>
                <w:color w:val="auto"/>
              </w:rPr>
            </w:pPr>
          </w:p>
        </w:tc>
        <w:tc>
          <w:tcPr>
            <w:tcW w:w="1680" w:type="dxa"/>
            <w:vAlign w:val="bottom"/>
            <w:shd w:val="clear" w:color="auto" w:fill="34657F"/>
          </w:tcPr>
          <w:p>
            <w:pPr>
              <w:spacing w:after="0"/>
              <w:rPr>
                <w:sz w:val="17"/>
                <w:szCs w:val="17"/>
                <w:color w:val="auto"/>
              </w:rPr>
            </w:pPr>
          </w:p>
        </w:tc>
        <w:tc>
          <w:tcPr>
            <w:tcW w:w="1760" w:type="dxa"/>
            <w:vAlign w:val="bottom"/>
            <w:shd w:val="clear" w:color="auto" w:fill="34657F"/>
          </w:tcPr>
          <w:p>
            <w:pPr>
              <w:jc w:val="center"/>
              <w:ind w:left="83"/>
              <w:spacing w:after="0"/>
              <w:rPr>
                <w:sz w:val="20"/>
                <w:szCs w:val="20"/>
                <w:color w:val="auto"/>
              </w:rPr>
            </w:pPr>
            <w:r>
              <w:rPr>
                <w:rFonts w:ascii="Arial" w:cs="Arial" w:eastAsia="Arial" w:hAnsi="Arial"/>
                <w:sz w:val="15"/>
                <w:szCs w:val="15"/>
                <w:b w:val="1"/>
                <w:bCs w:val="1"/>
                <w:color w:val="FFFFFF"/>
              </w:rPr>
              <w:t>Performance to</w:t>
            </w:r>
          </w:p>
        </w:tc>
        <w:tc>
          <w:tcPr>
            <w:tcW w:w="1720" w:type="dxa"/>
            <w:vAlign w:val="bottom"/>
            <w:shd w:val="clear" w:color="auto" w:fill="34657F"/>
          </w:tcPr>
          <w:p>
            <w:pPr>
              <w:spacing w:after="0"/>
              <w:rPr>
                <w:sz w:val="17"/>
                <w:szCs w:val="17"/>
                <w:color w:val="auto"/>
              </w:rPr>
            </w:pPr>
          </w:p>
        </w:tc>
        <w:tc>
          <w:tcPr>
            <w:tcW w:w="1680" w:type="dxa"/>
            <w:vAlign w:val="bottom"/>
            <w:shd w:val="clear" w:color="auto" w:fill="34657F"/>
          </w:tcPr>
          <w:p>
            <w:pPr>
              <w:spacing w:after="0"/>
              <w:rPr>
                <w:sz w:val="17"/>
                <w:szCs w:val="17"/>
                <w:color w:val="auto"/>
              </w:rPr>
            </w:pPr>
          </w:p>
        </w:tc>
        <w:tc>
          <w:tcPr>
            <w:tcW w:w="20" w:type="dxa"/>
            <w:vAlign w:val="bottom"/>
            <w:shd w:val="clear" w:color="auto" w:fill="34657F"/>
          </w:tcPr>
          <w:p>
            <w:pPr>
              <w:spacing w:after="0"/>
              <w:rPr>
                <w:sz w:val="17"/>
                <w:szCs w:val="17"/>
                <w:color w:val="auto"/>
              </w:rPr>
            </w:pPr>
          </w:p>
        </w:tc>
      </w:tr>
      <w:tr>
        <w:trPr>
          <w:trHeight w:val="179"/>
        </w:trPr>
        <w:tc>
          <w:tcPr>
            <w:tcW w:w="4580" w:type="dxa"/>
            <w:vAlign w:val="bottom"/>
            <w:shd w:val="clear" w:color="auto" w:fill="34657F"/>
          </w:tcPr>
          <w:p>
            <w:pPr>
              <w:spacing w:after="0"/>
              <w:rPr>
                <w:sz w:val="15"/>
                <w:szCs w:val="15"/>
                <w:color w:val="auto"/>
              </w:rPr>
            </w:pPr>
          </w:p>
        </w:tc>
        <w:tc>
          <w:tcPr>
            <w:tcW w:w="1680" w:type="dxa"/>
            <w:vAlign w:val="bottom"/>
            <w:shd w:val="clear" w:color="auto" w:fill="34657F"/>
          </w:tcPr>
          <w:p>
            <w:pPr>
              <w:spacing w:after="0"/>
              <w:rPr>
                <w:sz w:val="15"/>
                <w:szCs w:val="15"/>
                <w:color w:val="auto"/>
              </w:rPr>
            </w:pPr>
          </w:p>
        </w:tc>
        <w:tc>
          <w:tcPr>
            <w:tcW w:w="1760" w:type="dxa"/>
            <w:vAlign w:val="bottom"/>
            <w:shd w:val="clear" w:color="auto" w:fill="34657F"/>
          </w:tcPr>
          <w:p>
            <w:pPr>
              <w:jc w:val="center"/>
              <w:ind w:left="83"/>
              <w:spacing w:after="0"/>
              <w:rPr>
                <w:sz w:val="20"/>
                <w:szCs w:val="20"/>
                <w:color w:val="auto"/>
              </w:rPr>
            </w:pPr>
            <w:r>
              <w:rPr>
                <w:rFonts w:ascii="Arial" w:cs="Arial" w:eastAsia="Arial" w:hAnsi="Arial"/>
                <w:sz w:val="15"/>
                <w:szCs w:val="15"/>
                <w:b w:val="1"/>
                <w:bCs w:val="1"/>
                <w:color w:val="FFFFFF"/>
              </w:rPr>
              <w:t>Achieve Target</w:t>
            </w:r>
          </w:p>
        </w:tc>
        <w:tc>
          <w:tcPr>
            <w:tcW w:w="1720" w:type="dxa"/>
            <w:vAlign w:val="bottom"/>
            <w:shd w:val="clear" w:color="auto" w:fill="34657F"/>
          </w:tcPr>
          <w:p>
            <w:pPr>
              <w:spacing w:after="0"/>
              <w:rPr>
                <w:sz w:val="15"/>
                <w:szCs w:val="15"/>
                <w:color w:val="auto"/>
              </w:rPr>
            </w:pPr>
          </w:p>
        </w:tc>
        <w:tc>
          <w:tcPr>
            <w:tcW w:w="1680" w:type="dxa"/>
            <w:vAlign w:val="bottom"/>
            <w:shd w:val="clear" w:color="auto" w:fill="34657F"/>
          </w:tcPr>
          <w:p>
            <w:pPr>
              <w:spacing w:after="0"/>
              <w:rPr>
                <w:sz w:val="15"/>
                <w:szCs w:val="15"/>
                <w:color w:val="auto"/>
              </w:rPr>
            </w:pPr>
          </w:p>
        </w:tc>
        <w:tc>
          <w:tcPr>
            <w:tcW w:w="20" w:type="dxa"/>
            <w:vAlign w:val="bottom"/>
            <w:shd w:val="clear" w:color="auto" w:fill="34657F"/>
          </w:tcPr>
          <w:p>
            <w:pPr>
              <w:spacing w:after="0"/>
              <w:rPr>
                <w:sz w:val="15"/>
                <w:szCs w:val="15"/>
                <w:color w:val="auto"/>
              </w:rPr>
            </w:pPr>
          </w:p>
        </w:tc>
      </w:tr>
      <w:tr>
        <w:trPr>
          <w:trHeight w:val="214"/>
        </w:trPr>
        <w:tc>
          <w:tcPr>
            <w:tcW w:w="4580" w:type="dxa"/>
            <w:vAlign w:val="bottom"/>
            <w:tcBorders>
              <w:bottom w:val="single" w:sz="8" w:color="34657F"/>
            </w:tcBorders>
            <w:shd w:val="clear" w:color="auto" w:fill="34657F"/>
          </w:tcPr>
          <w:p>
            <w:pPr>
              <w:ind w:left="40"/>
              <w:spacing w:after="0"/>
              <w:rPr>
                <w:sz w:val="20"/>
                <w:szCs w:val="20"/>
                <w:color w:val="auto"/>
              </w:rPr>
            </w:pPr>
            <w:r>
              <w:rPr>
                <w:rFonts w:ascii="Arial" w:cs="Arial" w:eastAsia="Arial" w:hAnsi="Arial"/>
                <w:sz w:val="15"/>
                <w:szCs w:val="15"/>
                <w:b w:val="1"/>
                <w:bCs w:val="1"/>
                <w:color w:val="FFFFFF"/>
              </w:rPr>
              <w:t>Metric/Goal</w:t>
            </w:r>
          </w:p>
        </w:tc>
        <w:tc>
          <w:tcPr>
            <w:tcW w:w="1680" w:type="dxa"/>
            <w:vAlign w:val="bottom"/>
            <w:tcBorders>
              <w:bottom w:val="single" w:sz="8" w:color="34657F"/>
            </w:tcBorders>
            <w:shd w:val="clear" w:color="auto" w:fill="34657F"/>
          </w:tcPr>
          <w:p>
            <w:pPr>
              <w:jc w:val="center"/>
              <w:ind w:left="103"/>
              <w:spacing w:after="0"/>
              <w:rPr>
                <w:sz w:val="20"/>
                <w:szCs w:val="20"/>
                <w:color w:val="auto"/>
              </w:rPr>
            </w:pPr>
            <w:r>
              <w:rPr>
                <w:rFonts w:ascii="Arial" w:cs="Arial" w:eastAsia="Arial" w:hAnsi="Arial"/>
                <w:sz w:val="15"/>
                <w:szCs w:val="15"/>
                <w:b w:val="1"/>
                <w:bCs w:val="1"/>
                <w:color w:val="FFFFFF"/>
              </w:rPr>
              <w:t>Weighting</w:t>
            </w:r>
          </w:p>
        </w:tc>
        <w:tc>
          <w:tcPr>
            <w:tcW w:w="1760" w:type="dxa"/>
            <w:vAlign w:val="bottom"/>
            <w:tcBorders>
              <w:bottom w:val="single" w:sz="8" w:color="34657F"/>
            </w:tcBorders>
            <w:shd w:val="clear" w:color="auto" w:fill="34657F"/>
          </w:tcPr>
          <w:p>
            <w:pPr>
              <w:jc w:val="center"/>
              <w:ind w:left="83"/>
              <w:spacing w:after="0"/>
              <w:rPr>
                <w:sz w:val="20"/>
                <w:szCs w:val="20"/>
                <w:color w:val="auto"/>
              </w:rPr>
            </w:pPr>
            <w:r>
              <w:rPr>
                <w:rFonts w:ascii="Arial" w:cs="Arial" w:eastAsia="Arial" w:hAnsi="Arial"/>
                <w:sz w:val="15"/>
                <w:szCs w:val="15"/>
                <w:b w:val="1"/>
                <w:bCs w:val="1"/>
                <w:color w:val="FFFFFF"/>
              </w:rPr>
              <w:t>Payout</w:t>
            </w:r>
          </w:p>
        </w:tc>
        <w:tc>
          <w:tcPr>
            <w:tcW w:w="1720" w:type="dxa"/>
            <w:vAlign w:val="bottom"/>
            <w:tcBorders>
              <w:bottom w:val="single" w:sz="8" w:color="34657F"/>
            </w:tcBorders>
            <w:shd w:val="clear" w:color="auto" w:fill="34657F"/>
          </w:tcPr>
          <w:p>
            <w:pPr>
              <w:jc w:val="center"/>
              <w:ind w:left="23"/>
              <w:spacing w:after="0"/>
              <w:rPr>
                <w:sz w:val="20"/>
                <w:szCs w:val="20"/>
                <w:color w:val="auto"/>
              </w:rPr>
            </w:pPr>
            <w:r>
              <w:rPr>
                <w:rFonts w:ascii="Arial" w:cs="Arial" w:eastAsia="Arial" w:hAnsi="Arial"/>
                <w:sz w:val="15"/>
                <w:szCs w:val="15"/>
                <w:b w:val="1"/>
                <w:bCs w:val="1"/>
                <w:color w:val="FFFFFF"/>
              </w:rPr>
              <w:t>2018 Performance</w:t>
            </w:r>
          </w:p>
        </w:tc>
        <w:tc>
          <w:tcPr>
            <w:tcW w:w="1680" w:type="dxa"/>
            <w:vAlign w:val="bottom"/>
            <w:tcBorders>
              <w:bottom w:val="single" w:sz="8" w:color="34657F"/>
            </w:tcBorders>
            <w:shd w:val="clear" w:color="auto" w:fill="34657F"/>
          </w:tcPr>
          <w:p>
            <w:pPr>
              <w:ind w:left="140"/>
              <w:spacing w:after="0"/>
              <w:rPr>
                <w:sz w:val="20"/>
                <w:szCs w:val="20"/>
                <w:color w:val="auto"/>
              </w:rPr>
            </w:pPr>
            <w:r>
              <w:rPr>
                <w:rFonts w:ascii="Arial" w:cs="Arial" w:eastAsia="Arial" w:hAnsi="Arial"/>
                <w:sz w:val="15"/>
                <w:szCs w:val="15"/>
                <w:b w:val="1"/>
                <w:bCs w:val="1"/>
                <w:color w:val="FFFFFF"/>
              </w:rPr>
              <w:t>2018 Financial Score</w:t>
            </w:r>
          </w:p>
        </w:tc>
        <w:tc>
          <w:tcPr>
            <w:tcW w:w="20" w:type="dxa"/>
            <w:vAlign w:val="bottom"/>
            <w:tcBorders>
              <w:bottom w:val="single" w:sz="8" w:color="34657F"/>
            </w:tcBorders>
            <w:shd w:val="clear" w:color="auto" w:fill="34657F"/>
          </w:tcPr>
          <w:p>
            <w:pPr>
              <w:spacing w:after="0"/>
              <w:rPr>
                <w:sz w:val="18"/>
                <w:szCs w:val="18"/>
                <w:color w:val="auto"/>
              </w:rPr>
            </w:pPr>
          </w:p>
        </w:tc>
      </w:tr>
      <w:tr>
        <w:trPr>
          <w:trHeight w:val="211"/>
        </w:trPr>
        <w:tc>
          <w:tcPr>
            <w:tcW w:w="4580" w:type="dxa"/>
            <w:vAlign w:val="bottom"/>
            <w:tcBorders>
              <w:bottom w:val="single" w:sz="8" w:color="D1DDE6"/>
            </w:tcBorders>
            <w:shd w:val="clear" w:color="auto" w:fill="D1DDE6"/>
          </w:tcPr>
          <w:p>
            <w:pPr>
              <w:ind w:left="20"/>
              <w:spacing w:after="0"/>
              <w:rPr>
                <w:sz w:val="20"/>
                <w:szCs w:val="20"/>
                <w:color w:val="auto"/>
              </w:rPr>
            </w:pPr>
            <w:r>
              <w:rPr>
                <w:rFonts w:ascii="Arial" w:cs="Arial" w:eastAsia="Arial" w:hAnsi="Arial"/>
                <w:sz w:val="15"/>
                <w:szCs w:val="15"/>
                <w:color w:val="auto"/>
                <w:highlight w:val="lightGray"/>
              </w:rPr>
              <w:t>Pension-adjusted OM Rate*</w:t>
            </w:r>
          </w:p>
        </w:tc>
        <w:tc>
          <w:tcPr>
            <w:tcW w:w="1680" w:type="dxa"/>
            <w:vAlign w:val="bottom"/>
            <w:tcBorders>
              <w:bottom w:val="single" w:sz="8" w:color="D1DDE6"/>
            </w:tcBorders>
            <w:shd w:val="clear" w:color="auto" w:fill="D1DDE6"/>
          </w:tcPr>
          <w:p>
            <w:pPr>
              <w:jc w:val="center"/>
              <w:ind w:left="83"/>
              <w:spacing w:after="0"/>
              <w:rPr>
                <w:sz w:val="20"/>
                <w:szCs w:val="20"/>
                <w:color w:val="auto"/>
              </w:rPr>
            </w:pPr>
            <w:r>
              <w:rPr>
                <w:rFonts w:ascii="Arial" w:cs="Arial" w:eastAsia="Arial" w:hAnsi="Arial"/>
                <w:sz w:val="15"/>
                <w:szCs w:val="15"/>
                <w:color w:val="auto"/>
                <w:w w:val="95"/>
              </w:rPr>
              <w:t>1/3</w:t>
            </w:r>
          </w:p>
        </w:tc>
        <w:tc>
          <w:tcPr>
            <w:tcW w:w="1760" w:type="dxa"/>
            <w:vAlign w:val="bottom"/>
            <w:tcBorders>
              <w:bottom w:val="single" w:sz="8" w:color="D1DDE6"/>
            </w:tcBorders>
            <w:shd w:val="clear" w:color="auto" w:fill="D1DDE6"/>
          </w:tcPr>
          <w:p>
            <w:pPr>
              <w:jc w:val="center"/>
              <w:ind w:left="83"/>
              <w:spacing w:after="0"/>
              <w:rPr>
                <w:sz w:val="20"/>
                <w:szCs w:val="20"/>
                <w:color w:val="auto"/>
              </w:rPr>
            </w:pPr>
            <w:r>
              <w:rPr>
                <w:rFonts w:ascii="Arial" w:cs="Arial" w:eastAsia="Arial" w:hAnsi="Arial"/>
                <w:sz w:val="15"/>
                <w:szCs w:val="15"/>
                <w:color w:val="auto"/>
              </w:rPr>
              <w:t>9.9%</w:t>
            </w:r>
          </w:p>
        </w:tc>
        <w:tc>
          <w:tcPr>
            <w:tcW w:w="1720" w:type="dxa"/>
            <w:vAlign w:val="bottom"/>
            <w:tcBorders>
              <w:bottom w:val="single" w:sz="8" w:color="D1DDE6"/>
            </w:tcBorders>
            <w:shd w:val="clear" w:color="auto" w:fill="D1DDE6"/>
          </w:tcPr>
          <w:p>
            <w:pPr>
              <w:jc w:val="right"/>
              <w:ind w:right="523"/>
              <w:spacing w:after="0"/>
              <w:rPr>
                <w:sz w:val="20"/>
                <w:szCs w:val="20"/>
                <w:color w:val="auto"/>
              </w:rPr>
            </w:pPr>
            <w:r>
              <w:rPr>
                <w:rFonts w:ascii="Arial" w:cs="Arial" w:eastAsia="Arial" w:hAnsi="Arial"/>
                <w:sz w:val="15"/>
                <w:szCs w:val="15"/>
                <w:color w:val="auto"/>
              </w:rPr>
              <w:t>11.4%</w:t>
            </w:r>
          </w:p>
        </w:tc>
        <w:tc>
          <w:tcPr>
            <w:tcW w:w="1680" w:type="dxa"/>
            <w:vAlign w:val="bottom"/>
            <w:tcBorders>
              <w:bottom w:val="single" w:sz="8" w:color="D1DDE6"/>
            </w:tcBorders>
            <w:shd w:val="clear" w:color="auto" w:fill="D1DDE6"/>
          </w:tcPr>
          <w:p>
            <w:pPr>
              <w:jc w:val="center"/>
              <w:ind w:left="43"/>
              <w:spacing w:after="0"/>
              <w:rPr>
                <w:sz w:val="20"/>
                <w:szCs w:val="20"/>
                <w:color w:val="auto"/>
              </w:rPr>
            </w:pPr>
            <w:r>
              <w:rPr>
                <w:rFonts w:ascii="Arial" w:cs="Arial" w:eastAsia="Arial" w:hAnsi="Arial"/>
                <w:sz w:val="15"/>
                <w:szCs w:val="15"/>
                <w:color w:val="auto"/>
              </w:rPr>
              <w:t>67%</w:t>
            </w:r>
          </w:p>
        </w:tc>
        <w:tc>
          <w:tcPr>
            <w:tcW w:w="20" w:type="dxa"/>
            <w:vAlign w:val="bottom"/>
          </w:tcPr>
          <w:p>
            <w:pPr>
              <w:spacing w:after="0"/>
              <w:rPr>
                <w:sz w:val="18"/>
                <w:szCs w:val="18"/>
                <w:color w:val="auto"/>
              </w:rPr>
            </w:pPr>
          </w:p>
        </w:tc>
      </w:tr>
      <w:tr>
        <w:trPr>
          <w:trHeight w:val="222"/>
        </w:trPr>
        <w:tc>
          <w:tcPr>
            <w:tcW w:w="4580" w:type="dxa"/>
            <w:vAlign w:val="bottom"/>
          </w:tcPr>
          <w:p>
            <w:pPr>
              <w:ind w:left="20"/>
              <w:spacing w:after="0"/>
              <w:rPr>
                <w:sz w:val="20"/>
                <w:szCs w:val="20"/>
                <w:color w:val="auto"/>
              </w:rPr>
            </w:pPr>
            <w:r>
              <w:rPr>
                <w:rFonts w:ascii="Arial" w:cs="Arial" w:eastAsia="Arial" w:hAnsi="Arial"/>
                <w:sz w:val="15"/>
                <w:szCs w:val="15"/>
                <w:color w:val="auto"/>
              </w:rPr>
              <w:t>Pension-adjusted Cash Flow from Operations*</w:t>
            </w:r>
          </w:p>
        </w:tc>
        <w:tc>
          <w:tcPr>
            <w:tcW w:w="1680" w:type="dxa"/>
            <w:vAlign w:val="bottom"/>
          </w:tcPr>
          <w:p>
            <w:pPr>
              <w:jc w:val="center"/>
              <w:ind w:left="83"/>
              <w:spacing w:after="0"/>
              <w:rPr>
                <w:sz w:val="20"/>
                <w:szCs w:val="20"/>
                <w:color w:val="auto"/>
              </w:rPr>
            </w:pPr>
            <w:r>
              <w:rPr>
                <w:rFonts w:ascii="Arial" w:cs="Arial" w:eastAsia="Arial" w:hAnsi="Arial"/>
                <w:sz w:val="15"/>
                <w:szCs w:val="15"/>
                <w:color w:val="auto"/>
                <w:w w:val="95"/>
              </w:rPr>
              <w:t>1/3</w:t>
            </w:r>
          </w:p>
        </w:tc>
        <w:tc>
          <w:tcPr>
            <w:tcW w:w="1760" w:type="dxa"/>
            <w:vAlign w:val="bottom"/>
          </w:tcPr>
          <w:p>
            <w:pPr>
              <w:ind w:left="700"/>
              <w:spacing w:after="0"/>
              <w:rPr>
                <w:sz w:val="20"/>
                <w:szCs w:val="20"/>
                <w:color w:val="auto"/>
              </w:rPr>
            </w:pPr>
            <w:r>
              <w:rPr>
                <w:rFonts w:ascii="Arial" w:cs="Arial" w:eastAsia="Arial" w:hAnsi="Arial"/>
                <w:sz w:val="15"/>
                <w:szCs w:val="15"/>
                <w:color w:val="auto"/>
              </w:rPr>
              <w:t>$3.4B</w:t>
            </w:r>
          </w:p>
        </w:tc>
        <w:tc>
          <w:tcPr>
            <w:tcW w:w="1720" w:type="dxa"/>
            <w:vAlign w:val="bottom"/>
          </w:tcPr>
          <w:p>
            <w:pPr>
              <w:ind w:left="640"/>
              <w:spacing w:after="0"/>
              <w:rPr>
                <w:sz w:val="20"/>
                <w:szCs w:val="20"/>
                <w:color w:val="auto"/>
              </w:rPr>
            </w:pPr>
            <w:r>
              <w:rPr>
                <w:rFonts w:ascii="Arial" w:cs="Arial" w:eastAsia="Arial" w:hAnsi="Arial"/>
                <w:sz w:val="15"/>
                <w:szCs w:val="15"/>
                <w:color w:val="auto"/>
              </w:rPr>
              <w:t>$3.2B</w:t>
            </w:r>
          </w:p>
        </w:tc>
        <w:tc>
          <w:tcPr>
            <w:tcW w:w="1680" w:type="dxa"/>
            <w:vAlign w:val="bottom"/>
          </w:tcPr>
          <w:p>
            <w:pPr>
              <w:jc w:val="center"/>
              <w:ind w:left="43"/>
              <w:spacing w:after="0"/>
              <w:rPr>
                <w:sz w:val="20"/>
                <w:szCs w:val="20"/>
                <w:color w:val="auto"/>
              </w:rPr>
            </w:pPr>
            <w:r>
              <w:rPr>
                <w:rFonts w:ascii="Arial" w:cs="Arial" w:eastAsia="Arial" w:hAnsi="Arial"/>
                <w:sz w:val="15"/>
                <w:szCs w:val="15"/>
                <w:color w:val="auto"/>
              </w:rPr>
              <w:t>32%</w:t>
            </w:r>
          </w:p>
        </w:tc>
        <w:tc>
          <w:tcPr>
            <w:tcW w:w="20" w:type="dxa"/>
            <w:vAlign w:val="bottom"/>
          </w:tcPr>
          <w:p>
            <w:pPr>
              <w:spacing w:after="0"/>
              <w:rPr>
                <w:sz w:val="19"/>
                <w:szCs w:val="19"/>
                <w:color w:val="auto"/>
              </w:rPr>
            </w:pPr>
          </w:p>
        </w:tc>
      </w:tr>
      <w:tr>
        <w:trPr>
          <w:trHeight w:val="245"/>
        </w:trPr>
        <w:tc>
          <w:tcPr>
            <w:tcW w:w="4580" w:type="dxa"/>
            <w:vAlign w:val="bottom"/>
            <w:tcBorders>
              <w:bottom w:val="single" w:sz="8" w:color="D1DDE6"/>
            </w:tcBorders>
            <w:shd w:val="clear" w:color="auto" w:fill="D1DDE6"/>
          </w:tcPr>
          <w:p>
            <w:pPr>
              <w:ind w:left="20"/>
              <w:spacing w:after="0"/>
              <w:rPr>
                <w:sz w:val="20"/>
                <w:szCs w:val="20"/>
                <w:color w:val="auto"/>
              </w:rPr>
            </w:pPr>
            <w:r>
              <w:rPr>
                <w:rFonts w:ascii="Arial" w:cs="Arial" w:eastAsia="Arial" w:hAnsi="Arial"/>
                <w:sz w:val="15"/>
                <w:szCs w:val="15"/>
                <w:color w:val="auto"/>
                <w:highlight w:val="lightGray"/>
              </w:rPr>
              <w:t>Pension-adjusted Net Income* Growth</w:t>
            </w:r>
          </w:p>
        </w:tc>
        <w:tc>
          <w:tcPr>
            <w:tcW w:w="1680" w:type="dxa"/>
            <w:vAlign w:val="bottom"/>
            <w:tcBorders>
              <w:bottom w:val="single" w:sz="8" w:color="D1DDE6"/>
            </w:tcBorders>
            <w:shd w:val="clear" w:color="auto" w:fill="D1DDE6"/>
          </w:tcPr>
          <w:p>
            <w:pPr>
              <w:jc w:val="center"/>
              <w:ind w:left="83"/>
              <w:spacing w:after="0"/>
              <w:rPr>
                <w:sz w:val="20"/>
                <w:szCs w:val="20"/>
                <w:color w:val="auto"/>
              </w:rPr>
            </w:pPr>
            <w:r>
              <w:rPr>
                <w:rFonts w:ascii="Arial" w:cs="Arial" w:eastAsia="Arial" w:hAnsi="Arial"/>
                <w:sz w:val="15"/>
                <w:szCs w:val="15"/>
                <w:color w:val="auto"/>
                <w:w w:val="95"/>
              </w:rPr>
              <w:t>1/3</w:t>
            </w:r>
          </w:p>
        </w:tc>
        <w:tc>
          <w:tcPr>
            <w:tcW w:w="1760" w:type="dxa"/>
            <w:vAlign w:val="bottom"/>
            <w:tcBorders>
              <w:bottom w:val="single" w:sz="8" w:color="D1DDE6"/>
            </w:tcBorders>
            <w:shd w:val="clear" w:color="auto" w:fill="D1DDE6"/>
          </w:tcPr>
          <w:p>
            <w:pPr>
              <w:ind w:left="700"/>
              <w:spacing w:after="0"/>
              <w:rPr>
                <w:sz w:val="20"/>
                <w:szCs w:val="20"/>
                <w:color w:val="auto"/>
              </w:rPr>
            </w:pPr>
            <w:r>
              <w:rPr>
                <w:rFonts w:ascii="Arial" w:cs="Arial" w:eastAsia="Arial" w:hAnsi="Arial"/>
                <w:sz w:val="15"/>
                <w:szCs w:val="15"/>
                <w:color w:val="auto"/>
              </w:rPr>
              <w:t>$1.9B</w:t>
            </w:r>
          </w:p>
        </w:tc>
        <w:tc>
          <w:tcPr>
            <w:tcW w:w="1720" w:type="dxa"/>
            <w:vAlign w:val="bottom"/>
            <w:tcBorders>
              <w:bottom w:val="single" w:sz="8" w:color="D1DDE6"/>
            </w:tcBorders>
            <w:shd w:val="clear" w:color="auto" w:fill="D1DDE6"/>
          </w:tcPr>
          <w:p>
            <w:pPr>
              <w:ind w:left="640"/>
              <w:spacing w:after="0"/>
              <w:rPr>
                <w:sz w:val="20"/>
                <w:szCs w:val="20"/>
                <w:color w:val="auto"/>
              </w:rPr>
            </w:pPr>
            <w:r>
              <w:rPr>
                <w:rFonts w:ascii="Arial" w:cs="Arial" w:eastAsia="Arial" w:hAnsi="Arial"/>
                <w:sz w:val="15"/>
                <w:szCs w:val="15"/>
                <w:color w:val="auto"/>
              </w:rPr>
              <w:t>$2.4B</w:t>
            </w:r>
          </w:p>
        </w:tc>
        <w:tc>
          <w:tcPr>
            <w:tcW w:w="1680" w:type="dxa"/>
            <w:vAlign w:val="bottom"/>
            <w:tcBorders>
              <w:bottom w:val="single" w:sz="8" w:color="D1DDE6"/>
            </w:tcBorders>
            <w:shd w:val="clear" w:color="auto" w:fill="D1DDE6"/>
          </w:tcPr>
          <w:p>
            <w:pPr>
              <w:jc w:val="center"/>
              <w:ind w:left="43"/>
              <w:spacing w:after="0"/>
              <w:rPr>
                <w:sz w:val="20"/>
                <w:szCs w:val="20"/>
                <w:color w:val="auto"/>
              </w:rPr>
            </w:pPr>
            <w:r>
              <w:rPr>
                <w:rFonts w:ascii="Arial" w:cs="Arial" w:eastAsia="Arial" w:hAnsi="Arial"/>
                <w:sz w:val="15"/>
                <w:szCs w:val="15"/>
                <w:color w:val="auto"/>
              </w:rPr>
              <w:t>67%</w:t>
            </w:r>
          </w:p>
        </w:tc>
        <w:tc>
          <w:tcPr>
            <w:tcW w:w="20" w:type="dxa"/>
            <w:vAlign w:val="bottom"/>
          </w:tcPr>
          <w:p>
            <w:pPr>
              <w:spacing w:after="0"/>
              <w:rPr>
                <w:sz w:val="20"/>
                <w:szCs w:val="20"/>
                <w:color w:val="auto"/>
              </w:rPr>
            </w:pPr>
          </w:p>
        </w:tc>
      </w:tr>
      <w:tr>
        <w:trPr>
          <w:trHeight w:val="218"/>
        </w:trPr>
        <w:tc>
          <w:tcPr>
            <w:tcW w:w="4580" w:type="dxa"/>
            <w:vAlign w:val="bottom"/>
            <w:tcBorders>
              <w:top w:val="single" w:sz="8" w:color="34657F"/>
            </w:tcBorders>
          </w:tcPr>
          <w:p>
            <w:pPr>
              <w:spacing w:after="0"/>
              <w:rPr>
                <w:sz w:val="18"/>
                <w:szCs w:val="18"/>
                <w:color w:val="auto"/>
              </w:rPr>
            </w:pPr>
          </w:p>
        </w:tc>
        <w:tc>
          <w:tcPr>
            <w:tcW w:w="1680" w:type="dxa"/>
            <w:vAlign w:val="bottom"/>
            <w:tcBorders>
              <w:top w:val="single" w:sz="8" w:color="34657F"/>
            </w:tcBorders>
          </w:tcPr>
          <w:p>
            <w:pPr>
              <w:spacing w:after="0"/>
              <w:rPr>
                <w:sz w:val="18"/>
                <w:szCs w:val="18"/>
                <w:color w:val="auto"/>
              </w:rPr>
            </w:pPr>
          </w:p>
        </w:tc>
        <w:tc>
          <w:tcPr>
            <w:tcW w:w="1760" w:type="dxa"/>
            <w:vAlign w:val="bottom"/>
            <w:tcBorders>
              <w:top w:val="single" w:sz="8" w:color="34657F"/>
            </w:tcBorders>
          </w:tcPr>
          <w:p>
            <w:pPr>
              <w:spacing w:after="0"/>
              <w:rPr>
                <w:sz w:val="18"/>
                <w:szCs w:val="18"/>
                <w:color w:val="auto"/>
              </w:rPr>
            </w:pPr>
          </w:p>
        </w:tc>
        <w:tc>
          <w:tcPr>
            <w:tcW w:w="1720" w:type="dxa"/>
            <w:vAlign w:val="bottom"/>
            <w:tcBorders>
              <w:top w:val="single" w:sz="8" w:color="34657F"/>
            </w:tcBorders>
          </w:tcPr>
          <w:p>
            <w:pPr>
              <w:spacing w:after="0"/>
              <w:rPr>
                <w:sz w:val="18"/>
                <w:szCs w:val="18"/>
                <w:color w:val="auto"/>
              </w:rPr>
            </w:pPr>
          </w:p>
        </w:tc>
        <w:tc>
          <w:tcPr>
            <w:tcW w:w="1680" w:type="dxa"/>
            <w:vAlign w:val="bottom"/>
            <w:tcBorders>
              <w:top w:val="single" w:sz="8" w:color="34657F"/>
            </w:tcBorders>
          </w:tcPr>
          <w:p>
            <w:pPr>
              <w:jc w:val="center"/>
              <w:ind w:left="43"/>
              <w:spacing w:after="0"/>
              <w:rPr>
                <w:sz w:val="20"/>
                <w:szCs w:val="20"/>
                <w:color w:val="auto"/>
              </w:rPr>
            </w:pPr>
            <w:r>
              <w:rPr>
                <w:rFonts w:ascii="Arial" w:cs="Arial" w:eastAsia="Arial" w:hAnsi="Arial"/>
                <w:sz w:val="15"/>
                <w:szCs w:val="15"/>
                <w:b w:val="1"/>
                <w:bCs w:val="1"/>
                <w:color w:val="auto"/>
              </w:rPr>
              <w:t>166%</w:t>
            </w:r>
          </w:p>
        </w:tc>
        <w:tc>
          <w:tcPr>
            <w:tcW w:w="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19685</wp:posOffset>
            </wp:positionV>
            <wp:extent cx="725360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53605" cy="8255"/>
                    </a:xfrm>
                    <a:prstGeom prst="rect">
                      <a:avLst/>
                    </a:prstGeom>
                    <a:noFill/>
                  </pic:spPr>
                </pic:pic>
              </a:graphicData>
            </a:graphic>
          </wp:anchor>
        </w:drawing>
      </w:r>
    </w:p>
    <w:p>
      <w:pPr>
        <w:spacing w:after="0" w:line="51" w:lineRule="exact"/>
        <w:rPr>
          <w:sz w:val="20"/>
          <w:szCs w:val="20"/>
          <w:color w:val="auto"/>
        </w:rPr>
      </w:pPr>
    </w:p>
    <w:p>
      <w:pPr>
        <w:ind w:left="20"/>
        <w:spacing w:after="0"/>
        <w:rPr>
          <w:sz w:val="20"/>
          <w:szCs w:val="20"/>
          <w:color w:val="auto"/>
        </w:rPr>
      </w:pPr>
      <w:r>
        <w:rPr>
          <w:rFonts w:ascii="Arial" w:cs="Arial" w:eastAsia="Arial" w:hAnsi="Arial"/>
          <w:sz w:val="15"/>
          <w:szCs w:val="15"/>
          <w:color w:val="auto"/>
        </w:rPr>
        <w:t>* This metric is a non-GAAP financial measure. For more information, see "Appendix A - Use of Non-GAAP Financial Measures."</w:t>
      </w:r>
    </w:p>
    <w:p>
      <w:pPr>
        <w:spacing w:after="0" w:line="107" w:lineRule="exact"/>
        <w:rPr>
          <w:sz w:val="20"/>
          <w:szCs w:val="20"/>
          <w:color w:val="auto"/>
        </w:rPr>
      </w:pPr>
    </w:p>
    <w:p>
      <w:pPr>
        <w:ind w:right="80"/>
        <w:spacing w:after="0" w:line="255" w:lineRule="auto"/>
        <w:rPr>
          <w:sz w:val="20"/>
          <w:szCs w:val="20"/>
          <w:color w:val="auto"/>
        </w:rPr>
      </w:pPr>
      <w:r>
        <w:rPr>
          <w:rFonts w:ascii="Arial" w:cs="Arial" w:eastAsia="Arial" w:hAnsi="Arial"/>
          <w:sz w:val="17"/>
          <w:szCs w:val="17"/>
          <w:color w:val="auto"/>
        </w:rPr>
        <w:t>Performance against the annual non-financial metrics cannot exceed 100% and can result only in a downward adjustment to the financial performance score. The Company demonstrated strong performance in 2018 overall against the non-financial goals, and the Compensation Committee approved a non-financial score of 96.5%. In consideration of both the financial and non-financial performance, the 2018 Company Performance Factor was determined to be 160%.</w:t>
      </w:r>
    </w:p>
    <w:p>
      <w:pPr>
        <w:spacing w:after="0" w:line="144" w:lineRule="exact"/>
        <w:rPr>
          <w:sz w:val="20"/>
          <w:szCs w:val="20"/>
          <w:color w:val="auto"/>
        </w:rPr>
      </w:pPr>
    </w:p>
    <w:p>
      <w:pPr>
        <w:ind w:right="100"/>
        <w:spacing w:after="0" w:line="251" w:lineRule="auto"/>
        <w:rPr>
          <w:sz w:val="20"/>
          <w:szCs w:val="20"/>
          <w:color w:val="auto"/>
        </w:rPr>
      </w:pPr>
      <w:r>
        <w:rPr>
          <w:rFonts w:ascii="Arial" w:cs="Arial" w:eastAsia="Arial" w:hAnsi="Arial"/>
          <w:sz w:val="17"/>
          <w:szCs w:val="17"/>
          <w:color w:val="auto"/>
        </w:rPr>
        <w:t>Consistent with Mr. Larson’s continued leadership of the legacy Orbital ATK business in the newly established Innovation Systems sector, Mr. Larson’s 2018 final bonus award was determined based on the pre-established annual incentive goals under the Executive Officer Incentive Plan, 75% based on financial metrics and 25% based on operational objectives. For Mr. Larson, the Compensation Committee approved a performance range of</w:t>
      </w:r>
    </w:p>
    <w:p>
      <w:pPr>
        <w:spacing w:after="0" w:line="2" w:lineRule="exact"/>
        <w:rPr>
          <w:sz w:val="20"/>
          <w:szCs w:val="20"/>
          <w:color w:val="auto"/>
        </w:rPr>
      </w:pPr>
    </w:p>
    <w:p>
      <w:pPr>
        <w:ind w:right="180"/>
        <w:spacing w:after="0" w:line="254" w:lineRule="auto"/>
        <w:rPr>
          <w:sz w:val="20"/>
          <w:szCs w:val="20"/>
          <w:color w:val="auto"/>
        </w:rPr>
      </w:pPr>
      <w:r>
        <w:rPr>
          <w:rFonts w:ascii="Arial" w:cs="Arial" w:eastAsia="Arial" w:hAnsi="Arial"/>
          <w:sz w:val="17"/>
          <w:szCs w:val="17"/>
          <w:color w:val="auto"/>
        </w:rPr>
        <w:t>0%-200%. For 2018, the Orbital ATK financial metrics and targets consisted of Earnings before Interest and Taxes (EBIT) ($540M), Revenue ($4.8B), Free Cash Flow ($226M), equally weighted at 30% and Orders ($4.7B) weighted at 10%. The 2018 operational objectives were aimed at improving company processes and business systems, achieving certain cost reductions, and providing strong support to business group initiatives. The Compensation Committee assessed the 2018 performance and approved a score of 160%. In 2019, Mr. Larson will participate in the same AIP applicable to Northrop Grumman elected officers.</w:t>
      </w:r>
    </w:p>
    <w:p>
      <w:pPr>
        <w:spacing w:after="0" w:line="11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Decisions for 2018</w:t>
      </w:r>
    </w:p>
    <w:p>
      <w:pPr>
        <w:spacing w:after="0" w:line="103" w:lineRule="exact"/>
        <w:rPr>
          <w:sz w:val="20"/>
          <w:szCs w:val="20"/>
          <w:color w:val="auto"/>
        </w:rPr>
      </w:pPr>
    </w:p>
    <w:p>
      <w:pPr>
        <w:ind w:right="60"/>
        <w:spacing w:after="0" w:line="257" w:lineRule="auto"/>
        <w:rPr>
          <w:sz w:val="20"/>
          <w:szCs w:val="20"/>
          <w:color w:val="auto"/>
        </w:rPr>
      </w:pPr>
      <w:r>
        <w:rPr>
          <w:rFonts w:ascii="Arial" w:cs="Arial" w:eastAsia="Arial" w:hAnsi="Arial"/>
          <w:sz w:val="17"/>
          <w:szCs w:val="17"/>
          <w:color w:val="auto"/>
        </w:rPr>
        <w:t>In February 2019, the Compensation Committee recommended, and the independent members of our Board approved, a 2018 annual incentive award of $4,562,000 for Mr. Bush and a 2018 annual incentive award of $1,920,000 for Ms. Warden. As CEO, Ms. Warden recommended, and the Compensation Committee approved, the other NEOs' annual incentive awards.</w:t>
      </w:r>
    </w:p>
    <w:p>
      <w:pPr>
        <w:spacing w:after="0" w:line="193" w:lineRule="exact"/>
        <w:rPr>
          <w:sz w:val="20"/>
          <w:szCs w:val="20"/>
          <w:color w:val="auto"/>
        </w:rPr>
      </w:pPr>
    </w:p>
    <w:tbl>
      <w:tblPr>
        <w:tblLayout w:type="fixed"/>
        <w:tblInd w:w="780" w:type="dxa"/>
        <w:tblCellMar>
          <w:top w:w="0" w:type="dxa"/>
          <w:left w:w="0" w:type="dxa"/>
          <w:bottom w:w="0" w:type="dxa"/>
          <w:right w:w="0" w:type="dxa"/>
        </w:tblCellMar>
      </w:tblPr>
      <w:tr>
        <w:trPr>
          <w:trHeight w:val="202"/>
        </w:trPr>
        <w:tc>
          <w:tcPr>
            <w:tcW w:w="2380" w:type="dxa"/>
            <w:vAlign w:val="bottom"/>
            <w:shd w:val="clear" w:color="auto" w:fill="34657F"/>
          </w:tcPr>
          <w:p>
            <w:pPr>
              <w:spacing w:after="0"/>
              <w:rPr>
                <w:sz w:val="17"/>
                <w:szCs w:val="17"/>
                <w:color w:val="auto"/>
              </w:rPr>
            </w:pPr>
          </w:p>
        </w:tc>
        <w:tc>
          <w:tcPr>
            <w:tcW w:w="1920" w:type="dxa"/>
            <w:vAlign w:val="bottom"/>
            <w:shd w:val="clear" w:color="auto" w:fill="34657F"/>
          </w:tcPr>
          <w:p>
            <w:pPr>
              <w:ind w:left="440"/>
              <w:spacing w:after="0"/>
              <w:rPr>
                <w:sz w:val="20"/>
                <w:szCs w:val="20"/>
                <w:color w:val="auto"/>
              </w:rPr>
            </w:pPr>
            <w:r>
              <w:rPr>
                <w:rFonts w:ascii="Arial" w:cs="Arial" w:eastAsia="Arial" w:hAnsi="Arial"/>
                <w:sz w:val="15"/>
                <w:szCs w:val="15"/>
                <w:b w:val="1"/>
                <w:bCs w:val="1"/>
                <w:color w:val="FFFFFF"/>
              </w:rPr>
              <w:t>Target Payout</w:t>
            </w:r>
          </w:p>
        </w:tc>
        <w:tc>
          <w:tcPr>
            <w:tcW w:w="1900" w:type="dxa"/>
            <w:vAlign w:val="bottom"/>
            <w:shd w:val="clear" w:color="auto" w:fill="34657F"/>
          </w:tcPr>
          <w:p>
            <w:pPr>
              <w:jc w:val="center"/>
              <w:spacing w:after="0"/>
              <w:rPr>
                <w:sz w:val="20"/>
                <w:szCs w:val="20"/>
                <w:color w:val="auto"/>
              </w:rPr>
            </w:pPr>
            <w:r>
              <w:rPr>
                <w:rFonts w:ascii="Arial" w:cs="Arial" w:eastAsia="Arial" w:hAnsi="Arial"/>
                <w:sz w:val="15"/>
                <w:szCs w:val="15"/>
                <w:b w:val="1"/>
                <w:bCs w:val="1"/>
                <w:color w:val="FFFFFF"/>
              </w:rPr>
              <w:t>Payout Range</w:t>
            </w:r>
          </w:p>
        </w:tc>
        <w:tc>
          <w:tcPr>
            <w:tcW w:w="1820" w:type="dxa"/>
            <w:vAlign w:val="bottom"/>
            <w:shd w:val="clear" w:color="auto" w:fill="34657F"/>
          </w:tcPr>
          <w:p>
            <w:pPr>
              <w:jc w:val="center"/>
              <w:spacing w:after="0"/>
              <w:rPr>
                <w:sz w:val="20"/>
                <w:szCs w:val="20"/>
                <w:color w:val="auto"/>
              </w:rPr>
            </w:pPr>
            <w:r>
              <w:rPr>
                <w:rFonts w:ascii="Arial" w:cs="Arial" w:eastAsia="Arial" w:hAnsi="Arial"/>
                <w:sz w:val="15"/>
                <w:szCs w:val="15"/>
                <w:b w:val="1"/>
                <w:bCs w:val="1"/>
                <w:color w:val="FFFFFF"/>
              </w:rPr>
              <w:t>Actual Payout</w:t>
            </w:r>
          </w:p>
        </w:tc>
        <w:tc>
          <w:tcPr>
            <w:tcW w:w="1860" w:type="dxa"/>
            <w:vAlign w:val="bottom"/>
            <w:vMerge w:val="restart"/>
            <w:shd w:val="clear" w:color="auto" w:fill="34657F"/>
          </w:tcPr>
          <w:p>
            <w:pPr>
              <w:jc w:val="center"/>
              <w:ind w:left="23"/>
              <w:spacing w:after="0"/>
              <w:rPr>
                <w:sz w:val="20"/>
                <w:szCs w:val="20"/>
                <w:color w:val="auto"/>
              </w:rPr>
            </w:pPr>
            <w:r>
              <w:rPr>
                <w:rFonts w:ascii="Arial" w:cs="Arial" w:eastAsia="Arial" w:hAnsi="Arial"/>
                <w:sz w:val="15"/>
                <w:szCs w:val="15"/>
                <w:b w:val="1"/>
                <w:bCs w:val="1"/>
                <w:color w:val="FFFFFF"/>
                <w:w w:val="99"/>
              </w:rPr>
              <w:t xml:space="preserve">Actual Payout </w:t>
            </w:r>
            <w:r>
              <w:rPr>
                <w:rFonts w:ascii="Arial" w:cs="Arial" w:eastAsia="Arial" w:hAnsi="Arial"/>
                <w:sz w:val="25"/>
                <w:szCs w:val="25"/>
                <w:b w:val="1"/>
                <w:bCs w:val="1"/>
                <w:color w:val="FFFFFF"/>
                <w:w w:val="99"/>
                <w:vertAlign w:val="superscript"/>
              </w:rPr>
              <w:t>(1)</w:t>
            </w:r>
          </w:p>
        </w:tc>
        <w:tc>
          <w:tcPr>
            <w:tcW w:w="20" w:type="dxa"/>
            <w:vAlign w:val="bottom"/>
            <w:shd w:val="clear" w:color="auto" w:fill="34657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380" w:type="dxa"/>
            <w:vAlign w:val="bottom"/>
            <w:shd w:val="clear" w:color="auto" w:fill="34657F"/>
          </w:tcPr>
          <w:p>
            <w:pPr>
              <w:ind w:left="20"/>
              <w:spacing w:after="0"/>
              <w:rPr>
                <w:sz w:val="20"/>
                <w:szCs w:val="20"/>
                <w:color w:val="auto"/>
              </w:rPr>
            </w:pPr>
            <w:r>
              <w:rPr>
                <w:rFonts w:ascii="Arial" w:cs="Arial" w:eastAsia="Arial" w:hAnsi="Arial"/>
                <w:sz w:val="15"/>
                <w:szCs w:val="15"/>
                <w:b w:val="1"/>
                <w:bCs w:val="1"/>
                <w:color w:val="FFFFFF"/>
              </w:rPr>
              <w:t>Name</w:t>
            </w:r>
          </w:p>
        </w:tc>
        <w:tc>
          <w:tcPr>
            <w:tcW w:w="1920" w:type="dxa"/>
            <w:vAlign w:val="bottom"/>
            <w:shd w:val="clear" w:color="auto" w:fill="34657F"/>
          </w:tcPr>
          <w:p>
            <w:pPr>
              <w:ind w:left="580"/>
              <w:spacing w:after="0"/>
              <w:rPr>
                <w:sz w:val="20"/>
                <w:szCs w:val="20"/>
                <w:color w:val="auto"/>
              </w:rPr>
            </w:pPr>
            <w:r>
              <w:rPr>
                <w:rFonts w:ascii="Arial" w:cs="Arial" w:eastAsia="Arial" w:hAnsi="Arial"/>
                <w:sz w:val="15"/>
                <w:szCs w:val="15"/>
                <w:b w:val="1"/>
                <w:bCs w:val="1"/>
                <w:color w:val="FFFFFF"/>
              </w:rPr>
              <w:t>% of Salary</w:t>
            </w:r>
          </w:p>
        </w:tc>
        <w:tc>
          <w:tcPr>
            <w:tcW w:w="1900" w:type="dxa"/>
            <w:vAlign w:val="bottom"/>
            <w:shd w:val="clear" w:color="auto" w:fill="34657F"/>
          </w:tcPr>
          <w:p>
            <w:pPr>
              <w:jc w:val="center"/>
              <w:spacing w:after="0"/>
              <w:rPr>
                <w:sz w:val="20"/>
                <w:szCs w:val="20"/>
                <w:color w:val="auto"/>
              </w:rPr>
            </w:pPr>
            <w:r>
              <w:rPr>
                <w:rFonts w:ascii="Arial" w:cs="Arial" w:eastAsia="Arial" w:hAnsi="Arial"/>
                <w:sz w:val="15"/>
                <w:szCs w:val="15"/>
                <w:b w:val="1"/>
                <w:bCs w:val="1"/>
                <w:color w:val="FFFFFF"/>
              </w:rPr>
              <w:t>% of Salary</w:t>
            </w:r>
          </w:p>
        </w:tc>
        <w:tc>
          <w:tcPr>
            <w:tcW w:w="1820" w:type="dxa"/>
            <w:vAlign w:val="bottom"/>
            <w:shd w:val="clear" w:color="auto" w:fill="34657F"/>
          </w:tcPr>
          <w:p>
            <w:pPr>
              <w:jc w:val="center"/>
              <w:spacing w:after="0"/>
              <w:rPr>
                <w:sz w:val="20"/>
                <w:szCs w:val="20"/>
                <w:color w:val="auto"/>
              </w:rPr>
            </w:pPr>
            <w:r>
              <w:rPr>
                <w:rFonts w:ascii="Arial" w:cs="Arial" w:eastAsia="Arial" w:hAnsi="Arial"/>
                <w:sz w:val="15"/>
                <w:szCs w:val="15"/>
                <w:b w:val="1"/>
                <w:bCs w:val="1"/>
                <w:color w:val="FFFFFF"/>
              </w:rPr>
              <w:t>% of Salary</w:t>
            </w:r>
          </w:p>
        </w:tc>
        <w:tc>
          <w:tcPr>
            <w:tcW w:w="1860" w:type="dxa"/>
            <w:vAlign w:val="bottom"/>
            <w:vMerge w:val="continue"/>
            <w:shd w:val="clear" w:color="auto" w:fill="34657F"/>
          </w:tcPr>
          <w:p>
            <w:pPr>
              <w:spacing w:after="0"/>
              <w:rPr>
                <w:sz w:val="20"/>
                <w:szCs w:val="20"/>
                <w:color w:val="auto"/>
              </w:rPr>
            </w:pPr>
          </w:p>
        </w:tc>
        <w:tc>
          <w:tcPr>
            <w:tcW w:w="20" w:type="dxa"/>
            <w:vAlign w:val="bottom"/>
            <w:shd w:val="clear" w:color="auto" w:fill="34657F"/>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380" w:type="dxa"/>
            <w:vAlign w:val="bottom"/>
            <w:tcBorders>
              <w:bottom w:val="single" w:sz="8" w:color="D1DDE6"/>
            </w:tcBorders>
            <w:shd w:val="clear" w:color="auto" w:fill="D1DDE6"/>
          </w:tcPr>
          <w:p>
            <w:pPr>
              <w:ind w:left="20"/>
              <w:spacing w:after="0"/>
              <w:rPr>
                <w:sz w:val="20"/>
                <w:szCs w:val="20"/>
                <w:color w:val="auto"/>
              </w:rPr>
            </w:pPr>
            <w:r>
              <w:rPr>
                <w:rFonts w:ascii="Arial" w:cs="Arial" w:eastAsia="Arial" w:hAnsi="Arial"/>
                <w:sz w:val="15"/>
                <w:szCs w:val="15"/>
                <w:color w:val="auto"/>
              </w:rPr>
              <w:t>Wesley G. Bush</w:t>
            </w:r>
          </w:p>
        </w:tc>
        <w:tc>
          <w:tcPr>
            <w:tcW w:w="1920" w:type="dxa"/>
            <w:vAlign w:val="bottom"/>
            <w:tcBorders>
              <w:bottom w:val="single" w:sz="8" w:color="D1DDE6"/>
            </w:tcBorders>
            <w:shd w:val="clear" w:color="auto" w:fill="D1DDE6"/>
          </w:tcPr>
          <w:p>
            <w:pPr>
              <w:jc w:val="center"/>
              <w:ind w:left="3"/>
              <w:spacing w:after="0"/>
              <w:rPr>
                <w:sz w:val="20"/>
                <w:szCs w:val="20"/>
                <w:color w:val="auto"/>
              </w:rPr>
            </w:pPr>
            <w:r>
              <w:rPr>
                <w:rFonts w:ascii="Arial" w:cs="Arial" w:eastAsia="Arial" w:hAnsi="Arial"/>
                <w:sz w:val="15"/>
                <w:szCs w:val="15"/>
                <w:color w:val="auto"/>
              </w:rPr>
              <w:t>180%</w:t>
            </w:r>
          </w:p>
        </w:tc>
        <w:tc>
          <w:tcPr>
            <w:tcW w:w="1900" w:type="dxa"/>
            <w:vAlign w:val="bottom"/>
            <w:tcBorders>
              <w:bottom w:val="single" w:sz="8" w:color="D1DDE6"/>
            </w:tcBorders>
            <w:shd w:val="clear" w:color="auto" w:fill="D1DDE6"/>
          </w:tcPr>
          <w:p>
            <w:pPr>
              <w:jc w:val="center"/>
              <w:spacing w:after="0"/>
              <w:rPr>
                <w:sz w:val="20"/>
                <w:szCs w:val="20"/>
                <w:color w:val="auto"/>
              </w:rPr>
            </w:pPr>
            <w:r>
              <w:rPr>
                <w:rFonts w:ascii="Arial" w:cs="Arial" w:eastAsia="Arial" w:hAnsi="Arial"/>
                <w:sz w:val="15"/>
                <w:szCs w:val="15"/>
                <w:color w:val="auto"/>
              </w:rPr>
              <w:t>0% - 360%</w:t>
            </w:r>
          </w:p>
        </w:tc>
        <w:tc>
          <w:tcPr>
            <w:tcW w:w="1820" w:type="dxa"/>
            <w:vAlign w:val="bottom"/>
            <w:tcBorders>
              <w:bottom w:val="single" w:sz="8" w:color="D1DDE6"/>
            </w:tcBorders>
            <w:shd w:val="clear" w:color="auto" w:fill="D1DDE6"/>
          </w:tcPr>
          <w:p>
            <w:pPr>
              <w:jc w:val="center"/>
              <w:spacing w:after="0"/>
              <w:rPr>
                <w:sz w:val="20"/>
                <w:szCs w:val="20"/>
                <w:color w:val="auto"/>
              </w:rPr>
            </w:pPr>
            <w:r>
              <w:rPr>
                <w:rFonts w:ascii="Arial" w:cs="Arial" w:eastAsia="Arial" w:hAnsi="Arial"/>
                <w:sz w:val="15"/>
                <w:szCs w:val="15"/>
                <w:color w:val="auto"/>
              </w:rPr>
              <w:t>288%</w:t>
            </w:r>
          </w:p>
        </w:tc>
        <w:tc>
          <w:tcPr>
            <w:tcW w:w="1860" w:type="dxa"/>
            <w:vAlign w:val="bottom"/>
            <w:tcBorders>
              <w:bottom w:val="single" w:sz="8" w:color="D1DDE6"/>
            </w:tcBorders>
            <w:shd w:val="clear" w:color="auto" w:fill="D1DDE6"/>
          </w:tcPr>
          <w:p>
            <w:pPr>
              <w:jc w:val="center"/>
              <w:ind w:left="23"/>
              <w:spacing w:after="0"/>
              <w:rPr>
                <w:sz w:val="20"/>
                <w:szCs w:val="20"/>
                <w:color w:val="auto"/>
              </w:rPr>
            </w:pPr>
            <w:r>
              <w:rPr>
                <w:rFonts w:ascii="Arial" w:cs="Arial" w:eastAsia="Arial" w:hAnsi="Arial"/>
                <w:sz w:val="15"/>
                <w:szCs w:val="15"/>
                <w:color w:val="auto"/>
              </w:rPr>
              <w:t>$4,562,000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380" w:type="dxa"/>
            <w:vAlign w:val="bottom"/>
          </w:tcPr>
          <w:p>
            <w:pPr>
              <w:ind w:left="20"/>
              <w:spacing w:after="0"/>
              <w:rPr>
                <w:sz w:val="20"/>
                <w:szCs w:val="20"/>
                <w:color w:val="auto"/>
              </w:rPr>
            </w:pPr>
            <w:r>
              <w:rPr>
                <w:rFonts w:ascii="Arial" w:cs="Arial" w:eastAsia="Arial" w:hAnsi="Arial"/>
                <w:sz w:val="15"/>
                <w:szCs w:val="15"/>
                <w:color w:val="auto"/>
              </w:rPr>
              <w:t>Kathy J. Warden</w:t>
            </w:r>
          </w:p>
        </w:tc>
        <w:tc>
          <w:tcPr>
            <w:tcW w:w="1920" w:type="dxa"/>
            <w:vAlign w:val="bottom"/>
          </w:tcPr>
          <w:p>
            <w:pPr>
              <w:jc w:val="center"/>
              <w:ind w:left="3"/>
              <w:spacing w:after="0"/>
              <w:rPr>
                <w:sz w:val="20"/>
                <w:szCs w:val="20"/>
                <w:color w:val="auto"/>
              </w:rPr>
            </w:pPr>
            <w:r>
              <w:rPr>
                <w:rFonts w:ascii="Arial" w:cs="Arial" w:eastAsia="Arial" w:hAnsi="Arial"/>
                <w:sz w:val="15"/>
                <w:szCs w:val="15"/>
                <w:color w:val="auto"/>
              </w:rPr>
              <w:t>120%</w:t>
            </w:r>
          </w:p>
        </w:tc>
        <w:tc>
          <w:tcPr>
            <w:tcW w:w="1900" w:type="dxa"/>
            <w:vAlign w:val="bottom"/>
          </w:tcPr>
          <w:p>
            <w:pPr>
              <w:jc w:val="center"/>
              <w:spacing w:after="0"/>
              <w:rPr>
                <w:sz w:val="20"/>
                <w:szCs w:val="20"/>
                <w:color w:val="auto"/>
              </w:rPr>
            </w:pPr>
            <w:r>
              <w:rPr>
                <w:rFonts w:ascii="Arial" w:cs="Arial" w:eastAsia="Arial" w:hAnsi="Arial"/>
                <w:sz w:val="15"/>
                <w:szCs w:val="15"/>
                <w:color w:val="auto"/>
              </w:rPr>
              <w:t>0% - 240%</w:t>
            </w:r>
          </w:p>
        </w:tc>
        <w:tc>
          <w:tcPr>
            <w:tcW w:w="1820" w:type="dxa"/>
            <w:vAlign w:val="bottom"/>
          </w:tcPr>
          <w:p>
            <w:pPr>
              <w:jc w:val="center"/>
              <w:spacing w:after="0"/>
              <w:rPr>
                <w:sz w:val="20"/>
                <w:szCs w:val="20"/>
                <w:color w:val="auto"/>
              </w:rPr>
            </w:pPr>
            <w:r>
              <w:rPr>
                <w:rFonts w:ascii="Arial" w:cs="Arial" w:eastAsia="Arial" w:hAnsi="Arial"/>
                <w:sz w:val="15"/>
                <w:szCs w:val="15"/>
                <w:color w:val="auto"/>
              </w:rPr>
              <w:t>192%</w:t>
            </w:r>
          </w:p>
        </w:tc>
        <w:tc>
          <w:tcPr>
            <w:tcW w:w="1860" w:type="dxa"/>
            <w:vAlign w:val="bottom"/>
          </w:tcPr>
          <w:p>
            <w:pPr>
              <w:jc w:val="center"/>
              <w:ind w:left="23"/>
              <w:spacing w:after="0"/>
              <w:rPr>
                <w:sz w:val="20"/>
                <w:szCs w:val="20"/>
                <w:color w:val="auto"/>
              </w:rPr>
            </w:pPr>
            <w:r>
              <w:rPr>
                <w:rFonts w:ascii="Arial" w:cs="Arial" w:eastAsia="Arial" w:hAnsi="Arial"/>
                <w:sz w:val="15"/>
                <w:szCs w:val="15"/>
                <w:color w:val="auto"/>
              </w:rPr>
              <w:t>$1,920,000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
        </w:trPr>
        <w:tc>
          <w:tcPr>
            <w:tcW w:w="23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2380" w:type="dxa"/>
            <w:vAlign w:val="bottom"/>
            <w:tcBorders>
              <w:bottom w:val="single" w:sz="8" w:color="D1DDE6"/>
            </w:tcBorders>
            <w:shd w:val="clear" w:color="auto" w:fill="D1DDE6"/>
          </w:tcPr>
          <w:p>
            <w:pPr>
              <w:ind w:left="20"/>
              <w:spacing w:after="0"/>
              <w:rPr>
                <w:sz w:val="20"/>
                <w:szCs w:val="20"/>
                <w:color w:val="auto"/>
              </w:rPr>
            </w:pPr>
            <w:r>
              <w:rPr>
                <w:rFonts w:ascii="Arial" w:cs="Arial" w:eastAsia="Arial" w:hAnsi="Arial"/>
                <w:sz w:val="15"/>
                <w:szCs w:val="15"/>
                <w:color w:val="auto"/>
              </w:rPr>
              <w:t>Kenneth L. Bedingfield</w:t>
            </w:r>
          </w:p>
        </w:tc>
        <w:tc>
          <w:tcPr>
            <w:tcW w:w="1920" w:type="dxa"/>
            <w:vAlign w:val="bottom"/>
            <w:tcBorders>
              <w:bottom w:val="single" w:sz="8" w:color="D1DDE6"/>
            </w:tcBorders>
            <w:shd w:val="clear" w:color="auto" w:fill="D1DDE6"/>
          </w:tcPr>
          <w:p>
            <w:pPr>
              <w:jc w:val="center"/>
              <w:ind w:left="3"/>
              <w:spacing w:after="0"/>
              <w:rPr>
                <w:sz w:val="20"/>
                <w:szCs w:val="20"/>
                <w:color w:val="auto"/>
              </w:rPr>
            </w:pPr>
            <w:r>
              <w:rPr>
                <w:rFonts w:ascii="Arial" w:cs="Arial" w:eastAsia="Arial" w:hAnsi="Arial"/>
                <w:sz w:val="15"/>
                <w:szCs w:val="15"/>
                <w:color w:val="auto"/>
              </w:rPr>
              <w:t>100%</w:t>
            </w:r>
          </w:p>
        </w:tc>
        <w:tc>
          <w:tcPr>
            <w:tcW w:w="1900" w:type="dxa"/>
            <w:vAlign w:val="bottom"/>
            <w:tcBorders>
              <w:bottom w:val="single" w:sz="8" w:color="D1DDE6"/>
            </w:tcBorders>
            <w:shd w:val="clear" w:color="auto" w:fill="D1DDE6"/>
          </w:tcPr>
          <w:p>
            <w:pPr>
              <w:jc w:val="center"/>
              <w:spacing w:after="0"/>
              <w:rPr>
                <w:sz w:val="20"/>
                <w:szCs w:val="20"/>
                <w:color w:val="auto"/>
              </w:rPr>
            </w:pPr>
            <w:r>
              <w:rPr>
                <w:rFonts w:ascii="Arial" w:cs="Arial" w:eastAsia="Arial" w:hAnsi="Arial"/>
                <w:sz w:val="15"/>
                <w:szCs w:val="15"/>
                <w:color w:val="auto"/>
              </w:rPr>
              <w:t>0% - 200%</w:t>
            </w:r>
          </w:p>
        </w:tc>
        <w:tc>
          <w:tcPr>
            <w:tcW w:w="1820" w:type="dxa"/>
            <w:vAlign w:val="bottom"/>
            <w:tcBorders>
              <w:bottom w:val="single" w:sz="8" w:color="D1DDE6"/>
            </w:tcBorders>
            <w:shd w:val="clear" w:color="auto" w:fill="D1DDE6"/>
          </w:tcPr>
          <w:p>
            <w:pPr>
              <w:jc w:val="center"/>
              <w:spacing w:after="0"/>
              <w:rPr>
                <w:sz w:val="20"/>
                <w:szCs w:val="20"/>
                <w:color w:val="auto"/>
              </w:rPr>
            </w:pPr>
            <w:r>
              <w:rPr>
                <w:rFonts w:ascii="Arial" w:cs="Arial" w:eastAsia="Arial" w:hAnsi="Arial"/>
                <w:sz w:val="15"/>
                <w:szCs w:val="15"/>
                <w:color w:val="auto"/>
              </w:rPr>
              <w:t>160%</w:t>
            </w:r>
          </w:p>
        </w:tc>
        <w:tc>
          <w:tcPr>
            <w:tcW w:w="1860" w:type="dxa"/>
            <w:vAlign w:val="bottom"/>
            <w:tcBorders>
              <w:bottom w:val="single" w:sz="8" w:color="D1DDE6"/>
            </w:tcBorders>
            <w:shd w:val="clear" w:color="auto" w:fill="D1DDE6"/>
          </w:tcPr>
          <w:p>
            <w:pPr>
              <w:jc w:val="center"/>
              <w:ind w:left="23"/>
              <w:spacing w:after="0"/>
              <w:rPr>
                <w:sz w:val="20"/>
                <w:szCs w:val="20"/>
                <w:color w:val="auto"/>
              </w:rPr>
            </w:pPr>
            <w:r>
              <w:rPr>
                <w:rFonts w:ascii="Arial" w:cs="Arial" w:eastAsia="Arial" w:hAnsi="Arial"/>
                <w:sz w:val="15"/>
                <w:szCs w:val="15"/>
                <w:color w:val="auto"/>
              </w:rPr>
              <w:t>$1,304,000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380" w:type="dxa"/>
            <w:vAlign w:val="bottom"/>
          </w:tcPr>
          <w:p>
            <w:pPr>
              <w:ind w:left="20"/>
              <w:spacing w:after="0"/>
              <w:rPr>
                <w:sz w:val="20"/>
                <w:szCs w:val="20"/>
                <w:color w:val="auto"/>
              </w:rPr>
            </w:pPr>
            <w:r>
              <w:rPr>
                <w:rFonts w:ascii="Arial" w:cs="Arial" w:eastAsia="Arial" w:hAnsi="Arial"/>
                <w:sz w:val="15"/>
                <w:szCs w:val="15"/>
                <w:color w:val="auto"/>
              </w:rPr>
              <w:t>Mark A. Caylor</w:t>
            </w:r>
          </w:p>
        </w:tc>
        <w:tc>
          <w:tcPr>
            <w:tcW w:w="1920" w:type="dxa"/>
            <w:vAlign w:val="bottom"/>
          </w:tcPr>
          <w:p>
            <w:pPr>
              <w:jc w:val="center"/>
              <w:ind w:left="3"/>
              <w:spacing w:after="0"/>
              <w:rPr>
                <w:sz w:val="20"/>
                <w:szCs w:val="20"/>
                <w:color w:val="auto"/>
              </w:rPr>
            </w:pPr>
            <w:r>
              <w:rPr>
                <w:rFonts w:ascii="Arial" w:cs="Arial" w:eastAsia="Arial" w:hAnsi="Arial"/>
                <w:sz w:val="15"/>
                <w:szCs w:val="15"/>
                <w:color w:val="auto"/>
              </w:rPr>
              <w:t>100%</w:t>
            </w:r>
          </w:p>
        </w:tc>
        <w:tc>
          <w:tcPr>
            <w:tcW w:w="1900" w:type="dxa"/>
            <w:vAlign w:val="bottom"/>
          </w:tcPr>
          <w:p>
            <w:pPr>
              <w:jc w:val="center"/>
              <w:spacing w:after="0"/>
              <w:rPr>
                <w:sz w:val="20"/>
                <w:szCs w:val="20"/>
                <w:color w:val="auto"/>
              </w:rPr>
            </w:pPr>
            <w:r>
              <w:rPr>
                <w:rFonts w:ascii="Arial" w:cs="Arial" w:eastAsia="Arial" w:hAnsi="Arial"/>
                <w:sz w:val="15"/>
                <w:szCs w:val="15"/>
                <w:color w:val="auto"/>
              </w:rPr>
              <w:t>0% - 200%</w:t>
            </w:r>
          </w:p>
        </w:tc>
        <w:tc>
          <w:tcPr>
            <w:tcW w:w="1820" w:type="dxa"/>
            <w:vAlign w:val="bottom"/>
          </w:tcPr>
          <w:p>
            <w:pPr>
              <w:jc w:val="center"/>
              <w:spacing w:after="0"/>
              <w:rPr>
                <w:sz w:val="20"/>
                <w:szCs w:val="20"/>
                <w:color w:val="auto"/>
              </w:rPr>
            </w:pPr>
            <w:r>
              <w:rPr>
                <w:rFonts w:ascii="Arial" w:cs="Arial" w:eastAsia="Arial" w:hAnsi="Arial"/>
                <w:sz w:val="15"/>
                <w:szCs w:val="15"/>
                <w:color w:val="auto"/>
              </w:rPr>
              <w:t>160%</w:t>
            </w:r>
          </w:p>
        </w:tc>
        <w:tc>
          <w:tcPr>
            <w:tcW w:w="1860" w:type="dxa"/>
            <w:vAlign w:val="bottom"/>
          </w:tcPr>
          <w:p>
            <w:pPr>
              <w:jc w:val="center"/>
              <w:ind w:left="23"/>
              <w:spacing w:after="0"/>
              <w:rPr>
                <w:sz w:val="20"/>
                <w:szCs w:val="20"/>
                <w:color w:val="auto"/>
              </w:rPr>
            </w:pPr>
            <w:r>
              <w:rPr>
                <w:rFonts w:ascii="Arial" w:cs="Arial" w:eastAsia="Arial" w:hAnsi="Arial"/>
                <w:sz w:val="15"/>
                <w:szCs w:val="15"/>
                <w:color w:val="auto"/>
              </w:rPr>
              <w:t>$1,328,000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
        </w:trPr>
        <w:tc>
          <w:tcPr>
            <w:tcW w:w="23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2380" w:type="dxa"/>
            <w:vAlign w:val="bottom"/>
            <w:tcBorders>
              <w:bottom w:val="single" w:sz="8" w:color="34657F"/>
            </w:tcBorders>
            <w:shd w:val="clear" w:color="auto" w:fill="D1DDE6"/>
          </w:tcPr>
          <w:p>
            <w:pPr>
              <w:ind w:left="20"/>
              <w:spacing w:after="0" w:line="257" w:lineRule="exact"/>
              <w:rPr>
                <w:sz w:val="20"/>
                <w:szCs w:val="20"/>
                <w:color w:val="auto"/>
              </w:rPr>
            </w:pPr>
            <w:r>
              <w:rPr>
                <w:rFonts w:ascii="Arial" w:cs="Arial" w:eastAsia="Arial" w:hAnsi="Arial"/>
                <w:sz w:val="15"/>
                <w:szCs w:val="15"/>
                <w:color w:val="auto"/>
              </w:rPr>
              <w:t xml:space="preserve">Blake E. Larson </w:t>
            </w:r>
            <w:r>
              <w:rPr>
                <w:rFonts w:ascii="Arial" w:cs="Arial" w:eastAsia="Arial" w:hAnsi="Arial"/>
                <w:sz w:val="25"/>
                <w:szCs w:val="25"/>
                <w:color w:val="auto"/>
                <w:vertAlign w:val="superscript"/>
              </w:rPr>
              <w:t>(2)</w:t>
            </w:r>
          </w:p>
        </w:tc>
        <w:tc>
          <w:tcPr>
            <w:tcW w:w="1920" w:type="dxa"/>
            <w:vAlign w:val="bottom"/>
            <w:tcBorders>
              <w:bottom w:val="single" w:sz="8" w:color="34657F"/>
            </w:tcBorders>
            <w:shd w:val="clear" w:color="auto" w:fill="D1DDE6"/>
          </w:tcPr>
          <w:p>
            <w:pPr>
              <w:jc w:val="center"/>
              <w:ind w:left="3"/>
              <w:spacing w:after="0"/>
              <w:rPr>
                <w:sz w:val="20"/>
                <w:szCs w:val="20"/>
                <w:color w:val="auto"/>
              </w:rPr>
            </w:pPr>
            <w:r>
              <w:rPr>
                <w:rFonts w:ascii="Arial" w:cs="Arial" w:eastAsia="Arial" w:hAnsi="Arial"/>
                <w:sz w:val="15"/>
                <w:szCs w:val="15"/>
                <w:color w:val="auto"/>
              </w:rPr>
              <w:t>96%</w:t>
            </w:r>
          </w:p>
        </w:tc>
        <w:tc>
          <w:tcPr>
            <w:tcW w:w="1900" w:type="dxa"/>
            <w:vAlign w:val="bottom"/>
            <w:tcBorders>
              <w:bottom w:val="single" w:sz="8" w:color="34657F"/>
            </w:tcBorders>
            <w:shd w:val="clear" w:color="auto" w:fill="D1DDE6"/>
          </w:tcPr>
          <w:p>
            <w:pPr>
              <w:jc w:val="center"/>
              <w:spacing w:after="0"/>
              <w:rPr>
                <w:sz w:val="20"/>
                <w:szCs w:val="20"/>
                <w:color w:val="auto"/>
              </w:rPr>
            </w:pPr>
            <w:r>
              <w:rPr>
                <w:rFonts w:ascii="Arial" w:cs="Arial" w:eastAsia="Arial" w:hAnsi="Arial"/>
                <w:sz w:val="15"/>
                <w:szCs w:val="15"/>
                <w:color w:val="auto"/>
              </w:rPr>
              <w:t>0% - 192%</w:t>
            </w:r>
          </w:p>
        </w:tc>
        <w:tc>
          <w:tcPr>
            <w:tcW w:w="1820" w:type="dxa"/>
            <w:vAlign w:val="bottom"/>
            <w:tcBorders>
              <w:bottom w:val="single" w:sz="8" w:color="34657F"/>
            </w:tcBorders>
            <w:shd w:val="clear" w:color="auto" w:fill="D1DDE6"/>
          </w:tcPr>
          <w:p>
            <w:pPr>
              <w:jc w:val="center"/>
              <w:spacing w:after="0"/>
              <w:rPr>
                <w:sz w:val="20"/>
                <w:szCs w:val="20"/>
                <w:color w:val="auto"/>
              </w:rPr>
            </w:pPr>
            <w:r>
              <w:rPr>
                <w:rFonts w:ascii="Arial" w:cs="Arial" w:eastAsia="Arial" w:hAnsi="Arial"/>
                <w:sz w:val="15"/>
                <w:szCs w:val="15"/>
                <w:color w:val="auto"/>
              </w:rPr>
              <w:t>153%</w:t>
            </w:r>
          </w:p>
        </w:tc>
        <w:tc>
          <w:tcPr>
            <w:tcW w:w="1860" w:type="dxa"/>
            <w:vAlign w:val="bottom"/>
            <w:tcBorders>
              <w:bottom w:val="single" w:sz="8" w:color="34657F"/>
            </w:tcBorders>
            <w:shd w:val="clear" w:color="auto" w:fill="D1DDE6"/>
          </w:tcPr>
          <w:p>
            <w:pPr>
              <w:jc w:val="center"/>
              <w:ind w:left="23"/>
              <w:spacing w:after="0"/>
              <w:rPr>
                <w:sz w:val="20"/>
                <w:szCs w:val="20"/>
                <w:color w:val="auto"/>
              </w:rPr>
            </w:pPr>
            <w:r>
              <w:rPr>
                <w:rFonts w:ascii="Arial" w:cs="Arial" w:eastAsia="Arial" w:hAnsi="Arial"/>
                <w:sz w:val="15"/>
                <w:szCs w:val="15"/>
                <w:color w:val="auto"/>
              </w:rPr>
              <w:t>$1,127,000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7" w:lineRule="exact"/>
        <w:rPr>
          <w:sz w:val="20"/>
          <w:szCs w:val="20"/>
          <w:color w:val="auto"/>
        </w:rPr>
      </w:pPr>
    </w:p>
    <w:p>
      <w:pPr>
        <w:ind w:left="940" w:right="1240" w:hanging="149"/>
        <w:spacing w:after="0" w:line="205" w:lineRule="auto"/>
        <w:tabs>
          <w:tab w:leader="none" w:pos="979" w:val="left"/>
        </w:tabs>
        <w:numPr>
          <w:ilvl w:val="0"/>
          <w:numId w:val="59"/>
        </w:numPr>
        <w:rPr>
          <w:rFonts w:ascii="Arial" w:cs="Arial" w:eastAsia="Arial" w:hAnsi="Arial"/>
          <w:sz w:val="23"/>
          <w:szCs w:val="23"/>
          <w:color w:val="auto"/>
          <w:vertAlign w:val="superscript"/>
        </w:rPr>
      </w:pPr>
      <w:r>
        <w:rPr>
          <w:rFonts w:ascii="Arial" w:cs="Arial" w:eastAsia="Arial" w:hAnsi="Arial"/>
          <w:sz w:val="14"/>
          <w:szCs w:val="14"/>
          <w:color w:val="auto"/>
        </w:rPr>
        <w:t>The potential range of bonus payouts based on 2018 performance is disclosed in the Grants of Plan-Based Awards Table. Actual bonus payouts for 2018 performance are disclosed above and in the Summary Compensation Table.</w:t>
      </w:r>
    </w:p>
    <w:p>
      <w:pPr>
        <w:spacing w:after="0" w:line="46" w:lineRule="exact"/>
        <w:rPr>
          <w:rFonts w:ascii="Arial" w:cs="Arial" w:eastAsia="Arial" w:hAnsi="Arial"/>
          <w:sz w:val="23"/>
          <w:szCs w:val="23"/>
          <w:color w:val="auto"/>
          <w:vertAlign w:val="superscript"/>
        </w:rPr>
      </w:pPr>
    </w:p>
    <w:p>
      <w:pPr>
        <w:ind w:left="940" w:right="1060" w:hanging="149"/>
        <w:spacing w:after="0" w:line="205" w:lineRule="auto"/>
        <w:tabs>
          <w:tab w:leader="none" w:pos="986" w:val="left"/>
        </w:tabs>
        <w:numPr>
          <w:ilvl w:val="0"/>
          <w:numId w:val="59"/>
        </w:numPr>
        <w:rPr>
          <w:rFonts w:ascii="Arial" w:cs="Arial" w:eastAsia="Arial" w:hAnsi="Arial"/>
          <w:sz w:val="23"/>
          <w:szCs w:val="23"/>
          <w:color w:val="auto"/>
          <w:vertAlign w:val="superscript"/>
        </w:rPr>
      </w:pPr>
      <w:r>
        <w:rPr>
          <w:rFonts w:ascii="Arial" w:cs="Arial" w:eastAsia="Arial" w:hAnsi="Arial"/>
          <w:sz w:val="14"/>
          <w:szCs w:val="14"/>
          <w:color w:val="auto"/>
        </w:rPr>
        <w:t>Mr. Larson was elected President, Innovation Systems, effective as of the Merger Date. The actual payout utilizes full-year metrics defined under the EOIP, but reflects the higher target adjusted for the time he served as an elected officer of Northrop Grumman.</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46 </w:t>
      </w:r>
      <w:r>
        <w:rPr>
          <w:rFonts w:ascii="Arial" w:cs="Arial" w:eastAsia="Arial" w:hAnsi="Arial"/>
          <w:sz w:val="13"/>
          <w:szCs w:val="13"/>
          <w:color w:val="auto"/>
        </w:rPr>
        <w:t>I</w:t>
      </w:r>
      <w:r>
        <w:rPr>
          <w:rFonts w:ascii="Arial" w:cs="Arial" w:eastAsia="Arial" w:hAnsi="Arial"/>
          <w:sz w:val="17"/>
          <w:szCs w:val="17"/>
          <w:color w:val="auto"/>
        </w:rPr>
        <w:t xml:space="preserve"> </w:t>
      </w:r>
      <w:r>
        <w:rPr>
          <w:rFonts w:ascii="Arial" w:cs="Arial" w:eastAsia="Arial" w:hAnsi="Arial"/>
          <w:sz w:val="13"/>
          <w:szCs w:val="13"/>
          <w:color w:val="34657F"/>
        </w:rPr>
        <w:t>NOTICE OF 2019 ANNUAL MEETING OF SHAREHOLDERS AND PROXY STATEMENT</w:t>
      </w:r>
    </w:p>
    <w:p>
      <w:pPr>
        <w:sectPr>
          <w:pgSz w:w="11900" w:h="16838" w:orient="portrait"/>
          <w:cols w:equalWidth="0" w:num="1">
            <w:col w:w="11440"/>
          </w:cols>
          <w:pgMar w:left="240" w:top="825" w:right="219" w:bottom="1440" w:gutter="0" w:footer="0" w:header="0"/>
        </w:sectPr>
      </w:pPr>
    </w:p>
    <w:bookmarkStart w:id="52" w:name="page53"/>
    <w:bookmarkEnd w:id="52"/>
    <w:p>
      <w:pPr>
        <w:ind w:left="20"/>
        <w:spacing w:after="0"/>
        <w:rPr>
          <w:sz w:val="20"/>
          <w:szCs w:val="20"/>
          <w:color w:val="auto"/>
        </w:rPr>
      </w:pPr>
      <w:r>
        <w:rPr>
          <w:rFonts w:ascii="Arial" w:cs="Arial" w:eastAsia="Arial" w:hAnsi="Arial"/>
          <w:sz w:val="21"/>
          <w:szCs w:val="21"/>
          <w:b w:val="1"/>
          <w:bCs w:val="1"/>
          <w:color w:val="FFFFFF"/>
        </w:rPr>
        <w:drawing>
          <wp:anchor simplePos="0" relativeHeight="251657728" behindDoc="1" locked="0" layoutInCell="0" allowOverlap="1">
            <wp:simplePos x="0" y="0"/>
            <wp:positionH relativeFrom="page">
              <wp:posOffset>154305</wp:posOffset>
            </wp:positionH>
            <wp:positionV relativeFrom="page">
              <wp:posOffset>463550</wp:posOffset>
            </wp:positionV>
            <wp:extent cx="7253605" cy="56197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53605" cy="561975"/>
                    </a:xfrm>
                    <a:prstGeom prst="rect">
                      <a:avLst/>
                    </a:prstGeom>
                    <a:noFill/>
                  </pic:spPr>
                </pic:pic>
              </a:graphicData>
            </a:graphic>
          </wp:anchor>
        </w:drawing>
        <w:t>COMPENSATION DISCUSSION AND ANALYSIS | K</w:t>
      </w:r>
      <w:r>
        <w:rPr>
          <w:rFonts w:ascii="Arial" w:cs="Arial" w:eastAsia="Arial" w:hAnsi="Arial"/>
          <w:sz w:val="17"/>
          <w:szCs w:val="17"/>
          <w:b w:val="1"/>
          <w:bCs w:val="1"/>
          <w:color w:val="FFFFFF"/>
        </w:rPr>
        <w:t>EY</w:t>
      </w:r>
      <w:r>
        <w:rPr>
          <w:rFonts w:ascii="Arial" w:cs="Arial" w:eastAsia="Arial" w:hAnsi="Arial"/>
          <w:sz w:val="21"/>
          <w:szCs w:val="21"/>
          <w:b w:val="1"/>
          <w:bCs w:val="1"/>
          <w:color w:val="FFFFFF"/>
        </w:rPr>
        <w:t xml:space="preserve"> C</w:t>
      </w:r>
      <w:r>
        <w:rPr>
          <w:rFonts w:ascii="Arial" w:cs="Arial" w:eastAsia="Arial" w:hAnsi="Arial"/>
          <w:sz w:val="17"/>
          <w:szCs w:val="17"/>
          <w:b w:val="1"/>
          <w:bCs w:val="1"/>
          <w:color w:val="FFFFFF"/>
        </w:rPr>
        <w:t>OMPONENTS OF OUR</w:t>
      </w:r>
      <w:r>
        <w:rPr>
          <w:rFonts w:ascii="Arial" w:cs="Arial" w:eastAsia="Arial" w:hAnsi="Arial"/>
          <w:sz w:val="21"/>
          <w:szCs w:val="21"/>
          <w:b w:val="1"/>
          <w:bCs w:val="1"/>
          <w:color w:val="FFFFFF"/>
        </w:rPr>
        <w:t xml:space="preserve"> P</w:t>
      </w:r>
      <w:r>
        <w:rPr>
          <w:rFonts w:ascii="Arial" w:cs="Arial" w:eastAsia="Arial" w:hAnsi="Arial"/>
          <w:sz w:val="17"/>
          <w:szCs w:val="17"/>
          <w:b w:val="1"/>
          <w:bCs w:val="1"/>
          <w:color w:val="FFFFFF"/>
        </w:rPr>
        <w:t>ROGRAMS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20"/>
        <w:spacing w:after="0"/>
        <w:rPr>
          <w:sz w:val="20"/>
          <w:szCs w:val="20"/>
          <w:color w:val="auto"/>
        </w:rPr>
      </w:pPr>
      <w:r>
        <w:rPr>
          <w:rFonts w:ascii="Arial" w:cs="Arial" w:eastAsia="Arial" w:hAnsi="Arial"/>
          <w:sz w:val="24"/>
          <w:szCs w:val="24"/>
          <w:b w:val="1"/>
          <w:bCs w:val="1"/>
          <w:color w:val="auto"/>
        </w:rPr>
        <w:t>Long-Term Incentive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38100</wp:posOffset>
            </wp:positionV>
            <wp:extent cx="7253605" cy="1651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pacing w:after="0" w:line="11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2018 Long-Term Incentive Program</w:t>
      </w:r>
    </w:p>
    <w:p>
      <w:pPr>
        <w:spacing w:after="0" w:line="103" w:lineRule="exact"/>
        <w:rPr>
          <w:sz w:val="20"/>
          <w:szCs w:val="20"/>
          <w:color w:val="auto"/>
        </w:rPr>
      </w:pPr>
    </w:p>
    <w:p>
      <w:pPr>
        <w:jc w:val="both"/>
        <w:ind w:right="240"/>
        <w:spacing w:after="0" w:line="257" w:lineRule="auto"/>
        <w:rPr>
          <w:sz w:val="20"/>
          <w:szCs w:val="20"/>
          <w:color w:val="auto"/>
        </w:rPr>
      </w:pPr>
      <w:r>
        <w:rPr>
          <w:rFonts w:ascii="Arial" w:cs="Arial" w:eastAsia="Arial" w:hAnsi="Arial"/>
          <w:sz w:val="17"/>
          <w:szCs w:val="17"/>
          <w:color w:val="auto"/>
        </w:rPr>
        <w:t>In determining the amount of the individual long-term incentive award for an NEO (other than the CEO), the Compensation Committee considers an elected officer's individual performance during the preceding year, growth in job as demonstrated through sustained performance, leadership impact, retention and pay relative to the CEO, as well as market data for the elected officer's position based on the Target Industry Peer Group analysis.</w:t>
      </w:r>
    </w:p>
    <w:p>
      <w:pPr>
        <w:spacing w:after="0" w:line="64" w:lineRule="exact"/>
        <w:rPr>
          <w:sz w:val="20"/>
          <w:szCs w:val="20"/>
          <w:color w:val="auto"/>
        </w:rPr>
      </w:pPr>
    </w:p>
    <w:p>
      <w:pPr>
        <w:ind w:right="100"/>
        <w:spacing w:after="0" w:line="255" w:lineRule="auto"/>
        <w:rPr>
          <w:sz w:val="20"/>
          <w:szCs w:val="20"/>
          <w:color w:val="auto"/>
        </w:rPr>
      </w:pPr>
      <w:r>
        <w:rPr>
          <w:rFonts w:ascii="Arial" w:cs="Arial" w:eastAsia="Arial" w:hAnsi="Arial"/>
          <w:sz w:val="17"/>
          <w:szCs w:val="17"/>
          <w:color w:val="auto"/>
        </w:rPr>
        <w:t>In 2018, after determining the award value for the NEOs as described above, the Compensation Committee granted awards in the form of RPSRs to ensure sustainability and achievement of business goals over time and RSRs to provide retention value. The awards were comprised of 70% RPSRs and 30% RSRs. The Compensation Committee determined this long-term incentive mix would appropriately motivate and reward the NEOs to achieve our long-term objectives and further reinforce the link between their interests and the interests of our shareholders.</w:t>
      </w:r>
    </w:p>
    <w:p>
      <w:pPr>
        <w:spacing w:after="0" w:line="67" w:lineRule="exact"/>
        <w:rPr>
          <w:sz w:val="20"/>
          <w:szCs w:val="20"/>
          <w:color w:val="auto"/>
        </w:rPr>
      </w:pPr>
    </w:p>
    <w:p>
      <w:pPr>
        <w:ind w:right="20"/>
        <w:spacing w:after="0" w:line="254" w:lineRule="auto"/>
        <w:rPr>
          <w:sz w:val="20"/>
          <w:szCs w:val="20"/>
          <w:color w:val="auto"/>
        </w:rPr>
      </w:pPr>
      <w:r>
        <w:rPr>
          <w:rFonts w:ascii="Arial" w:cs="Arial" w:eastAsia="Arial" w:hAnsi="Arial"/>
          <w:sz w:val="17"/>
          <w:szCs w:val="17"/>
          <w:color w:val="auto"/>
        </w:rPr>
        <w:t>The RPSRs will vest and be distributed following the completion of the three-year performance period (commencing January 1, 2018 and ending December 31, 2020) if goals are met. The RSRs generally vest 100% after three years. Earned RPSRs and RSRs may be paid in shares, cash or a combination of shares and cash at the Compensation Committee's discretion. An executive generally must remain employed through the vesting period to earn an award. Vesting for termination due to death, disability, retirement or change in control is discussed in the "Termination Payments and Benefits" section on page 66. Dividend equivalents accrue on both RPSR and RSR awards earned and will be paid upon distribution of the RPSRs and RSRs.</w:t>
      </w:r>
    </w:p>
    <w:p>
      <w:pPr>
        <w:spacing w:after="0" w:line="66" w:lineRule="exact"/>
        <w:rPr>
          <w:sz w:val="20"/>
          <w:szCs w:val="20"/>
          <w:color w:val="auto"/>
        </w:rPr>
      </w:pPr>
    </w:p>
    <w:p>
      <w:pPr>
        <w:ind w:right="140"/>
        <w:spacing w:after="0" w:line="254" w:lineRule="auto"/>
        <w:rPr>
          <w:sz w:val="20"/>
          <w:szCs w:val="20"/>
          <w:color w:val="auto"/>
        </w:rPr>
      </w:pPr>
      <w:r>
        <w:rPr>
          <w:rFonts w:ascii="Arial" w:cs="Arial" w:eastAsia="Arial" w:hAnsi="Arial"/>
          <w:sz w:val="17"/>
          <w:szCs w:val="17"/>
          <w:color w:val="auto"/>
        </w:rPr>
        <w:t>The Compensation Committee evaluates RPSR performance requirements each year to ensure they are aligned with our business objectives. For the 2018 RPSR grant, the Compensation Committee determined that for the NEOs, performance metrics will continue to be relative TSR and Cumulative FCF*, equally weighted at 50%. The current metrics and weightings reflect the Company's continued emphasis on operational performance directly impacted by management decisions and behaviors, while maintaining strong alignment with shareholder interests. Based on the performance against these metrics, shares earned for 2018 RPSR grants can vary from 0% to 150% of the rights awarded.</w:t>
      </w:r>
    </w:p>
    <w:p>
      <w:pPr>
        <w:spacing w:after="0" w:line="68" w:lineRule="exact"/>
        <w:rPr>
          <w:sz w:val="20"/>
          <w:szCs w:val="20"/>
          <w:color w:val="auto"/>
        </w:rPr>
      </w:pPr>
    </w:p>
    <w:p>
      <w:pPr>
        <w:ind w:right="40"/>
        <w:spacing w:after="0" w:line="254" w:lineRule="auto"/>
        <w:rPr>
          <w:sz w:val="20"/>
          <w:szCs w:val="20"/>
          <w:color w:val="auto"/>
        </w:rPr>
      </w:pPr>
      <w:r>
        <w:rPr>
          <w:rFonts w:ascii="Arial" w:cs="Arial" w:eastAsia="Arial" w:hAnsi="Arial"/>
          <w:sz w:val="17"/>
          <w:szCs w:val="17"/>
          <w:color w:val="auto"/>
        </w:rPr>
        <w:t>TSR is measured by comparing cumulative stock price appreciation with reinvestment of dividends over a three-year period to the Performance Peer Group (50% of relative TSR portion of award) and to the S&amp;P Industrials (50% of relative TSR portion of award), which comprises companies within the S&amp;P 500 classified as Industrials, reflecting the range of similar investment alternatives available to our shareholders. To smooth volatility in the market, the TSR calculation is based on the average of the 30 calendar days immediately prior to the start of the performance period and the last 30 calendar days of the performance period. The maximum relative TSR payout is capped at 100% of target shares if the absolute TSR is negative, even if the relative TSR would have resulted in a higher score.</w:t>
      </w:r>
    </w:p>
    <w:p>
      <w:pPr>
        <w:spacing w:after="0" w:line="66" w:lineRule="exact"/>
        <w:rPr>
          <w:sz w:val="20"/>
          <w:szCs w:val="20"/>
          <w:color w:val="auto"/>
        </w:rPr>
      </w:pPr>
    </w:p>
    <w:p>
      <w:pPr>
        <w:ind w:right="120"/>
        <w:spacing w:after="0" w:line="257" w:lineRule="auto"/>
        <w:rPr>
          <w:sz w:val="20"/>
          <w:szCs w:val="20"/>
          <w:color w:val="auto"/>
        </w:rPr>
      </w:pPr>
      <w:r>
        <w:rPr>
          <w:rFonts w:ascii="Arial" w:cs="Arial" w:eastAsia="Arial" w:hAnsi="Arial"/>
          <w:sz w:val="17"/>
          <w:szCs w:val="17"/>
          <w:color w:val="auto"/>
        </w:rPr>
        <w:t>Cumulative FCF* focuses on cash generation after capital investments and is calculated as the aggregate free cash flow before the after-tax impact of total pension funding* over a three-year period. Free cash flow* includes funds available to create shareholder value after investing in the business through capital expenditures.</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Recently Completed RPSR Performance Period (2016 – 2018)</w:t>
      </w:r>
    </w:p>
    <w:p>
      <w:pPr>
        <w:spacing w:after="0" w:line="103" w:lineRule="exact"/>
        <w:rPr>
          <w:sz w:val="20"/>
          <w:szCs w:val="20"/>
          <w:color w:val="auto"/>
        </w:rPr>
      </w:pPr>
    </w:p>
    <w:p>
      <w:pPr>
        <w:ind w:right="200"/>
        <w:spacing w:after="0" w:line="257" w:lineRule="auto"/>
        <w:rPr>
          <w:sz w:val="20"/>
          <w:szCs w:val="20"/>
          <w:color w:val="auto"/>
        </w:rPr>
      </w:pPr>
      <w:r>
        <w:rPr>
          <w:rFonts w:ascii="Arial" w:cs="Arial" w:eastAsia="Arial" w:hAnsi="Arial"/>
          <w:sz w:val="17"/>
          <w:szCs w:val="17"/>
          <w:color w:val="auto"/>
        </w:rPr>
        <w:t>In February 2016, when granting RPSRs to NEOs who were elected officers at the time of the grant, the Compensation Committee selected relative TSR weighted at 70% and Cumulative FCF* weighted at 30% as the performance metrics for the awards and established the performance criteria for the awards as set forth in the table below.</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9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760" w:type="dxa"/>
            <w:vAlign w:val="bottom"/>
            <w:gridSpan w:val="3"/>
            <w:shd w:val="clear" w:color="auto" w:fill="34657F"/>
          </w:tcPr>
          <w:p>
            <w:pPr>
              <w:ind w:left="220"/>
              <w:spacing w:after="0"/>
              <w:rPr>
                <w:sz w:val="20"/>
                <w:szCs w:val="20"/>
                <w:color w:val="auto"/>
              </w:rPr>
            </w:pPr>
            <w:r>
              <w:rPr>
                <w:rFonts w:ascii="Arial" w:cs="Arial" w:eastAsia="Arial" w:hAnsi="Arial"/>
                <w:sz w:val="15"/>
                <w:szCs w:val="15"/>
                <w:b w:val="1"/>
                <w:bCs w:val="1"/>
                <w:color w:val="FFFFFF"/>
              </w:rPr>
              <w:t>Performance Required to Score</w:t>
            </w:r>
          </w:p>
        </w:tc>
        <w:tc>
          <w:tcPr>
            <w:tcW w:w="13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1"/>
        </w:trPr>
        <w:tc>
          <w:tcPr>
            <w:tcW w:w="49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920" w:type="dxa"/>
            <w:vAlign w:val="bottom"/>
            <w:shd w:val="clear" w:color="auto" w:fill="34657F"/>
          </w:tcPr>
          <w:p>
            <w:pPr>
              <w:spacing w:after="0"/>
              <w:rPr>
                <w:sz w:val="2"/>
                <w:szCs w:val="2"/>
                <w:color w:val="auto"/>
              </w:rPr>
            </w:pPr>
          </w:p>
        </w:tc>
        <w:tc>
          <w:tcPr>
            <w:tcW w:w="920" w:type="dxa"/>
            <w:vAlign w:val="bottom"/>
            <w:shd w:val="clear" w:color="auto" w:fill="34657F"/>
          </w:tcPr>
          <w:p>
            <w:pPr>
              <w:spacing w:after="0"/>
              <w:rPr>
                <w:sz w:val="2"/>
                <w:szCs w:val="2"/>
                <w:color w:val="auto"/>
              </w:rPr>
            </w:pPr>
          </w:p>
        </w:tc>
        <w:tc>
          <w:tcPr>
            <w:tcW w:w="920" w:type="dxa"/>
            <w:vAlign w:val="bottom"/>
            <w:shd w:val="clear" w:color="auto" w:fill="34657F"/>
          </w:tcPr>
          <w:p>
            <w:pPr>
              <w:spacing w:after="0"/>
              <w:rPr>
                <w:sz w:val="2"/>
                <w:szCs w:val="2"/>
                <w:color w:val="auto"/>
              </w:rPr>
            </w:pPr>
          </w:p>
        </w:tc>
        <w:tc>
          <w:tcPr>
            <w:tcW w:w="1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02"/>
        </w:trPr>
        <w:tc>
          <w:tcPr>
            <w:tcW w:w="4920" w:type="dxa"/>
            <w:vAlign w:val="bottom"/>
            <w:shd w:val="clear" w:color="auto" w:fill="34657F"/>
          </w:tcPr>
          <w:p>
            <w:pPr>
              <w:spacing w:after="0"/>
              <w:rPr>
                <w:sz w:val="17"/>
                <w:szCs w:val="17"/>
                <w:color w:val="auto"/>
              </w:rPr>
            </w:pPr>
          </w:p>
        </w:tc>
        <w:tc>
          <w:tcPr>
            <w:tcW w:w="1040" w:type="dxa"/>
            <w:vAlign w:val="bottom"/>
            <w:shd w:val="clear" w:color="auto" w:fill="34657F"/>
          </w:tcPr>
          <w:p>
            <w:pPr>
              <w:spacing w:after="0"/>
              <w:rPr>
                <w:sz w:val="17"/>
                <w:szCs w:val="17"/>
                <w:color w:val="auto"/>
              </w:rPr>
            </w:pPr>
          </w:p>
        </w:tc>
        <w:tc>
          <w:tcPr>
            <w:tcW w:w="920" w:type="dxa"/>
            <w:vAlign w:val="bottom"/>
            <w:shd w:val="clear" w:color="auto" w:fill="34657F"/>
          </w:tcPr>
          <w:p>
            <w:pPr>
              <w:spacing w:after="0"/>
              <w:rPr>
                <w:sz w:val="17"/>
                <w:szCs w:val="17"/>
                <w:color w:val="auto"/>
              </w:rPr>
            </w:pPr>
          </w:p>
        </w:tc>
        <w:tc>
          <w:tcPr>
            <w:tcW w:w="920" w:type="dxa"/>
            <w:vAlign w:val="bottom"/>
            <w:shd w:val="clear" w:color="auto" w:fill="34657F"/>
          </w:tcPr>
          <w:p>
            <w:pPr>
              <w:spacing w:after="0"/>
              <w:rPr>
                <w:sz w:val="17"/>
                <w:szCs w:val="17"/>
                <w:color w:val="auto"/>
              </w:rPr>
            </w:pPr>
          </w:p>
        </w:tc>
        <w:tc>
          <w:tcPr>
            <w:tcW w:w="920" w:type="dxa"/>
            <w:vAlign w:val="bottom"/>
            <w:shd w:val="clear" w:color="auto" w:fill="34657F"/>
          </w:tcPr>
          <w:p>
            <w:pPr>
              <w:spacing w:after="0"/>
              <w:rPr>
                <w:sz w:val="17"/>
                <w:szCs w:val="17"/>
                <w:color w:val="auto"/>
              </w:rPr>
            </w:pPr>
          </w:p>
        </w:tc>
        <w:tc>
          <w:tcPr>
            <w:tcW w:w="1380" w:type="dxa"/>
            <w:vAlign w:val="bottom"/>
            <w:shd w:val="clear" w:color="auto" w:fill="34657F"/>
          </w:tcPr>
          <w:p>
            <w:pPr>
              <w:jc w:val="center"/>
              <w:spacing w:after="0"/>
              <w:rPr>
                <w:sz w:val="20"/>
                <w:szCs w:val="20"/>
                <w:color w:val="auto"/>
              </w:rPr>
            </w:pPr>
            <w:r>
              <w:rPr>
                <w:rFonts w:ascii="Arial" w:cs="Arial" w:eastAsia="Arial" w:hAnsi="Arial"/>
                <w:sz w:val="15"/>
                <w:szCs w:val="15"/>
                <w:b w:val="1"/>
                <w:bCs w:val="1"/>
                <w:color w:val="FFFFFF"/>
              </w:rPr>
              <w:t>2018 Actual</w:t>
            </w:r>
          </w:p>
        </w:tc>
        <w:tc>
          <w:tcPr>
            <w:tcW w:w="1320" w:type="dxa"/>
            <w:vAlign w:val="bottom"/>
            <w:shd w:val="clear" w:color="auto" w:fill="34657F"/>
          </w:tcPr>
          <w:p>
            <w:pPr>
              <w:spacing w:after="0"/>
              <w:rPr>
                <w:sz w:val="17"/>
                <w:szCs w:val="17"/>
                <w:color w:val="auto"/>
              </w:rPr>
            </w:pPr>
          </w:p>
        </w:tc>
        <w:tc>
          <w:tcPr>
            <w:tcW w:w="20" w:type="dxa"/>
            <w:vAlign w:val="bottom"/>
            <w:shd w:val="clear" w:color="auto" w:fill="34657F"/>
          </w:tcPr>
          <w:p>
            <w:pPr>
              <w:spacing w:after="0"/>
              <w:rPr>
                <w:sz w:val="17"/>
                <w:szCs w:val="17"/>
                <w:color w:val="auto"/>
              </w:rPr>
            </w:pPr>
          </w:p>
        </w:tc>
      </w:tr>
      <w:tr>
        <w:trPr>
          <w:trHeight w:val="214"/>
        </w:trPr>
        <w:tc>
          <w:tcPr>
            <w:tcW w:w="4920" w:type="dxa"/>
            <w:vAlign w:val="bottom"/>
            <w:tcBorders>
              <w:bottom w:val="single" w:sz="8" w:color="34657F"/>
            </w:tcBorders>
            <w:shd w:val="clear" w:color="auto" w:fill="34657F"/>
          </w:tcPr>
          <w:p>
            <w:pPr>
              <w:ind w:left="40"/>
              <w:spacing w:after="0"/>
              <w:rPr>
                <w:sz w:val="20"/>
                <w:szCs w:val="20"/>
                <w:color w:val="auto"/>
              </w:rPr>
            </w:pPr>
            <w:r>
              <w:rPr>
                <w:rFonts w:ascii="Arial" w:cs="Arial" w:eastAsia="Arial" w:hAnsi="Arial"/>
                <w:sz w:val="15"/>
                <w:szCs w:val="15"/>
                <w:b w:val="1"/>
                <w:bCs w:val="1"/>
                <w:color w:val="FFFFFF"/>
              </w:rPr>
              <w:t>Metric/Goal</w:t>
            </w:r>
          </w:p>
        </w:tc>
        <w:tc>
          <w:tcPr>
            <w:tcW w:w="1040" w:type="dxa"/>
            <w:vAlign w:val="bottom"/>
            <w:tcBorders>
              <w:bottom w:val="single" w:sz="8" w:color="34657F"/>
            </w:tcBorders>
            <w:shd w:val="clear" w:color="auto" w:fill="34657F"/>
          </w:tcPr>
          <w:p>
            <w:pPr>
              <w:jc w:val="center"/>
              <w:spacing w:after="0"/>
              <w:rPr>
                <w:sz w:val="20"/>
                <w:szCs w:val="20"/>
                <w:color w:val="auto"/>
              </w:rPr>
            </w:pPr>
            <w:r>
              <w:rPr>
                <w:rFonts w:ascii="Arial" w:cs="Arial" w:eastAsia="Arial" w:hAnsi="Arial"/>
                <w:sz w:val="15"/>
                <w:szCs w:val="15"/>
                <w:b w:val="1"/>
                <w:bCs w:val="1"/>
                <w:color w:val="FFFFFF"/>
              </w:rPr>
              <w:t>Weighting</w:t>
            </w:r>
          </w:p>
        </w:tc>
        <w:tc>
          <w:tcPr>
            <w:tcW w:w="920" w:type="dxa"/>
            <w:vAlign w:val="bottom"/>
            <w:tcBorders>
              <w:bottom w:val="single" w:sz="8" w:color="34657F"/>
            </w:tcBorders>
            <w:shd w:val="clear" w:color="auto" w:fill="34657F"/>
          </w:tcPr>
          <w:p>
            <w:pPr>
              <w:jc w:val="center"/>
              <w:spacing w:after="0"/>
              <w:rPr>
                <w:sz w:val="20"/>
                <w:szCs w:val="20"/>
                <w:color w:val="auto"/>
              </w:rPr>
            </w:pPr>
            <w:r>
              <w:rPr>
                <w:rFonts w:ascii="Arial" w:cs="Arial" w:eastAsia="Arial" w:hAnsi="Arial"/>
                <w:sz w:val="15"/>
                <w:szCs w:val="15"/>
                <w:b w:val="1"/>
                <w:bCs w:val="1"/>
                <w:color w:val="FFFFFF"/>
              </w:rPr>
              <w:t>0%</w:t>
            </w:r>
          </w:p>
        </w:tc>
        <w:tc>
          <w:tcPr>
            <w:tcW w:w="920" w:type="dxa"/>
            <w:vAlign w:val="bottom"/>
            <w:tcBorders>
              <w:bottom w:val="single" w:sz="8" w:color="34657F"/>
            </w:tcBorders>
            <w:shd w:val="clear" w:color="auto" w:fill="34657F"/>
          </w:tcPr>
          <w:p>
            <w:pPr>
              <w:jc w:val="center"/>
              <w:spacing w:after="0"/>
              <w:rPr>
                <w:sz w:val="20"/>
                <w:szCs w:val="20"/>
                <w:color w:val="auto"/>
              </w:rPr>
            </w:pPr>
            <w:r>
              <w:rPr>
                <w:rFonts w:ascii="Arial" w:cs="Arial" w:eastAsia="Arial" w:hAnsi="Arial"/>
                <w:sz w:val="15"/>
                <w:szCs w:val="15"/>
                <w:b w:val="1"/>
                <w:bCs w:val="1"/>
                <w:color w:val="FFFFFF"/>
              </w:rPr>
              <w:t>100%</w:t>
            </w:r>
          </w:p>
        </w:tc>
        <w:tc>
          <w:tcPr>
            <w:tcW w:w="920" w:type="dxa"/>
            <w:vAlign w:val="bottom"/>
            <w:tcBorders>
              <w:bottom w:val="single" w:sz="8" w:color="34657F"/>
            </w:tcBorders>
            <w:shd w:val="clear" w:color="auto" w:fill="34657F"/>
          </w:tcPr>
          <w:p>
            <w:pPr>
              <w:jc w:val="center"/>
              <w:spacing w:after="0"/>
              <w:rPr>
                <w:sz w:val="20"/>
                <w:szCs w:val="20"/>
                <w:color w:val="auto"/>
              </w:rPr>
            </w:pPr>
            <w:r>
              <w:rPr>
                <w:rFonts w:ascii="Arial" w:cs="Arial" w:eastAsia="Arial" w:hAnsi="Arial"/>
                <w:sz w:val="15"/>
                <w:szCs w:val="15"/>
                <w:b w:val="1"/>
                <w:bCs w:val="1"/>
                <w:color w:val="FFFFFF"/>
                <w:w w:val="98"/>
              </w:rPr>
              <w:t>150%</w:t>
            </w:r>
          </w:p>
        </w:tc>
        <w:tc>
          <w:tcPr>
            <w:tcW w:w="1380" w:type="dxa"/>
            <w:vAlign w:val="bottom"/>
            <w:tcBorders>
              <w:bottom w:val="single" w:sz="8" w:color="34657F"/>
            </w:tcBorders>
            <w:shd w:val="clear" w:color="auto" w:fill="34657F"/>
          </w:tcPr>
          <w:p>
            <w:pPr>
              <w:jc w:val="center"/>
              <w:spacing w:after="0"/>
              <w:rPr>
                <w:sz w:val="20"/>
                <w:szCs w:val="20"/>
                <w:color w:val="auto"/>
              </w:rPr>
            </w:pPr>
            <w:r>
              <w:rPr>
                <w:rFonts w:ascii="Arial" w:cs="Arial" w:eastAsia="Arial" w:hAnsi="Arial"/>
                <w:sz w:val="15"/>
                <w:szCs w:val="15"/>
                <w:b w:val="1"/>
                <w:bCs w:val="1"/>
                <w:color w:val="FFFFFF"/>
              </w:rPr>
              <w:t>Performance</w:t>
            </w:r>
          </w:p>
        </w:tc>
        <w:tc>
          <w:tcPr>
            <w:tcW w:w="1320" w:type="dxa"/>
            <w:vAlign w:val="bottom"/>
            <w:tcBorders>
              <w:bottom w:val="single" w:sz="8" w:color="34657F"/>
            </w:tcBorders>
            <w:shd w:val="clear" w:color="auto" w:fill="34657F"/>
          </w:tcPr>
          <w:p>
            <w:pPr>
              <w:ind w:left="240"/>
              <w:spacing w:after="0"/>
              <w:rPr>
                <w:sz w:val="20"/>
                <w:szCs w:val="20"/>
                <w:color w:val="auto"/>
              </w:rPr>
            </w:pPr>
            <w:r>
              <w:rPr>
                <w:rFonts w:ascii="Arial" w:cs="Arial" w:eastAsia="Arial" w:hAnsi="Arial"/>
                <w:sz w:val="15"/>
                <w:szCs w:val="15"/>
                <w:b w:val="1"/>
                <w:bCs w:val="1"/>
                <w:color w:val="FFFFFF"/>
              </w:rPr>
              <w:t>2018 Score</w:t>
            </w:r>
          </w:p>
        </w:tc>
        <w:tc>
          <w:tcPr>
            <w:tcW w:w="20" w:type="dxa"/>
            <w:vAlign w:val="bottom"/>
            <w:tcBorders>
              <w:bottom w:val="single" w:sz="8" w:color="34657F"/>
            </w:tcBorders>
            <w:shd w:val="clear" w:color="auto" w:fill="34657F"/>
          </w:tcPr>
          <w:p>
            <w:pPr>
              <w:spacing w:after="0"/>
              <w:rPr>
                <w:sz w:val="18"/>
                <w:szCs w:val="18"/>
                <w:color w:val="auto"/>
              </w:rPr>
            </w:pPr>
          </w:p>
        </w:tc>
      </w:tr>
      <w:tr>
        <w:trPr>
          <w:trHeight w:val="211"/>
        </w:trPr>
        <w:tc>
          <w:tcPr>
            <w:tcW w:w="4920" w:type="dxa"/>
            <w:vAlign w:val="bottom"/>
            <w:tcBorders>
              <w:bottom w:val="single" w:sz="8" w:color="D1DDE6"/>
            </w:tcBorders>
            <w:shd w:val="clear" w:color="auto" w:fill="D1DDE6"/>
          </w:tcPr>
          <w:p>
            <w:pPr>
              <w:ind w:left="20"/>
              <w:spacing w:after="0"/>
              <w:rPr>
                <w:sz w:val="20"/>
                <w:szCs w:val="20"/>
                <w:color w:val="auto"/>
              </w:rPr>
            </w:pPr>
            <w:r>
              <w:rPr>
                <w:rFonts w:ascii="Arial" w:cs="Arial" w:eastAsia="Arial" w:hAnsi="Arial"/>
                <w:sz w:val="15"/>
                <w:szCs w:val="15"/>
                <w:color w:val="auto"/>
                <w:highlight w:val="lightGray"/>
              </w:rPr>
              <w:t>Relative TSR - 2016 Performance Peer Group</w:t>
            </w:r>
          </w:p>
        </w:tc>
        <w:tc>
          <w:tcPr>
            <w:tcW w:w="1040" w:type="dxa"/>
            <w:vAlign w:val="bottom"/>
            <w:tcBorders>
              <w:bottom w:val="single" w:sz="8" w:color="D1DDE6"/>
            </w:tcBorders>
            <w:shd w:val="clear" w:color="auto" w:fill="D1DDE6"/>
          </w:tcPr>
          <w:p>
            <w:pPr>
              <w:jc w:val="center"/>
              <w:spacing w:after="0"/>
              <w:rPr>
                <w:sz w:val="20"/>
                <w:szCs w:val="20"/>
                <w:color w:val="auto"/>
              </w:rPr>
            </w:pPr>
            <w:r>
              <w:rPr>
                <w:rFonts w:ascii="Arial" w:cs="Arial" w:eastAsia="Arial" w:hAnsi="Arial"/>
                <w:sz w:val="15"/>
                <w:szCs w:val="15"/>
                <w:color w:val="auto"/>
                <w:w w:val="99"/>
              </w:rPr>
              <w:t>35%</w:t>
            </w:r>
          </w:p>
        </w:tc>
        <w:tc>
          <w:tcPr>
            <w:tcW w:w="920" w:type="dxa"/>
            <w:vAlign w:val="bottom"/>
            <w:tcBorders>
              <w:bottom w:val="single" w:sz="8" w:color="D1DDE6"/>
            </w:tcBorders>
            <w:shd w:val="clear" w:color="auto" w:fill="D1DDE6"/>
          </w:tcPr>
          <w:p>
            <w:pPr>
              <w:jc w:val="center"/>
              <w:spacing w:after="0"/>
              <w:rPr>
                <w:sz w:val="20"/>
                <w:szCs w:val="20"/>
                <w:color w:val="auto"/>
              </w:rPr>
            </w:pPr>
            <w:r>
              <w:rPr>
                <w:rFonts w:ascii="Arial" w:cs="Arial" w:eastAsia="Arial" w:hAnsi="Arial"/>
                <w:sz w:val="15"/>
                <w:szCs w:val="15"/>
                <w:color w:val="auto"/>
              </w:rPr>
              <w:t>25th</w:t>
            </w:r>
          </w:p>
        </w:tc>
        <w:tc>
          <w:tcPr>
            <w:tcW w:w="920" w:type="dxa"/>
            <w:vAlign w:val="bottom"/>
            <w:tcBorders>
              <w:bottom w:val="single" w:sz="8" w:color="D1DDE6"/>
            </w:tcBorders>
            <w:shd w:val="clear" w:color="auto" w:fill="D1DDE6"/>
          </w:tcPr>
          <w:p>
            <w:pPr>
              <w:jc w:val="center"/>
              <w:spacing w:after="0"/>
              <w:rPr>
                <w:sz w:val="20"/>
                <w:szCs w:val="20"/>
                <w:color w:val="auto"/>
              </w:rPr>
            </w:pPr>
            <w:r>
              <w:rPr>
                <w:rFonts w:ascii="Arial" w:cs="Arial" w:eastAsia="Arial" w:hAnsi="Arial"/>
                <w:sz w:val="15"/>
                <w:szCs w:val="15"/>
                <w:color w:val="auto"/>
              </w:rPr>
              <w:t>50th</w:t>
            </w:r>
          </w:p>
        </w:tc>
        <w:tc>
          <w:tcPr>
            <w:tcW w:w="920" w:type="dxa"/>
            <w:vAlign w:val="bottom"/>
            <w:tcBorders>
              <w:bottom w:val="single" w:sz="8" w:color="D1DDE6"/>
            </w:tcBorders>
            <w:shd w:val="clear" w:color="auto" w:fill="D1DDE6"/>
          </w:tcPr>
          <w:p>
            <w:pPr>
              <w:jc w:val="center"/>
              <w:spacing w:after="0"/>
              <w:rPr>
                <w:sz w:val="20"/>
                <w:szCs w:val="20"/>
                <w:color w:val="auto"/>
              </w:rPr>
            </w:pPr>
            <w:r>
              <w:rPr>
                <w:rFonts w:ascii="Arial" w:cs="Arial" w:eastAsia="Arial" w:hAnsi="Arial"/>
                <w:sz w:val="15"/>
                <w:szCs w:val="15"/>
                <w:color w:val="auto"/>
              </w:rPr>
              <w:t>80th</w:t>
            </w:r>
          </w:p>
        </w:tc>
        <w:tc>
          <w:tcPr>
            <w:tcW w:w="1380" w:type="dxa"/>
            <w:vAlign w:val="bottom"/>
            <w:tcBorders>
              <w:bottom w:val="single" w:sz="8" w:color="D1DDE6"/>
            </w:tcBorders>
            <w:shd w:val="clear" w:color="auto" w:fill="D1DDE6"/>
          </w:tcPr>
          <w:p>
            <w:pPr>
              <w:jc w:val="center"/>
              <w:spacing w:after="0"/>
              <w:rPr>
                <w:sz w:val="20"/>
                <w:szCs w:val="20"/>
                <w:color w:val="auto"/>
              </w:rPr>
            </w:pPr>
            <w:r>
              <w:rPr>
                <w:rFonts w:ascii="Arial" w:cs="Arial" w:eastAsia="Arial" w:hAnsi="Arial"/>
                <w:sz w:val="15"/>
                <w:szCs w:val="15"/>
                <w:color w:val="auto"/>
              </w:rPr>
              <w:t>45th</w:t>
            </w:r>
          </w:p>
        </w:tc>
        <w:tc>
          <w:tcPr>
            <w:tcW w:w="1320" w:type="dxa"/>
            <w:vAlign w:val="bottom"/>
            <w:tcBorders>
              <w:bottom w:val="single" w:sz="8" w:color="D1DDE6"/>
            </w:tcBorders>
            <w:shd w:val="clear" w:color="auto" w:fill="D1DDE6"/>
          </w:tcPr>
          <w:p>
            <w:pPr>
              <w:jc w:val="center"/>
              <w:spacing w:after="0"/>
              <w:rPr>
                <w:sz w:val="20"/>
                <w:szCs w:val="20"/>
                <w:color w:val="auto"/>
              </w:rPr>
            </w:pPr>
            <w:r>
              <w:rPr>
                <w:rFonts w:ascii="Arial" w:cs="Arial" w:eastAsia="Arial" w:hAnsi="Arial"/>
                <w:sz w:val="15"/>
                <w:szCs w:val="15"/>
                <w:color w:val="auto"/>
                <w:w w:val="99"/>
              </w:rPr>
              <w:t>29%</w:t>
            </w:r>
          </w:p>
        </w:tc>
        <w:tc>
          <w:tcPr>
            <w:tcW w:w="20" w:type="dxa"/>
            <w:vAlign w:val="bottom"/>
          </w:tcPr>
          <w:p>
            <w:pPr>
              <w:spacing w:after="0"/>
              <w:rPr>
                <w:sz w:val="18"/>
                <w:szCs w:val="18"/>
                <w:color w:val="auto"/>
              </w:rPr>
            </w:pPr>
          </w:p>
        </w:tc>
      </w:tr>
      <w:tr>
        <w:trPr>
          <w:trHeight w:val="222"/>
        </w:trPr>
        <w:tc>
          <w:tcPr>
            <w:tcW w:w="4920" w:type="dxa"/>
            <w:vAlign w:val="bottom"/>
          </w:tcPr>
          <w:p>
            <w:pPr>
              <w:ind w:left="20"/>
              <w:spacing w:after="0"/>
              <w:rPr>
                <w:sz w:val="20"/>
                <w:szCs w:val="20"/>
                <w:color w:val="auto"/>
              </w:rPr>
            </w:pPr>
            <w:r>
              <w:rPr>
                <w:rFonts w:ascii="Arial" w:cs="Arial" w:eastAsia="Arial" w:hAnsi="Arial"/>
                <w:sz w:val="15"/>
                <w:szCs w:val="15"/>
                <w:color w:val="auto"/>
              </w:rPr>
              <w:t>Relative TSR - S&amp;P Industrials</w:t>
            </w:r>
          </w:p>
        </w:tc>
        <w:tc>
          <w:tcPr>
            <w:tcW w:w="1040" w:type="dxa"/>
            <w:vAlign w:val="bottom"/>
          </w:tcPr>
          <w:p>
            <w:pPr>
              <w:jc w:val="center"/>
              <w:spacing w:after="0"/>
              <w:rPr>
                <w:sz w:val="20"/>
                <w:szCs w:val="20"/>
                <w:color w:val="auto"/>
              </w:rPr>
            </w:pPr>
            <w:r>
              <w:rPr>
                <w:rFonts w:ascii="Arial" w:cs="Arial" w:eastAsia="Arial" w:hAnsi="Arial"/>
                <w:sz w:val="15"/>
                <w:szCs w:val="15"/>
                <w:color w:val="auto"/>
                <w:w w:val="99"/>
              </w:rPr>
              <w:t>35%</w:t>
            </w:r>
          </w:p>
        </w:tc>
        <w:tc>
          <w:tcPr>
            <w:tcW w:w="920" w:type="dxa"/>
            <w:vAlign w:val="bottom"/>
          </w:tcPr>
          <w:p>
            <w:pPr>
              <w:jc w:val="center"/>
              <w:spacing w:after="0"/>
              <w:rPr>
                <w:sz w:val="20"/>
                <w:szCs w:val="20"/>
                <w:color w:val="auto"/>
              </w:rPr>
            </w:pPr>
            <w:r>
              <w:rPr>
                <w:rFonts w:ascii="Arial" w:cs="Arial" w:eastAsia="Arial" w:hAnsi="Arial"/>
                <w:sz w:val="15"/>
                <w:szCs w:val="15"/>
                <w:color w:val="auto"/>
              </w:rPr>
              <w:t>25th</w:t>
            </w:r>
          </w:p>
        </w:tc>
        <w:tc>
          <w:tcPr>
            <w:tcW w:w="920" w:type="dxa"/>
            <w:vAlign w:val="bottom"/>
          </w:tcPr>
          <w:p>
            <w:pPr>
              <w:jc w:val="center"/>
              <w:spacing w:after="0"/>
              <w:rPr>
                <w:sz w:val="20"/>
                <w:szCs w:val="20"/>
                <w:color w:val="auto"/>
              </w:rPr>
            </w:pPr>
            <w:r>
              <w:rPr>
                <w:rFonts w:ascii="Arial" w:cs="Arial" w:eastAsia="Arial" w:hAnsi="Arial"/>
                <w:sz w:val="15"/>
                <w:szCs w:val="15"/>
                <w:color w:val="auto"/>
              </w:rPr>
              <w:t>50th</w:t>
            </w:r>
          </w:p>
        </w:tc>
        <w:tc>
          <w:tcPr>
            <w:tcW w:w="920" w:type="dxa"/>
            <w:vAlign w:val="bottom"/>
          </w:tcPr>
          <w:p>
            <w:pPr>
              <w:jc w:val="center"/>
              <w:spacing w:after="0"/>
              <w:rPr>
                <w:sz w:val="20"/>
                <w:szCs w:val="20"/>
                <w:color w:val="auto"/>
              </w:rPr>
            </w:pPr>
            <w:r>
              <w:rPr>
                <w:rFonts w:ascii="Arial" w:cs="Arial" w:eastAsia="Arial" w:hAnsi="Arial"/>
                <w:sz w:val="15"/>
                <w:szCs w:val="15"/>
                <w:color w:val="auto"/>
              </w:rPr>
              <w:t>80th</w:t>
            </w:r>
          </w:p>
        </w:tc>
        <w:tc>
          <w:tcPr>
            <w:tcW w:w="1380" w:type="dxa"/>
            <w:vAlign w:val="bottom"/>
          </w:tcPr>
          <w:p>
            <w:pPr>
              <w:jc w:val="center"/>
              <w:spacing w:after="0"/>
              <w:rPr>
                <w:sz w:val="20"/>
                <w:szCs w:val="20"/>
                <w:color w:val="auto"/>
              </w:rPr>
            </w:pPr>
            <w:r>
              <w:rPr>
                <w:rFonts w:ascii="Arial" w:cs="Arial" w:eastAsia="Arial" w:hAnsi="Arial"/>
                <w:sz w:val="15"/>
                <w:szCs w:val="15"/>
                <w:color w:val="auto"/>
              </w:rPr>
              <w:t>64th</w:t>
            </w:r>
          </w:p>
        </w:tc>
        <w:tc>
          <w:tcPr>
            <w:tcW w:w="1320" w:type="dxa"/>
            <w:vAlign w:val="bottom"/>
          </w:tcPr>
          <w:p>
            <w:pPr>
              <w:jc w:val="center"/>
              <w:spacing w:after="0"/>
              <w:rPr>
                <w:sz w:val="20"/>
                <w:szCs w:val="20"/>
                <w:color w:val="auto"/>
              </w:rPr>
            </w:pPr>
            <w:r>
              <w:rPr>
                <w:rFonts w:ascii="Arial" w:cs="Arial" w:eastAsia="Arial" w:hAnsi="Arial"/>
                <w:sz w:val="15"/>
                <w:szCs w:val="15"/>
                <w:color w:val="auto"/>
                <w:w w:val="99"/>
              </w:rPr>
              <w:t>43%</w:t>
            </w:r>
          </w:p>
        </w:tc>
        <w:tc>
          <w:tcPr>
            <w:tcW w:w="20" w:type="dxa"/>
            <w:vAlign w:val="bottom"/>
          </w:tcPr>
          <w:p>
            <w:pPr>
              <w:spacing w:after="0"/>
              <w:rPr>
                <w:sz w:val="19"/>
                <w:szCs w:val="19"/>
                <w:color w:val="auto"/>
              </w:rPr>
            </w:pPr>
          </w:p>
        </w:tc>
      </w:tr>
      <w:tr>
        <w:trPr>
          <w:trHeight w:val="245"/>
        </w:trPr>
        <w:tc>
          <w:tcPr>
            <w:tcW w:w="4920" w:type="dxa"/>
            <w:vAlign w:val="bottom"/>
            <w:tcBorders>
              <w:bottom w:val="single" w:sz="8" w:color="D1DDE6"/>
            </w:tcBorders>
            <w:shd w:val="clear" w:color="auto" w:fill="D1DDE6"/>
          </w:tcPr>
          <w:p>
            <w:pPr>
              <w:ind w:left="20"/>
              <w:spacing w:after="0"/>
              <w:rPr>
                <w:sz w:val="20"/>
                <w:szCs w:val="20"/>
                <w:color w:val="auto"/>
              </w:rPr>
            </w:pPr>
            <w:r>
              <w:rPr>
                <w:rFonts w:ascii="Arial" w:cs="Arial" w:eastAsia="Arial" w:hAnsi="Arial"/>
                <w:sz w:val="15"/>
                <w:szCs w:val="15"/>
                <w:color w:val="auto"/>
                <w:highlight w:val="lightGray"/>
              </w:rPr>
              <w:t>Cumulative FCF*</w:t>
            </w:r>
          </w:p>
        </w:tc>
        <w:tc>
          <w:tcPr>
            <w:tcW w:w="1040" w:type="dxa"/>
            <w:vAlign w:val="bottom"/>
            <w:tcBorders>
              <w:bottom w:val="single" w:sz="8" w:color="D1DDE6"/>
            </w:tcBorders>
            <w:shd w:val="clear" w:color="auto" w:fill="D1DDE6"/>
          </w:tcPr>
          <w:p>
            <w:pPr>
              <w:jc w:val="center"/>
              <w:spacing w:after="0"/>
              <w:rPr>
                <w:sz w:val="20"/>
                <w:szCs w:val="20"/>
                <w:color w:val="auto"/>
              </w:rPr>
            </w:pPr>
            <w:r>
              <w:rPr>
                <w:rFonts w:ascii="Arial" w:cs="Arial" w:eastAsia="Arial" w:hAnsi="Arial"/>
                <w:sz w:val="15"/>
                <w:szCs w:val="15"/>
                <w:color w:val="auto"/>
                <w:w w:val="99"/>
              </w:rPr>
              <w:t>30%</w:t>
            </w:r>
          </w:p>
        </w:tc>
        <w:tc>
          <w:tcPr>
            <w:tcW w:w="920" w:type="dxa"/>
            <w:vAlign w:val="bottom"/>
            <w:tcBorders>
              <w:bottom w:val="single" w:sz="8" w:color="D1DDE6"/>
            </w:tcBorders>
            <w:shd w:val="clear" w:color="auto" w:fill="D1DDE6"/>
          </w:tcPr>
          <w:p>
            <w:pPr>
              <w:jc w:val="center"/>
              <w:spacing w:after="0"/>
              <w:rPr>
                <w:sz w:val="20"/>
                <w:szCs w:val="20"/>
                <w:color w:val="auto"/>
              </w:rPr>
            </w:pPr>
            <w:r>
              <w:rPr>
                <w:rFonts w:ascii="Arial" w:cs="Arial" w:eastAsia="Arial" w:hAnsi="Arial"/>
                <w:sz w:val="15"/>
                <w:szCs w:val="15"/>
                <w:color w:val="auto"/>
              </w:rPr>
              <w:t>$4.8B</w:t>
            </w:r>
          </w:p>
        </w:tc>
        <w:tc>
          <w:tcPr>
            <w:tcW w:w="920" w:type="dxa"/>
            <w:vAlign w:val="bottom"/>
            <w:tcBorders>
              <w:bottom w:val="single" w:sz="8" w:color="D1DDE6"/>
            </w:tcBorders>
            <w:shd w:val="clear" w:color="auto" w:fill="D1DDE6"/>
          </w:tcPr>
          <w:p>
            <w:pPr>
              <w:jc w:val="center"/>
              <w:spacing w:after="0"/>
              <w:rPr>
                <w:sz w:val="20"/>
                <w:szCs w:val="20"/>
                <w:color w:val="auto"/>
              </w:rPr>
            </w:pPr>
            <w:r>
              <w:rPr>
                <w:rFonts w:ascii="Arial" w:cs="Arial" w:eastAsia="Arial" w:hAnsi="Arial"/>
                <w:sz w:val="15"/>
                <w:szCs w:val="15"/>
                <w:color w:val="auto"/>
              </w:rPr>
              <w:t>$5.5B</w:t>
            </w:r>
          </w:p>
        </w:tc>
        <w:tc>
          <w:tcPr>
            <w:tcW w:w="920" w:type="dxa"/>
            <w:vAlign w:val="bottom"/>
            <w:tcBorders>
              <w:bottom w:val="single" w:sz="8" w:color="D1DDE6"/>
            </w:tcBorders>
            <w:shd w:val="clear" w:color="auto" w:fill="D1DDE6"/>
          </w:tcPr>
          <w:p>
            <w:pPr>
              <w:jc w:val="center"/>
              <w:spacing w:after="0"/>
              <w:rPr>
                <w:sz w:val="20"/>
                <w:szCs w:val="20"/>
                <w:color w:val="auto"/>
              </w:rPr>
            </w:pPr>
            <w:r>
              <w:rPr>
                <w:rFonts w:ascii="Arial" w:cs="Arial" w:eastAsia="Arial" w:hAnsi="Arial"/>
                <w:sz w:val="15"/>
                <w:szCs w:val="15"/>
                <w:color w:val="auto"/>
              </w:rPr>
              <w:t>$6.2B</w:t>
            </w:r>
          </w:p>
        </w:tc>
        <w:tc>
          <w:tcPr>
            <w:tcW w:w="1380" w:type="dxa"/>
            <w:vAlign w:val="bottom"/>
            <w:tcBorders>
              <w:bottom w:val="single" w:sz="8" w:color="D1DDE6"/>
            </w:tcBorders>
            <w:shd w:val="clear" w:color="auto" w:fill="D1DDE6"/>
          </w:tcPr>
          <w:p>
            <w:pPr>
              <w:jc w:val="center"/>
              <w:spacing w:after="0"/>
              <w:rPr>
                <w:sz w:val="20"/>
                <w:szCs w:val="20"/>
                <w:color w:val="auto"/>
              </w:rPr>
            </w:pPr>
            <w:r>
              <w:rPr>
                <w:rFonts w:ascii="Arial" w:cs="Arial" w:eastAsia="Arial" w:hAnsi="Arial"/>
                <w:sz w:val="15"/>
                <w:szCs w:val="15"/>
                <w:color w:val="auto"/>
              </w:rPr>
              <w:t>$6.1B</w:t>
            </w:r>
          </w:p>
        </w:tc>
        <w:tc>
          <w:tcPr>
            <w:tcW w:w="1320" w:type="dxa"/>
            <w:vAlign w:val="bottom"/>
            <w:tcBorders>
              <w:bottom w:val="single" w:sz="8" w:color="D1DDE6"/>
            </w:tcBorders>
            <w:shd w:val="clear" w:color="auto" w:fill="D1DDE6"/>
          </w:tcPr>
          <w:p>
            <w:pPr>
              <w:jc w:val="center"/>
              <w:spacing w:after="0"/>
              <w:rPr>
                <w:sz w:val="20"/>
                <w:szCs w:val="20"/>
                <w:color w:val="auto"/>
              </w:rPr>
            </w:pPr>
            <w:r>
              <w:rPr>
                <w:rFonts w:ascii="Arial" w:cs="Arial" w:eastAsia="Arial" w:hAnsi="Arial"/>
                <w:sz w:val="15"/>
                <w:szCs w:val="15"/>
                <w:color w:val="auto"/>
                <w:w w:val="99"/>
              </w:rPr>
              <w:t>43%</w:t>
            </w:r>
          </w:p>
        </w:tc>
        <w:tc>
          <w:tcPr>
            <w:tcW w:w="20" w:type="dxa"/>
            <w:vAlign w:val="bottom"/>
          </w:tcPr>
          <w:p>
            <w:pPr>
              <w:spacing w:after="0"/>
              <w:rPr>
                <w:sz w:val="20"/>
                <w:szCs w:val="20"/>
                <w:color w:val="auto"/>
              </w:rPr>
            </w:pPr>
          </w:p>
        </w:tc>
      </w:tr>
      <w:tr>
        <w:trPr>
          <w:trHeight w:val="218"/>
        </w:trPr>
        <w:tc>
          <w:tcPr>
            <w:tcW w:w="4920" w:type="dxa"/>
            <w:vAlign w:val="bottom"/>
            <w:tcBorders>
              <w:top w:val="single" w:sz="8" w:color="34657F"/>
            </w:tcBorders>
          </w:tcPr>
          <w:p>
            <w:pPr>
              <w:ind w:left="20"/>
              <w:spacing w:after="0"/>
              <w:rPr>
                <w:sz w:val="20"/>
                <w:szCs w:val="20"/>
                <w:color w:val="auto"/>
              </w:rPr>
            </w:pPr>
            <w:r>
              <w:rPr>
                <w:rFonts w:ascii="Arial" w:cs="Arial" w:eastAsia="Arial" w:hAnsi="Arial"/>
                <w:sz w:val="15"/>
                <w:szCs w:val="15"/>
                <w:b w:val="1"/>
                <w:bCs w:val="1"/>
                <w:color w:val="auto"/>
              </w:rPr>
              <w:t>RPSR Performance Factor</w:t>
            </w:r>
          </w:p>
        </w:tc>
        <w:tc>
          <w:tcPr>
            <w:tcW w:w="1040" w:type="dxa"/>
            <w:vAlign w:val="bottom"/>
            <w:tcBorders>
              <w:top w:val="single" w:sz="8" w:color="34657F"/>
            </w:tcBorders>
          </w:tcPr>
          <w:p>
            <w:pPr>
              <w:spacing w:after="0"/>
              <w:rPr>
                <w:sz w:val="18"/>
                <w:szCs w:val="18"/>
                <w:color w:val="auto"/>
              </w:rPr>
            </w:pPr>
          </w:p>
        </w:tc>
        <w:tc>
          <w:tcPr>
            <w:tcW w:w="920" w:type="dxa"/>
            <w:vAlign w:val="bottom"/>
            <w:tcBorders>
              <w:top w:val="single" w:sz="8" w:color="34657F"/>
            </w:tcBorders>
          </w:tcPr>
          <w:p>
            <w:pPr>
              <w:spacing w:after="0"/>
              <w:rPr>
                <w:sz w:val="18"/>
                <w:szCs w:val="18"/>
                <w:color w:val="auto"/>
              </w:rPr>
            </w:pPr>
          </w:p>
        </w:tc>
        <w:tc>
          <w:tcPr>
            <w:tcW w:w="920" w:type="dxa"/>
            <w:vAlign w:val="bottom"/>
            <w:tcBorders>
              <w:top w:val="single" w:sz="8" w:color="34657F"/>
            </w:tcBorders>
          </w:tcPr>
          <w:p>
            <w:pPr>
              <w:spacing w:after="0"/>
              <w:rPr>
                <w:sz w:val="18"/>
                <w:szCs w:val="18"/>
                <w:color w:val="auto"/>
              </w:rPr>
            </w:pPr>
          </w:p>
        </w:tc>
        <w:tc>
          <w:tcPr>
            <w:tcW w:w="920" w:type="dxa"/>
            <w:vAlign w:val="bottom"/>
            <w:tcBorders>
              <w:top w:val="single" w:sz="8" w:color="34657F"/>
            </w:tcBorders>
          </w:tcPr>
          <w:p>
            <w:pPr>
              <w:spacing w:after="0"/>
              <w:rPr>
                <w:sz w:val="18"/>
                <w:szCs w:val="18"/>
                <w:color w:val="auto"/>
              </w:rPr>
            </w:pPr>
          </w:p>
        </w:tc>
        <w:tc>
          <w:tcPr>
            <w:tcW w:w="1380" w:type="dxa"/>
            <w:vAlign w:val="bottom"/>
            <w:tcBorders>
              <w:top w:val="single" w:sz="8" w:color="34657F"/>
            </w:tcBorders>
          </w:tcPr>
          <w:p>
            <w:pPr>
              <w:spacing w:after="0"/>
              <w:rPr>
                <w:sz w:val="18"/>
                <w:szCs w:val="18"/>
                <w:color w:val="auto"/>
              </w:rPr>
            </w:pPr>
          </w:p>
        </w:tc>
        <w:tc>
          <w:tcPr>
            <w:tcW w:w="1320" w:type="dxa"/>
            <w:vAlign w:val="bottom"/>
            <w:tcBorders>
              <w:top w:val="single" w:sz="8" w:color="34657F"/>
            </w:tcBorders>
          </w:tcPr>
          <w:p>
            <w:pPr>
              <w:jc w:val="center"/>
              <w:spacing w:after="0"/>
              <w:rPr>
                <w:sz w:val="20"/>
                <w:szCs w:val="20"/>
                <w:color w:val="auto"/>
              </w:rPr>
            </w:pPr>
            <w:r>
              <w:rPr>
                <w:rFonts w:ascii="Arial" w:cs="Arial" w:eastAsia="Arial" w:hAnsi="Arial"/>
                <w:sz w:val="15"/>
                <w:szCs w:val="15"/>
                <w:b w:val="1"/>
                <w:bCs w:val="1"/>
                <w:color w:val="auto"/>
              </w:rPr>
              <w:t>115%</w:t>
            </w:r>
          </w:p>
        </w:tc>
        <w:tc>
          <w:tcPr>
            <w:tcW w:w="20" w:type="dxa"/>
            <w:vAlign w:val="bottom"/>
          </w:tcPr>
          <w:p>
            <w:pPr>
              <w:spacing w:after="0"/>
              <w:rPr>
                <w:sz w:val="18"/>
                <w:szCs w:val="18"/>
                <w:color w:val="auto"/>
              </w:rPr>
            </w:pPr>
          </w:p>
        </w:tc>
      </w:tr>
      <w:tr>
        <w:trPr>
          <w:trHeight w:val="31"/>
        </w:trPr>
        <w:tc>
          <w:tcPr>
            <w:tcW w:w="4920" w:type="dxa"/>
            <w:vAlign w:val="bottom"/>
            <w:tcBorders>
              <w:bottom w:val="single" w:sz="8" w:color="34657F"/>
            </w:tcBorders>
          </w:tcPr>
          <w:p>
            <w:pPr>
              <w:spacing w:after="0"/>
              <w:rPr>
                <w:sz w:val="2"/>
                <w:szCs w:val="2"/>
                <w:color w:val="auto"/>
              </w:rPr>
            </w:pPr>
          </w:p>
        </w:tc>
        <w:tc>
          <w:tcPr>
            <w:tcW w:w="1040" w:type="dxa"/>
            <w:vAlign w:val="bottom"/>
            <w:tcBorders>
              <w:bottom w:val="single" w:sz="8" w:color="34657F"/>
            </w:tcBorders>
          </w:tcPr>
          <w:p>
            <w:pPr>
              <w:spacing w:after="0"/>
              <w:rPr>
                <w:sz w:val="2"/>
                <w:szCs w:val="2"/>
                <w:color w:val="auto"/>
              </w:rPr>
            </w:pPr>
          </w:p>
        </w:tc>
        <w:tc>
          <w:tcPr>
            <w:tcW w:w="920" w:type="dxa"/>
            <w:vAlign w:val="bottom"/>
            <w:tcBorders>
              <w:bottom w:val="single" w:sz="8" w:color="34657F"/>
            </w:tcBorders>
          </w:tcPr>
          <w:p>
            <w:pPr>
              <w:spacing w:after="0"/>
              <w:rPr>
                <w:sz w:val="2"/>
                <w:szCs w:val="2"/>
                <w:color w:val="auto"/>
              </w:rPr>
            </w:pPr>
          </w:p>
        </w:tc>
        <w:tc>
          <w:tcPr>
            <w:tcW w:w="920" w:type="dxa"/>
            <w:vAlign w:val="bottom"/>
            <w:tcBorders>
              <w:bottom w:val="single" w:sz="8" w:color="34657F"/>
            </w:tcBorders>
          </w:tcPr>
          <w:p>
            <w:pPr>
              <w:spacing w:after="0"/>
              <w:rPr>
                <w:sz w:val="2"/>
                <w:szCs w:val="2"/>
                <w:color w:val="auto"/>
              </w:rPr>
            </w:pPr>
          </w:p>
        </w:tc>
        <w:tc>
          <w:tcPr>
            <w:tcW w:w="920" w:type="dxa"/>
            <w:vAlign w:val="bottom"/>
            <w:tcBorders>
              <w:bottom w:val="single" w:sz="8" w:color="34657F"/>
            </w:tcBorders>
          </w:tcPr>
          <w:p>
            <w:pPr>
              <w:spacing w:after="0"/>
              <w:rPr>
                <w:sz w:val="2"/>
                <w:szCs w:val="2"/>
                <w:color w:val="auto"/>
              </w:rPr>
            </w:pPr>
          </w:p>
        </w:tc>
        <w:tc>
          <w:tcPr>
            <w:tcW w:w="1380" w:type="dxa"/>
            <w:vAlign w:val="bottom"/>
            <w:tcBorders>
              <w:bottom w:val="single" w:sz="8" w:color="34657F"/>
            </w:tcBorders>
          </w:tcPr>
          <w:p>
            <w:pPr>
              <w:spacing w:after="0"/>
              <w:rPr>
                <w:sz w:val="2"/>
                <w:szCs w:val="2"/>
                <w:color w:val="auto"/>
              </w:rPr>
            </w:pPr>
          </w:p>
        </w:tc>
        <w:tc>
          <w:tcPr>
            <w:tcW w:w="1320" w:type="dxa"/>
            <w:vAlign w:val="bottom"/>
            <w:tcBorders>
              <w:bottom w:val="single" w:sz="8" w:color="34657F"/>
            </w:tcBorders>
          </w:tcPr>
          <w:p>
            <w:pPr>
              <w:spacing w:after="0"/>
              <w:rPr>
                <w:sz w:val="2"/>
                <w:szCs w:val="2"/>
                <w:color w:val="auto"/>
              </w:rPr>
            </w:pPr>
          </w:p>
        </w:tc>
        <w:tc>
          <w:tcPr>
            <w:tcW w:w="20" w:type="dxa"/>
            <w:vAlign w:val="bottom"/>
          </w:tcPr>
          <w:p>
            <w:pPr>
              <w:spacing w:after="0"/>
              <w:rPr>
                <w:sz w:val="2"/>
                <w:szCs w:val="2"/>
                <w:color w:val="auto"/>
              </w:rPr>
            </w:pPr>
          </w:p>
        </w:tc>
      </w:tr>
    </w:tbl>
    <w:p>
      <w:pPr>
        <w:spacing w:after="0" w:line="312" w:lineRule="exact"/>
        <w:rPr>
          <w:sz w:val="20"/>
          <w:szCs w:val="20"/>
          <w:color w:val="auto"/>
        </w:rPr>
      </w:pPr>
    </w:p>
    <w:p>
      <w:pPr>
        <w:jc w:val="right"/>
        <w:ind w:right="20"/>
        <w:spacing w:after="0"/>
        <w:rPr>
          <w:sz w:val="20"/>
          <w:szCs w:val="20"/>
          <w:color w:val="auto"/>
        </w:rPr>
      </w:pPr>
      <w:r>
        <w:rPr>
          <w:rFonts w:ascii="Arial" w:cs="Arial" w:eastAsia="Arial" w:hAnsi="Arial"/>
          <w:sz w:val="14"/>
          <w:szCs w:val="14"/>
          <w:color w:val="34657F"/>
        </w:rPr>
        <w:t xml:space="preserve">NOTICE OF 2019 ANNUAL MEETING OF SHAREHOLDERS AND PROXY STATEMENT </w:t>
      </w:r>
      <w:r>
        <w:rPr>
          <w:rFonts w:ascii="Arial" w:cs="Arial" w:eastAsia="Arial" w:hAnsi="Arial"/>
          <w:sz w:val="14"/>
          <w:szCs w:val="14"/>
          <w:color w:val="000000"/>
        </w:rPr>
        <w:t>I 47</w:t>
      </w:r>
    </w:p>
    <w:p>
      <w:pPr>
        <w:sectPr>
          <w:pgSz w:w="11900" w:h="16838" w:orient="portrait"/>
          <w:cols w:equalWidth="0" w:num="1">
            <w:col w:w="11440"/>
          </w:cols>
          <w:pgMar w:left="240" w:top="825" w:right="219" w:bottom="1440" w:gutter="0" w:footer="0" w:header="0"/>
        </w:sectPr>
      </w:pPr>
    </w:p>
    <w:bookmarkStart w:id="53" w:name="page54"/>
    <w:bookmarkEnd w:id="53"/>
    <w:p>
      <w:pPr>
        <w:ind w:left="20"/>
        <w:spacing w:after="0"/>
        <w:rPr>
          <w:sz w:val="20"/>
          <w:szCs w:val="20"/>
          <w:color w:val="auto"/>
        </w:rPr>
      </w:pPr>
      <w:r>
        <w:rPr>
          <w:rFonts w:ascii="Arial" w:cs="Arial" w:eastAsia="Arial" w:hAnsi="Arial"/>
          <w:sz w:val="21"/>
          <w:szCs w:val="21"/>
          <w:b w:val="1"/>
          <w:bCs w:val="1"/>
          <w:color w:val="FFFFFF"/>
        </w:rPr>
        <w:drawing>
          <wp:anchor simplePos="0" relativeHeight="251657728" behindDoc="1" locked="0" layoutInCell="0" allowOverlap="1">
            <wp:simplePos x="0" y="0"/>
            <wp:positionH relativeFrom="page">
              <wp:posOffset>154305</wp:posOffset>
            </wp:positionH>
            <wp:positionV relativeFrom="page">
              <wp:posOffset>463550</wp:posOffset>
            </wp:positionV>
            <wp:extent cx="7253605" cy="56197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53605" cy="561975"/>
                    </a:xfrm>
                    <a:prstGeom prst="rect">
                      <a:avLst/>
                    </a:prstGeom>
                    <a:noFill/>
                  </pic:spPr>
                </pic:pic>
              </a:graphicData>
            </a:graphic>
          </wp:anchor>
        </w:drawing>
        <w:t>COMPENSATION DISCUSSION AND ANALYSIS | K</w:t>
      </w:r>
      <w:r>
        <w:rPr>
          <w:rFonts w:ascii="Arial" w:cs="Arial" w:eastAsia="Arial" w:hAnsi="Arial"/>
          <w:sz w:val="17"/>
          <w:szCs w:val="17"/>
          <w:b w:val="1"/>
          <w:bCs w:val="1"/>
          <w:color w:val="FFFFFF"/>
        </w:rPr>
        <w:t>EY</w:t>
      </w:r>
      <w:r>
        <w:rPr>
          <w:rFonts w:ascii="Arial" w:cs="Arial" w:eastAsia="Arial" w:hAnsi="Arial"/>
          <w:sz w:val="21"/>
          <w:szCs w:val="21"/>
          <w:b w:val="1"/>
          <w:bCs w:val="1"/>
          <w:color w:val="FFFFFF"/>
        </w:rPr>
        <w:t xml:space="preserve"> C</w:t>
      </w:r>
      <w:r>
        <w:rPr>
          <w:rFonts w:ascii="Arial" w:cs="Arial" w:eastAsia="Arial" w:hAnsi="Arial"/>
          <w:sz w:val="17"/>
          <w:szCs w:val="17"/>
          <w:b w:val="1"/>
          <w:bCs w:val="1"/>
          <w:color w:val="FFFFFF"/>
        </w:rPr>
        <w:t>OMPONENTS OF OUR</w:t>
      </w:r>
      <w:r>
        <w:rPr>
          <w:rFonts w:ascii="Arial" w:cs="Arial" w:eastAsia="Arial" w:hAnsi="Arial"/>
          <w:sz w:val="21"/>
          <w:szCs w:val="21"/>
          <w:b w:val="1"/>
          <w:bCs w:val="1"/>
          <w:color w:val="FFFFFF"/>
        </w:rPr>
        <w:t xml:space="preserve"> P</w:t>
      </w:r>
      <w:r>
        <w:rPr>
          <w:rFonts w:ascii="Arial" w:cs="Arial" w:eastAsia="Arial" w:hAnsi="Arial"/>
          <w:sz w:val="17"/>
          <w:szCs w:val="17"/>
          <w:b w:val="1"/>
          <w:bCs w:val="1"/>
          <w:color w:val="FFFFFF"/>
        </w:rPr>
        <w:t>ROGRAMS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In February 2019, the Compensation Committee reviewed performance for the January 1, 2016 to December 31, 2018 RPSR performance period. The combined weighted score for the metrics generated an overall performance score of 115% (excluding the impact of Innovation Systems as detailed in "Appendix A - Use of Non-GAAP Financial Measures").</w:t>
      </w:r>
    </w:p>
    <w:p>
      <w:pPr>
        <w:spacing w:after="0" w:line="64" w:lineRule="exact"/>
        <w:rPr>
          <w:sz w:val="20"/>
          <w:szCs w:val="20"/>
          <w:color w:val="auto"/>
        </w:rPr>
      </w:pPr>
    </w:p>
    <w:p>
      <w:pPr>
        <w:ind w:right="40"/>
        <w:spacing w:after="0" w:line="263" w:lineRule="auto"/>
        <w:rPr>
          <w:sz w:val="20"/>
          <w:szCs w:val="20"/>
          <w:color w:val="auto"/>
        </w:rPr>
      </w:pPr>
      <w:r>
        <w:rPr>
          <w:rFonts w:ascii="Arial" w:cs="Arial" w:eastAsia="Arial" w:hAnsi="Arial"/>
          <w:sz w:val="17"/>
          <w:szCs w:val="17"/>
          <w:color w:val="auto"/>
        </w:rPr>
        <w:t>In February 2019, the NEOs received payouts in stock with respect to the outstanding RPSR awards that were granted in February 2016 for the three-year performance period ending December 31, 2018 (as described further in footnote 3 to the Outstanding Equity Awards Table on page 56).</w:t>
      </w:r>
    </w:p>
    <w:p>
      <w:pPr>
        <w:spacing w:after="0" w:line="185" w:lineRule="exact"/>
        <w:rPr>
          <w:sz w:val="20"/>
          <w:szCs w:val="20"/>
          <w:color w:val="auto"/>
        </w:rPr>
      </w:pPr>
    </w:p>
    <w:p>
      <w:pPr>
        <w:ind w:left="20"/>
        <w:spacing w:after="0"/>
        <w:rPr>
          <w:sz w:val="20"/>
          <w:szCs w:val="20"/>
          <w:color w:val="auto"/>
        </w:rPr>
      </w:pPr>
      <w:r>
        <w:rPr>
          <w:rFonts w:ascii="Arial" w:cs="Arial" w:eastAsia="Arial" w:hAnsi="Arial"/>
          <w:sz w:val="24"/>
          <w:szCs w:val="24"/>
          <w:b w:val="1"/>
          <w:bCs w:val="1"/>
          <w:color w:val="auto"/>
        </w:rPr>
        <w:t>Other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38100</wp:posOffset>
            </wp:positionV>
            <wp:extent cx="7253605" cy="1651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pacing w:after="0" w:line="142" w:lineRule="exact"/>
        <w:rPr>
          <w:sz w:val="20"/>
          <w:szCs w:val="20"/>
          <w:color w:val="auto"/>
        </w:rPr>
      </w:pPr>
    </w:p>
    <w:p>
      <w:pPr>
        <w:ind w:right="340"/>
        <w:spacing w:after="0" w:line="257" w:lineRule="auto"/>
        <w:rPr>
          <w:sz w:val="20"/>
          <w:szCs w:val="20"/>
          <w:color w:val="auto"/>
        </w:rPr>
      </w:pPr>
      <w:r>
        <w:rPr>
          <w:rFonts w:ascii="Arial" w:cs="Arial" w:eastAsia="Arial" w:hAnsi="Arial"/>
          <w:sz w:val="17"/>
          <w:szCs w:val="17"/>
          <w:color w:val="auto"/>
        </w:rPr>
        <w:t>This section describes other benefits the NEOs receive. These benefits are not performance related and are designed to provide a competitive package for purposes of attracting and retaining the executive talent needed to achieve our business objectives. These benefits include retirement benefits, certain perquisites and severance arrangements.</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Retirement Benefits</w:t>
      </w:r>
    </w:p>
    <w:p>
      <w:pPr>
        <w:spacing w:after="0" w:line="103" w:lineRule="exact"/>
        <w:rPr>
          <w:sz w:val="20"/>
          <w:szCs w:val="20"/>
          <w:color w:val="auto"/>
        </w:rPr>
      </w:pPr>
    </w:p>
    <w:p>
      <w:pPr>
        <w:ind w:right="120"/>
        <w:spacing w:after="0" w:line="254" w:lineRule="auto"/>
        <w:rPr>
          <w:sz w:val="20"/>
          <w:szCs w:val="20"/>
          <w:color w:val="auto"/>
        </w:rPr>
      </w:pPr>
      <w:r>
        <w:rPr>
          <w:rFonts w:ascii="Arial" w:cs="Arial" w:eastAsia="Arial" w:hAnsi="Arial"/>
          <w:sz w:val="17"/>
          <w:szCs w:val="17"/>
          <w:color w:val="auto"/>
        </w:rPr>
        <w:t>We maintain tax-qualified retirement plans (both defined benefit pension plans and defined contribution savings plans) that cover most of our workforce, including the NEOs. We also maintain nonqualified retirement plans that are available to our NEOs, which are designed to restore benefits that were limited under the tax-qualified plans or to provide supplemental benefits. Compensation, age and years of service factor into the amount of benefits provided under the plans. Thus, the plans are structured to reward and retain employees of long service and recognize higher performance levels as evidenced by increases in annual pay. Additional information about these retirement plans and the NEO benefits under these plans can be found in the Pension Benefits Table and Nonqualified Deferred Compensation Table, on pages 58 and 63, respectively.</w:t>
      </w:r>
    </w:p>
    <w:p>
      <w:pPr>
        <w:spacing w:after="0" w:line="66" w:lineRule="exact"/>
        <w:rPr>
          <w:sz w:val="20"/>
          <w:szCs w:val="20"/>
          <w:color w:val="auto"/>
        </w:rPr>
      </w:pPr>
    </w:p>
    <w:p>
      <w:pPr>
        <w:jc w:val="both"/>
        <w:ind w:right="40"/>
        <w:spacing w:after="0" w:line="257" w:lineRule="auto"/>
        <w:rPr>
          <w:sz w:val="20"/>
          <w:szCs w:val="20"/>
          <w:color w:val="auto"/>
        </w:rPr>
      </w:pPr>
      <w:r>
        <w:rPr>
          <w:rFonts w:ascii="Arial" w:cs="Arial" w:eastAsia="Arial" w:hAnsi="Arial"/>
          <w:sz w:val="17"/>
          <w:szCs w:val="17"/>
          <w:color w:val="auto"/>
        </w:rPr>
        <w:t>The Compensation Committee assesses aggregate benefits available to the NEOs and has previously imposed an overall cap, generally limited to no more than 60% of final average pay, on pension benefits for the NEOs (except for small variations due to contractual restrictions under the plans). The nonqualified supplemental defined benefit plans in which our NEOs participate were frozen as to pay and service as of December 31, 2014.</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Retiree Medical Arrangement</w:t>
      </w:r>
    </w:p>
    <w:p>
      <w:pPr>
        <w:spacing w:after="0" w:line="103" w:lineRule="exact"/>
        <w:rPr>
          <w:sz w:val="20"/>
          <w:szCs w:val="20"/>
          <w:color w:val="auto"/>
        </w:rPr>
      </w:pPr>
    </w:p>
    <w:p>
      <w:pPr>
        <w:ind w:left="60"/>
        <w:spacing w:after="0" w:line="254" w:lineRule="auto"/>
        <w:rPr>
          <w:sz w:val="20"/>
          <w:szCs w:val="20"/>
          <w:color w:val="auto"/>
        </w:rPr>
      </w:pPr>
      <w:r>
        <w:rPr>
          <w:rFonts w:ascii="Arial" w:cs="Arial" w:eastAsia="Arial" w:hAnsi="Arial"/>
          <w:sz w:val="17"/>
          <w:szCs w:val="17"/>
          <w:color w:val="auto"/>
        </w:rPr>
        <w:t>The Special Officer Retiree Medical Plan (SORMP) was closed to new participants in 2007 and the life insurance benefit was removed in 2018. Participants in the SORMP are entitled to retiree medical benefits pursuant to the terms of the Plan. Mr. Bush is eligible for SORMP benefits due to his date of hire and years of service as an executive. The other NEOs became elected officers after the SORMP was closed to new participants and are not eligible for SORMP benefits. The estimated cost of the SORMP benefit reflected in the Termination Payment Table is the present value of the estimated cost to provide future benefits using actuarial calculations and assumptions.</w:t>
      </w:r>
    </w:p>
    <w:p>
      <w:pPr>
        <w:spacing w:after="0" w:line="4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Perquisites</w:t>
      </w:r>
    </w:p>
    <w:p>
      <w:pPr>
        <w:spacing w:after="0" w:line="103" w:lineRule="exact"/>
        <w:rPr>
          <w:sz w:val="20"/>
          <w:szCs w:val="20"/>
          <w:color w:val="auto"/>
        </w:rPr>
      </w:pPr>
    </w:p>
    <w:p>
      <w:pPr>
        <w:ind w:right="300"/>
        <w:spacing w:after="0" w:line="255" w:lineRule="auto"/>
        <w:rPr>
          <w:sz w:val="20"/>
          <w:szCs w:val="20"/>
          <w:color w:val="auto"/>
        </w:rPr>
      </w:pPr>
      <w:r>
        <w:rPr>
          <w:rFonts w:ascii="Arial" w:cs="Arial" w:eastAsia="Arial" w:hAnsi="Arial"/>
          <w:sz w:val="17"/>
          <w:szCs w:val="17"/>
          <w:color w:val="auto"/>
        </w:rPr>
        <w:t>Our NEOs are eligible for certain limited executive perquisites that include financial planning, income tax preparation, physical exams and personal liability insurance. The Compensation Committee believes these perquisites are common within the competitive market for total compensation packages for executives and are useful in attracting, retaining and motivating talented executives. Perquisites provided to the NEOs in 2018 are detailed in the Summary Compensation Table on page 53.</w:t>
      </w:r>
    </w:p>
    <w:p>
      <w:pPr>
        <w:spacing w:after="0" w:line="4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Security Arrangements</w:t>
      </w:r>
    </w:p>
    <w:p>
      <w:pPr>
        <w:spacing w:after="0" w:line="103" w:lineRule="exact"/>
        <w:rPr>
          <w:sz w:val="20"/>
          <w:szCs w:val="20"/>
          <w:color w:val="auto"/>
        </w:rPr>
      </w:pPr>
    </w:p>
    <w:p>
      <w:pPr>
        <w:ind w:right="40"/>
        <w:spacing w:after="0" w:line="254" w:lineRule="auto"/>
        <w:rPr>
          <w:sz w:val="20"/>
          <w:szCs w:val="20"/>
          <w:color w:val="auto"/>
        </w:rPr>
      </w:pPr>
      <w:r>
        <w:rPr>
          <w:rFonts w:ascii="Arial" w:cs="Arial" w:eastAsia="Arial" w:hAnsi="Arial"/>
          <w:sz w:val="17"/>
          <w:szCs w:val="17"/>
          <w:color w:val="auto"/>
        </w:rPr>
        <w:t>Given the nature of our business, we maintain a comprehensive security program. As a component of that program, we provide residential and/or travel protection that we consider necessary to address our security requirements. In selecting the level and form of protection, we and the Board consider security risks faced by those in our industry in general and security risks specific to our Company and its individuals. Based on security threat information obtained and an ongoing dialogue with law enforcement officials, the Board has required that Mr. Bush and other NEOs receive varying levels of residential and travel protection.</w:t>
      </w:r>
    </w:p>
    <w:p>
      <w:pPr>
        <w:spacing w:after="0" w:line="68" w:lineRule="exact"/>
        <w:rPr>
          <w:sz w:val="20"/>
          <w:szCs w:val="20"/>
          <w:color w:val="auto"/>
        </w:rPr>
      </w:pPr>
    </w:p>
    <w:p>
      <w:pPr>
        <w:ind w:right="120"/>
        <w:spacing w:after="0" w:line="255" w:lineRule="auto"/>
        <w:rPr>
          <w:sz w:val="20"/>
          <w:szCs w:val="20"/>
          <w:color w:val="auto"/>
        </w:rPr>
      </w:pPr>
      <w:r>
        <w:rPr>
          <w:rFonts w:ascii="Arial" w:cs="Arial" w:eastAsia="Arial" w:hAnsi="Arial"/>
          <w:sz w:val="17"/>
          <w:szCs w:val="17"/>
          <w:color w:val="auto"/>
        </w:rPr>
        <w:t>Since we require this protection under a comprehensive security program and it is not designed to provide a personal benefit (other than the intended security), we do not view these security arrangements as compensation to the individuals. We report these security arrangements as perquisites as required under applicable SEC rules. In addition, we would report them as taxable compensation to the individuals if they were not excludable from income as working condition fringe benefits under Section 132 of the Internal Revenue Code.</w:t>
      </w:r>
    </w:p>
    <w:p>
      <w:pPr>
        <w:spacing w:after="0" w:line="67" w:lineRule="exact"/>
        <w:rPr>
          <w:sz w:val="20"/>
          <w:szCs w:val="20"/>
          <w:color w:val="auto"/>
        </w:rPr>
      </w:pPr>
    </w:p>
    <w:p>
      <w:pPr>
        <w:ind w:right="160"/>
        <w:spacing w:after="0" w:line="255" w:lineRule="auto"/>
        <w:rPr>
          <w:sz w:val="20"/>
          <w:szCs w:val="20"/>
          <w:color w:val="auto"/>
        </w:rPr>
      </w:pPr>
      <w:r>
        <w:rPr>
          <w:rFonts w:ascii="Arial" w:cs="Arial" w:eastAsia="Arial" w:hAnsi="Arial"/>
          <w:sz w:val="17"/>
          <w:szCs w:val="17"/>
          <w:color w:val="auto"/>
        </w:rPr>
        <w:t>The Board has determined that the CEO should avoid traveling by commercial aircraft for purposes of security, rapid availability and communications connectivity during travel, and should use Company-provided aircraft for all air travel. If, as a result, the CEO uses Company-provided aircraft for personal travel, the costs of such travel are imputed as income and are subject to the appropriate tax reporting according to Internal Revenue Code regulations.</w:t>
      </w:r>
    </w:p>
    <w:p>
      <w:pPr>
        <w:spacing w:after="0" w:line="297"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48 </w:t>
      </w:r>
      <w:r>
        <w:rPr>
          <w:rFonts w:ascii="Arial" w:cs="Arial" w:eastAsia="Arial" w:hAnsi="Arial"/>
          <w:sz w:val="13"/>
          <w:szCs w:val="13"/>
          <w:color w:val="auto"/>
        </w:rPr>
        <w:t>I</w:t>
      </w:r>
      <w:r>
        <w:rPr>
          <w:rFonts w:ascii="Arial" w:cs="Arial" w:eastAsia="Arial" w:hAnsi="Arial"/>
          <w:sz w:val="17"/>
          <w:szCs w:val="17"/>
          <w:color w:val="auto"/>
        </w:rPr>
        <w:t xml:space="preserve"> </w:t>
      </w:r>
      <w:r>
        <w:rPr>
          <w:rFonts w:ascii="Arial" w:cs="Arial" w:eastAsia="Arial" w:hAnsi="Arial"/>
          <w:sz w:val="13"/>
          <w:szCs w:val="13"/>
          <w:color w:val="34657F"/>
        </w:rPr>
        <w:t>NOTICE OF 2019 ANNUAL MEETING OF SHAREHOLDERS AND PROXY STATEMENT</w:t>
      </w:r>
    </w:p>
    <w:p>
      <w:pPr>
        <w:sectPr>
          <w:pgSz w:w="11900" w:h="16838" w:orient="portrait"/>
          <w:cols w:equalWidth="0" w:num="1">
            <w:col w:w="11380"/>
          </w:cols>
          <w:pgMar w:left="240" w:top="825" w:right="279" w:bottom="1440" w:gutter="0" w:footer="0" w:header="0"/>
        </w:sectPr>
      </w:pPr>
    </w:p>
    <w:bookmarkStart w:id="54" w:name="page55"/>
    <w:bookmarkEnd w:id="54"/>
    <w:p>
      <w:pPr>
        <w:ind w:left="20"/>
        <w:spacing w:after="0"/>
        <w:rPr>
          <w:sz w:val="20"/>
          <w:szCs w:val="20"/>
          <w:color w:val="auto"/>
        </w:rPr>
      </w:pPr>
      <w:r>
        <w:rPr>
          <w:rFonts w:ascii="Arial" w:cs="Arial" w:eastAsia="Arial" w:hAnsi="Arial"/>
          <w:sz w:val="21"/>
          <w:szCs w:val="21"/>
          <w:b w:val="1"/>
          <w:bCs w:val="1"/>
          <w:color w:val="FFFFFF"/>
        </w:rPr>
        <w:drawing>
          <wp:anchor simplePos="0" relativeHeight="251657728" behindDoc="1" locked="0" layoutInCell="0" allowOverlap="1">
            <wp:simplePos x="0" y="0"/>
            <wp:positionH relativeFrom="page">
              <wp:posOffset>154305</wp:posOffset>
            </wp:positionH>
            <wp:positionV relativeFrom="page">
              <wp:posOffset>463550</wp:posOffset>
            </wp:positionV>
            <wp:extent cx="7253605" cy="56197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53605" cy="561975"/>
                    </a:xfrm>
                    <a:prstGeom prst="rect">
                      <a:avLst/>
                    </a:prstGeom>
                    <a:noFill/>
                  </pic:spPr>
                </pic:pic>
              </a:graphicData>
            </a:graphic>
          </wp:anchor>
        </w:drawing>
        <w:t>COMPENSATION DISCUSSION AND ANALYSIS | K</w:t>
      </w:r>
      <w:r>
        <w:rPr>
          <w:rFonts w:ascii="Arial" w:cs="Arial" w:eastAsia="Arial" w:hAnsi="Arial"/>
          <w:sz w:val="17"/>
          <w:szCs w:val="17"/>
          <w:b w:val="1"/>
          <w:bCs w:val="1"/>
          <w:color w:val="FFFFFF"/>
        </w:rPr>
        <w:t>EY</w:t>
      </w:r>
      <w:r>
        <w:rPr>
          <w:rFonts w:ascii="Arial" w:cs="Arial" w:eastAsia="Arial" w:hAnsi="Arial"/>
          <w:sz w:val="21"/>
          <w:szCs w:val="21"/>
          <w:b w:val="1"/>
          <w:bCs w:val="1"/>
          <w:color w:val="FFFFFF"/>
        </w:rPr>
        <w:t xml:space="preserve"> C</w:t>
      </w:r>
      <w:r>
        <w:rPr>
          <w:rFonts w:ascii="Arial" w:cs="Arial" w:eastAsia="Arial" w:hAnsi="Arial"/>
          <w:sz w:val="17"/>
          <w:szCs w:val="17"/>
          <w:b w:val="1"/>
          <w:bCs w:val="1"/>
          <w:color w:val="FFFFFF"/>
        </w:rPr>
        <w:t>OMPONENTS OF OUR</w:t>
      </w:r>
      <w:r>
        <w:rPr>
          <w:rFonts w:ascii="Arial" w:cs="Arial" w:eastAsia="Arial" w:hAnsi="Arial"/>
          <w:sz w:val="21"/>
          <w:szCs w:val="21"/>
          <w:b w:val="1"/>
          <w:bCs w:val="1"/>
          <w:color w:val="FFFFFF"/>
        </w:rPr>
        <w:t xml:space="preserve"> P</w:t>
      </w:r>
      <w:r>
        <w:rPr>
          <w:rFonts w:ascii="Arial" w:cs="Arial" w:eastAsia="Arial" w:hAnsi="Arial"/>
          <w:sz w:val="17"/>
          <w:szCs w:val="17"/>
          <w:b w:val="1"/>
          <w:bCs w:val="1"/>
          <w:color w:val="FFFFFF"/>
        </w:rPr>
        <w:t>ROGRAMS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right="280"/>
        <w:spacing w:after="0" w:line="263" w:lineRule="auto"/>
        <w:rPr>
          <w:sz w:val="20"/>
          <w:szCs w:val="20"/>
          <w:color w:val="auto"/>
        </w:rPr>
      </w:pPr>
      <w:r>
        <w:rPr>
          <w:rFonts w:ascii="Arial" w:cs="Arial" w:eastAsia="Arial" w:hAnsi="Arial"/>
          <w:sz w:val="17"/>
          <w:szCs w:val="17"/>
          <w:color w:val="auto"/>
        </w:rPr>
        <w:t>We regularly review the nature of the security threat and associated vulnerabilities with law enforcement and security specialists and will continue to revise our security program as appropriate.</w:t>
      </w:r>
    </w:p>
    <w:p>
      <w:pPr>
        <w:spacing w:after="0" w:line="59" w:lineRule="exact"/>
        <w:rPr>
          <w:sz w:val="20"/>
          <w:szCs w:val="20"/>
          <w:color w:val="auto"/>
        </w:rPr>
      </w:pPr>
    </w:p>
    <w:p>
      <w:pPr>
        <w:ind w:right="380"/>
        <w:spacing w:after="0" w:line="263" w:lineRule="auto"/>
        <w:rPr>
          <w:sz w:val="20"/>
          <w:szCs w:val="20"/>
          <w:color w:val="auto"/>
        </w:rPr>
      </w:pPr>
      <w:r>
        <w:rPr>
          <w:rFonts w:ascii="Arial" w:cs="Arial" w:eastAsia="Arial" w:hAnsi="Arial"/>
          <w:sz w:val="17"/>
          <w:szCs w:val="17"/>
          <w:color w:val="auto"/>
        </w:rPr>
        <w:t>In September 2018, the Board of Directors approved security protection for Ms. Warden as the incoming CEO, at the same level that such security protection is currently provided to the CEO, effective immediately.</w:t>
      </w:r>
    </w:p>
    <w:p>
      <w:pPr>
        <w:spacing w:after="0" w:line="3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Severance Benefits</w:t>
      </w:r>
    </w:p>
    <w:p>
      <w:pPr>
        <w:spacing w:after="0" w:line="103" w:lineRule="exact"/>
        <w:rPr>
          <w:sz w:val="20"/>
          <w:szCs w:val="20"/>
          <w:color w:val="auto"/>
        </w:rPr>
      </w:pPr>
    </w:p>
    <w:p>
      <w:pPr>
        <w:ind w:right="120"/>
        <w:spacing w:after="0" w:line="255" w:lineRule="auto"/>
        <w:rPr>
          <w:sz w:val="20"/>
          <w:szCs w:val="20"/>
          <w:color w:val="auto"/>
        </w:rPr>
      </w:pPr>
      <w:r>
        <w:rPr>
          <w:rFonts w:ascii="Arial" w:cs="Arial" w:eastAsia="Arial" w:hAnsi="Arial"/>
          <w:sz w:val="17"/>
          <w:szCs w:val="17"/>
          <w:color w:val="auto"/>
        </w:rPr>
        <w:t>We maintain the Severance Plan for Elected and Appointed Officers of Northrop Grumman Corporation (Severance Plan), which is available to our NEOs who qualify and are approved to receive such benefits. Mr. Bush is not eligible to participate in the Severance Plan. The purpose of the Severance Plan is to help bridge the gap in an executive's income and health coverage during a period of unemployment following termination, and to ensure certain benefits for the Company.</w:t>
      </w:r>
    </w:p>
    <w:p>
      <w:pPr>
        <w:spacing w:after="0" w:line="67" w:lineRule="exact"/>
        <w:rPr>
          <w:sz w:val="20"/>
          <w:szCs w:val="20"/>
          <w:color w:val="auto"/>
        </w:rPr>
      </w:pPr>
    </w:p>
    <w:p>
      <w:pPr>
        <w:ind w:right="580"/>
        <w:spacing w:after="0" w:line="263" w:lineRule="auto"/>
        <w:rPr>
          <w:sz w:val="20"/>
          <w:szCs w:val="20"/>
          <w:color w:val="auto"/>
        </w:rPr>
      </w:pPr>
      <w:r>
        <w:rPr>
          <w:rFonts w:ascii="Arial" w:cs="Arial" w:eastAsia="Arial" w:hAnsi="Arial"/>
          <w:sz w:val="17"/>
          <w:szCs w:val="17"/>
          <w:color w:val="auto"/>
        </w:rPr>
        <w:t>We do not maintain any change in control severance plans. In addition, we do not provide excise tax gross-ups for any payments received upon termination after a change in control.</w:t>
      </w:r>
    </w:p>
    <w:p>
      <w:pPr>
        <w:spacing w:after="0" w:line="59" w:lineRule="exact"/>
        <w:rPr>
          <w:sz w:val="20"/>
          <w:szCs w:val="20"/>
          <w:color w:val="auto"/>
        </w:rPr>
      </w:pPr>
    </w:p>
    <w:p>
      <w:pPr>
        <w:ind w:right="80"/>
        <w:spacing w:after="0" w:line="251" w:lineRule="auto"/>
        <w:rPr>
          <w:sz w:val="20"/>
          <w:szCs w:val="20"/>
          <w:color w:val="auto"/>
        </w:rPr>
      </w:pPr>
      <w:r>
        <w:rPr>
          <w:rFonts w:ascii="Arial" w:cs="Arial" w:eastAsia="Arial" w:hAnsi="Arial"/>
          <w:sz w:val="17"/>
          <w:szCs w:val="17"/>
          <w:color w:val="auto"/>
        </w:rPr>
        <w:t>Upon a "qualifying termination" (defined below) the Company will provide severance benefits to eligible NEOs under the Severance Plan. Provided the NEO signs a release and agrees to certain restrictions, he or she may receive: (i) a lump sum severance benefit equal to one and one-half times annual base salary and target bonus, (ii) a prorated performance bonus for the year of termination, (iii) continued medical and dental coverage for the eighteen-month severance period, (iv) income tax preparation/financial planning fees for the year of termination and the following year and</w:t>
      </w:r>
    </w:p>
    <w:p>
      <w:pPr>
        <w:spacing w:after="0" w:line="3" w:lineRule="exact"/>
        <w:rPr>
          <w:sz w:val="20"/>
          <w:szCs w:val="20"/>
          <w:color w:val="auto"/>
        </w:rPr>
      </w:pPr>
    </w:p>
    <w:p>
      <w:pPr>
        <w:ind w:right="200" w:firstLine="3"/>
        <w:spacing w:after="0" w:line="257" w:lineRule="auto"/>
        <w:tabs>
          <w:tab w:leader="none" w:pos="247" w:val="left"/>
        </w:tabs>
        <w:numPr>
          <w:ilvl w:val="0"/>
          <w:numId w:val="60"/>
        </w:numPr>
        <w:rPr>
          <w:rFonts w:ascii="Arial" w:cs="Arial" w:eastAsia="Arial" w:hAnsi="Arial"/>
          <w:sz w:val="17"/>
          <w:szCs w:val="17"/>
          <w:color w:val="auto"/>
        </w:rPr>
      </w:pPr>
      <w:r>
        <w:rPr>
          <w:rFonts w:ascii="Arial" w:cs="Arial" w:eastAsia="Arial" w:hAnsi="Arial"/>
          <w:sz w:val="17"/>
          <w:szCs w:val="17"/>
          <w:color w:val="auto"/>
        </w:rPr>
        <w:t>outplacement expenses up to 15% of salary, all subject to management approval. The cost of providing continued medical and dental coverage is based upon current premium costs. The cost of providing income tax preparation and financial planning is capped at $18,500 for the year of termination and $18,500 for the year following termination.</w:t>
      </w:r>
    </w:p>
    <w:p>
      <w:pPr>
        <w:spacing w:after="0" w:line="64" w:lineRule="exact"/>
        <w:rPr>
          <w:sz w:val="20"/>
          <w:szCs w:val="20"/>
          <w:color w:val="auto"/>
        </w:rPr>
      </w:pPr>
    </w:p>
    <w:p>
      <w:pPr>
        <w:spacing w:after="0"/>
        <w:rPr>
          <w:sz w:val="20"/>
          <w:szCs w:val="20"/>
          <w:color w:val="auto"/>
        </w:rPr>
      </w:pPr>
      <w:r>
        <w:rPr>
          <w:rFonts w:ascii="Arial" w:cs="Arial" w:eastAsia="Arial" w:hAnsi="Arial"/>
          <w:sz w:val="17"/>
          <w:szCs w:val="17"/>
          <w:color w:val="auto"/>
        </w:rPr>
        <w:t>A "qualifying termination" includes one of the following:</w:t>
      </w:r>
    </w:p>
    <w:p>
      <w:pPr>
        <w:spacing w:after="0" w:line="50" w:lineRule="exact"/>
        <w:rPr>
          <w:sz w:val="20"/>
          <w:szCs w:val="20"/>
          <w:color w:val="auto"/>
        </w:rPr>
      </w:pPr>
    </w:p>
    <w:p>
      <w:pPr>
        <w:ind w:left="320" w:hanging="317"/>
        <w:spacing w:after="0"/>
        <w:tabs>
          <w:tab w:leader="none" w:pos="320" w:val="left"/>
        </w:tabs>
        <w:numPr>
          <w:ilvl w:val="0"/>
          <w:numId w:val="61"/>
        </w:numPr>
        <w:rPr>
          <w:rFonts w:ascii="Arial" w:cs="Arial" w:eastAsia="Arial" w:hAnsi="Arial"/>
          <w:sz w:val="21"/>
          <w:szCs w:val="21"/>
          <w:color w:val="34657F"/>
        </w:rPr>
      </w:pPr>
      <w:r>
        <w:rPr>
          <w:rFonts w:ascii="Arial" w:cs="Arial" w:eastAsia="Arial" w:hAnsi="Arial"/>
          <w:sz w:val="17"/>
          <w:szCs w:val="17"/>
          <w:color w:val="auto"/>
        </w:rPr>
        <w:t>involuntary termination, other than for cause or mandatory retirement; or</w:t>
      </w:r>
    </w:p>
    <w:p>
      <w:pPr>
        <w:spacing w:after="0" w:line="40" w:lineRule="exact"/>
        <w:rPr>
          <w:rFonts w:ascii="Arial" w:cs="Arial" w:eastAsia="Arial" w:hAnsi="Arial"/>
          <w:sz w:val="21"/>
          <w:szCs w:val="21"/>
          <w:color w:val="34657F"/>
        </w:rPr>
      </w:pPr>
    </w:p>
    <w:p>
      <w:pPr>
        <w:ind w:left="320" w:hanging="317"/>
        <w:spacing w:after="0"/>
        <w:tabs>
          <w:tab w:leader="none" w:pos="320" w:val="left"/>
        </w:tabs>
        <w:numPr>
          <w:ilvl w:val="0"/>
          <w:numId w:val="61"/>
        </w:numPr>
        <w:rPr>
          <w:rFonts w:ascii="Arial" w:cs="Arial" w:eastAsia="Arial" w:hAnsi="Arial"/>
          <w:sz w:val="21"/>
          <w:szCs w:val="21"/>
          <w:color w:val="34657F"/>
        </w:rPr>
      </w:pPr>
      <w:r>
        <w:rPr>
          <w:rFonts w:ascii="Arial" w:cs="Arial" w:eastAsia="Arial" w:hAnsi="Arial"/>
          <w:sz w:val="17"/>
          <w:szCs w:val="17"/>
          <w:color w:val="auto"/>
        </w:rPr>
        <w:t>election to terminate in lieu of accepting a downgrade to a non-officer position (i.e., good reason).</w:t>
      </w:r>
    </w:p>
    <w:p>
      <w:pPr>
        <w:spacing w:after="0" w:line="37" w:lineRule="exact"/>
        <w:rPr>
          <w:rFonts w:ascii="Arial" w:cs="Arial" w:eastAsia="Arial" w:hAnsi="Arial"/>
          <w:sz w:val="21"/>
          <w:szCs w:val="21"/>
          <w:color w:val="34657F"/>
        </w:rPr>
      </w:pPr>
    </w:p>
    <w:p>
      <w:pPr>
        <w:spacing w:after="0"/>
        <w:rPr>
          <w:rFonts w:ascii="Arial" w:cs="Arial" w:eastAsia="Arial" w:hAnsi="Arial"/>
          <w:sz w:val="21"/>
          <w:szCs w:val="21"/>
          <w:color w:val="34657F"/>
        </w:rPr>
      </w:pPr>
      <w:r>
        <w:rPr>
          <w:rFonts w:ascii="Arial" w:cs="Arial" w:eastAsia="Arial" w:hAnsi="Arial"/>
          <w:sz w:val="19"/>
          <w:szCs w:val="19"/>
          <w:b w:val="1"/>
          <w:bCs w:val="1"/>
          <w:color w:val="auto"/>
        </w:rPr>
        <w:t>Change in Control Benefits</w:t>
      </w:r>
    </w:p>
    <w:p>
      <w:pPr>
        <w:spacing w:after="0" w:line="77" w:lineRule="exact"/>
        <w:rPr>
          <w:sz w:val="20"/>
          <w:szCs w:val="20"/>
          <w:color w:val="auto"/>
        </w:rPr>
      </w:pPr>
    </w:p>
    <w:p>
      <w:pPr>
        <w:ind w:right="760"/>
        <w:spacing w:after="0" w:line="263" w:lineRule="auto"/>
        <w:rPr>
          <w:sz w:val="20"/>
          <w:szCs w:val="20"/>
          <w:color w:val="auto"/>
        </w:rPr>
      </w:pPr>
      <w:r>
        <w:rPr>
          <w:rFonts w:ascii="Arial" w:cs="Arial" w:eastAsia="Arial" w:hAnsi="Arial"/>
          <w:sz w:val="17"/>
          <w:szCs w:val="17"/>
          <w:color w:val="auto"/>
        </w:rPr>
        <w:t>We do not maintain separate change in control programs or agreements. The only change in control benefits available to the NEOs are those described in the terms and conditions of the grants under the 2011 Long-Term Incentive Stock Plan (2011 Plan).</w:t>
      </w:r>
    </w:p>
    <w:p>
      <w:pPr>
        <w:spacing w:after="0" w:line="185" w:lineRule="exact"/>
        <w:rPr>
          <w:sz w:val="20"/>
          <w:szCs w:val="20"/>
          <w:color w:val="auto"/>
        </w:rPr>
      </w:pPr>
    </w:p>
    <w:p>
      <w:pPr>
        <w:ind w:left="20"/>
        <w:spacing w:after="0"/>
        <w:rPr>
          <w:sz w:val="20"/>
          <w:szCs w:val="20"/>
          <w:color w:val="auto"/>
        </w:rPr>
      </w:pPr>
      <w:r>
        <w:rPr>
          <w:rFonts w:ascii="Arial" w:cs="Arial" w:eastAsia="Arial" w:hAnsi="Arial"/>
          <w:sz w:val="24"/>
          <w:szCs w:val="24"/>
          <w:b w:val="1"/>
          <w:bCs w:val="1"/>
          <w:color w:val="auto"/>
        </w:rPr>
        <w:t>Policies and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38100</wp:posOffset>
            </wp:positionV>
            <wp:extent cx="7253605" cy="1651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pacing w:after="0" w:line="9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Stock Ownership Guidelines</w:t>
      </w:r>
    </w:p>
    <w:p>
      <w:pPr>
        <w:spacing w:after="0" w:line="103" w:lineRule="exact"/>
        <w:rPr>
          <w:sz w:val="20"/>
          <w:szCs w:val="20"/>
          <w:color w:val="auto"/>
        </w:rPr>
      </w:pPr>
    </w:p>
    <w:p>
      <w:pPr>
        <w:ind w:right="380"/>
        <w:spacing w:after="0" w:line="257" w:lineRule="auto"/>
        <w:rPr>
          <w:sz w:val="20"/>
          <w:szCs w:val="20"/>
          <w:color w:val="auto"/>
        </w:rPr>
      </w:pPr>
      <w:r>
        <w:rPr>
          <w:rFonts w:ascii="Arial" w:cs="Arial" w:eastAsia="Arial" w:hAnsi="Arial"/>
          <w:sz w:val="17"/>
          <w:szCs w:val="17"/>
          <w:color w:val="auto"/>
        </w:rPr>
        <w:t>We maintain stock ownership guidelines for our NEOs to further promote alignment of management and shareholder interests. These guidelines require that NEOs own Company stock with a value denominated as a multiple of their annual salaries, which can be accumulated over a five-year period from the date of hire or promotion into an elected officer position.</w:t>
      </w:r>
    </w:p>
    <w:p>
      <w:pPr>
        <w:spacing w:after="0" w:line="64" w:lineRule="exact"/>
        <w:rPr>
          <w:sz w:val="20"/>
          <w:szCs w:val="20"/>
          <w:color w:val="auto"/>
        </w:rPr>
      </w:pPr>
    </w:p>
    <w:p>
      <w:pPr>
        <w:spacing w:after="0"/>
        <w:rPr>
          <w:sz w:val="20"/>
          <w:szCs w:val="20"/>
          <w:color w:val="auto"/>
        </w:rPr>
      </w:pPr>
      <w:r>
        <w:rPr>
          <w:rFonts w:ascii="Arial" w:cs="Arial" w:eastAsia="Arial" w:hAnsi="Arial"/>
          <w:sz w:val="17"/>
          <w:szCs w:val="17"/>
          <w:color w:val="auto"/>
        </w:rPr>
        <w:t>The guidelines are as follows:</w:t>
      </w:r>
    </w:p>
    <w:p>
      <w:pPr>
        <w:spacing w:after="0" w:line="216" w:lineRule="exact"/>
        <w:rPr>
          <w:sz w:val="20"/>
          <w:szCs w:val="20"/>
          <w:color w:val="auto"/>
        </w:rPr>
      </w:pPr>
    </w:p>
    <w:tbl>
      <w:tblPr>
        <w:tblLayout w:type="fixed"/>
        <w:tblInd w:w="780" w:type="dxa"/>
        <w:tblCellMar>
          <w:top w:w="0" w:type="dxa"/>
          <w:left w:w="0" w:type="dxa"/>
          <w:bottom w:w="0" w:type="dxa"/>
          <w:right w:w="0" w:type="dxa"/>
        </w:tblCellMar>
      </w:tblPr>
      <w:tr>
        <w:trPr>
          <w:trHeight w:val="236"/>
        </w:trPr>
        <w:tc>
          <w:tcPr>
            <w:tcW w:w="4940" w:type="dxa"/>
            <w:vAlign w:val="bottom"/>
            <w:tcBorders>
              <w:bottom w:val="single" w:sz="8" w:color="34657F"/>
            </w:tcBorders>
            <w:shd w:val="clear" w:color="auto" w:fill="34657F"/>
          </w:tcPr>
          <w:p>
            <w:pPr>
              <w:ind w:left="20"/>
              <w:spacing w:after="0"/>
              <w:rPr>
                <w:sz w:val="20"/>
                <w:szCs w:val="20"/>
                <w:color w:val="auto"/>
              </w:rPr>
            </w:pPr>
            <w:r>
              <w:rPr>
                <w:rFonts w:ascii="Arial" w:cs="Arial" w:eastAsia="Arial" w:hAnsi="Arial"/>
                <w:sz w:val="15"/>
                <w:szCs w:val="15"/>
                <w:b w:val="1"/>
                <w:bCs w:val="1"/>
                <w:color w:val="FFFFFF"/>
              </w:rPr>
              <w:t>Position</w:t>
            </w:r>
          </w:p>
        </w:tc>
        <w:tc>
          <w:tcPr>
            <w:tcW w:w="4940" w:type="dxa"/>
            <w:vAlign w:val="bottom"/>
            <w:tcBorders>
              <w:bottom w:val="single" w:sz="8" w:color="34657F"/>
            </w:tcBorders>
            <w:shd w:val="clear" w:color="auto" w:fill="34657F"/>
          </w:tcPr>
          <w:p>
            <w:pPr>
              <w:jc w:val="center"/>
              <w:spacing w:after="0"/>
              <w:rPr>
                <w:sz w:val="20"/>
                <w:szCs w:val="20"/>
                <w:color w:val="auto"/>
              </w:rPr>
            </w:pPr>
            <w:r>
              <w:rPr>
                <w:rFonts w:ascii="Arial" w:cs="Arial" w:eastAsia="Arial" w:hAnsi="Arial"/>
                <w:sz w:val="15"/>
                <w:szCs w:val="15"/>
                <w:b w:val="1"/>
                <w:bCs w:val="1"/>
                <w:color w:val="FFFFFF"/>
              </w:rPr>
              <w:t>Stock Value as a Multiple of Base Salary</w:t>
            </w:r>
          </w:p>
        </w:tc>
        <w:tc>
          <w:tcPr>
            <w:tcW w:w="20" w:type="dxa"/>
            <w:vAlign w:val="bottom"/>
            <w:tcBorders>
              <w:bottom w:val="single" w:sz="8" w:color="34657F"/>
            </w:tcBorders>
            <w:shd w:val="clear" w:color="auto" w:fill="34657F"/>
          </w:tcPr>
          <w:p>
            <w:pPr>
              <w:spacing w:after="0"/>
              <w:rPr>
                <w:sz w:val="20"/>
                <w:szCs w:val="20"/>
                <w:color w:val="auto"/>
              </w:rPr>
            </w:pPr>
          </w:p>
        </w:tc>
      </w:tr>
      <w:tr>
        <w:trPr>
          <w:trHeight w:val="231"/>
        </w:trPr>
        <w:tc>
          <w:tcPr>
            <w:tcW w:w="4940" w:type="dxa"/>
            <w:vAlign w:val="bottom"/>
            <w:shd w:val="clear" w:color="auto" w:fill="D1DDE6"/>
          </w:tcPr>
          <w:p>
            <w:pPr>
              <w:ind w:left="20"/>
              <w:spacing w:after="0"/>
              <w:rPr>
                <w:sz w:val="20"/>
                <w:szCs w:val="20"/>
                <w:color w:val="auto"/>
              </w:rPr>
            </w:pPr>
            <w:r>
              <w:rPr>
                <w:rFonts w:ascii="Arial" w:cs="Arial" w:eastAsia="Arial" w:hAnsi="Arial"/>
                <w:sz w:val="15"/>
                <w:szCs w:val="15"/>
                <w:color w:val="auto"/>
              </w:rPr>
              <w:t>Chairman and Chief Executive Officer</w:t>
            </w:r>
          </w:p>
        </w:tc>
        <w:tc>
          <w:tcPr>
            <w:tcW w:w="4940" w:type="dxa"/>
            <w:vAlign w:val="bottom"/>
            <w:shd w:val="clear" w:color="auto" w:fill="D1DDE6"/>
          </w:tcPr>
          <w:p>
            <w:pPr>
              <w:jc w:val="center"/>
              <w:spacing w:after="0"/>
              <w:rPr>
                <w:sz w:val="20"/>
                <w:szCs w:val="20"/>
                <w:color w:val="auto"/>
              </w:rPr>
            </w:pPr>
            <w:r>
              <w:rPr>
                <w:rFonts w:ascii="Arial" w:cs="Arial" w:eastAsia="Arial" w:hAnsi="Arial"/>
                <w:sz w:val="15"/>
                <w:szCs w:val="15"/>
                <w:color w:val="auto"/>
              </w:rPr>
              <w:t>7x base salary</w:t>
            </w:r>
          </w:p>
        </w:tc>
        <w:tc>
          <w:tcPr>
            <w:tcW w:w="20" w:type="dxa"/>
            <w:vAlign w:val="bottom"/>
          </w:tcPr>
          <w:p>
            <w:pPr>
              <w:spacing w:after="0"/>
              <w:rPr>
                <w:sz w:val="20"/>
                <w:szCs w:val="20"/>
                <w:color w:val="auto"/>
              </w:rPr>
            </w:pPr>
          </w:p>
        </w:tc>
      </w:tr>
      <w:tr>
        <w:trPr>
          <w:trHeight w:val="224"/>
        </w:trPr>
        <w:tc>
          <w:tcPr>
            <w:tcW w:w="4940" w:type="dxa"/>
            <w:vAlign w:val="bottom"/>
            <w:tcBorders>
              <w:bottom w:val="single" w:sz="8" w:color="34657F"/>
            </w:tcBorders>
          </w:tcPr>
          <w:p>
            <w:pPr>
              <w:ind w:left="20"/>
              <w:spacing w:after="0"/>
              <w:rPr>
                <w:sz w:val="20"/>
                <w:szCs w:val="20"/>
                <w:color w:val="auto"/>
              </w:rPr>
            </w:pPr>
            <w:r>
              <w:rPr>
                <w:rFonts w:ascii="Arial" w:cs="Arial" w:eastAsia="Arial" w:hAnsi="Arial"/>
                <w:sz w:val="15"/>
                <w:szCs w:val="15"/>
                <w:color w:val="auto"/>
              </w:rPr>
              <w:t>Other NEOs</w:t>
            </w:r>
          </w:p>
        </w:tc>
        <w:tc>
          <w:tcPr>
            <w:tcW w:w="4940" w:type="dxa"/>
            <w:vAlign w:val="bottom"/>
            <w:tcBorders>
              <w:bottom w:val="single" w:sz="8" w:color="34657F"/>
            </w:tcBorders>
          </w:tcPr>
          <w:p>
            <w:pPr>
              <w:jc w:val="center"/>
              <w:spacing w:after="0"/>
              <w:rPr>
                <w:sz w:val="20"/>
                <w:szCs w:val="20"/>
                <w:color w:val="auto"/>
              </w:rPr>
            </w:pPr>
            <w:r>
              <w:rPr>
                <w:rFonts w:ascii="Arial" w:cs="Arial" w:eastAsia="Arial" w:hAnsi="Arial"/>
                <w:sz w:val="15"/>
                <w:szCs w:val="15"/>
                <w:color w:val="auto"/>
              </w:rPr>
              <w:t>3x base salary</w:t>
            </w:r>
          </w:p>
        </w:tc>
        <w:tc>
          <w:tcPr>
            <w:tcW w:w="20" w:type="dxa"/>
            <w:vAlign w:val="bottom"/>
          </w:tcPr>
          <w:p>
            <w:pPr>
              <w:spacing w:after="0"/>
              <w:rPr>
                <w:sz w:val="19"/>
                <w:szCs w:val="19"/>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7"/>
          <w:szCs w:val="17"/>
          <w:color w:val="auto"/>
        </w:rPr>
        <w:t>Shares that satisfy the stock ownership guidelines include:</w:t>
      </w:r>
    </w:p>
    <w:p>
      <w:pPr>
        <w:spacing w:after="0" w:line="50" w:lineRule="exact"/>
        <w:rPr>
          <w:sz w:val="20"/>
          <w:szCs w:val="20"/>
          <w:color w:val="auto"/>
        </w:rPr>
      </w:pPr>
    </w:p>
    <w:p>
      <w:pPr>
        <w:ind w:left="320" w:hanging="317"/>
        <w:spacing w:after="0"/>
        <w:tabs>
          <w:tab w:leader="none" w:pos="320" w:val="left"/>
        </w:tabs>
        <w:numPr>
          <w:ilvl w:val="0"/>
          <w:numId w:val="62"/>
        </w:numPr>
        <w:rPr>
          <w:rFonts w:ascii="Arial" w:cs="Arial" w:eastAsia="Arial" w:hAnsi="Arial"/>
          <w:sz w:val="21"/>
          <w:szCs w:val="21"/>
          <w:color w:val="34657F"/>
        </w:rPr>
      </w:pPr>
      <w:r>
        <w:rPr>
          <w:rFonts w:ascii="Arial" w:cs="Arial" w:eastAsia="Arial" w:hAnsi="Arial"/>
          <w:sz w:val="17"/>
          <w:szCs w:val="17"/>
          <w:color w:val="auto"/>
        </w:rPr>
        <w:t>Company stock owned outright;</w:t>
      </w:r>
    </w:p>
    <w:p>
      <w:pPr>
        <w:spacing w:after="0" w:line="40" w:lineRule="exact"/>
        <w:rPr>
          <w:rFonts w:ascii="Arial" w:cs="Arial" w:eastAsia="Arial" w:hAnsi="Arial"/>
          <w:sz w:val="21"/>
          <w:szCs w:val="21"/>
          <w:color w:val="34657F"/>
        </w:rPr>
      </w:pPr>
    </w:p>
    <w:p>
      <w:pPr>
        <w:ind w:left="320" w:hanging="317"/>
        <w:spacing w:after="0"/>
        <w:tabs>
          <w:tab w:leader="none" w:pos="320" w:val="left"/>
        </w:tabs>
        <w:numPr>
          <w:ilvl w:val="0"/>
          <w:numId w:val="62"/>
        </w:numPr>
        <w:rPr>
          <w:rFonts w:ascii="Arial" w:cs="Arial" w:eastAsia="Arial" w:hAnsi="Arial"/>
          <w:sz w:val="21"/>
          <w:szCs w:val="21"/>
          <w:color w:val="34657F"/>
        </w:rPr>
      </w:pPr>
      <w:r>
        <w:rPr>
          <w:rFonts w:ascii="Arial" w:cs="Arial" w:eastAsia="Arial" w:hAnsi="Arial"/>
          <w:sz w:val="17"/>
          <w:szCs w:val="17"/>
          <w:color w:val="auto"/>
        </w:rPr>
        <w:t>unvested RSRs; and</w:t>
      </w:r>
    </w:p>
    <w:p>
      <w:pPr>
        <w:spacing w:after="0" w:line="77" w:lineRule="exact"/>
        <w:rPr>
          <w:rFonts w:ascii="Arial" w:cs="Arial" w:eastAsia="Arial" w:hAnsi="Arial"/>
          <w:sz w:val="21"/>
          <w:szCs w:val="21"/>
          <w:color w:val="34657F"/>
        </w:rPr>
      </w:pPr>
    </w:p>
    <w:p>
      <w:pPr>
        <w:ind w:right="1420" w:firstLine="3"/>
        <w:spacing w:after="0" w:line="301" w:lineRule="auto"/>
        <w:tabs>
          <w:tab w:leader="none" w:pos="308" w:val="left"/>
        </w:tabs>
        <w:numPr>
          <w:ilvl w:val="0"/>
          <w:numId w:val="62"/>
        </w:numPr>
        <w:rPr>
          <w:rFonts w:ascii="Arial" w:cs="Arial" w:eastAsia="Arial" w:hAnsi="Arial"/>
          <w:sz w:val="21"/>
          <w:szCs w:val="21"/>
          <w:color w:val="34657F"/>
        </w:rPr>
      </w:pPr>
      <w:r>
        <w:rPr>
          <w:rFonts w:ascii="Arial" w:cs="Arial" w:eastAsia="Arial" w:hAnsi="Arial"/>
          <w:sz w:val="17"/>
          <w:szCs w:val="17"/>
          <w:color w:val="auto"/>
        </w:rPr>
        <w:t>the value of shares held in the Northrop Grumman Savings Plan or Northrop Grumman Financial Security and Savings Program. Unvested RPSRs are not included in calculating ownership until they are converted to actual shares owned.</w:t>
      </w:r>
    </w:p>
    <w:p>
      <w:pPr>
        <w:spacing w:after="0" w:line="16" w:lineRule="exact"/>
        <w:rPr>
          <w:sz w:val="20"/>
          <w:szCs w:val="20"/>
          <w:color w:val="auto"/>
        </w:rPr>
      </w:pPr>
    </w:p>
    <w:p>
      <w:pPr>
        <w:ind w:right="120"/>
        <w:spacing w:after="0" w:line="257" w:lineRule="auto"/>
        <w:rPr>
          <w:sz w:val="20"/>
          <w:szCs w:val="20"/>
          <w:color w:val="auto"/>
        </w:rPr>
      </w:pPr>
      <w:r>
        <w:rPr>
          <w:rFonts w:ascii="Arial" w:cs="Arial" w:eastAsia="Arial" w:hAnsi="Arial"/>
          <w:sz w:val="17"/>
          <w:szCs w:val="17"/>
          <w:color w:val="auto"/>
        </w:rPr>
        <w:t>The Compensation Committee reviews compliance with our stock ownership guidelines on an annual basis. As of December 31, 2018, all NEOs were in compliance with the ownership guidelines. The Compensation Committee continues to monitor compliance and will conduct a full review again in 2019.</w:t>
      </w:r>
    </w:p>
    <w:p>
      <w:pPr>
        <w:spacing w:after="0" w:line="300" w:lineRule="exact"/>
        <w:rPr>
          <w:sz w:val="20"/>
          <w:szCs w:val="20"/>
          <w:color w:val="auto"/>
        </w:rPr>
      </w:pPr>
    </w:p>
    <w:p>
      <w:pPr>
        <w:jc w:val="right"/>
        <w:spacing w:after="0"/>
        <w:rPr>
          <w:sz w:val="20"/>
          <w:szCs w:val="20"/>
          <w:color w:val="auto"/>
        </w:rPr>
      </w:pPr>
      <w:r>
        <w:rPr>
          <w:rFonts w:ascii="Arial" w:cs="Arial" w:eastAsia="Arial" w:hAnsi="Arial"/>
          <w:sz w:val="14"/>
          <w:szCs w:val="14"/>
          <w:color w:val="34657F"/>
        </w:rPr>
        <w:t xml:space="preserve">NOTICE OF 2019 ANNUAL MEETING OF SHAREHOLDERS AND PROXY STATEMENT </w:t>
      </w:r>
      <w:r>
        <w:rPr>
          <w:rFonts w:ascii="Arial" w:cs="Arial" w:eastAsia="Arial" w:hAnsi="Arial"/>
          <w:sz w:val="14"/>
          <w:szCs w:val="14"/>
          <w:color w:val="000000"/>
        </w:rPr>
        <w:t>I 49</w:t>
      </w:r>
    </w:p>
    <w:p>
      <w:pPr>
        <w:sectPr>
          <w:pgSz w:w="11900" w:h="16838" w:orient="portrait"/>
          <w:cols w:equalWidth="0" w:num="1">
            <w:col w:w="11420"/>
          </w:cols>
          <w:pgMar w:left="240" w:top="825" w:right="239" w:bottom="1440" w:gutter="0" w:footer="0" w:header="0"/>
        </w:sectPr>
      </w:pPr>
    </w:p>
    <w:bookmarkStart w:id="55" w:name="page56"/>
    <w:bookmarkEnd w:id="55"/>
    <w:p>
      <w:pPr>
        <w:ind w:left="20"/>
        <w:spacing w:after="0"/>
        <w:rPr>
          <w:sz w:val="20"/>
          <w:szCs w:val="20"/>
          <w:color w:val="auto"/>
        </w:rPr>
      </w:pPr>
      <w:r>
        <w:rPr>
          <w:rFonts w:ascii="Arial" w:cs="Arial" w:eastAsia="Arial" w:hAnsi="Arial"/>
          <w:sz w:val="21"/>
          <w:szCs w:val="21"/>
          <w:b w:val="1"/>
          <w:bCs w:val="1"/>
          <w:color w:val="FFFFFF"/>
        </w:rPr>
        <w:drawing>
          <wp:anchor simplePos="0" relativeHeight="251657728" behindDoc="1" locked="0" layoutInCell="0" allowOverlap="1">
            <wp:simplePos x="0" y="0"/>
            <wp:positionH relativeFrom="page">
              <wp:posOffset>154305</wp:posOffset>
            </wp:positionH>
            <wp:positionV relativeFrom="page">
              <wp:posOffset>463550</wp:posOffset>
            </wp:positionV>
            <wp:extent cx="7253605" cy="56197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53605" cy="561975"/>
                    </a:xfrm>
                    <a:prstGeom prst="rect">
                      <a:avLst/>
                    </a:prstGeom>
                    <a:noFill/>
                  </pic:spPr>
                </pic:pic>
              </a:graphicData>
            </a:graphic>
          </wp:anchor>
        </w:drawing>
        <w:t>COMPENSATION DISCUSSION AND ANALYSIS | K</w:t>
      </w:r>
      <w:r>
        <w:rPr>
          <w:rFonts w:ascii="Arial" w:cs="Arial" w:eastAsia="Arial" w:hAnsi="Arial"/>
          <w:sz w:val="17"/>
          <w:szCs w:val="17"/>
          <w:b w:val="1"/>
          <w:bCs w:val="1"/>
          <w:color w:val="FFFFFF"/>
        </w:rPr>
        <w:t>EY</w:t>
      </w:r>
      <w:r>
        <w:rPr>
          <w:rFonts w:ascii="Arial" w:cs="Arial" w:eastAsia="Arial" w:hAnsi="Arial"/>
          <w:sz w:val="21"/>
          <w:szCs w:val="21"/>
          <w:b w:val="1"/>
          <w:bCs w:val="1"/>
          <w:color w:val="FFFFFF"/>
        </w:rPr>
        <w:t xml:space="preserve"> C</w:t>
      </w:r>
      <w:r>
        <w:rPr>
          <w:rFonts w:ascii="Arial" w:cs="Arial" w:eastAsia="Arial" w:hAnsi="Arial"/>
          <w:sz w:val="17"/>
          <w:szCs w:val="17"/>
          <w:b w:val="1"/>
          <w:bCs w:val="1"/>
          <w:color w:val="FFFFFF"/>
        </w:rPr>
        <w:t>OMPONENTS OF OUR</w:t>
      </w:r>
      <w:r>
        <w:rPr>
          <w:rFonts w:ascii="Arial" w:cs="Arial" w:eastAsia="Arial" w:hAnsi="Arial"/>
          <w:sz w:val="21"/>
          <w:szCs w:val="21"/>
          <w:b w:val="1"/>
          <w:bCs w:val="1"/>
          <w:color w:val="FFFFFF"/>
        </w:rPr>
        <w:t xml:space="preserve"> P</w:t>
      </w:r>
      <w:r>
        <w:rPr>
          <w:rFonts w:ascii="Arial" w:cs="Arial" w:eastAsia="Arial" w:hAnsi="Arial"/>
          <w:sz w:val="17"/>
          <w:szCs w:val="17"/>
          <w:b w:val="1"/>
          <w:bCs w:val="1"/>
          <w:color w:val="FFFFFF"/>
        </w:rPr>
        <w:t>ROGRAMS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Stock Holding Requirements</w:t>
      </w:r>
    </w:p>
    <w:p>
      <w:pPr>
        <w:spacing w:after="0" w:line="103" w:lineRule="exact"/>
        <w:rPr>
          <w:sz w:val="20"/>
          <w:szCs w:val="20"/>
          <w:color w:val="auto"/>
        </w:rPr>
      </w:pPr>
    </w:p>
    <w:p>
      <w:pPr>
        <w:ind w:right="20"/>
        <w:spacing w:after="0" w:line="254" w:lineRule="auto"/>
        <w:rPr>
          <w:sz w:val="20"/>
          <w:szCs w:val="20"/>
          <w:color w:val="auto"/>
        </w:rPr>
      </w:pPr>
      <w:r>
        <w:rPr>
          <w:rFonts w:ascii="Arial" w:cs="Arial" w:eastAsia="Arial" w:hAnsi="Arial"/>
          <w:sz w:val="17"/>
          <w:szCs w:val="17"/>
          <w:color w:val="auto"/>
        </w:rPr>
        <w:t>We have a holding period requirement for payouts from long-term incentive grants, further emphasizing the importance of sustainable performance and appropriate risk-management behaviors. Under this policy, NEOs are required to hold, for a period of three years, 50% of their net after-tax shares received from RPSR distributions and RSR vestings. These restrictions generally continue following termination and retirement; however, shares acquired from RPSR distributions following termination or retirement occurring more than one year after separation from the Company are not subject to the holding requirement.</w:t>
      </w:r>
    </w:p>
    <w:p>
      <w:pPr>
        <w:spacing w:after="0" w:line="4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Anti-Hedging and Pledging Policy</w:t>
      </w:r>
    </w:p>
    <w:p>
      <w:pPr>
        <w:spacing w:after="0" w:line="103" w:lineRule="exact"/>
        <w:rPr>
          <w:sz w:val="20"/>
          <w:szCs w:val="20"/>
          <w:color w:val="auto"/>
        </w:rPr>
      </w:pPr>
    </w:p>
    <w:p>
      <w:pPr>
        <w:ind w:right="120"/>
        <w:spacing w:after="0" w:line="263" w:lineRule="auto"/>
        <w:rPr>
          <w:sz w:val="20"/>
          <w:szCs w:val="20"/>
          <w:color w:val="auto"/>
        </w:rPr>
      </w:pPr>
      <w:r>
        <w:rPr>
          <w:rFonts w:ascii="Arial" w:cs="Arial" w:eastAsia="Arial" w:hAnsi="Arial"/>
          <w:sz w:val="17"/>
          <w:szCs w:val="17"/>
          <w:color w:val="auto"/>
        </w:rPr>
        <w:t>Company policy prohibits our NEOs and other elected officers from hedging, entering into margin transactions involving Company stock, and pledging Company securities as collateral for loans or other transactions.</w:t>
      </w:r>
    </w:p>
    <w:p>
      <w:pPr>
        <w:spacing w:after="0" w:line="3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Recoupment Policy</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color w:val="auto"/>
        </w:rPr>
        <w:t>The Company's recoupment policy provides that:</w:t>
      </w:r>
    </w:p>
    <w:p>
      <w:pPr>
        <w:spacing w:after="0" w:line="112" w:lineRule="exact"/>
        <w:rPr>
          <w:sz w:val="20"/>
          <w:szCs w:val="20"/>
          <w:color w:val="auto"/>
        </w:rPr>
      </w:pPr>
    </w:p>
    <w:p>
      <w:pPr>
        <w:ind w:left="320" w:hanging="317"/>
        <w:spacing w:after="0" w:line="253" w:lineRule="auto"/>
        <w:tabs>
          <w:tab w:leader="none" w:pos="320" w:val="left"/>
        </w:tabs>
        <w:numPr>
          <w:ilvl w:val="0"/>
          <w:numId w:val="63"/>
        </w:numPr>
        <w:rPr>
          <w:rFonts w:ascii="Arial" w:cs="Arial" w:eastAsia="Arial" w:hAnsi="Arial"/>
          <w:sz w:val="21"/>
          <w:szCs w:val="21"/>
          <w:color w:val="34657F"/>
        </w:rPr>
      </w:pPr>
      <w:r>
        <w:rPr>
          <w:rFonts w:ascii="Arial" w:cs="Arial" w:eastAsia="Arial" w:hAnsi="Arial"/>
          <w:sz w:val="17"/>
          <w:szCs w:val="17"/>
          <w:color w:val="auto"/>
        </w:rPr>
        <w:t>the Board has discretion to recoup incentive compensation paid to an elected officer in the event of a restatement or if an elected officer engages in illegal conduct that causes significant financial or reputational harm to the Company;</w:t>
      </w:r>
    </w:p>
    <w:p>
      <w:pPr>
        <w:spacing w:after="0" w:line="103" w:lineRule="exact"/>
        <w:rPr>
          <w:rFonts w:ascii="Arial" w:cs="Arial" w:eastAsia="Arial" w:hAnsi="Arial"/>
          <w:sz w:val="21"/>
          <w:szCs w:val="21"/>
          <w:color w:val="34657F"/>
        </w:rPr>
      </w:pPr>
    </w:p>
    <w:p>
      <w:pPr>
        <w:ind w:left="320" w:hanging="317"/>
        <w:spacing w:after="0" w:line="253" w:lineRule="auto"/>
        <w:tabs>
          <w:tab w:leader="none" w:pos="320" w:val="left"/>
        </w:tabs>
        <w:numPr>
          <w:ilvl w:val="0"/>
          <w:numId w:val="63"/>
        </w:numPr>
        <w:rPr>
          <w:rFonts w:ascii="Arial" w:cs="Arial" w:eastAsia="Arial" w:hAnsi="Arial"/>
          <w:sz w:val="21"/>
          <w:szCs w:val="21"/>
          <w:color w:val="34657F"/>
        </w:rPr>
      </w:pPr>
      <w:r>
        <w:rPr>
          <w:rFonts w:ascii="Arial" w:cs="Arial" w:eastAsia="Arial" w:hAnsi="Arial"/>
          <w:sz w:val="17"/>
          <w:szCs w:val="17"/>
          <w:color w:val="auto"/>
        </w:rPr>
        <w:t>the Board has discretion to recoup incentive compensation paid to the elected officer in the event the elected officer fails to report such misconduct of another, or is grossly negligent in fulfilling his or her supervisory responsibilities to prevent such misconduct; and</w:t>
      </w:r>
    </w:p>
    <w:p>
      <w:pPr>
        <w:spacing w:after="0" w:line="66" w:lineRule="exact"/>
        <w:rPr>
          <w:rFonts w:ascii="Arial" w:cs="Arial" w:eastAsia="Arial" w:hAnsi="Arial"/>
          <w:sz w:val="21"/>
          <w:szCs w:val="21"/>
          <w:color w:val="34657F"/>
        </w:rPr>
      </w:pPr>
    </w:p>
    <w:p>
      <w:pPr>
        <w:ind w:left="320" w:hanging="317"/>
        <w:spacing w:after="0"/>
        <w:tabs>
          <w:tab w:leader="none" w:pos="320" w:val="left"/>
        </w:tabs>
        <w:numPr>
          <w:ilvl w:val="0"/>
          <w:numId w:val="63"/>
        </w:numPr>
        <w:rPr>
          <w:rFonts w:ascii="Arial" w:cs="Arial" w:eastAsia="Arial" w:hAnsi="Arial"/>
          <w:sz w:val="21"/>
          <w:szCs w:val="21"/>
          <w:color w:val="34657F"/>
        </w:rPr>
      </w:pPr>
      <w:r>
        <w:rPr>
          <w:rFonts w:ascii="Arial" w:cs="Arial" w:eastAsia="Arial" w:hAnsi="Arial"/>
          <w:sz w:val="17"/>
          <w:szCs w:val="17"/>
          <w:color w:val="auto"/>
        </w:rPr>
        <w:t>the CEO has discretion to recoup under similar circumstances incentive compensation provided to non-elected officers or other employees.</w:t>
      </w:r>
    </w:p>
    <w:p>
      <w:pPr>
        <w:spacing w:after="0" w:line="90"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The Company’s recoupment policy applies to a three-year look back of performance-based short- or long-term, cash or equity incentive payments. It provides for certain disclosure in the event of recoupment, consistent with SEC and other legal requirements.</w:t>
      </w:r>
    </w:p>
    <w:p>
      <w:pPr>
        <w:spacing w:after="0" w:line="3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Risk Management</w:t>
      </w:r>
    </w:p>
    <w:p>
      <w:pPr>
        <w:spacing w:after="0" w:line="103" w:lineRule="exact"/>
        <w:rPr>
          <w:sz w:val="20"/>
          <w:szCs w:val="20"/>
          <w:color w:val="auto"/>
        </w:rPr>
      </w:pPr>
    </w:p>
    <w:p>
      <w:pPr>
        <w:ind w:right="380"/>
        <w:spacing w:after="0" w:line="255" w:lineRule="auto"/>
        <w:rPr>
          <w:sz w:val="20"/>
          <w:szCs w:val="20"/>
          <w:color w:val="auto"/>
        </w:rPr>
      </w:pPr>
      <w:r>
        <w:rPr>
          <w:rFonts w:ascii="Arial" w:cs="Arial" w:eastAsia="Arial" w:hAnsi="Arial"/>
          <w:sz w:val="17"/>
          <w:szCs w:val="17"/>
          <w:color w:val="auto"/>
        </w:rPr>
        <w:t>The Compensation Committee annually reviews our compensation program and together with the independent compensation consultant assesses potential compensation-related risks to the Company. Based on this assessment for 2018, the Compensation Committee determined that the risk profile is appropriate and substantial risk management features are incorporated into our compensation program. This determination reflects the following conclusions from the detailed risk assessment:</w:t>
      </w:r>
    </w:p>
    <w:p>
      <w:pPr>
        <w:spacing w:after="0" w:line="92" w:lineRule="exact"/>
        <w:rPr>
          <w:sz w:val="20"/>
          <w:szCs w:val="20"/>
          <w:color w:val="auto"/>
        </w:rPr>
      </w:pPr>
    </w:p>
    <w:p>
      <w:pPr>
        <w:ind w:left="320" w:right="20" w:hanging="317"/>
        <w:spacing w:after="0" w:line="253" w:lineRule="auto"/>
        <w:tabs>
          <w:tab w:leader="none" w:pos="320" w:val="left"/>
        </w:tabs>
        <w:numPr>
          <w:ilvl w:val="0"/>
          <w:numId w:val="64"/>
        </w:numPr>
        <w:rPr>
          <w:rFonts w:ascii="Arial" w:cs="Arial" w:eastAsia="Arial" w:hAnsi="Arial"/>
          <w:sz w:val="21"/>
          <w:szCs w:val="21"/>
          <w:color w:val="34657F"/>
        </w:rPr>
      </w:pPr>
      <w:r>
        <w:rPr>
          <w:rFonts w:ascii="Arial" w:cs="Arial" w:eastAsia="Arial" w:hAnsi="Arial"/>
          <w:sz w:val="17"/>
          <w:szCs w:val="17"/>
          <w:color w:val="auto"/>
        </w:rPr>
        <w:t>there is appropriate balance to mitigate compensation-related risk in the executive compensation program's design between fixed and variable pay, cash and stock components, short- and long-term measures, financial and non-financial measures, and formulaic and discretionary decisions;</w:t>
      </w:r>
    </w:p>
    <w:p>
      <w:pPr>
        <w:spacing w:after="0" w:line="103" w:lineRule="exact"/>
        <w:rPr>
          <w:rFonts w:ascii="Arial" w:cs="Arial" w:eastAsia="Arial" w:hAnsi="Arial"/>
          <w:sz w:val="21"/>
          <w:szCs w:val="21"/>
          <w:color w:val="34657F"/>
        </w:rPr>
      </w:pPr>
    </w:p>
    <w:p>
      <w:pPr>
        <w:ind w:left="320" w:right="140" w:hanging="317"/>
        <w:spacing w:after="0" w:line="272" w:lineRule="auto"/>
        <w:tabs>
          <w:tab w:leader="none" w:pos="320" w:val="left"/>
        </w:tabs>
        <w:numPr>
          <w:ilvl w:val="0"/>
          <w:numId w:val="64"/>
        </w:numPr>
        <w:rPr>
          <w:rFonts w:ascii="Arial" w:cs="Arial" w:eastAsia="Arial" w:hAnsi="Arial"/>
          <w:sz w:val="21"/>
          <w:szCs w:val="21"/>
          <w:color w:val="34657F"/>
        </w:rPr>
      </w:pPr>
      <w:r>
        <w:rPr>
          <w:rFonts w:ascii="Arial" w:cs="Arial" w:eastAsia="Arial" w:hAnsi="Arial"/>
          <w:sz w:val="17"/>
          <w:szCs w:val="17"/>
          <w:color w:val="auto"/>
        </w:rPr>
        <w:t>there are appropriate policies in place to mitigate compensation-related risk, including the Compensation Committee's and its advisor's independence, transparent disclosure, officer stock ownership guidelines and holding period requirements, and hedging and recoupment policies; and</w:t>
      </w:r>
    </w:p>
    <w:p>
      <w:pPr>
        <w:spacing w:after="0" w:line="54" w:lineRule="exact"/>
        <w:rPr>
          <w:rFonts w:ascii="Arial" w:cs="Arial" w:eastAsia="Arial" w:hAnsi="Arial"/>
          <w:sz w:val="21"/>
          <w:szCs w:val="21"/>
          <w:color w:val="34657F"/>
        </w:rPr>
      </w:pPr>
    </w:p>
    <w:p>
      <w:pPr>
        <w:ind w:left="320" w:hanging="317"/>
        <w:spacing w:after="0"/>
        <w:tabs>
          <w:tab w:leader="none" w:pos="320" w:val="left"/>
        </w:tabs>
        <w:numPr>
          <w:ilvl w:val="0"/>
          <w:numId w:val="64"/>
        </w:numPr>
        <w:rPr>
          <w:rFonts w:ascii="Arial" w:cs="Arial" w:eastAsia="Arial" w:hAnsi="Arial"/>
          <w:sz w:val="21"/>
          <w:szCs w:val="21"/>
          <w:color w:val="34657F"/>
        </w:rPr>
      </w:pPr>
      <w:r>
        <w:rPr>
          <w:rFonts w:ascii="Arial" w:cs="Arial" w:eastAsia="Arial" w:hAnsi="Arial"/>
          <w:sz w:val="17"/>
          <w:szCs w:val="17"/>
          <w:color w:val="auto"/>
        </w:rPr>
        <w:t>there are no incentive or commission arrangements below the executive level that potentially encourage excessive risk-taking behavior.</w:t>
      </w:r>
    </w:p>
    <w:p>
      <w:pPr>
        <w:spacing w:after="0" w:line="6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Grant Date for Equity Awards</w:t>
      </w:r>
    </w:p>
    <w:p>
      <w:pPr>
        <w:spacing w:after="0" w:line="103" w:lineRule="exact"/>
        <w:rPr>
          <w:sz w:val="20"/>
          <w:szCs w:val="20"/>
          <w:color w:val="auto"/>
        </w:rPr>
      </w:pPr>
    </w:p>
    <w:p>
      <w:pPr>
        <w:ind w:right="220"/>
        <w:spacing w:after="0" w:line="254" w:lineRule="auto"/>
        <w:rPr>
          <w:sz w:val="20"/>
          <w:szCs w:val="20"/>
          <w:color w:val="auto"/>
        </w:rPr>
      </w:pPr>
      <w:r>
        <w:rPr>
          <w:rFonts w:ascii="Arial" w:cs="Arial" w:eastAsia="Arial" w:hAnsi="Arial"/>
          <w:sz w:val="17"/>
          <w:szCs w:val="17"/>
          <w:color w:val="auto"/>
        </w:rPr>
        <w:t>Annual grant cycles for equity awards occur in February at the same time salary increases and annual incentive targets are determined. This timing allows the Compensation Committee to make decisions on each of these compensation components at the same time, utilizing a total compensation philosophy. The Compensation Committee reviews and approves annual long-term incentive grants during its scheduled meeting, which occurs following announcement of our year-end financial results. Equity grants may also be granted on an interim basis throughout the year for special situations, such as new executive hires, promotions or retention.</w:t>
      </w:r>
    </w:p>
    <w:p>
      <w:pPr>
        <w:spacing w:after="0" w:line="4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Tax Deductibility of Pay</w:t>
      </w:r>
    </w:p>
    <w:p>
      <w:pPr>
        <w:spacing w:after="0" w:line="103" w:lineRule="exact"/>
        <w:rPr>
          <w:sz w:val="20"/>
          <w:szCs w:val="20"/>
          <w:color w:val="auto"/>
        </w:rPr>
      </w:pPr>
    </w:p>
    <w:p>
      <w:pPr>
        <w:jc w:val="both"/>
        <w:ind w:right="320"/>
        <w:spacing w:after="0" w:line="257" w:lineRule="auto"/>
        <w:rPr>
          <w:sz w:val="20"/>
          <w:szCs w:val="20"/>
          <w:color w:val="auto"/>
        </w:rPr>
      </w:pPr>
      <w:r>
        <w:rPr>
          <w:rFonts w:ascii="Arial" w:cs="Arial" w:eastAsia="Arial" w:hAnsi="Arial"/>
          <w:sz w:val="17"/>
          <w:szCs w:val="17"/>
          <w:color w:val="auto"/>
        </w:rPr>
        <w:t>Under prior law, Section 162(m) of the Internal Revenue Code generally limited the annual tax deduction to $1 million per person for compensation paid to the Company's CEO and the next three highest-paid NEOs, other than the Chief Financial Officer (collectively, covered employees). Certain compensation, including qualified performance-based compensation, was not subject to the deduction limit if certain requirements were met.</w:t>
      </w:r>
    </w:p>
    <w:p>
      <w:pPr>
        <w:spacing w:after="0" w:line="64" w:lineRule="exact"/>
        <w:rPr>
          <w:sz w:val="20"/>
          <w:szCs w:val="20"/>
          <w:color w:val="auto"/>
        </w:rPr>
      </w:pPr>
    </w:p>
    <w:p>
      <w:pPr>
        <w:ind w:right="560"/>
        <w:spacing w:after="0" w:line="263" w:lineRule="auto"/>
        <w:rPr>
          <w:sz w:val="20"/>
          <w:szCs w:val="20"/>
          <w:color w:val="auto"/>
        </w:rPr>
      </w:pPr>
      <w:r>
        <w:rPr>
          <w:rFonts w:ascii="Arial" w:cs="Arial" w:eastAsia="Arial" w:hAnsi="Arial"/>
          <w:sz w:val="17"/>
          <w:szCs w:val="17"/>
          <w:color w:val="auto"/>
        </w:rPr>
        <w:t>The 2017 Tax Act enacted on December 22, 2017, modified Section 162(m). The 2017 Tax Act expanded the definition of covered employees to include the Company's Chief Financial Officer and any employee who was a covered employee for any taxable year</w:t>
      </w:r>
    </w:p>
    <w:p>
      <w:pPr>
        <w:spacing w:after="0" w:line="290"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50 </w:t>
      </w:r>
      <w:r>
        <w:rPr>
          <w:rFonts w:ascii="Arial" w:cs="Arial" w:eastAsia="Arial" w:hAnsi="Arial"/>
          <w:sz w:val="13"/>
          <w:szCs w:val="13"/>
          <w:color w:val="auto"/>
        </w:rPr>
        <w:t>I</w:t>
      </w:r>
      <w:r>
        <w:rPr>
          <w:rFonts w:ascii="Arial" w:cs="Arial" w:eastAsia="Arial" w:hAnsi="Arial"/>
          <w:sz w:val="17"/>
          <w:szCs w:val="17"/>
          <w:color w:val="auto"/>
        </w:rPr>
        <w:t xml:space="preserve"> </w:t>
      </w:r>
      <w:r>
        <w:rPr>
          <w:rFonts w:ascii="Arial" w:cs="Arial" w:eastAsia="Arial" w:hAnsi="Arial"/>
          <w:sz w:val="13"/>
          <w:szCs w:val="13"/>
          <w:color w:val="34657F"/>
        </w:rPr>
        <w:t>NOTICE OF 2019 ANNUAL MEETING OF SHAREHOLDERS AND PROXY STATEMENT</w:t>
      </w:r>
    </w:p>
    <w:p>
      <w:pPr>
        <w:sectPr>
          <w:pgSz w:w="11900" w:h="16838" w:orient="portrait"/>
          <w:cols w:equalWidth="0" w:num="1">
            <w:col w:w="11420"/>
          </w:cols>
          <w:pgMar w:left="240" w:top="825" w:right="239" w:bottom="1440" w:gutter="0" w:footer="0" w:header="0"/>
        </w:sectPr>
      </w:pPr>
    </w:p>
    <w:bookmarkStart w:id="56" w:name="page57"/>
    <w:bookmarkEnd w:id="56"/>
    <w:p>
      <w:pPr>
        <w:ind w:left="20"/>
        <w:spacing w:after="0"/>
        <w:rPr>
          <w:sz w:val="20"/>
          <w:szCs w:val="20"/>
          <w:color w:val="auto"/>
        </w:rPr>
      </w:pPr>
      <w:r>
        <w:rPr>
          <w:rFonts w:ascii="Arial" w:cs="Arial" w:eastAsia="Arial" w:hAnsi="Arial"/>
          <w:sz w:val="21"/>
          <w:szCs w:val="21"/>
          <w:b w:val="1"/>
          <w:bCs w:val="1"/>
          <w:color w:val="FFFFFF"/>
        </w:rPr>
        <w:drawing>
          <wp:anchor simplePos="0" relativeHeight="251657728" behindDoc="1" locked="0" layoutInCell="0" allowOverlap="1">
            <wp:simplePos x="0" y="0"/>
            <wp:positionH relativeFrom="page">
              <wp:posOffset>154305</wp:posOffset>
            </wp:positionH>
            <wp:positionV relativeFrom="page">
              <wp:posOffset>463550</wp:posOffset>
            </wp:positionV>
            <wp:extent cx="7253605" cy="56197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53605" cy="561975"/>
                    </a:xfrm>
                    <a:prstGeom prst="rect">
                      <a:avLst/>
                    </a:prstGeom>
                    <a:noFill/>
                  </pic:spPr>
                </pic:pic>
              </a:graphicData>
            </a:graphic>
          </wp:anchor>
        </w:drawing>
        <w:t>COMPENSATION DISCUSSION AND ANALYSIS | K</w:t>
      </w:r>
      <w:r>
        <w:rPr>
          <w:rFonts w:ascii="Arial" w:cs="Arial" w:eastAsia="Arial" w:hAnsi="Arial"/>
          <w:sz w:val="17"/>
          <w:szCs w:val="17"/>
          <w:b w:val="1"/>
          <w:bCs w:val="1"/>
          <w:color w:val="FFFFFF"/>
        </w:rPr>
        <w:t>EY</w:t>
      </w:r>
      <w:r>
        <w:rPr>
          <w:rFonts w:ascii="Arial" w:cs="Arial" w:eastAsia="Arial" w:hAnsi="Arial"/>
          <w:sz w:val="21"/>
          <w:szCs w:val="21"/>
          <w:b w:val="1"/>
          <w:bCs w:val="1"/>
          <w:color w:val="FFFFFF"/>
        </w:rPr>
        <w:t xml:space="preserve"> C</w:t>
      </w:r>
      <w:r>
        <w:rPr>
          <w:rFonts w:ascii="Arial" w:cs="Arial" w:eastAsia="Arial" w:hAnsi="Arial"/>
          <w:sz w:val="17"/>
          <w:szCs w:val="17"/>
          <w:b w:val="1"/>
          <w:bCs w:val="1"/>
          <w:color w:val="FFFFFF"/>
        </w:rPr>
        <w:t>OMPONENTS OF OUR</w:t>
      </w:r>
      <w:r>
        <w:rPr>
          <w:rFonts w:ascii="Arial" w:cs="Arial" w:eastAsia="Arial" w:hAnsi="Arial"/>
          <w:sz w:val="21"/>
          <w:szCs w:val="21"/>
          <w:b w:val="1"/>
          <w:bCs w:val="1"/>
          <w:color w:val="FFFFFF"/>
        </w:rPr>
        <w:t xml:space="preserve"> P</w:t>
      </w:r>
      <w:r>
        <w:rPr>
          <w:rFonts w:ascii="Arial" w:cs="Arial" w:eastAsia="Arial" w:hAnsi="Arial"/>
          <w:sz w:val="17"/>
          <w:szCs w:val="17"/>
          <w:b w:val="1"/>
          <w:bCs w:val="1"/>
          <w:color w:val="FFFFFF"/>
        </w:rPr>
        <w:t>ROGRAMS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right="160"/>
        <w:spacing w:after="0" w:line="257" w:lineRule="auto"/>
        <w:rPr>
          <w:sz w:val="20"/>
          <w:szCs w:val="20"/>
          <w:color w:val="auto"/>
        </w:rPr>
      </w:pPr>
      <w:r>
        <w:rPr>
          <w:rFonts w:ascii="Arial" w:cs="Arial" w:eastAsia="Arial" w:hAnsi="Arial"/>
          <w:sz w:val="17"/>
          <w:szCs w:val="17"/>
          <w:color w:val="auto"/>
        </w:rPr>
        <w:t>beginning after December 31, 2016. The 2017 Tax Act also repealed the performance-based compensation exception to the deduction limit. These amendments, effective January 1, 2018, do not apply to compensation paid pursuant to a written binding contract in effect on November 2, 2017, that was not materially modified after such date.</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Say-on-Pay</w:t>
      </w:r>
    </w:p>
    <w:p>
      <w:pPr>
        <w:spacing w:after="0" w:line="103" w:lineRule="exact"/>
        <w:rPr>
          <w:sz w:val="20"/>
          <w:szCs w:val="20"/>
          <w:color w:val="auto"/>
        </w:rPr>
      </w:pPr>
    </w:p>
    <w:p>
      <w:pPr>
        <w:ind w:right="20"/>
        <w:spacing w:after="0" w:line="254" w:lineRule="auto"/>
        <w:rPr>
          <w:sz w:val="20"/>
          <w:szCs w:val="20"/>
          <w:color w:val="auto"/>
        </w:rPr>
      </w:pPr>
      <w:r>
        <w:rPr>
          <w:rFonts w:ascii="Arial" w:cs="Arial" w:eastAsia="Arial" w:hAnsi="Arial"/>
          <w:sz w:val="17"/>
          <w:szCs w:val="17"/>
          <w:color w:val="auto"/>
        </w:rPr>
        <w:t>Our shareholders are asked annually to approve, on an advisory basis, the compensation paid to our NEOs. We regularly engage with our shareholders to understand their concerns regarding executive compensation. The Compensation Committee annually reviews and discusses the results of the say-on-pay vote. In 2018, our executive compensation programs continued to receive strong support from shareholders with 97% approval at our 2018 Annual Meeting of Shareholders. Based on its review and feedback from shareholder engagement, the Compensation Committee determined that our programs are effective and aligned with shareholder interests, and no substantive changes were required.</w:t>
      </w:r>
    </w:p>
    <w:p>
      <w:pPr>
        <w:spacing w:after="0" w:line="381" w:lineRule="exact"/>
        <w:rPr>
          <w:sz w:val="20"/>
          <w:szCs w:val="20"/>
          <w:color w:val="auto"/>
        </w:rPr>
      </w:pPr>
    </w:p>
    <w:p>
      <w:pPr>
        <w:jc w:val="right"/>
        <w:spacing w:after="0"/>
        <w:rPr>
          <w:sz w:val="20"/>
          <w:szCs w:val="20"/>
          <w:color w:val="auto"/>
        </w:rPr>
      </w:pPr>
      <w:r>
        <w:rPr>
          <w:rFonts w:ascii="Arial" w:cs="Arial" w:eastAsia="Arial" w:hAnsi="Arial"/>
          <w:sz w:val="14"/>
          <w:szCs w:val="14"/>
          <w:color w:val="34657F"/>
        </w:rPr>
        <w:t xml:space="preserve">NOTICE OF 2019 ANNUAL MEETING OF SHAREHOLDERS AND PROXY STATEMENT </w:t>
      </w:r>
      <w:r>
        <w:rPr>
          <w:rFonts w:ascii="Arial" w:cs="Arial" w:eastAsia="Arial" w:hAnsi="Arial"/>
          <w:sz w:val="14"/>
          <w:szCs w:val="14"/>
          <w:color w:val="000000"/>
        </w:rPr>
        <w:t>I 51</w:t>
      </w:r>
    </w:p>
    <w:p>
      <w:pPr>
        <w:sectPr>
          <w:pgSz w:w="11900" w:h="16838" w:orient="portrait"/>
          <w:cols w:equalWidth="0" w:num="1">
            <w:col w:w="11420"/>
          </w:cols>
          <w:pgMar w:left="240" w:top="825" w:right="239" w:bottom="1440" w:gutter="0" w:footer="0" w:header="0"/>
        </w:sectPr>
      </w:pPr>
    </w:p>
    <w:bookmarkStart w:id="57" w:name="page58"/>
    <w:bookmarkEnd w:id="57"/>
    <w:p>
      <w:pPr>
        <w:ind w:left="20"/>
        <w:spacing w:after="0"/>
        <w:rPr>
          <w:sz w:val="20"/>
          <w:szCs w:val="20"/>
          <w:color w:val="auto"/>
        </w:rPr>
      </w:pPr>
      <w:r>
        <w:rPr>
          <w:rFonts w:ascii="Arial" w:cs="Arial" w:eastAsia="Arial" w:hAnsi="Arial"/>
          <w:sz w:val="19"/>
          <w:szCs w:val="19"/>
          <w:b w:val="1"/>
          <w:bCs w:val="1"/>
          <w:color w:val="FFFFFF"/>
        </w:rPr>
        <w:drawing>
          <wp:anchor simplePos="0" relativeHeight="251657728" behindDoc="1" locked="0" layoutInCell="0" allowOverlap="1">
            <wp:simplePos x="0" y="0"/>
            <wp:positionH relativeFrom="page">
              <wp:posOffset>154305</wp:posOffset>
            </wp:positionH>
            <wp:positionV relativeFrom="page">
              <wp:posOffset>365760</wp:posOffset>
            </wp:positionV>
            <wp:extent cx="7253605" cy="3092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53605" cy="309245"/>
                    </a:xfrm>
                    <a:prstGeom prst="rect">
                      <a:avLst/>
                    </a:prstGeom>
                    <a:noFill/>
                  </pic:spPr>
                </pic:pic>
              </a:graphicData>
            </a:graphic>
          </wp:anchor>
        </w:drawing>
        <w:t>COMPENSATION COMMITTEE REPORT</w:t>
      </w:r>
    </w:p>
    <w:p>
      <w:pPr>
        <w:sectPr>
          <w:pgSz w:w="11900" w:h="16838" w:orient="portrait"/>
          <w:cols w:equalWidth="0" w:num="1">
            <w:col w:w="10820"/>
          </w:cols>
          <w:pgMar w:left="240" w:top="671" w:right="839" w:bottom="1440" w:gutter="0" w:footer="0" w:header="0"/>
        </w:sectPr>
      </w:pPr>
    </w:p>
    <w:p>
      <w:pPr>
        <w:spacing w:after="0" w:line="200" w:lineRule="exact"/>
        <w:rPr>
          <w:sz w:val="20"/>
          <w:szCs w:val="20"/>
          <w:color w:val="auto"/>
        </w:rPr>
      </w:pPr>
    </w:p>
    <w:p>
      <w:pPr>
        <w:spacing w:after="0" w:line="305"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The Compensation Committee reviewed and discussed the CD&amp;A with management. Based on such review and discussion, the Compensation Committee recommended to the Board that the CD&amp;A be included in this Proxy Statement. The Board has approved the recommendation.</w:t>
      </w:r>
    </w:p>
    <w:p>
      <w:pPr>
        <w:spacing w:after="0" w:line="40" w:lineRule="exact"/>
        <w:rPr>
          <w:sz w:val="20"/>
          <w:szCs w:val="20"/>
          <w:color w:val="auto"/>
        </w:rPr>
      </w:pPr>
    </w:p>
    <w:p>
      <w:pPr>
        <w:jc w:val="center"/>
        <w:ind w:right="-599"/>
        <w:spacing w:after="0"/>
        <w:rPr>
          <w:sz w:val="20"/>
          <w:szCs w:val="20"/>
          <w:color w:val="auto"/>
        </w:rPr>
      </w:pPr>
      <w:r>
        <w:rPr>
          <w:rFonts w:ascii="Arial" w:cs="Arial" w:eastAsia="Arial" w:hAnsi="Arial"/>
          <w:sz w:val="21"/>
          <w:szCs w:val="21"/>
          <w:b w:val="1"/>
          <w:bCs w:val="1"/>
          <w:color w:val="auto"/>
        </w:rPr>
        <w:t>COMPENSATION COMMITTEE</w:t>
      </w:r>
    </w:p>
    <w:p>
      <w:pPr>
        <w:spacing w:after="0" w:line="78" w:lineRule="exact"/>
        <w:rPr>
          <w:sz w:val="20"/>
          <w:szCs w:val="20"/>
          <w:color w:val="auto"/>
        </w:rPr>
      </w:pPr>
    </w:p>
    <w:p>
      <w:pPr>
        <w:jc w:val="center"/>
        <w:ind w:right="-599"/>
        <w:spacing w:after="0"/>
        <w:rPr>
          <w:sz w:val="20"/>
          <w:szCs w:val="20"/>
          <w:color w:val="auto"/>
        </w:rPr>
      </w:pPr>
      <w:r>
        <w:rPr>
          <w:rFonts w:ascii="Arial" w:cs="Arial" w:eastAsia="Arial" w:hAnsi="Arial"/>
          <w:sz w:val="17"/>
          <w:szCs w:val="17"/>
          <w:b w:val="1"/>
          <w:bCs w:val="1"/>
          <w:color w:val="auto"/>
        </w:rPr>
        <w:t>THOMAS M. SCHOEWE, CHAIRPERSON</w:t>
      </w:r>
    </w:p>
    <w:p>
      <w:pPr>
        <w:spacing w:after="0" w:line="29" w:lineRule="exact"/>
        <w:rPr>
          <w:sz w:val="20"/>
          <w:szCs w:val="20"/>
          <w:color w:val="auto"/>
        </w:rPr>
      </w:pPr>
    </w:p>
    <w:p>
      <w:pPr>
        <w:jc w:val="center"/>
        <w:ind w:right="-599"/>
        <w:spacing w:after="0"/>
        <w:rPr>
          <w:sz w:val="20"/>
          <w:szCs w:val="20"/>
          <w:color w:val="auto"/>
        </w:rPr>
      </w:pPr>
      <w:r>
        <w:rPr>
          <w:rFonts w:ascii="Arial" w:cs="Arial" w:eastAsia="Arial" w:hAnsi="Arial"/>
          <w:sz w:val="17"/>
          <w:szCs w:val="17"/>
          <w:b w:val="1"/>
          <w:bCs w:val="1"/>
          <w:color w:val="auto"/>
        </w:rPr>
        <w:t>MARIANNE C. BROWN</w:t>
      </w:r>
    </w:p>
    <w:p>
      <w:pPr>
        <w:spacing w:after="0" w:line="10" w:lineRule="exact"/>
        <w:rPr>
          <w:sz w:val="20"/>
          <w:szCs w:val="20"/>
          <w:color w:val="auto"/>
        </w:rPr>
      </w:pPr>
    </w:p>
    <w:p>
      <w:pPr>
        <w:jc w:val="center"/>
        <w:ind w:right="-599"/>
        <w:spacing w:after="0"/>
        <w:rPr>
          <w:sz w:val="20"/>
          <w:szCs w:val="20"/>
          <w:color w:val="auto"/>
        </w:rPr>
      </w:pPr>
      <w:r>
        <w:rPr>
          <w:rFonts w:ascii="Arial" w:cs="Arial" w:eastAsia="Arial" w:hAnsi="Arial"/>
          <w:sz w:val="17"/>
          <w:szCs w:val="17"/>
          <w:b w:val="1"/>
          <w:bCs w:val="1"/>
          <w:color w:val="auto"/>
        </w:rPr>
        <w:t>DONALD E. FELSINGER</w:t>
      </w:r>
    </w:p>
    <w:p>
      <w:pPr>
        <w:spacing w:after="0" w:line="10" w:lineRule="exact"/>
        <w:rPr>
          <w:sz w:val="20"/>
          <w:szCs w:val="20"/>
          <w:color w:val="auto"/>
        </w:rPr>
      </w:pPr>
    </w:p>
    <w:p>
      <w:pPr>
        <w:jc w:val="center"/>
        <w:ind w:right="-599"/>
        <w:spacing w:after="0"/>
        <w:rPr>
          <w:sz w:val="20"/>
          <w:szCs w:val="20"/>
          <w:color w:val="auto"/>
        </w:rPr>
      </w:pPr>
      <w:r>
        <w:rPr>
          <w:rFonts w:ascii="Arial" w:cs="Arial" w:eastAsia="Arial" w:hAnsi="Arial"/>
          <w:sz w:val="17"/>
          <w:szCs w:val="17"/>
          <w:b w:val="1"/>
          <w:bCs w:val="1"/>
          <w:color w:val="auto"/>
        </w:rPr>
        <w:t>BRUCE S. GORDON</w:t>
      </w:r>
    </w:p>
    <w:p>
      <w:pPr>
        <w:spacing w:after="0" w:line="10" w:lineRule="exact"/>
        <w:rPr>
          <w:sz w:val="20"/>
          <w:szCs w:val="20"/>
          <w:color w:val="auto"/>
        </w:rPr>
      </w:pPr>
    </w:p>
    <w:p>
      <w:pPr>
        <w:jc w:val="center"/>
        <w:ind w:right="-599"/>
        <w:spacing w:after="0"/>
        <w:rPr>
          <w:sz w:val="20"/>
          <w:szCs w:val="20"/>
          <w:color w:val="auto"/>
        </w:rPr>
      </w:pPr>
      <w:r>
        <w:rPr>
          <w:rFonts w:ascii="Arial" w:cs="Arial" w:eastAsia="Arial" w:hAnsi="Arial"/>
          <w:sz w:val="17"/>
          <w:szCs w:val="17"/>
          <w:b w:val="1"/>
          <w:bCs w:val="1"/>
          <w:color w:val="auto"/>
        </w:rPr>
        <w:t>KARL J. KRAPEK</w:t>
      </w:r>
    </w:p>
    <w:p>
      <w:pPr>
        <w:spacing w:after="0" w:line="10" w:lineRule="exact"/>
        <w:rPr>
          <w:sz w:val="20"/>
          <w:szCs w:val="20"/>
          <w:color w:val="auto"/>
        </w:rPr>
      </w:pPr>
    </w:p>
    <w:p>
      <w:pPr>
        <w:jc w:val="center"/>
        <w:ind w:right="-599"/>
        <w:spacing w:after="0"/>
        <w:rPr>
          <w:sz w:val="20"/>
          <w:szCs w:val="20"/>
          <w:color w:val="auto"/>
        </w:rPr>
      </w:pPr>
      <w:r>
        <w:rPr>
          <w:rFonts w:ascii="Arial" w:cs="Arial" w:eastAsia="Arial" w:hAnsi="Arial"/>
          <w:sz w:val="17"/>
          <w:szCs w:val="17"/>
          <w:b w:val="1"/>
          <w:bCs w:val="1"/>
          <w:color w:val="auto"/>
        </w:rPr>
        <w:t>GARY ROUGHEAD</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52 </w:t>
      </w:r>
      <w:r>
        <w:rPr>
          <w:rFonts w:ascii="Arial" w:cs="Arial" w:eastAsia="Arial" w:hAnsi="Arial"/>
          <w:sz w:val="13"/>
          <w:szCs w:val="13"/>
          <w:color w:val="auto"/>
        </w:rPr>
        <w:t>I</w:t>
      </w:r>
      <w:r>
        <w:rPr>
          <w:rFonts w:ascii="Arial" w:cs="Arial" w:eastAsia="Arial" w:hAnsi="Arial"/>
          <w:sz w:val="17"/>
          <w:szCs w:val="17"/>
          <w:color w:val="auto"/>
        </w:rPr>
        <w:t xml:space="preserve"> </w:t>
      </w:r>
      <w:r>
        <w:rPr>
          <w:rFonts w:ascii="Arial" w:cs="Arial" w:eastAsia="Arial" w:hAnsi="Arial"/>
          <w:sz w:val="13"/>
          <w:szCs w:val="13"/>
          <w:color w:val="34657F"/>
        </w:rPr>
        <w:t>NOTICE OF 2019 ANNUAL MEETING OF SHAREHOLDERS AND PROXY STATEMENT</w:t>
      </w:r>
    </w:p>
    <w:p>
      <w:pPr>
        <w:sectPr>
          <w:pgSz w:w="11900" w:h="16838" w:orient="portrait"/>
          <w:cols w:equalWidth="0" w:num="1">
            <w:col w:w="10820"/>
          </w:cols>
          <w:pgMar w:left="240" w:top="671" w:right="839" w:bottom="1440" w:gutter="0" w:footer="0" w:header="0"/>
          <w:type w:val="continuous"/>
        </w:sectPr>
      </w:pPr>
    </w:p>
    <w:bookmarkStart w:id="58" w:name="page59"/>
    <w:bookmarkEnd w:id="58"/>
    <w:p>
      <w:pPr>
        <w:ind w:left="20"/>
        <w:spacing w:after="0"/>
        <w:rPr>
          <w:sz w:val="20"/>
          <w:szCs w:val="20"/>
          <w:color w:val="auto"/>
        </w:rPr>
      </w:pPr>
      <w:r>
        <w:rPr>
          <w:rFonts w:ascii="Arial" w:cs="Arial" w:eastAsia="Arial" w:hAnsi="Arial"/>
          <w:sz w:val="21"/>
          <w:szCs w:val="21"/>
          <w:b w:val="1"/>
          <w:bCs w:val="1"/>
          <w:color w:val="FFFFFF"/>
        </w:rPr>
        <w:drawing>
          <wp:anchor simplePos="0" relativeHeight="251657728" behindDoc="1" locked="0" layoutInCell="0" allowOverlap="1">
            <wp:simplePos x="0" y="0"/>
            <wp:positionH relativeFrom="page">
              <wp:posOffset>154305</wp:posOffset>
            </wp:positionH>
            <wp:positionV relativeFrom="page">
              <wp:posOffset>365760</wp:posOffset>
            </wp:positionV>
            <wp:extent cx="7253605" cy="56197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53605" cy="561975"/>
                    </a:xfrm>
                    <a:prstGeom prst="rect">
                      <a:avLst/>
                    </a:prstGeom>
                    <a:noFill/>
                  </pic:spPr>
                </pic:pic>
              </a:graphicData>
            </a:graphic>
          </wp:anchor>
        </w:drawing>
        <w:t>COMPENSATION TABLES | S</w:t>
      </w:r>
      <w:r>
        <w:rPr>
          <w:rFonts w:ascii="Arial" w:cs="Arial" w:eastAsia="Arial" w:hAnsi="Arial"/>
          <w:sz w:val="17"/>
          <w:szCs w:val="17"/>
          <w:b w:val="1"/>
          <w:bCs w:val="1"/>
          <w:color w:val="FFFFFF"/>
        </w:rPr>
        <w:t>UMMARY</w:t>
      </w:r>
      <w:r>
        <w:rPr>
          <w:rFonts w:ascii="Arial" w:cs="Arial" w:eastAsia="Arial" w:hAnsi="Arial"/>
          <w:sz w:val="21"/>
          <w:szCs w:val="21"/>
          <w:b w:val="1"/>
          <w:bCs w:val="1"/>
          <w:color w:val="FFFFFF"/>
        </w:rPr>
        <w:t xml:space="preserve"> C</w:t>
      </w:r>
      <w:r>
        <w:rPr>
          <w:rFonts w:ascii="Arial" w:cs="Arial" w:eastAsia="Arial" w:hAnsi="Arial"/>
          <w:sz w:val="17"/>
          <w:szCs w:val="17"/>
          <w:b w:val="1"/>
          <w:bCs w:val="1"/>
          <w:color w:val="FFFFFF"/>
        </w:rPr>
        <w:t>OMPENSATION</w:t>
      </w:r>
      <w:r>
        <w:rPr>
          <w:rFonts w:ascii="Arial" w:cs="Arial" w:eastAsia="Arial" w:hAnsi="Arial"/>
          <w:sz w:val="21"/>
          <w:szCs w:val="21"/>
          <w:b w:val="1"/>
          <w:bCs w:val="1"/>
          <w:color w:val="FFFFFF"/>
        </w:rPr>
        <w:t xml:space="preserve"> T</w:t>
      </w:r>
      <w:r>
        <w:rPr>
          <w:rFonts w:ascii="Arial" w:cs="Arial" w:eastAsia="Arial" w:hAnsi="Arial"/>
          <w:sz w:val="17"/>
          <w:szCs w:val="17"/>
          <w:b w:val="1"/>
          <w:bCs w:val="1"/>
          <w:color w:val="FFFFFF"/>
        </w:rPr>
        <w:t>ABLE</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2018 Summary Compensation Table</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520" w:type="dxa"/>
            <w:vAlign w:val="bottom"/>
            <w:shd w:val="clear" w:color="auto" w:fill="34657F"/>
          </w:tcPr>
          <w:p>
            <w:pPr>
              <w:spacing w:after="0"/>
              <w:rPr>
                <w:sz w:val="15"/>
                <w:szCs w:val="15"/>
                <w:color w:val="auto"/>
              </w:rPr>
            </w:pPr>
          </w:p>
        </w:tc>
        <w:tc>
          <w:tcPr>
            <w:tcW w:w="760" w:type="dxa"/>
            <w:vAlign w:val="bottom"/>
            <w:shd w:val="clear" w:color="auto" w:fill="34657F"/>
          </w:tcPr>
          <w:p>
            <w:pPr>
              <w:spacing w:after="0"/>
              <w:rPr>
                <w:sz w:val="15"/>
                <w:szCs w:val="15"/>
                <w:color w:val="auto"/>
              </w:rPr>
            </w:pPr>
          </w:p>
        </w:tc>
        <w:tc>
          <w:tcPr>
            <w:tcW w:w="1140" w:type="dxa"/>
            <w:vAlign w:val="bottom"/>
            <w:shd w:val="clear" w:color="auto" w:fill="34657F"/>
          </w:tcPr>
          <w:p>
            <w:pPr>
              <w:spacing w:after="0"/>
              <w:rPr>
                <w:sz w:val="15"/>
                <w:szCs w:val="15"/>
                <w:color w:val="auto"/>
              </w:rPr>
            </w:pPr>
          </w:p>
        </w:tc>
        <w:tc>
          <w:tcPr>
            <w:tcW w:w="1140" w:type="dxa"/>
            <w:vAlign w:val="bottom"/>
            <w:shd w:val="clear" w:color="auto" w:fill="34657F"/>
          </w:tcPr>
          <w:p>
            <w:pPr>
              <w:spacing w:after="0"/>
              <w:rPr>
                <w:sz w:val="15"/>
                <w:szCs w:val="15"/>
                <w:color w:val="auto"/>
              </w:rPr>
            </w:pPr>
          </w:p>
        </w:tc>
        <w:tc>
          <w:tcPr>
            <w:tcW w:w="1500" w:type="dxa"/>
            <w:vAlign w:val="bottom"/>
            <w:shd w:val="clear" w:color="auto" w:fill="34657F"/>
          </w:tcPr>
          <w:p>
            <w:pPr>
              <w:spacing w:after="0"/>
              <w:rPr>
                <w:sz w:val="15"/>
                <w:szCs w:val="15"/>
                <w:color w:val="auto"/>
              </w:rPr>
            </w:pPr>
          </w:p>
        </w:tc>
        <w:tc>
          <w:tcPr>
            <w:tcW w:w="1500" w:type="dxa"/>
            <w:vAlign w:val="bottom"/>
            <w:shd w:val="clear" w:color="auto" w:fill="34657F"/>
          </w:tcPr>
          <w:p>
            <w:pPr>
              <w:jc w:val="center"/>
              <w:spacing w:after="0"/>
              <w:rPr>
                <w:sz w:val="20"/>
                <w:szCs w:val="20"/>
                <w:color w:val="auto"/>
              </w:rPr>
            </w:pPr>
            <w:r>
              <w:rPr>
                <w:rFonts w:ascii="Arial" w:cs="Arial" w:eastAsia="Arial" w:hAnsi="Arial"/>
                <w:sz w:val="14"/>
                <w:szCs w:val="14"/>
                <w:b w:val="1"/>
                <w:bCs w:val="1"/>
                <w:color w:val="FFFFFF"/>
                <w:w w:val="98"/>
              </w:rPr>
              <w:t>Change in Pension</w:t>
            </w:r>
          </w:p>
        </w:tc>
        <w:tc>
          <w:tcPr>
            <w:tcW w:w="1580" w:type="dxa"/>
            <w:vAlign w:val="bottom"/>
            <w:shd w:val="clear" w:color="auto" w:fill="34657F"/>
          </w:tcPr>
          <w:p>
            <w:pPr>
              <w:spacing w:after="0"/>
              <w:rPr>
                <w:sz w:val="15"/>
                <w:szCs w:val="15"/>
                <w:color w:val="auto"/>
              </w:rPr>
            </w:pPr>
          </w:p>
        </w:tc>
        <w:tc>
          <w:tcPr>
            <w:tcW w:w="1280" w:type="dxa"/>
            <w:vAlign w:val="bottom"/>
            <w:shd w:val="clear" w:color="auto" w:fill="34657F"/>
          </w:tcPr>
          <w:p>
            <w:pPr>
              <w:spacing w:after="0"/>
              <w:rPr>
                <w:sz w:val="15"/>
                <w:szCs w:val="15"/>
                <w:color w:val="auto"/>
              </w:rPr>
            </w:pPr>
          </w:p>
        </w:tc>
        <w:tc>
          <w:tcPr>
            <w:tcW w:w="20" w:type="dxa"/>
            <w:vAlign w:val="bottom"/>
            <w:shd w:val="clear" w:color="auto" w:fill="34657F"/>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2520" w:type="dxa"/>
            <w:vAlign w:val="bottom"/>
            <w:shd w:val="clear" w:color="auto" w:fill="34657F"/>
          </w:tcPr>
          <w:p>
            <w:pPr>
              <w:spacing w:after="0"/>
              <w:rPr>
                <w:sz w:val="13"/>
                <w:szCs w:val="13"/>
                <w:color w:val="auto"/>
              </w:rPr>
            </w:pPr>
          </w:p>
        </w:tc>
        <w:tc>
          <w:tcPr>
            <w:tcW w:w="760" w:type="dxa"/>
            <w:vAlign w:val="bottom"/>
            <w:shd w:val="clear" w:color="auto" w:fill="34657F"/>
          </w:tcPr>
          <w:p>
            <w:pPr>
              <w:spacing w:after="0"/>
              <w:rPr>
                <w:sz w:val="13"/>
                <w:szCs w:val="13"/>
                <w:color w:val="auto"/>
              </w:rPr>
            </w:pPr>
          </w:p>
        </w:tc>
        <w:tc>
          <w:tcPr>
            <w:tcW w:w="1140" w:type="dxa"/>
            <w:vAlign w:val="bottom"/>
            <w:shd w:val="clear" w:color="auto" w:fill="34657F"/>
          </w:tcPr>
          <w:p>
            <w:pPr>
              <w:spacing w:after="0"/>
              <w:rPr>
                <w:sz w:val="13"/>
                <w:szCs w:val="13"/>
                <w:color w:val="auto"/>
              </w:rPr>
            </w:pPr>
          </w:p>
        </w:tc>
        <w:tc>
          <w:tcPr>
            <w:tcW w:w="1140" w:type="dxa"/>
            <w:vAlign w:val="bottom"/>
            <w:shd w:val="clear" w:color="auto" w:fill="34657F"/>
          </w:tcPr>
          <w:p>
            <w:pPr>
              <w:spacing w:after="0"/>
              <w:rPr>
                <w:sz w:val="13"/>
                <w:szCs w:val="13"/>
                <w:color w:val="auto"/>
              </w:rPr>
            </w:pPr>
          </w:p>
        </w:tc>
        <w:tc>
          <w:tcPr>
            <w:tcW w:w="1500" w:type="dxa"/>
            <w:vAlign w:val="bottom"/>
            <w:shd w:val="clear" w:color="auto" w:fill="34657F"/>
          </w:tcPr>
          <w:p>
            <w:pPr>
              <w:spacing w:after="0"/>
              <w:rPr>
                <w:sz w:val="13"/>
                <w:szCs w:val="13"/>
                <w:color w:val="auto"/>
              </w:rPr>
            </w:pPr>
          </w:p>
        </w:tc>
        <w:tc>
          <w:tcPr>
            <w:tcW w:w="1500" w:type="dxa"/>
            <w:vAlign w:val="bottom"/>
            <w:shd w:val="clear" w:color="auto" w:fill="34657F"/>
          </w:tcPr>
          <w:p>
            <w:pPr>
              <w:jc w:val="center"/>
              <w:spacing w:after="0" w:line="154" w:lineRule="exact"/>
              <w:rPr>
                <w:sz w:val="20"/>
                <w:szCs w:val="20"/>
                <w:color w:val="auto"/>
              </w:rPr>
            </w:pPr>
            <w:r>
              <w:rPr>
                <w:rFonts w:ascii="Arial" w:cs="Arial" w:eastAsia="Arial" w:hAnsi="Arial"/>
                <w:sz w:val="14"/>
                <w:szCs w:val="14"/>
                <w:b w:val="1"/>
                <w:bCs w:val="1"/>
                <w:color w:val="FFFFFF"/>
                <w:w w:val="98"/>
              </w:rPr>
              <w:t>Value and Non-</w:t>
            </w:r>
          </w:p>
        </w:tc>
        <w:tc>
          <w:tcPr>
            <w:tcW w:w="1580" w:type="dxa"/>
            <w:vAlign w:val="bottom"/>
            <w:shd w:val="clear" w:color="auto" w:fill="34657F"/>
          </w:tcPr>
          <w:p>
            <w:pPr>
              <w:spacing w:after="0"/>
              <w:rPr>
                <w:sz w:val="13"/>
                <w:szCs w:val="13"/>
                <w:color w:val="auto"/>
              </w:rPr>
            </w:pPr>
          </w:p>
        </w:tc>
        <w:tc>
          <w:tcPr>
            <w:tcW w:w="1280" w:type="dxa"/>
            <w:vAlign w:val="bottom"/>
            <w:shd w:val="clear" w:color="auto" w:fill="34657F"/>
          </w:tcPr>
          <w:p>
            <w:pPr>
              <w:spacing w:after="0"/>
              <w:rPr>
                <w:sz w:val="13"/>
                <w:szCs w:val="13"/>
                <w:color w:val="auto"/>
              </w:rPr>
            </w:pPr>
          </w:p>
        </w:tc>
        <w:tc>
          <w:tcPr>
            <w:tcW w:w="20" w:type="dxa"/>
            <w:vAlign w:val="bottom"/>
            <w:shd w:val="clear" w:color="auto" w:fill="34657F"/>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520" w:type="dxa"/>
            <w:vAlign w:val="bottom"/>
            <w:shd w:val="clear" w:color="auto" w:fill="34657F"/>
          </w:tcPr>
          <w:p>
            <w:pPr>
              <w:spacing w:after="0"/>
              <w:rPr>
                <w:sz w:val="13"/>
                <w:szCs w:val="13"/>
                <w:color w:val="auto"/>
              </w:rPr>
            </w:pPr>
          </w:p>
        </w:tc>
        <w:tc>
          <w:tcPr>
            <w:tcW w:w="760" w:type="dxa"/>
            <w:vAlign w:val="bottom"/>
            <w:shd w:val="clear" w:color="auto" w:fill="34657F"/>
          </w:tcPr>
          <w:p>
            <w:pPr>
              <w:spacing w:after="0"/>
              <w:rPr>
                <w:sz w:val="13"/>
                <w:szCs w:val="13"/>
                <w:color w:val="auto"/>
              </w:rPr>
            </w:pPr>
          </w:p>
        </w:tc>
        <w:tc>
          <w:tcPr>
            <w:tcW w:w="1140" w:type="dxa"/>
            <w:vAlign w:val="bottom"/>
            <w:shd w:val="clear" w:color="auto" w:fill="34657F"/>
          </w:tcPr>
          <w:p>
            <w:pPr>
              <w:spacing w:after="0"/>
              <w:rPr>
                <w:sz w:val="13"/>
                <w:szCs w:val="13"/>
                <w:color w:val="auto"/>
              </w:rPr>
            </w:pPr>
          </w:p>
        </w:tc>
        <w:tc>
          <w:tcPr>
            <w:tcW w:w="1140" w:type="dxa"/>
            <w:vAlign w:val="bottom"/>
            <w:shd w:val="clear" w:color="auto" w:fill="34657F"/>
          </w:tcPr>
          <w:p>
            <w:pPr>
              <w:spacing w:after="0"/>
              <w:rPr>
                <w:sz w:val="13"/>
                <w:szCs w:val="13"/>
                <w:color w:val="auto"/>
              </w:rPr>
            </w:pPr>
          </w:p>
        </w:tc>
        <w:tc>
          <w:tcPr>
            <w:tcW w:w="1500" w:type="dxa"/>
            <w:vAlign w:val="bottom"/>
            <w:shd w:val="clear" w:color="auto" w:fill="34657F"/>
          </w:tcPr>
          <w:p>
            <w:pPr>
              <w:jc w:val="center"/>
              <w:spacing w:after="0" w:line="154" w:lineRule="exact"/>
              <w:rPr>
                <w:sz w:val="20"/>
                <w:szCs w:val="20"/>
                <w:color w:val="auto"/>
              </w:rPr>
            </w:pPr>
            <w:r>
              <w:rPr>
                <w:rFonts w:ascii="Arial" w:cs="Arial" w:eastAsia="Arial" w:hAnsi="Arial"/>
                <w:sz w:val="14"/>
                <w:szCs w:val="14"/>
                <w:b w:val="1"/>
                <w:bCs w:val="1"/>
                <w:color w:val="FFFFFF"/>
                <w:w w:val="99"/>
              </w:rPr>
              <w:t>Non-Equity</w:t>
            </w:r>
          </w:p>
        </w:tc>
        <w:tc>
          <w:tcPr>
            <w:tcW w:w="1500" w:type="dxa"/>
            <w:vAlign w:val="bottom"/>
            <w:shd w:val="clear" w:color="auto" w:fill="34657F"/>
          </w:tcPr>
          <w:p>
            <w:pPr>
              <w:jc w:val="center"/>
              <w:spacing w:after="0" w:line="154" w:lineRule="exact"/>
              <w:rPr>
                <w:sz w:val="20"/>
                <w:szCs w:val="20"/>
                <w:color w:val="auto"/>
              </w:rPr>
            </w:pPr>
            <w:r>
              <w:rPr>
                <w:rFonts w:ascii="Arial" w:cs="Arial" w:eastAsia="Arial" w:hAnsi="Arial"/>
                <w:sz w:val="14"/>
                <w:szCs w:val="14"/>
                <w:b w:val="1"/>
                <w:bCs w:val="1"/>
                <w:color w:val="FFFFFF"/>
                <w:w w:val="97"/>
              </w:rPr>
              <w:t>Qualified Deferred</w:t>
            </w:r>
          </w:p>
        </w:tc>
        <w:tc>
          <w:tcPr>
            <w:tcW w:w="1580" w:type="dxa"/>
            <w:vAlign w:val="bottom"/>
            <w:shd w:val="clear" w:color="auto" w:fill="34657F"/>
          </w:tcPr>
          <w:p>
            <w:pPr>
              <w:spacing w:after="0"/>
              <w:rPr>
                <w:sz w:val="13"/>
                <w:szCs w:val="13"/>
                <w:color w:val="auto"/>
              </w:rPr>
            </w:pPr>
          </w:p>
        </w:tc>
        <w:tc>
          <w:tcPr>
            <w:tcW w:w="1280" w:type="dxa"/>
            <w:vAlign w:val="bottom"/>
            <w:shd w:val="clear" w:color="auto" w:fill="34657F"/>
          </w:tcPr>
          <w:p>
            <w:pPr>
              <w:spacing w:after="0"/>
              <w:rPr>
                <w:sz w:val="13"/>
                <w:szCs w:val="13"/>
                <w:color w:val="auto"/>
              </w:rPr>
            </w:pPr>
          </w:p>
        </w:tc>
        <w:tc>
          <w:tcPr>
            <w:tcW w:w="20" w:type="dxa"/>
            <w:vAlign w:val="bottom"/>
            <w:shd w:val="clear" w:color="auto" w:fill="34657F"/>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520" w:type="dxa"/>
            <w:vAlign w:val="bottom"/>
            <w:shd w:val="clear" w:color="auto" w:fill="34657F"/>
          </w:tcPr>
          <w:p>
            <w:pPr>
              <w:spacing w:after="0"/>
              <w:rPr>
                <w:sz w:val="13"/>
                <w:szCs w:val="13"/>
                <w:color w:val="auto"/>
              </w:rPr>
            </w:pPr>
          </w:p>
        </w:tc>
        <w:tc>
          <w:tcPr>
            <w:tcW w:w="760" w:type="dxa"/>
            <w:vAlign w:val="bottom"/>
            <w:shd w:val="clear" w:color="auto" w:fill="34657F"/>
          </w:tcPr>
          <w:p>
            <w:pPr>
              <w:spacing w:after="0"/>
              <w:rPr>
                <w:sz w:val="13"/>
                <w:szCs w:val="13"/>
                <w:color w:val="auto"/>
              </w:rPr>
            </w:pPr>
          </w:p>
        </w:tc>
        <w:tc>
          <w:tcPr>
            <w:tcW w:w="1140" w:type="dxa"/>
            <w:vAlign w:val="bottom"/>
            <w:shd w:val="clear" w:color="auto" w:fill="34657F"/>
          </w:tcPr>
          <w:p>
            <w:pPr>
              <w:spacing w:after="0"/>
              <w:rPr>
                <w:sz w:val="13"/>
                <w:szCs w:val="13"/>
                <w:color w:val="auto"/>
              </w:rPr>
            </w:pPr>
          </w:p>
        </w:tc>
        <w:tc>
          <w:tcPr>
            <w:tcW w:w="1140" w:type="dxa"/>
            <w:vAlign w:val="bottom"/>
            <w:shd w:val="clear" w:color="auto" w:fill="34657F"/>
          </w:tcPr>
          <w:p>
            <w:pPr>
              <w:ind w:left="380"/>
              <w:spacing w:after="0" w:line="154" w:lineRule="exact"/>
              <w:rPr>
                <w:sz w:val="20"/>
                <w:szCs w:val="20"/>
                <w:color w:val="auto"/>
              </w:rPr>
            </w:pPr>
            <w:r>
              <w:rPr>
                <w:rFonts w:ascii="Arial" w:cs="Arial" w:eastAsia="Arial" w:hAnsi="Arial"/>
                <w:sz w:val="14"/>
                <w:szCs w:val="14"/>
                <w:b w:val="1"/>
                <w:bCs w:val="1"/>
                <w:color w:val="FFFFFF"/>
              </w:rPr>
              <w:t>Stock</w:t>
            </w:r>
          </w:p>
        </w:tc>
        <w:tc>
          <w:tcPr>
            <w:tcW w:w="1500" w:type="dxa"/>
            <w:vAlign w:val="bottom"/>
            <w:shd w:val="clear" w:color="auto" w:fill="34657F"/>
          </w:tcPr>
          <w:p>
            <w:pPr>
              <w:jc w:val="center"/>
              <w:spacing w:after="0" w:line="154" w:lineRule="exact"/>
              <w:rPr>
                <w:sz w:val="20"/>
                <w:szCs w:val="20"/>
                <w:color w:val="auto"/>
              </w:rPr>
            </w:pPr>
            <w:r>
              <w:rPr>
                <w:rFonts w:ascii="Arial" w:cs="Arial" w:eastAsia="Arial" w:hAnsi="Arial"/>
                <w:sz w:val="14"/>
                <w:szCs w:val="14"/>
                <w:b w:val="1"/>
                <w:bCs w:val="1"/>
                <w:color w:val="FFFFFF"/>
                <w:w w:val="95"/>
              </w:rPr>
              <w:t>Incentive Plan</w:t>
            </w:r>
          </w:p>
        </w:tc>
        <w:tc>
          <w:tcPr>
            <w:tcW w:w="1500" w:type="dxa"/>
            <w:vAlign w:val="bottom"/>
            <w:shd w:val="clear" w:color="auto" w:fill="34657F"/>
          </w:tcPr>
          <w:p>
            <w:pPr>
              <w:jc w:val="center"/>
              <w:spacing w:after="0" w:line="154" w:lineRule="exact"/>
              <w:rPr>
                <w:sz w:val="20"/>
                <w:szCs w:val="20"/>
                <w:color w:val="auto"/>
              </w:rPr>
            </w:pPr>
            <w:r>
              <w:rPr>
                <w:rFonts w:ascii="Arial" w:cs="Arial" w:eastAsia="Arial" w:hAnsi="Arial"/>
                <w:sz w:val="14"/>
                <w:szCs w:val="14"/>
                <w:b w:val="1"/>
                <w:bCs w:val="1"/>
                <w:color w:val="FFFFFF"/>
                <w:w w:val="98"/>
              </w:rPr>
              <w:t>Compensation</w:t>
            </w:r>
          </w:p>
        </w:tc>
        <w:tc>
          <w:tcPr>
            <w:tcW w:w="1580" w:type="dxa"/>
            <w:vAlign w:val="bottom"/>
            <w:shd w:val="clear" w:color="auto" w:fill="34657F"/>
          </w:tcPr>
          <w:p>
            <w:pPr>
              <w:jc w:val="center"/>
              <w:ind w:right="52"/>
              <w:spacing w:after="0" w:line="154" w:lineRule="exact"/>
              <w:rPr>
                <w:sz w:val="20"/>
                <w:szCs w:val="20"/>
                <w:color w:val="auto"/>
              </w:rPr>
            </w:pPr>
            <w:r>
              <w:rPr>
                <w:rFonts w:ascii="Arial" w:cs="Arial" w:eastAsia="Arial" w:hAnsi="Arial"/>
                <w:sz w:val="14"/>
                <w:szCs w:val="14"/>
                <w:b w:val="1"/>
                <w:bCs w:val="1"/>
                <w:color w:val="FFFFFF"/>
                <w:w w:val="98"/>
              </w:rPr>
              <w:t>All Other</w:t>
            </w:r>
          </w:p>
        </w:tc>
        <w:tc>
          <w:tcPr>
            <w:tcW w:w="1280" w:type="dxa"/>
            <w:vAlign w:val="bottom"/>
            <w:shd w:val="clear" w:color="auto" w:fill="34657F"/>
          </w:tcPr>
          <w:p>
            <w:pPr>
              <w:spacing w:after="0"/>
              <w:rPr>
                <w:sz w:val="13"/>
                <w:szCs w:val="13"/>
                <w:color w:val="auto"/>
              </w:rPr>
            </w:pPr>
          </w:p>
        </w:tc>
        <w:tc>
          <w:tcPr>
            <w:tcW w:w="20" w:type="dxa"/>
            <w:vAlign w:val="bottom"/>
            <w:shd w:val="clear" w:color="auto" w:fill="34657F"/>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520" w:type="dxa"/>
            <w:vAlign w:val="bottom"/>
            <w:shd w:val="clear" w:color="auto" w:fill="34657F"/>
          </w:tcPr>
          <w:p>
            <w:pPr>
              <w:spacing w:after="0"/>
              <w:rPr>
                <w:sz w:val="13"/>
                <w:szCs w:val="13"/>
                <w:color w:val="auto"/>
              </w:rPr>
            </w:pPr>
          </w:p>
        </w:tc>
        <w:tc>
          <w:tcPr>
            <w:tcW w:w="760" w:type="dxa"/>
            <w:vAlign w:val="bottom"/>
            <w:shd w:val="clear" w:color="auto" w:fill="34657F"/>
          </w:tcPr>
          <w:p>
            <w:pPr>
              <w:spacing w:after="0"/>
              <w:rPr>
                <w:sz w:val="13"/>
                <w:szCs w:val="13"/>
                <w:color w:val="auto"/>
              </w:rPr>
            </w:pPr>
          </w:p>
        </w:tc>
        <w:tc>
          <w:tcPr>
            <w:tcW w:w="1140" w:type="dxa"/>
            <w:vAlign w:val="bottom"/>
            <w:shd w:val="clear" w:color="auto" w:fill="34657F"/>
          </w:tcPr>
          <w:p>
            <w:pPr>
              <w:ind w:left="260"/>
              <w:spacing w:after="0" w:line="154" w:lineRule="exact"/>
              <w:rPr>
                <w:sz w:val="20"/>
                <w:szCs w:val="20"/>
                <w:color w:val="auto"/>
              </w:rPr>
            </w:pPr>
            <w:r>
              <w:rPr>
                <w:rFonts w:ascii="Arial" w:cs="Arial" w:eastAsia="Arial" w:hAnsi="Arial"/>
                <w:sz w:val="14"/>
                <w:szCs w:val="14"/>
                <w:b w:val="1"/>
                <w:bCs w:val="1"/>
                <w:color w:val="FFFFFF"/>
              </w:rPr>
              <w:t>Salary (1)</w:t>
            </w:r>
          </w:p>
        </w:tc>
        <w:tc>
          <w:tcPr>
            <w:tcW w:w="1140" w:type="dxa"/>
            <w:vAlign w:val="bottom"/>
            <w:shd w:val="clear" w:color="auto" w:fill="34657F"/>
          </w:tcPr>
          <w:p>
            <w:pPr>
              <w:ind w:left="240"/>
              <w:spacing w:after="0" w:line="154" w:lineRule="exact"/>
              <w:rPr>
                <w:sz w:val="20"/>
                <w:szCs w:val="20"/>
                <w:color w:val="auto"/>
              </w:rPr>
            </w:pPr>
            <w:r>
              <w:rPr>
                <w:rFonts w:ascii="Arial" w:cs="Arial" w:eastAsia="Arial" w:hAnsi="Arial"/>
                <w:sz w:val="14"/>
                <w:szCs w:val="14"/>
                <w:b w:val="1"/>
                <w:bCs w:val="1"/>
                <w:color w:val="FFFFFF"/>
              </w:rPr>
              <w:t>Awards (2)</w:t>
            </w:r>
          </w:p>
        </w:tc>
        <w:tc>
          <w:tcPr>
            <w:tcW w:w="1500" w:type="dxa"/>
            <w:vAlign w:val="bottom"/>
            <w:shd w:val="clear" w:color="auto" w:fill="34657F"/>
          </w:tcPr>
          <w:p>
            <w:pPr>
              <w:jc w:val="center"/>
              <w:spacing w:after="0" w:line="154" w:lineRule="exact"/>
              <w:rPr>
                <w:sz w:val="20"/>
                <w:szCs w:val="20"/>
                <w:color w:val="auto"/>
              </w:rPr>
            </w:pPr>
            <w:r>
              <w:rPr>
                <w:rFonts w:ascii="Arial" w:cs="Arial" w:eastAsia="Arial" w:hAnsi="Arial"/>
                <w:sz w:val="14"/>
                <w:szCs w:val="14"/>
                <w:b w:val="1"/>
                <w:bCs w:val="1"/>
                <w:color w:val="FFFFFF"/>
                <w:w w:val="96"/>
              </w:rPr>
              <w:t>Compensation (3)</w:t>
            </w:r>
          </w:p>
        </w:tc>
        <w:tc>
          <w:tcPr>
            <w:tcW w:w="1500" w:type="dxa"/>
            <w:vAlign w:val="bottom"/>
            <w:shd w:val="clear" w:color="auto" w:fill="34657F"/>
          </w:tcPr>
          <w:p>
            <w:pPr>
              <w:ind w:left="340"/>
              <w:spacing w:after="0" w:line="154" w:lineRule="exact"/>
              <w:rPr>
                <w:sz w:val="20"/>
                <w:szCs w:val="20"/>
                <w:color w:val="auto"/>
              </w:rPr>
            </w:pPr>
            <w:r>
              <w:rPr>
                <w:rFonts w:ascii="Arial" w:cs="Arial" w:eastAsia="Arial" w:hAnsi="Arial"/>
                <w:sz w:val="14"/>
                <w:szCs w:val="14"/>
                <w:b w:val="1"/>
                <w:bCs w:val="1"/>
                <w:color w:val="FFFFFF"/>
              </w:rPr>
              <w:t>Earnings (4)</w:t>
            </w:r>
          </w:p>
        </w:tc>
        <w:tc>
          <w:tcPr>
            <w:tcW w:w="1580" w:type="dxa"/>
            <w:vAlign w:val="bottom"/>
            <w:shd w:val="clear" w:color="auto" w:fill="34657F"/>
          </w:tcPr>
          <w:p>
            <w:pPr>
              <w:jc w:val="center"/>
              <w:ind w:right="72"/>
              <w:spacing w:after="0" w:line="154" w:lineRule="exact"/>
              <w:rPr>
                <w:sz w:val="20"/>
                <w:szCs w:val="20"/>
                <w:color w:val="auto"/>
              </w:rPr>
            </w:pPr>
            <w:r>
              <w:rPr>
                <w:rFonts w:ascii="Arial" w:cs="Arial" w:eastAsia="Arial" w:hAnsi="Arial"/>
                <w:sz w:val="14"/>
                <w:szCs w:val="14"/>
                <w:b w:val="1"/>
                <w:bCs w:val="1"/>
                <w:color w:val="FFFFFF"/>
                <w:w w:val="98"/>
              </w:rPr>
              <w:t>Compensation (5)</w:t>
            </w:r>
          </w:p>
        </w:tc>
        <w:tc>
          <w:tcPr>
            <w:tcW w:w="1280" w:type="dxa"/>
            <w:vAlign w:val="bottom"/>
            <w:shd w:val="clear" w:color="auto" w:fill="34657F"/>
          </w:tcPr>
          <w:p>
            <w:pPr>
              <w:ind w:left="420"/>
              <w:spacing w:after="0" w:line="154" w:lineRule="exact"/>
              <w:rPr>
                <w:sz w:val="20"/>
                <w:szCs w:val="20"/>
                <w:color w:val="auto"/>
              </w:rPr>
            </w:pPr>
            <w:r>
              <w:rPr>
                <w:rFonts w:ascii="Arial" w:cs="Arial" w:eastAsia="Arial" w:hAnsi="Arial"/>
                <w:sz w:val="14"/>
                <w:szCs w:val="14"/>
                <w:b w:val="1"/>
                <w:bCs w:val="1"/>
                <w:color w:val="FFFFFF"/>
              </w:rPr>
              <w:t>Total</w:t>
            </w:r>
          </w:p>
        </w:tc>
        <w:tc>
          <w:tcPr>
            <w:tcW w:w="20" w:type="dxa"/>
            <w:vAlign w:val="bottom"/>
            <w:shd w:val="clear" w:color="auto" w:fill="34657F"/>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2520" w:type="dxa"/>
            <w:vAlign w:val="bottom"/>
            <w:tcBorders>
              <w:bottom w:val="single" w:sz="8" w:color="34657F"/>
            </w:tcBorders>
            <w:shd w:val="clear" w:color="auto" w:fill="34657F"/>
          </w:tcPr>
          <w:p>
            <w:pPr>
              <w:ind w:left="40"/>
              <w:spacing w:after="0"/>
              <w:rPr>
                <w:sz w:val="20"/>
                <w:szCs w:val="20"/>
                <w:color w:val="auto"/>
              </w:rPr>
            </w:pPr>
            <w:r>
              <w:rPr>
                <w:rFonts w:ascii="Arial" w:cs="Arial" w:eastAsia="Arial" w:hAnsi="Arial"/>
                <w:sz w:val="14"/>
                <w:szCs w:val="14"/>
                <w:b w:val="1"/>
                <w:bCs w:val="1"/>
                <w:color w:val="FFFFFF"/>
              </w:rPr>
              <w:t>Name &amp; Principal Position</w:t>
            </w:r>
          </w:p>
        </w:tc>
        <w:tc>
          <w:tcPr>
            <w:tcW w:w="760" w:type="dxa"/>
            <w:vAlign w:val="bottom"/>
            <w:tcBorders>
              <w:bottom w:val="single" w:sz="8" w:color="34657F"/>
            </w:tcBorders>
            <w:shd w:val="clear" w:color="auto" w:fill="34657F"/>
          </w:tcPr>
          <w:p>
            <w:pPr>
              <w:ind w:left="200"/>
              <w:spacing w:after="0"/>
              <w:rPr>
                <w:sz w:val="20"/>
                <w:szCs w:val="20"/>
                <w:color w:val="auto"/>
              </w:rPr>
            </w:pPr>
            <w:r>
              <w:rPr>
                <w:rFonts w:ascii="Arial" w:cs="Arial" w:eastAsia="Arial" w:hAnsi="Arial"/>
                <w:sz w:val="14"/>
                <w:szCs w:val="14"/>
                <w:b w:val="1"/>
                <w:bCs w:val="1"/>
                <w:color w:val="FFFFFF"/>
              </w:rPr>
              <w:t>Year</w:t>
            </w:r>
          </w:p>
        </w:tc>
        <w:tc>
          <w:tcPr>
            <w:tcW w:w="1140" w:type="dxa"/>
            <w:vAlign w:val="bottom"/>
            <w:tcBorders>
              <w:bottom w:val="single" w:sz="8" w:color="34657F"/>
            </w:tcBorders>
            <w:shd w:val="clear" w:color="auto" w:fill="34657F"/>
          </w:tcPr>
          <w:p>
            <w:pPr>
              <w:jc w:val="center"/>
              <w:spacing w:after="0"/>
              <w:rPr>
                <w:sz w:val="20"/>
                <w:szCs w:val="20"/>
                <w:color w:val="auto"/>
              </w:rPr>
            </w:pPr>
            <w:r>
              <w:rPr>
                <w:rFonts w:ascii="Arial" w:cs="Arial" w:eastAsia="Arial" w:hAnsi="Arial"/>
                <w:sz w:val="14"/>
                <w:szCs w:val="14"/>
                <w:b w:val="1"/>
                <w:bCs w:val="1"/>
                <w:color w:val="FFFFFF"/>
                <w:w w:val="93"/>
              </w:rPr>
              <w:t>($)</w:t>
            </w:r>
          </w:p>
        </w:tc>
        <w:tc>
          <w:tcPr>
            <w:tcW w:w="1140" w:type="dxa"/>
            <w:vAlign w:val="bottom"/>
            <w:tcBorders>
              <w:bottom w:val="single" w:sz="8" w:color="34657F"/>
            </w:tcBorders>
            <w:shd w:val="clear" w:color="auto" w:fill="34657F"/>
          </w:tcPr>
          <w:p>
            <w:pPr>
              <w:jc w:val="center"/>
              <w:spacing w:after="0"/>
              <w:rPr>
                <w:sz w:val="20"/>
                <w:szCs w:val="20"/>
                <w:color w:val="auto"/>
              </w:rPr>
            </w:pPr>
            <w:r>
              <w:rPr>
                <w:rFonts w:ascii="Arial" w:cs="Arial" w:eastAsia="Arial" w:hAnsi="Arial"/>
                <w:sz w:val="14"/>
                <w:szCs w:val="14"/>
                <w:b w:val="1"/>
                <w:bCs w:val="1"/>
                <w:color w:val="FFFFFF"/>
              </w:rPr>
              <w:t>($)</w:t>
            </w:r>
          </w:p>
        </w:tc>
        <w:tc>
          <w:tcPr>
            <w:tcW w:w="1500" w:type="dxa"/>
            <w:vAlign w:val="bottom"/>
            <w:tcBorders>
              <w:bottom w:val="single" w:sz="8" w:color="34657F"/>
            </w:tcBorders>
            <w:shd w:val="clear" w:color="auto" w:fill="34657F"/>
          </w:tcPr>
          <w:p>
            <w:pPr>
              <w:jc w:val="center"/>
              <w:spacing w:after="0"/>
              <w:rPr>
                <w:sz w:val="20"/>
                <w:szCs w:val="20"/>
                <w:color w:val="auto"/>
              </w:rPr>
            </w:pPr>
            <w:r>
              <w:rPr>
                <w:rFonts w:ascii="Arial" w:cs="Arial" w:eastAsia="Arial" w:hAnsi="Arial"/>
                <w:sz w:val="14"/>
                <w:szCs w:val="14"/>
                <w:b w:val="1"/>
                <w:bCs w:val="1"/>
                <w:color w:val="FFFFFF"/>
              </w:rPr>
              <w:t>($)</w:t>
            </w:r>
          </w:p>
        </w:tc>
        <w:tc>
          <w:tcPr>
            <w:tcW w:w="1500" w:type="dxa"/>
            <w:vAlign w:val="bottom"/>
            <w:tcBorders>
              <w:bottom w:val="single" w:sz="8" w:color="34657F"/>
            </w:tcBorders>
            <w:shd w:val="clear" w:color="auto" w:fill="34657F"/>
          </w:tcPr>
          <w:p>
            <w:pPr>
              <w:jc w:val="center"/>
              <w:spacing w:after="0"/>
              <w:rPr>
                <w:sz w:val="20"/>
                <w:szCs w:val="20"/>
                <w:color w:val="auto"/>
              </w:rPr>
            </w:pPr>
            <w:r>
              <w:rPr>
                <w:rFonts w:ascii="Arial" w:cs="Arial" w:eastAsia="Arial" w:hAnsi="Arial"/>
                <w:sz w:val="14"/>
                <w:szCs w:val="14"/>
                <w:b w:val="1"/>
                <w:bCs w:val="1"/>
                <w:color w:val="FFFFFF"/>
                <w:w w:val="93"/>
              </w:rPr>
              <w:t>($)</w:t>
            </w:r>
          </w:p>
        </w:tc>
        <w:tc>
          <w:tcPr>
            <w:tcW w:w="1580" w:type="dxa"/>
            <w:vAlign w:val="bottom"/>
            <w:tcBorders>
              <w:bottom w:val="single" w:sz="8" w:color="34657F"/>
            </w:tcBorders>
            <w:shd w:val="clear" w:color="auto" w:fill="34657F"/>
          </w:tcPr>
          <w:p>
            <w:pPr>
              <w:jc w:val="center"/>
              <w:ind w:right="72"/>
              <w:spacing w:after="0"/>
              <w:rPr>
                <w:sz w:val="20"/>
                <w:szCs w:val="20"/>
                <w:color w:val="auto"/>
              </w:rPr>
            </w:pPr>
            <w:r>
              <w:rPr>
                <w:rFonts w:ascii="Arial" w:cs="Arial" w:eastAsia="Arial" w:hAnsi="Arial"/>
                <w:sz w:val="14"/>
                <w:szCs w:val="14"/>
                <w:b w:val="1"/>
                <w:bCs w:val="1"/>
                <w:color w:val="FFFFFF"/>
                <w:w w:val="93"/>
              </w:rPr>
              <w:t>($)</w:t>
            </w:r>
          </w:p>
        </w:tc>
        <w:tc>
          <w:tcPr>
            <w:tcW w:w="1280" w:type="dxa"/>
            <w:vAlign w:val="bottom"/>
            <w:tcBorders>
              <w:bottom w:val="single" w:sz="8" w:color="34657F"/>
            </w:tcBorders>
            <w:shd w:val="clear" w:color="auto" w:fill="34657F"/>
          </w:tcPr>
          <w:p>
            <w:pPr>
              <w:jc w:val="center"/>
              <w:ind w:right="12"/>
              <w:spacing w:after="0"/>
              <w:rPr>
                <w:sz w:val="20"/>
                <w:szCs w:val="20"/>
                <w:color w:val="auto"/>
              </w:rPr>
            </w:pPr>
            <w:r>
              <w:rPr>
                <w:rFonts w:ascii="Arial" w:cs="Arial" w:eastAsia="Arial" w:hAnsi="Arial"/>
                <w:sz w:val="14"/>
                <w:szCs w:val="14"/>
                <w:b w:val="1"/>
                <w:bCs w:val="1"/>
                <w:color w:val="FFFFFF"/>
                <w:w w:val="93"/>
              </w:rPr>
              <w:t>($)</w:t>
            </w:r>
          </w:p>
        </w:tc>
        <w:tc>
          <w:tcPr>
            <w:tcW w:w="20" w:type="dxa"/>
            <w:vAlign w:val="bottom"/>
            <w:tcBorders>
              <w:bottom w:val="single" w:sz="8" w:color="34657F"/>
            </w:tcBorders>
            <w:shd w:val="clear" w:color="auto" w:fill="34657F"/>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2520" w:type="dxa"/>
            <w:vAlign w:val="bottom"/>
          </w:tcPr>
          <w:p>
            <w:pPr>
              <w:ind w:left="20"/>
              <w:spacing w:after="0"/>
              <w:rPr>
                <w:sz w:val="20"/>
                <w:szCs w:val="20"/>
                <w:color w:val="auto"/>
              </w:rPr>
            </w:pPr>
            <w:r>
              <w:rPr>
                <w:rFonts w:ascii="Arial" w:cs="Arial" w:eastAsia="Arial" w:hAnsi="Arial"/>
                <w:sz w:val="14"/>
                <w:szCs w:val="14"/>
                <w:color w:val="auto"/>
              </w:rPr>
              <w:t>Wesley G. Bush</w:t>
            </w:r>
          </w:p>
        </w:tc>
        <w:tc>
          <w:tcPr>
            <w:tcW w:w="760" w:type="dxa"/>
            <w:vAlign w:val="bottom"/>
            <w:tcBorders>
              <w:bottom w:val="single" w:sz="8" w:color="D1DDE6"/>
            </w:tcBorders>
            <w:shd w:val="clear" w:color="auto" w:fill="D1DDE6"/>
          </w:tcPr>
          <w:p>
            <w:pPr>
              <w:ind w:left="200"/>
              <w:spacing w:after="0"/>
              <w:rPr>
                <w:sz w:val="20"/>
                <w:szCs w:val="20"/>
                <w:color w:val="auto"/>
              </w:rPr>
            </w:pPr>
            <w:r>
              <w:rPr>
                <w:rFonts w:ascii="Arial" w:cs="Arial" w:eastAsia="Arial" w:hAnsi="Arial"/>
                <w:sz w:val="14"/>
                <w:szCs w:val="14"/>
                <w:color w:val="auto"/>
              </w:rPr>
              <w:t>2018</w:t>
            </w:r>
          </w:p>
        </w:tc>
        <w:tc>
          <w:tcPr>
            <w:tcW w:w="1140" w:type="dxa"/>
            <w:vAlign w:val="bottom"/>
            <w:tcBorders>
              <w:bottom w:val="single" w:sz="8" w:color="D1DDE6"/>
            </w:tcBorders>
            <w:shd w:val="clear" w:color="auto" w:fill="D1DDE6"/>
          </w:tcPr>
          <w:p>
            <w:pPr>
              <w:jc w:val="center"/>
              <w:spacing w:after="0"/>
              <w:rPr>
                <w:sz w:val="20"/>
                <w:szCs w:val="20"/>
                <w:color w:val="auto"/>
              </w:rPr>
            </w:pPr>
            <w:r>
              <w:rPr>
                <w:rFonts w:ascii="Arial" w:cs="Arial" w:eastAsia="Arial" w:hAnsi="Arial"/>
                <w:sz w:val="14"/>
                <w:szCs w:val="14"/>
                <w:color w:val="auto"/>
                <w:w w:val="96"/>
              </w:rPr>
              <w:t>1,578,039</w:t>
            </w:r>
          </w:p>
        </w:tc>
        <w:tc>
          <w:tcPr>
            <w:tcW w:w="1140" w:type="dxa"/>
            <w:vAlign w:val="bottom"/>
            <w:tcBorders>
              <w:bottom w:val="single" w:sz="8" w:color="D1DDE6"/>
            </w:tcBorders>
            <w:shd w:val="clear" w:color="auto" w:fill="D1DDE6"/>
          </w:tcPr>
          <w:p>
            <w:pPr>
              <w:jc w:val="center"/>
              <w:spacing w:after="0"/>
              <w:rPr>
                <w:sz w:val="20"/>
                <w:szCs w:val="20"/>
                <w:color w:val="auto"/>
              </w:rPr>
            </w:pPr>
            <w:r>
              <w:rPr>
                <w:rFonts w:ascii="Arial" w:cs="Arial" w:eastAsia="Arial" w:hAnsi="Arial"/>
                <w:sz w:val="14"/>
                <w:szCs w:val="14"/>
                <w:color w:val="auto"/>
                <w:w w:val="99"/>
              </w:rPr>
              <w:t>16,924,462</w:t>
            </w:r>
          </w:p>
        </w:tc>
        <w:tc>
          <w:tcPr>
            <w:tcW w:w="1500" w:type="dxa"/>
            <w:vAlign w:val="bottom"/>
            <w:tcBorders>
              <w:bottom w:val="single" w:sz="8" w:color="D1DDE6"/>
            </w:tcBorders>
            <w:shd w:val="clear" w:color="auto" w:fill="D1DDE6"/>
          </w:tcPr>
          <w:p>
            <w:pPr>
              <w:jc w:val="center"/>
              <w:spacing w:after="0"/>
              <w:rPr>
                <w:sz w:val="20"/>
                <w:szCs w:val="20"/>
                <w:color w:val="auto"/>
              </w:rPr>
            </w:pPr>
            <w:r>
              <w:rPr>
                <w:rFonts w:ascii="Arial" w:cs="Arial" w:eastAsia="Arial" w:hAnsi="Arial"/>
                <w:sz w:val="14"/>
                <w:szCs w:val="14"/>
                <w:color w:val="auto"/>
                <w:w w:val="99"/>
              </w:rPr>
              <w:t>4,562,000</w:t>
            </w:r>
          </w:p>
        </w:tc>
        <w:tc>
          <w:tcPr>
            <w:tcW w:w="1500" w:type="dxa"/>
            <w:vAlign w:val="bottom"/>
            <w:tcBorders>
              <w:bottom w:val="single" w:sz="8" w:color="D1DDE6"/>
            </w:tcBorders>
            <w:shd w:val="clear" w:color="auto" w:fill="D1DDE6"/>
          </w:tcPr>
          <w:p>
            <w:pPr>
              <w:jc w:val="center"/>
              <w:spacing w:after="0"/>
              <w:rPr>
                <w:sz w:val="20"/>
                <w:szCs w:val="20"/>
                <w:color w:val="auto"/>
              </w:rPr>
            </w:pPr>
            <w:r>
              <w:rPr>
                <w:rFonts w:ascii="Arial" w:cs="Arial" w:eastAsia="Arial" w:hAnsi="Arial"/>
                <w:sz w:val="14"/>
                <w:szCs w:val="14"/>
                <w:color w:val="auto"/>
                <w:w w:val="99"/>
              </w:rPr>
              <w:t>—</w:t>
            </w:r>
          </w:p>
        </w:tc>
        <w:tc>
          <w:tcPr>
            <w:tcW w:w="1580" w:type="dxa"/>
            <w:vAlign w:val="bottom"/>
            <w:tcBorders>
              <w:bottom w:val="single" w:sz="8" w:color="D1DDE6"/>
            </w:tcBorders>
            <w:shd w:val="clear" w:color="auto" w:fill="D1DDE6"/>
          </w:tcPr>
          <w:p>
            <w:pPr>
              <w:jc w:val="center"/>
              <w:ind w:right="72"/>
              <w:spacing w:after="0"/>
              <w:rPr>
                <w:sz w:val="20"/>
                <w:szCs w:val="20"/>
                <w:color w:val="auto"/>
              </w:rPr>
            </w:pPr>
            <w:r>
              <w:rPr>
                <w:rFonts w:ascii="Arial" w:cs="Arial" w:eastAsia="Arial" w:hAnsi="Arial"/>
                <w:sz w:val="14"/>
                <w:szCs w:val="14"/>
                <w:color w:val="auto"/>
                <w:w w:val="96"/>
              </w:rPr>
              <w:t>1,120,758</w:t>
            </w:r>
          </w:p>
        </w:tc>
        <w:tc>
          <w:tcPr>
            <w:tcW w:w="1280" w:type="dxa"/>
            <w:vAlign w:val="bottom"/>
            <w:tcBorders>
              <w:bottom w:val="single" w:sz="8" w:color="D1DDE6"/>
            </w:tcBorders>
            <w:shd w:val="clear" w:color="auto" w:fill="D1DDE6"/>
          </w:tcPr>
          <w:p>
            <w:pPr>
              <w:jc w:val="center"/>
              <w:ind w:right="12"/>
              <w:spacing w:after="0"/>
              <w:rPr>
                <w:sz w:val="20"/>
                <w:szCs w:val="20"/>
                <w:color w:val="auto"/>
              </w:rPr>
            </w:pPr>
            <w:r>
              <w:rPr>
                <w:rFonts w:ascii="Arial" w:cs="Arial" w:eastAsia="Arial" w:hAnsi="Arial"/>
                <w:sz w:val="14"/>
                <w:szCs w:val="14"/>
                <w:color w:val="auto"/>
                <w:w w:val="96"/>
              </w:rPr>
              <w:t>24,185,259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2520" w:type="dxa"/>
            <w:vAlign w:val="bottom"/>
          </w:tcPr>
          <w:p>
            <w:pPr>
              <w:ind w:left="180"/>
              <w:spacing w:after="0"/>
              <w:rPr>
                <w:sz w:val="20"/>
                <w:szCs w:val="20"/>
                <w:color w:val="auto"/>
              </w:rPr>
            </w:pPr>
            <w:r>
              <w:rPr>
                <w:rFonts w:ascii="Arial" w:cs="Arial" w:eastAsia="Arial" w:hAnsi="Arial"/>
                <w:sz w:val="14"/>
                <w:szCs w:val="14"/>
                <w:color w:val="auto"/>
                <w:w w:val="99"/>
              </w:rPr>
              <w:t>Chairman and Chief Executive Officer</w:t>
            </w:r>
          </w:p>
        </w:tc>
        <w:tc>
          <w:tcPr>
            <w:tcW w:w="760" w:type="dxa"/>
            <w:vAlign w:val="bottom"/>
          </w:tcPr>
          <w:p>
            <w:pPr>
              <w:ind w:left="200"/>
              <w:spacing w:after="0"/>
              <w:rPr>
                <w:sz w:val="20"/>
                <w:szCs w:val="20"/>
                <w:color w:val="auto"/>
              </w:rPr>
            </w:pPr>
            <w:r>
              <w:rPr>
                <w:rFonts w:ascii="Arial" w:cs="Arial" w:eastAsia="Arial" w:hAnsi="Arial"/>
                <w:sz w:val="14"/>
                <w:szCs w:val="14"/>
                <w:color w:val="auto"/>
              </w:rPr>
              <w:t>2017</w:t>
            </w:r>
          </w:p>
        </w:tc>
        <w:tc>
          <w:tcPr>
            <w:tcW w:w="1140" w:type="dxa"/>
            <w:vAlign w:val="bottom"/>
          </w:tcPr>
          <w:p>
            <w:pPr>
              <w:jc w:val="center"/>
              <w:spacing w:after="0"/>
              <w:rPr>
                <w:sz w:val="20"/>
                <w:szCs w:val="20"/>
                <w:color w:val="auto"/>
              </w:rPr>
            </w:pPr>
            <w:r>
              <w:rPr>
                <w:rFonts w:ascii="Arial" w:cs="Arial" w:eastAsia="Arial" w:hAnsi="Arial"/>
                <w:sz w:val="14"/>
                <w:szCs w:val="14"/>
                <w:color w:val="auto"/>
                <w:w w:val="96"/>
              </w:rPr>
              <w:t>1,548,577</w:t>
            </w:r>
          </w:p>
        </w:tc>
        <w:tc>
          <w:tcPr>
            <w:tcW w:w="1140" w:type="dxa"/>
            <w:vAlign w:val="bottom"/>
          </w:tcPr>
          <w:p>
            <w:pPr>
              <w:jc w:val="center"/>
              <w:spacing w:after="0"/>
              <w:rPr>
                <w:sz w:val="20"/>
                <w:szCs w:val="20"/>
                <w:color w:val="auto"/>
              </w:rPr>
            </w:pPr>
            <w:r>
              <w:rPr>
                <w:rFonts w:ascii="Arial" w:cs="Arial" w:eastAsia="Arial" w:hAnsi="Arial"/>
                <w:sz w:val="14"/>
                <w:szCs w:val="14"/>
                <w:color w:val="auto"/>
                <w:w w:val="99"/>
              </w:rPr>
              <w:t>9,999,969</w:t>
            </w:r>
          </w:p>
        </w:tc>
        <w:tc>
          <w:tcPr>
            <w:tcW w:w="1500" w:type="dxa"/>
            <w:vAlign w:val="bottom"/>
          </w:tcPr>
          <w:p>
            <w:pPr>
              <w:jc w:val="center"/>
              <w:spacing w:after="0"/>
              <w:rPr>
                <w:sz w:val="20"/>
                <w:szCs w:val="20"/>
                <w:color w:val="auto"/>
              </w:rPr>
            </w:pPr>
            <w:r>
              <w:rPr>
                <w:rFonts w:ascii="Arial" w:cs="Arial" w:eastAsia="Arial" w:hAnsi="Arial"/>
                <w:sz w:val="14"/>
                <w:szCs w:val="14"/>
                <w:color w:val="auto"/>
                <w:w w:val="99"/>
              </w:rPr>
              <w:t>3,662,000</w:t>
            </w:r>
          </w:p>
        </w:tc>
        <w:tc>
          <w:tcPr>
            <w:tcW w:w="1500" w:type="dxa"/>
            <w:vAlign w:val="bottom"/>
          </w:tcPr>
          <w:p>
            <w:pPr>
              <w:jc w:val="center"/>
              <w:spacing w:after="0"/>
              <w:rPr>
                <w:sz w:val="20"/>
                <w:szCs w:val="20"/>
                <w:color w:val="auto"/>
              </w:rPr>
            </w:pPr>
            <w:r>
              <w:rPr>
                <w:rFonts w:ascii="Arial" w:cs="Arial" w:eastAsia="Arial" w:hAnsi="Arial"/>
                <w:sz w:val="14"/>
                <w:szCs w:val="14"/>
                <w:color w:val="auto"/>
                <w:w w:val="96"/>
              </w:rPr>
              <w:t>2,733,390</w:t>
            </w:r>
          </w:p>
        </w:tc>
        <w:tc>
          <w:tcPr>
            <w:tcW w:w="1580" w:type="dxa"/>
            <w:vAlign w:val="bottom"/>
          </w:tcPr>
          <w:p>
            <w:pPr>
              <w:jc w:val="center"/>
              <w:ind w:right="52"/>
              <w:spacing w:after="0"/>
              <w:rPr>
                <w:sz w:val="20"/>
                <w:szCs w:val="20"/>
                <w:color w:val="auto"/>
              </w:rPr>
            </w:pPr>
            <w:r>
              <w:rPr>
                <w:rFonts w:ascii="Arial" w:cs="Arial" w:eastAsia="Arial" w:hAnsi="Arial"/>
                <w:sz w:val="14"/>
                <w:szCs w:val="14"/>
                <w:color w:val="auto"/>
                <w:w w:val="98"/>
              </w:rPr>
              <w:t>925,121</w:t>
            </w:r>
          </w:p>
        </w:tc>
        <w:tc>
          <w:tcPr>
            <w:tcW w:w="1280" w:type="dxa"/>
            <w:vAlign w:val="bottom"/>
          </w:tcPr>
          <w:p>
            <w:pPr>
              <w:jc w:val="center"/>
              <w:ind w:right="12"/>
              <w:spacing w:after="0"/>
              <w:rPr>
                <w:sz w:val="20"/>
                <w:szCs w:val="20"/>
                <w:color w:val="auto"/>
              </w:rPr>
            </w:pPr>
            <w:r>
              <w:rPr>
                <w:rFonts w:ascii="Arial" w:cs="Arial" w:eastAsia="Arial" w:hAnsi="Arial"/>
                <w:sz w:val="14"/>
                <w:szCs w:val="14"/>
                <w:color w:val="auto"/>
                <w:w w:val="96"/>
              </w:rPr>
              <w:t>18,869,057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25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5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6"/>
        </w:trPr>
        <w:tc>
          <w:tcPr>
            <w:tcW w:w="2520" w:type="dxa"/>
            <w:vAlign w:val="bottom"/>
          </w:tcPr>
          <w:p>
            <w:pPr>
              <w:spacing w:after="0"/>
              <w:rPr>
                <w:sz w:val="22"/>
                <w:szCs w:val="22"/>
                <w:color w:val="auto"/>
              </w:rPr>
            </w:pPr>
          </w:p>
        </w:tc>
        <w:tc>
          <w:tcPr>
            <w:tcW w:w="760" w:type="dxa"/>
            <w:vAlign w:val="bottom"/>
            <w:tcBorders>
              <w:bottom w:val="single" w:sz="8" w:color="D1DDE6"/>
            </w:tcBorders>
            <w:shd w:val="clear" w:color="auto" w:fill="D1DDE6"/>
          </w:tcPr>
          <w:p>
            <w:pPr>
              <w:ind w:left="200"/>
              <w:spacing w:after="0"/>
              <w:rPr>
                <w:sz w:val="20"/>
                <w:szCs w:val="20"/>
                <w:color w:val="auto"/>
              </w:rPr>
            </w:pPr>
            <w:r>
              <w:rPr>
                <w:rFonts w:ascii="Arial" w:cs="Arial" w:eastAsia="Arial" w:hAnsi="Arial"/>
                <w:sz w:val="14"/>
                <w:szCs w:val="14"/>
                <w:color w:val="auto"/>
              </w:rPr>
              <w:t>2016</w:t>
            </w:r>
          </w:p>
        </w:tc>
        <w:tc>
          <w:tcPr>
            <w:tcW w:w="1140" w:type="dxa"/>
            <w:vAlign w:val="bottom"/>
            <w:tcBorders>
              <w:bottom w:val="single" w:sz="8" w:color="D1DDE6"/>
            </w:tcBorders>
            <w:shd w:val="clear" w:color="auto" w:fill="D1DDE6"/>
          </w:tcPr>
          <w:p>
            <w:pPr>
              <w:jc w:val="center"/>
              <w:spacing w:after="0"/>
              <w:rPr>
                <w:sz w:val="20"/>
                <w:szCs w:val="20"/>
                <w:color w:val="auto"/>
              </w:rPr>
            </w:pPr>
            <w:r>
              <w:rPr>
                <w:rFonts w:ascii="Arial" w:cs="Arial" w:eastAsia="Arial" w:hAnsi="Arial"/>
                <w:sz w:val="14"/>
                <w:szCs w:val="14"/>
                <w:color w:val="auto"/>
                <w:w w:val="96"/>
              </w:rPr>
              <w:t>1,530,000</w:t>
            </w:r>
          </w:p>
        </w:tc>
        <w:tc>
          <w:tcPr>
            <w:tcW w:w="1140" w:type="dxa"/>
            <w:vAlign w:val="bottom"/>
            <w:tcBorders>
              <w:bottom w:val="single" w:sz="8" w:color="D1DDE6"/>
            </w:tcBorders>
            <w:shd w:val="clear" w:color="auto" w:fill="D1DDE6"/>
          </w:tcPr>
          <w:p>
            <w:pPr>
              <w:jc w:val="center"/>
              <w:spacing w:after="0"/>
              <w:rPr>
                <w:sz w:val="20"/>
                <w:szCs w:val="20"/>
                <w:color w:val="auto"/>
              </w:rPr>
            </w:pPr>
            <w:r>
              <w:rPr>
                <w:rFonts w:ascii="Arial" w:cs="Arial" w:eastAsia="Arial" w:hAnsi="Arial"/>
                <w:sz w:val="14"/>
                <w:szCs w:val="14"/>
                <w:color w:val="auto"/>
                <w:w w:val="99"/>
              </w:rPr>
              <w:t>10,000,072</w:t>
            </w:r>
          </w:p>
        </w:tc>
        <w:tc>
          <w:tcPr>
            <w:tcW w:w="1500" w:type="dxa"/>
            <w:vAlign w:val="bottom"/>
            <w:tcBorders>
              <w:bottom w:val="single" w:sz="8" w:color="D1DDE6"/>
            </w:tcBorders>
            <w:shd w:val="clear" w:color="auto" w:fill="D1DDE6"/>
          </w:tcPr>
          <w:p>
            <w:pPr>
              <w:jc w:val="center"/>
              <w:spacing w:after="0"/>
              <w:rPr>
                <w:sz w:val="20"/>
                <w:szCs w:val="20"/>
                <w:color w:val="auto"/>
              </w:rPr>
            </w:pPr>
            <w:r>
              <w:rPr>
                <w:rFonts w:ascii="Arial" w:cs="Arial" w:eastAsia="Arial" w:hAnsi="Arial"/>
                <w:sz w:val="14"/>
                <w:szCs w:val="14"/>
                <w:color w:val="auto"/>
                <w:w w:val="99"/>
              </w:rPr>
              <w:t>4,406,400</w:t>
            </w:r>
          </w:p>
        </w:tc>
        <w:tc>
          <w:tcPr>
            <w:tcW w:w="1500" w:type="dxa"/>
            <w:vAlign w:val="bottom"/>
            <w:tcBorders>
              <w:bottom w:val="single" w:sz="8" w:color="D1DDE6"/>
            </w:tcBorders>
            <w:shd w:val="clear" w:color="auto" w:fill="D1DDE6"/>
          </w:tcPr>
          <w:p>
            <w:pPr>
              <w:jc w:val="center"/>
              <w:spacing w:after="0"/>
              <w:rPr>
                <w:sz w:val="20"/>
                <w:szCs w:val="20"/>
                <w:color w:val="auto"/>
              </w:rPr>
            </w:pPr>
            <w:r>
              <w:rPr>
                <w:rFonts w:ascii="Arial" w:cs="Arial" w:eastAsia="Arial" w:hAnsi="Arial"/>
                <w:sz w:val="14"/>
                <w:szCs w:val="14"/>
                <w:color w:val="auto"/>
                <w:w w:val="96"/>
              </w:rPr>
              <w:t>3,036,744</w:t>
            </w:r>
          </w:p>
        </w:tc>
        <w:tc>
          <w:tcPr>
            <w:tcW w:w="1580" w:type="dxa"/>
            <w:vAlign w:val="bottom"/>
            <w:tcBorders>
              <w:bottom w:val="single" w:sz="8" w:color="D1DDE6"/>
            </w:tcBorders>
            <w:shd w:val="clear" w:color="auto" w:fill="D1DDE6"/>
          </w:tcPr>
          <w:p>
            <w:pPr>
              <w:jc w:val="center"/>
              <w:ind w:right="52"/>
              <w:spacing w:after="0"/>
              <w:rPr>
                <w:sz w:val="20"/>
                <w:szCs w:val="20"/>
                <w:color w:val="auto"/>
              </w:rPr>
            </w:pPr>
            <w:r>
              <w:rPr>
                <w:rFonts w:ascii="Arial" w:cs="Arial" w:eastAsia="Arial" w:hAnsi="Arial"/>
                <w:sz w:val="14"/>
                <w:szCs w:val="14"/>
                <w:color w:val="auto"/>
                <w:w w:val="98"/>
              </w:rPr>
              <w:t>868,625</w:t>
            </w:r>
          </w:p>
        </w:tc>
        <w:tc>
          <w:tcPr>
            <w:tcW w:w="1280" w:type="dxa"/>
            <w:vAlign w:val="bottom"/>
            <w:tcBorders>
              <w:bottom w:val="single" w:sz="8" w:color="D1DDE6"/>
            </w:tcBorders>
            <w:shd w:val="clear" w:color="auto" w:fill="D1DDE6"/>
          </w:tcPr>
          <w:p>
            <w:pPr>
              <w:jc w:val="center"/>
              <w:ind w:right="12"/>
              <w:spacing w:after="0"/>
              <w:rPr>
                <w:sz w:val="20"/>
                <w:szCs w:val="20"/>
                <w:color w:val="auto"/>
              </w:rPr>
            </w:pPr>
            <w:r>
              <w:rPr>
                <w:rFonts w:ascii="Arial" w:cs="Arial" w:eastAsia="Arial" w:hAnsi="Arial"/>
                <w:sz w:val="14"/>
                <w:szCs w:val="14"/>
                <w:color w:val="auto"/>
                <w:w w:val="96"/>
              </w:rPr>
              <w:t>19,841,841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2"/>
        </w:trPr>
        <w:tc>
          <w:tcPr>
            <w:tcW w:w="2520" w:type="dxa"/>
            <w:vAlign w:val="bottom"/>
            <w:tcBorders>
              <w:top w:val="single" w:sz="8" w:color="34657F"/>
            </w:tcBorders>
          </w:tcPr>
          <w:p>
            <w:pPr>
              <w:ind w:left="20"/>
              <w:spacing w:after="0"/>
              <w:rPr>
                <w:sz w:val="20"/>
                <w:szCs w:val="20"/>
                <w:color w:val="auto"/>
              </w:rPr>
            </w:pPr>
            <w:r>
              <w:rPr>
                <w:rFonts w:ascii="Arial" w:cs="Arial" w:eastAsia="Arial" w:hAnsi="Arial"/>
                <w:sz w:val="14"/>
                <w:szCs w:val="14"/>
                <w:color w:val="auto"/>
              </w:rPr>
              <w:t>Kathy J. Warden</w:t>
            </w:r>
          </w:p>
        </w:tc>
        <w:tc>
          <w:tcPr>
            <w:tcW w:w="760" w:type="dxa"/>
            <w:vAlign w:val="bottom"/>
            <w:tcBorders>
              <w:top w:val="single" w:sz="8" w:color="34657F"/>
            </w:tcBorders>
          </w:tcPr>
          <w:p>
            <w:pPr>
              <w:ind w:left="200"/>
              <w:spacing w:after="0"/>
              <w:rPr>
                <w:sz w:val="20"/>
                <w:szCs w:val="20"/>
                <w:color w:val="auto"/>
              </w:rPr>
            </w:pPr>
            <w:r>
              <w:rPr>
                <w:rFonts w:ascii="Arial" w:cs="Arial" w:eastAsia="Arial" w:hAnsi="Arial"/>
                <w:sz w:val="14"/>
                <w:szCs w:val="14"/>
                <w:color w:val="auto"/>
              </w:rPr>
              <w:t>2018</w:t>
            </w:r>
          </w:p>
        </w:tc>
        <w:tc>
          <w:tcPr>
            <w:tcW w:w="1140" w:type="dxa"/>
            <w:vAlign w:val="bottom"/>
            <w:tcBorders>
              <w:top w:val="single" w:sz="8" w:color="34657F"/>
            </w:tcBorders>
          </w:tcPr>
          <w:p>
            <w:pPr>
              <w:jc w:val="center"/>
              <w:spacing w:after="0"/>
              <w:rPr>
                <w:sz w:val="20"/>
                <w:szCs w:val="20"/>
                <w:color w:val="auto"/>
              </w:rPr>
            </w:pPr>
            <w:r>
              <w:rPr>
                <w:rFonts w:ascii="Arial" w:cs="Arial" w:eastAsia="Arial" w:hAnsi="Arial"/>
                <w:sz w:val="14"/>
                <w:szCs w:val="14"/>
                <w:color w:val="auto"/>
                <w:w w:val="98"/>
              </w:rPr>
              <w:t>963,462</w:t>
            </w:r>
          </w:p>
        </w:tc>
        <w:tc>
          <w:tcPr>
            <w:tcW w:w="1140" w:type="dxa"/>
            <w:vAlign w:val="bottom"/>
            <w:tcBorders>
              <w:top w:val="single" w:sz="8" w:color="34657F"/>
            </w:tcBorders>
          </w:tcPr>
          <w:p>
            <w:pPr>
              <w:jc w:val="center"/>
              <w:spacing w:after="0"/>
              <w:rPr>
                <w:sz w:val="20"/>
                <w:szCs w:val="20"/>
                <w:color w:val="auto"/>
              </w:rPr>
            </w:pPr>
            <w:r>
              <w:rPr>
                <w:rFonts w:ascii="Arial" w:cs="Arial" w:eastAsia="Arial" w:hAnsi="Arial"/>
                <w:sz w:val="14"/>
                <w:szCs w:val="14"/>
                <w:color w:val="auto"/>
                <w:w w:val="99"/>
              </w:rPr>
              <w:t>9,999,869</w:t>
            </w:r>
          </w:p>
        </w:tc>
        <w:tc>
          <w:tcPr>
            <w:tcW w:w="1500" w:type="dxa"/>
            <w:vAlign w:val="bottom"/>
            <w:tcBorders>
              <w:top w:val="single" w:sz="8" w:color="34657F"/>
            </w:tcBorders>
          </w:tcPr>
          <w:p>
            <w:pPr>
              <w:jc w:val="center"/>
              <w:spacing w:after="0"/>
              <w:rPr>
                <w:sz w:val="20"/>
                <w:szCs w:val="20"/>
                <w:color w:val="auto"/>
              </w:rPr>
            </w:pPr>
            <w:r>
              <w:rPr>
                <w:rFonts w:ascii="Arial" w:cs="Arial" w:eastAsia="Arial" w:hAnsi="Arial"/>
                <w:sz w:val="14"/>
                <w:szCs w:val="14"/>
                <w:color w:val="auto"/>
                <w:w w:val="99"/>
              </w:rPr>
              <w:t>1,920,000</w:t>
            </w:r>
          </w:p>
        </w:tc>
        <w:tc>
          <w:tcPr>
            <w:tcW w:w="1500" w:type="dxa"/>
            <w:vAlign w:val="bottom"/>
            <w:tcBorders>
              <w:top w:val="single" w:sz="8" w:color="34657F"/>
            </w:tcBorders>
          </w:tcPr>
          <w:p>
            <w:pPr>
              <w:jc w:val="center"/>
              <w:spacing w:after="0"/>
              <w:rPr>
                <w:sz w:val="20"/>
                <w:szCs w:val="20"/>
                <w:color w:val="auto"/>
              </w:rPr>
            </w:pPr>
            <w:r>
              <w:rPr>
                <w:rFonts w:ascii="Arial" w:cs="Arial" w:eastAsia="Arial" w:hAnsi="Arial"/>
                <w:sz w:val="14"/>
                <w:szCs w:val="14"/>
                <w:color w:val="auto"/>
                <w:w w:val="99"/>
              </w:rPr>
              <w:t>—</w:t>
            </w:r>
          </w:p>
        </w:tc>
        <w:tc>
          <w:tcPr>
            <w:tcW w:w="1580" w:type="dxa"/>
            <w:vAlign w:val="bottom"/>
            <w:tcBorders>
              <w:top w:val="single" w:sz="8" w:color="34657F"/>
            </w:tcBorders>
          </w:tcPr>
          <w:p>
            <w:pPr>
              <w:jc w:val="center"/>
              <w:ind w:right="52"/>
              <w:spacing w:after="0"/>
              <w:rPr>
                <w:sz w:val="20"/>
                <w:szCs w:val="20"/>
                <w:color w:val="auto"/>
              </w:rPr>
            </w:pPr>
            <w:r>
              <w:rPr>
                <w:rFonts w:ascii="Arial" w:cs="Arial" w:eastAsia="Arial" w:hAnsi="Arial"/>
                <w:sz w:val="14"/>
                <w:szCs w:val="14"/>
                <w:color w:val="auto"/>
                <w:w w:val="98"/>
              </w:rPr>
              <w:t>458,976</w:t>
            </w:r>
          </w:p>
        </w:tc>
        <w:tc>
          <w:tcPr>
            <w:tcW w:w="1280" w:type="dxa"/>
            <w:vAlign w:val="bottom"/>
            <w:tcBorders>
              <w:top w:val="single" w:sz="8" w:color="34657F"/>
            </w:tcBorders>
          </w:tcPr>
          <w:p>
            <w:pPr>
              <w:jc w:val="center"/>
              <w:ind w:right="12"/>
              <w:spacing w:after="0"/>
              <w:rPr>
                <w:sz w:val="20"/>
                <w:szCs w:val="20"/>
                <w:color w:val="auto"/>
              </w:rPr>
            </w:pPr>
            <w:r>
              <w:rPr>
                <w:rFonts w:ascii="Arial" w:cs="Arial" w:eastAsia="Arial" w:hAnsi="Arial"/>
                <w:sz w:val="14"/>
                <w:szCs w:val="14"/>
                <w:color w:val="auto"/>
                <w:w w:val="96"/>
              </w:rPr>
              <w:t>13,342,307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
        </w:trPr>
        <w:tc>
          <w:tcPr>
            <w:tcW w:w="2520" w:type="dxa"/>
            <w:vAlign w:val="bottom"/>
            <w:vMerge w:val="restart"/>
          </w:tcPr>
          <w:p>
            <w:pPr>
              <w:ind w:left="180"/>
              <w:spacing w:after="0"/>
              <w:rPr>
                <w:sz w:val="20"/>
                <w:szCs w:val="20"/>
                <w:color w:val="auto"/>
              </w:rPr>
            </w:pPr>
            <w:r>
              <w:rPr>
                <w:rFonts w:ascii="Arial" w:cs="Arial" w:eastAsia="Arial" w:hAnsi="Arial"/>
                <w:sz w:val="14"/>
                <w:szCs w:val="14"/>
                <w:color w:val="auto"/>
              </w:rPr>
              <w:t>President and</w:t>
            </w:r>
          </w:p>
        </w:tc>
        <w:tc>
          <w:tcPr>
            <w:tcW w:w="7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5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4"/>
        </w:trPr>
        <w:tc>
          <w:tcPr>
            <w:tcW w:w="2520" w:type="dxa"/>
            <w:vAlign w:val="bottom"/>
            <w:vMerge w:val="continue"/>
          </w:tcPr>
          <w:p>
            <w:pPr>
              <w:spacing w:after="0"/>
              <w:rPr>
                <w:sz w:val="16"/>
                <w:szCs w:val="16"/>
                <w:color w:val="auto"/>
              </w:rPr>
            </w:pPr>
          </w:p>
        </w:tc>
        <w:tc>
          <w:tcPr>
            <w:tcW w:w="760" w:type="dxa"/>
            <w:vAlign w:val="bottom"/>
            <w:shd w:val="clear" w:color="auto" w:fill="D1DDE6"/>
          </w:tcPr>
          <w:p>
            <w:pPr>
              <w:ind w:left="200"/>
              <w:spacing w:after="0"/>
              <w:rPr>
                <w:sz w:val="20"/>
                <w:szCs w:val="20"/>
                <w:color w:val="auto"/>
              </w:rPr>
            </w:pPr>
            <w:r>
              <w:rPr>
                <w:rFonts w:ascii="Arial" w:cs="Arial" w:eastAsia="Arial" w:hAnsi="Arial"/>
                <w:sz w:val="14"/>
                <w:szCs w:val="14"/>
                <w:color w:val="auto"/>
              </w:rPr>
              <w:t>2017</w:t>
            </w:r>
          </w:p>
        </w:tc>
        <w:tc>
          <w:tcPr>
            <w:tcW w:w="1140" w:type="dxa"/>
            <w:vAlign w:val="bottom"/>
            <w:shd w:val="clear" w:color="auto" w:fill="D1DDE6"/>
          </w:tcPr>
          <w:p>
            <w:pPr>
              <w:jc w:val="center"/>
              <w:spacing w:after="0"/>
              <w:rPr>
                <w:sz w:val="20"/>
                <w:szCs w:val="20"/>
                <w:color w:val="auto"/>
              </w:rPr>
            </w:pPr>
            <w:r>
              <w:rPr>
                <w:rFonts w:ascii="Arial" w:cs="Arial" w:eastAsia="Arial" w:hAnsi="Arial"/>
                <w:sz w:val="14"/>
                <w:szCs w:val="14"/>
                <w:color w:val="auto"/>
                <w:w w:val="98"/>
              </w:rPr>
              <w:t>807,116</w:t>
            </w:r>
          </w:p>
        </w:tc>
        <w:tc>
          <w:tcPr>
            <w:tcW w:w="1140" w:type="dxa"/>
            <w:vAlign w:val="bottom"/>
            <w:shd w:val="clear" w:color="auto" w:fill="D1DDE6"/>
          </w:tcPr>
          <w:p>
            <w:pPr>
              <w:jc w:val="center"/>
              <w:spacing w:after="0"/>
              <w:rPr>
                <w:sz w:val="20"/>
                <w:szCs w:val="20"/>
                <w:color w:val="auto"/>
              </w:rPr>
            </w:pPr>
            <w:r>
              <w:rPr>
                <w:rFonts w:ascii="Arial" w:cs="Arial" w:eastAsia="Arial" w:hAnsi="Arial"/>
                <w:sz w:val="14"/>
                <w:szCs w:val="14"/>
                <w:color w:val="auto"/>
                <w:w w:val="99"/>
              </w:rPr>
              <w:t>3,499,993</w:t>
            </w:r>
          </w:p>
        </w:tc>
        <w:tc>
          <w:tcPr>
            <w:tcW w:w="1500" w:type="dxa"/>
            <w:vAlign w:val="bottom"/>
            <w:shd w:val="clear" w:color="auto" w:fill="D1DDE6"/>
          </w:tcPr>
          <w:p>
            <w:pPr>
              <w:jc w:val="center"/>
              <w:spacing w:after="0"/>
              <w:rPr>
                <w:sz w:val="20"/>
                <w:szCs w:val="20"/>
                <w:color w:val="auto"/>
              </w:rPr>
            </w:pPr>
            <w:r>
              <w:rPr>
                <w:rFonts w:ascii="Arial" w:cs="Arial" w:eastAsia="Arial" w:hAnsi="Arial"/>
                <w:sz w:val="14"/>
                <w:szCs w:val="14"/>
                <w:color w:val="auto"/>
                <w:w w:val="99"/>
              </w:rPr>
              <w:t>1,061,000</w:t>
            </w:r>
          </w:p>
        </w:tc>
        <w:tc>
          <w:tcPr>
            <w:tcW w:w="1500" w:type="dxa"/>
            <w:vAlign w:val="bottom"/>
            <w:shd w:val="clear" w:color="auto" w:fill="D1DDE6"/>
          </w:tcPr>
          <w:p>
            <w:pPr>
              <w:jc w:val="center"/>
              <w:spacing w:after="0"/>
              <w:rPr>
                <w:sz w:val="20"/>
                <w:szCs w:val="20"/>
                <w:color w:val="auto"/>
              </w:rPr>
            </w:pPr>
            <w:r>
              <w:rPr>
                <w:rFonts w:ascii="Arial" w:cs="Arial" w:eastAsia="Arial" w:hAnsi="Arial"/>
                <w:sz w:val="14"/>
                <w:szCs w:val="14"/>
                <w:color w:val="auto"/>
                <w:w w:val="98"/>
              </w:rPr>
              <w:t>388,015</w:t>
            </w:r>
          </w:p>
        </w:tc>
        <w:tc>
          <w:tcPr>
            <w:tcW w:w="1580" w:type="dxa"/>
            <w:vAlign w:val="bottom"/>
            <w:shd w:val="clear" w:color="auto" w:fill="D1DDE6"/>
          </w:tcPr>
          <w:p>
            <w:pPr>
              <w:jc w:val="center"/>
              <w:ind w:right="52"/>
              <w:spacing w:after="0"/>
              <w:rPr>
                <w:sz w:val="20"/>
                <w:szCs w:val="20"/>
                <w:color w:val="auto"/>
              </w:rPr>
            </w:pPr>
            <w:r>
              <w:rPr>
                <w:rFonts w:ascii="Arial" w:cs="Arial" w:eastAsia="Arial" w:hAnsi="Arial"/>
                <w:sz w:val="14"/>
                <w:szCs w:val="14"/>
                <w:color w:val="auto"/>
                <w:w w:val="98"/>
              </w:rPr>
              <w:t>206,548</w:t>
            </w:r>
          </w:p>
        </w:tc>
        <w:tc>
          <w:tcPr>
            <w:tcW w:w="1280" w:type="dxa"/>
            <w:vAlign w:val="bottom"/>
            <w:shd w:val="clear" w:color="auto" w:fill="D1DDE6"/>
          </w:tcPr>
          <w:p>
            <w:pPr>
              <w:jc w:val="center"/>
              <w:ind w:right="12"/>
              <w:spacing w:after="0"/>
              <w:rPr>
                <w:sz w:val="20"/>
                <w:szCs w:val="20"/>
                <w:color w:val="auto"/>
              </w:rPr>
            </w:pPr>
            <w:r>
              <w:rPr>
                <w:rFonts w:ascii="Arial" w:cs="Arial" w:eastAsia="Arial" w:hAnsi="Arial"/>
                <w:sz w:val="14"/>
                <w:szCs w:val="14"/>
                <w:color w:val="auto"/>
                <w:w w:val="96"/>
              </w:rPr>
              <w:t>5,962,672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2"/>
        </w:trPr>
        <w:tc>
          <w:tcPr>
            <w:tcW w:w="2520" w:type="dxa"/>
            <w:vAlign w:val="bottom"/>
            <w:vMerge w:val="restart"/>
          </w:tcPr>
          <w:p>
            <w:pPr>
              <w:ind w:left="180"/>
              <w:spacing w:after="0"/>
              <w:rPr>
                <w:sz w:val="20"/>
                <w:szCs w:val="20"/>
                <w:color w:val="auto"/>
              </w:rPr>
            </w:pPr>
            <w:r>
              <w:rPr>
                <w:rFonts w:ascii="Arial" w:cs="Arial" w:eastAsia="Arial" w:hAnsi="Arial"/>
                <w:sz w:val="14"/>
                <w:szCs w:val="14"/>
                <w:color w:val="auto"/>
              </w:rPr>
              <w:t>Chief Operating Officer</w:t>
            </w:r>
          </w:p>
        </w:tc>
        <w:tc>
          <w:tcPr>
            <w:tcW w:w="760" w:type="dxa"/>
            <w:vAlign w:val="bottom"/>
            <w:shd w:val="clear" w:color="auto" w:fill="D1DDE6"/>
          </w:tcPr>
          <w:p>
            <w:pPr>
              <w:spacing w:after="0"/>
              <w:rPr>
                <w:sz w:val="6"/>
                <w:szCs w:val="6"/>
                <w:color w:val="auto"/>
              </w:rPr>
            </w:pPr>
          </w:p>
        </w:tc>
        <w:tc>
          <w:tcPr>
            <w:tcW w:w="1140" w:type="dxa"/>
            <w:vAlign w:val="bottom"/>
            <w:shd w:val="clear" w:color="auto" w:fill="D1DDE6"/>
          </w:tcPr>
          <w:p>
            <w:pPr>
              <w:spacing w:after="0"/>
              <w:rPr>
                <w:sz w:val="6"/>
                <w:szCs w:val="6"/>
                <w:color w:val="auto"/>
              </w:rPr>
            </w:pPr>
          </w:p>
        </w:tc>
        <w:tc>
          <w:tcPr>
            <w:tcW w:w="1140" w:type="dxa"/>
            <w:vAlign w:val="bottom"/>
            <w:shd w:val="clear" w:color="auto" w:fill="D1DDE6"/>
          </w:tcPr>
          <w:p>
            <w:pPr>
              <w:spacing w:after="0"/>
              <w:rPr>
                <w:sz w:val="6"/>
                <w:szCs w:val="6"/>
                <w:color w:val="auto"/>
              </w:rPr>
            </w:pPr>
          </w:p>
        </w:tc>
        <w:tc>
          <w:tcPr>
            <w:tcW w:w="1500" w:type="dxa"/>
            <w:vAlign w:val="bottom"/>
            <w:shd w:val="clear" w:color="auto" w:fill="D1DDE6"/>
          </w:tcPr>
          <w:p>
            <w:pPr>
              <w:spacing w:after="0"/>
              <w:rPr>
                <w:sz w:val="6"/>
                <w:szCs w:val="6"/>
                <w:color w:val="auto"/>
              </w:rPr>
            </w:pPr>
          </w:p>
        </w:tc>
        <w:tc>
          <w:tcPr>
            <w:tcW w:w="1500" w:type="dxa"/>
            <w:vAlign w:val="bottom"/>
            <w:shd w:val="clear" w:color="auto" w:fill="D1DDE6"/>
          </w:tcPr>
          <w:p>
            <w:pPr>
              <w:spacing w:after="0"/>
              <w:rPr>
                <w:sz w:val="6"/>
                <w:szCs w:val="6"/>
                <w:color w:val="auto"/>
              </w:rPr>
            </w:pPr>
          </w:p>
        </w:tc>
        <w:tc>
          <w:tcPr>
            <w:tcW w:w="1580" w:type="dxa"/>
            <w:vAlign w:val="bottom"/>
            <w:shd w:val="clear" w:color="auto" w:fill="D1DDE6"/>
          </w:tcPr>
          <w:p>
            <w:pPr>
              <w:spacing w:after="0"/>
              <w:rPr>
                <w:sz w:val="6"/>
                <w:szCs w:val="6"/>
                <w:color w:val="auto"/>
              </w:rPr>
            </w:pPr>
          </w:p>
        </w:tc>
        <w:tc>
          <w:tcPr>
            <w:tcW w:w="1280" w:type="dxa"/>
            <w:vAlign w:val="bottom"/>
            <w:shd w:val="clear" w:color="auto" w:fill="D1DDE6"/>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1"/>
        </w:trPr>
        <w:tc>
          <w:tcPr>
            <w:tcW w:w="2520" w:type="dxa"/>
            <w:vAlign w:val="bottom"/>
            <w:vMerge w:val="continue"/>
          </w:tcPr>
          <w:p>
            <w:pPr>
              <w:spacing w:after="0"/>
              <w:rPr>
                <w:sz w:val="7"/>
                <w:szCs w:val="7"/>
                <w:color w:val="auto"/>
              </w:rPr>
            </w:pPr>
          </w:p>
        </w:tc>
        <w:tc>
          <w:tcPr>
            <w:tcW w:w="760" w:type="dxa"/>
            <w:vAlign w:val="bottom"/>
            <w:vMerge w:val="restart"/>
          </w:tcPr>
          <w:p>
            <w:pPr>
              <w:ind w:left="200"/>
              <w:spacing w:after="0"/>
              <w:rPr>
                <w:sz w:val="20"/>
                <w:szCs w:val="20"/>
                <w:color w:val="auto"/>
              </w:rPr>
            </w:pPr>
            <w:r>
              <w:rPr>
                <w:rFonts w:ascii="Arial" w:cs="Arial" w:eastAsia="Arial" w:hAnsi="Arial"/>
                <w:sz w:val="14"/>
                <w:szCs w:val="14"/>
                <w:color w:val="auto"/>
              </w:rPr>
              <w:t>2016</w:t>
            </w:r>
          </w:p>
        </w:tc>
        <w:tc>
          <w:tcPr>
            <w:tcW w:w="1140" w:type="dxa"/>
            <w:vAlign w:val="bottom"/>
            <w:vMerge w:val="restart"/>
          </w:tcPr>
          <w:p>
            <w:pPr>
              <w:jc w:val="center"/>
              <w:spacing w:after="0"/>
              <w:rPr>
                <w:sz w:val="20"/>
                <w:szCs w:val="20"/>
                <w:color w:val="auto"/>
              </w:rPr>
            </w:pPr>
            <w:r>
              <w:rPr>
                <w:rFonts w:ascii="Arial" w:cs="Arial" w:eastAsia="Arial" w:hAnsi="Arial"/>
                <w:sz w:val="14"/>
                <w:szCs w:val="14"/>
                <w:color w:val="auto"/>
                <w:w w:val="98"/>
              </w:rPr>
              <w:t>772,500</w:t>
            </w:r>
          </w:p>
        </w:tc>
        <w:tc>
          <w:tcPr>
            <w:tcW w:w="1140" w:type="dxa"/>
            <w:vAlign w:val="bottom"/>
            <w:vMerge w:val="restart"/>
          </w:tcPr>
          <w:p>
            <w:pPr>
              <w:jc w:val="center"/>
              <w:spacing w:after="0"/>
              <w:rPr>
                <w:sz w:val="20"/>
                <w:szCs w:val="20"/>
                <w:color w:val="auto"/>
              </w:rPr>
            </w:pPr>
            <w:r>
              <w:rPr>
                <w:rFonts w:ascii="Arial" w:cs="Arial" w:eastAsia="Arial" w:hAnsi="Arial"/>
                <w:sz w:val="14"/>
                <w:szCs w:val="14"/>
                <w:color w:val="auto"/>
                <w:w w:val="99"/>
              </w:rPr>
              <w:t>3,499,856</w:t>
            </w:r>
          </w:p>
        </w:tc>
        <w:tc>
          <w:tcPr>
            <w:tcW w:w="1500" w:type="dxa"/>
            <w:vAlign w:val="bottom"/>
            <w:vMerge w:val="restart"/>
          </w:tcPr>
          <w:p>
            <w:pPr>
              <w:jc w:val="center"/>
              <w:spacing w:after="0"/>
              <w:rPr>
                <w:sz w:val="20"/>
                <w:szCs w:val="20"/>
                <w:color w:val="auto"/>
              </w:rPr>
            </w:pPr>
            <w:r>
              <w:rPr>
                <w:rFonts w:ascii="Arial" w:cs="Arial" w:eastAsia="Arial" w:hAnsi="Arial"/>
                <w:sz w:val="14"/>
                <w:szCs w:val="14"/>
                <w:color w:val="auto"/>
                <w:w w:val="99"/>
              </w:rPr>
              <w:t>1,272,000</w:t>
            </w:r>
          </w:p>
        </w:tc>
        <w:tc>
          <w:tcPr>
            <w:tcW w:w="1500" w:type="dxa"/>
            <w:vAlign w:val="bottom"/>
            <w:vMerge w:val="restart"/>
          </w:tcPr>
          <w:p>
            <w:pPr>
              <w:jc w:val="center"/>
              <w:spacing w:after="0"/>
              <w:rPr>
                <w:sz w:val="20"/>
                <w:szCs w:val="20"/>
                <w:color w:val="auto"/>
              </w:rPr>
            </w:pPr>
            <w:r>
              <w:rPr>
                <w:rFonts w:ascii="Arial" w:cs="Arial" w:eastAsia="Arial" w:hAnsi="Arial"/>
                <w:sz w:val="14"/>
                <w:szCs w:val="14"/>
                <w:color w:val="auto"/>
                <w:w w:val="98"/>
              </w:rPr>
              <w:t>200,220</w:t>
            </w:r>
          </w:p>
        </w:tc>
        <w:tc>
          <w:tcPr>
            <w:tcW w:w="1580" w:type="dxa"/>
            <w:vAlign w:val="bottom"/>
            <w:vMerge w:val="restart"/>
          </w:tcPr>
          <w:p>
            <w:pPr>
              <w:jc w:val="center"/>
              <w:ind w:right="52"/>
              <w:spacing w:after="0"/>
              <w:rPr>
                <w:sz w:val="20"/>
                <w:szCs w:val="20"/>
                <w:color w:val="auto"/>
              </w:rPr>
            </w:pPr>
            <w:r>
              <w:rPr>
                <w:rFonts w:ascii="Arial" w:cs="Arial" w:eastAsia="Arial" w:hAnsi="Arial"/>
                <w:sz w:val="14"/>
                <w:szCs w:val="14"/>
                <w:color w:val="auto"/>
                <w:w w:val="98"/>
              </w:rPr>
              <w:t>165,596</w:t>
            </w:r>
          </w:p>
        </w:tc>
        <w:tc>
          <w:tcPr>
            <w:tcW w:w="1280" w:type="dxa"/>
            <w:vAlign w:val="bottom"/>
            <w:vMerge w:val="restart"/>
          </w:tcPr>
          <w:p>
            <w:pPr>
              <w:jc w:val="center"/>
              <w:ind w:right="12"/>
              <w:spacing w:after="0"/>
              <w:rPr>
                <w:sz w:val="20"/>
                <w:szCs w:val="20"/>
                <w:color w:val="auto"/>
              </w:rPr>
            </w:pPr>
            <w:r>
              <w:rPr>
                <w:rFonts w:ascii="Arial" w:cs="Arial" w:eastAsia="Arial" w:hAnsi="Arial"/>
                <w:sz w:val="14"/>
                <w:szCs w:val="14"/>
                <w:color w:val="auto"/>
                <w:w w:val="96"/>
              </w:rPr>
              <w:t>5,910,172</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1500" w:type="dxa"/>
            <w:vAlign w:val="bottom"/>
            <w:vMerge w:val="continue"/>
          </w:tcPr>
          <w:p>
            <w:pPr>
              <w:spacing w:after="0"/>
              <w:rPr>
                <w:sz w:val="11"/>
                <w:szCs w:val="11"/>
                <w:color w:val="auto"/>
              </w:rPr>
            </w:pPr>
          </w:p>
        </w:tc>
        <w:tc>
          <w:tcPr>
            <w:tcW w:w="1500" w:type="dxa"/>
            <w:vAlign w:val="bottom"/>
            <w:vMerge w:val="continue"/>
          </w:tcPr>
          <w:p>
            <w:pPr>
              <w:spacing w:after="0"/>
              <w:rPr>
                <w:sz w:val="11"/>
                <w:szCs w:val="11"/>
                <w:color w:val="auto"/>
              </w:rPr>
            </w:pPr>
          </w:p>
        </w:tc>
        <w:tc>
          <w:tcPr>
            <w:tcW w:w="1580" w:type="dxa"/>
            <w:vAlign w:val="bottom"/>
            <w:vMerge w:val="continue"/>
          </w:tcPr>
          <w:p>
            <w:pPr>
              <w:spacing w:after="0"/>
              <w:rPr>
                <w:sz w:val="11"/>
                <w:szCs w:val="11"/>
                <w:color w:val="auto"/>
              </w:rPr>
            </w:pPr>
          </w:p>
        </w:tc>
        <w:tc>
          <w:tcPr>
            <w:tcW w:w="128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7"/>
        </w:trPr>
        <w:tc>
          <w:tcPr>
            <w:tcW w:w="2520" w:type="dxa"/>
            <w:vAlign w:val="bottom"/>
            <w:tcBorders>
              <w:bottom w:val="single" w:sz="8" w:color="34657F"/>
            </w:tcBorders>
          </w:tcPr>
          <w:p>
            <w:pPr>
              <w:spacing w:after="0"/>
              <w:rPr>
                <w:sz w:val="3"/>
                <w:szCs w:val="3"/>
                <w:color w:val="auto"/>
              </w:rPr>
            </w:pPr>
          </w:p>
        </w:tc>
        <w:tc>
          <w:tcPr>
            <w:tcW w:w="760" w:type="dxa"/>
            <w:vAlign w:val="bottom"/>
            <w:tcBorders>
              <w:bottom w:val="single" w:sz="8" w:color="34657F"/>
            </w:tcBorders>
          </w:tcPr>
          <w:p>
            <w:pPr>
              <w:spacing w:after="0"/>
              <w:rPr>
                <w:sz w:val="3"/>
                <w:szCs w:val="3"/>
                <w:color w:val="auto"/>
              </w:rPr>
            </w:pPr>
          </w:p>
        </w:tc>
        <w:tc>
          <w:tcPr>
            <w:tcW w:w="1140" w:type="dxa"/>
            <w:vAlign w:val="bottom"/>
            <w:tcBorders>
              <w:bottom w:val="single" w:sz="8" w:color="34657F"/>
            </w:tcBorders>
          </w:tcPr>
          <w:p>
            <w:pPr>
              <w:spacing w:after="0"/>
              <w:rPr>
                <w:sz w:val="3"/>
                <w:szCs w:val="3"/>
                <w:color w:val="auto"/>
              </w:rPr>
            </w:pPr>
          </w:p>
        </w:tc>
        <w:tc>
          <w:tcPr>
            <w:tcW w:w="1140" w:type="dxa"/>
            <w:vAlign w:val="bottom"/>
            <w:tcBorders>
              <w:bottom w:val="single" w:sz="8" w:color="34657F"/>
            </w:tcBorders>
          </w:tcPr>
          <w:p>
            <w:pPr>
              <w:spacing w:after="0"/>
              <w:rPr>
                <w:sz w:val="3"/>
                <w:szCs w:val="3"/>
                <w:color w:val="auto"/>
              </w:rPr>
            </w:pPr>
          </w:p>
        </w:tc>
        <w:tc>
          <w:tcPr>
            <w:tcW w:w="1500" w:type="dxa"/>
            <w:vAlign w:val="bottom"/>
            <w:tcBorders>
              <w:bottom w:val="single" w:sz="8" w:color="34657F"/>
            </w:tcBorders>
          </w:tcPr>
          <w:p>
            <w:pPr>
              <w:spacing w:after="0"/>
              <w:rPr>
                <w:sz w:val="3"/>
                <w:szCs w:val="3"/>
                <w:color w:val="auto"/>
              </w:rPr>
            </w:pPr>
          </w:p>
        </w:tc>
        <w:tc>
          <w:tcPr>
            <w:tcW w:w="1500" w:type="dxa"/>
            <w:vAlign w:val="bottom"/>
            <w:tcBorders>
              <w:bottom w:val="single" w:sz="8" w:color="34657F"/>
            </w:tcBorders>
          </w:tcPr>
          <w:p>
            <w:pPr>
              <w:spacing w:after="0"/>
              <w:rPr>
                <w:sz w:val="3"/>
                <w:szCs w:val="3"/>
                <w:color w:val="auto"/>
              </w:rPr>
            </w:pPr>
          </w:p>
        </w:tc>
        <w:tc>
          <w:tcPr>
            <w:tcW w:w="1580" w:type="dxa"/>
            <w:vAlign w:val="bottom"/>
            <w:tcBorders>
              <w:bottom w:val="single" w:sz="8" w:color="34657F"/>
            </w:tcBorders>
          </w:tcPr>
          <w:p>
            <w:pPr>
              <w:spacing w:after="0"/>
              <w:rPr>
                <w:sz w:val="3"/>
                <w:szCs w:val="3"/>
                <w:color w:val="auto"/>
              </w:rPr>
            </w:pPr>
          </w:p>
        </w:tc>
        <w:tc>
          <w:tcPr>
            <w:tcW w:w="1280" w:type="dxa"/>
            <w:vAlign w:val="bottom"/>
            <w:tcBorders>
              <w:bottom w:val="single" w:sz="8" w:color="34657F"/>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9"/>
        </w:trPr>
        <w:tc>
          <w:tcPr>
            <w:tcW w:w="2520" w:type="dxa"/>
            <w:vAlign w:val="bottom"/>
          </w:tcPr>
          <w:p>
            <w:pPr>
              <w:ind w:left="20"/>
              <w:spacing w:after="0"/>
              <w:rPr>
                <w:sz w:val="20"/>
                <w:szCs w:val="20"/>
                <w:color w:val="auto"/>
              </w:rPr>
            </w:pPr>
            <w:r>
              <w:rPr>
                <w:rFonts w:ascii="Arial" w:cs="Arial" w:eastAsia="Arial" w:hAnsi="Arial"/>
                <w:sz w:val="14"/>
                <w:szCs w:val="14"/>
                <w:color w:val="auto"/>
              </w:rPr>
              <w:t>Kenneth L. Bedingfield</w:t>
            </w:r>
          </w:p>
        </w:tc>
        <w:tc>
          <w:tcPr>
            <w:tcW w:w="760" w:type="dxa"/>
            <w:vAlign w:val="bottom"/>
            <w:tcBorders>
              <w:bottom w:val="single" w:sz="8" w:color="D1DDE6"/>
            </w:tcBorders>
            <w:shd w:val="clear" w:color="auto" w:fill="D1DDE6"/>
          </w:tcPr>
          <w:p>
            <w:pPr>
              <w:ind w:left="200"/>
              <w:spacing w:after="0"/>
              <w:rPr>
                <w:sz w:val="20"/>
                <w:szCs w:val="20"/>
                <w:color w:val="auto"/>
              </w:rPr>
            </w:pPr>
            <w:r>
              <w:rPr>
                <w:rFonts w:ascii="Arial" w:cs="Arial" w:eastAsia="Arial" w:hAnsi="Arial"/>
                <w:sz w:val="14"/>
                <w:szCs w:val="14"/>
                <w:color w:val="auto"/>
              </w:rPr>
              <w:t>2018</w:t>
            </w:r>
          </w:p>
        </w:tc>
        <w:tc>
          <w:tcPr>
            <w:tcW w:w="1140" w:type="dxa"/>
            <w:vAlign w:val="bottom"/>
            <w:tcBorders>
              <w:bottom w:val="single" w:sz="8" w:color="D1DDE6"/>
            </w:tcBorders>
            <w:shd w:val="clear" w:color="auto" w:fill="D1DDE6"/>
          </w:tcPr>
          <w:p>
            <w:pPr>
              <w:jc w:val="center"/>
              <w:spacing w:after="0"/>
              <w:rPr>
                <w:sz w:val="20"/>
                <w:szCs w:val="20"/>
                <w:color w:val="auto"/>
              </w:rPr>
            </w:pPr>
            <w:r>
              <w:rPr>
                <w:rFonts w:ascii="Arial" w:cs="Arial" w:eastAsia="Arial" w:hAnsi="Arial"/>
                <w:sz w:val="14"/>
                <w:szCs w:val="14"/>
                <w:color w:val="auto"/>
                <w:w w:val="98"/>
              </w:rPr>
              <w:t>811,154</w:t>
            </w:r>
          </w:p>
        </w:tc>
        <w:tc>
          <w:tcPr>
            <w:tcW w:w="1140" w:type="dxa"/>
            <w:vAlign w:val="bottom"/>
            <w:tcBorders>
              <w:bottom w:val="single" w:sz="8" w:color="D1DDE6"/>
            </w:tcBorders>
            <w:shd w:val="clear" w:color="auto" w:fill="D1DDE6"/>
          </w:tcPr>
          <w:p>
            <w:pPr>
              <w:jc w:val="center"/>
              <w:spacing w:after="0"/>
              <w:rPr>
                <w:sz w:val="20"/>
                <w:szCs w:val="20"/>
                <w:color w:val="auto"/>
              </w:rPr>
            </w:pPr>
            <w:r>
              <w:rPr>
                <w:rFonts w:ascii="Arial" w:cs="Arial" w:eastAsia="Arial" w:hAnsi="Arial"/>
                <w:sz w:val="14"/>
                <w:szCs w:val="14"/>
                <w:color w:val="auto"/>
                <w:w w:val="99"/>
              </w:rPr>
              <w:t>3,500,008</w:t>
            </w:r>
          </w:p>
        </w:tc>
        <w:tc>
          <w:tcPr>
            <w:tcW w:w="1500" w:type="dxa"/>
            <w:vAlign w:val="bottom"/>
            <w:tcBorders>
              <w:bottom w:val="single" w:sz="8" w:color="D1DDE6"/>
            </w:tcBorders>
            <w:shd w:val="clear" w:color="auto" w:fill="D1DDE6"/>
          </w:tcPr>
          <w:p>
            <w:pPr>
              <w:jc w:val="center"/>
              <w:spacing w:after="0"/>
              <w:rPr>
                <w:sz w:val="20"/>
                <w:szCs w:val="20"/>
                <w:color w:val="auto"/>
              </w:rPr>
            </w:pPr>
            <w:r>
              <w:rPr>
                <w:rFonts w:ascii="Arial" w:cs="Arial" w:eastAsia="Arial" w:hAnsi="Arial"/>
                <w:sz w:val="14"/>
                <w:szCs w:val="14"/>
                <w:color w:val="auto"/>
                <w:w w:val="99"/>
              </w:rPr>
              <w:t>1,304,000</w:t>
            </w:r>
          </w:p>
        </w:tc>
        <w:tc>
          <w:tcPr>
            <w:tcW w:w="1500" w:type="dxa"/>
            <w:vAlign w:val="bottom"/>
            <w:tcBorders>
              <w:bottom w:val="single" w:sz="8" w:color="D1DDE6"/>
            </w:tcBorders>
            <w:shd w:val="clear" w:color="auto" w:fill="D1DDE6"/>
          </w:tcPr>
          <w:p>
            <w:pPr>
              <w:jc w:val="center"/>
              <w:spacing w:after="0"/>
              <w:rPr>
                <w:sz w:val="20"/>
                <w:szCs w:val="20"/>
                <w:color w:val="auto"/>
              </w:rPr>
            </w:pPr>
            <w:r>
              <w:rPr>
                <w:rFonts w:ascii="Arial" w:cs="Arial" w:eastAsia="Arial" w:hAnsi="Arial"/>
                <w:sz w:val="14"/>
                <w:szCs w:val="14"/>
                <w:color w:val="auto"/>
                <w:w w:val="99"/>
              </w:rPr>
              <w:t>—</w:t>
            </w:r>
          </w:p>
        </w:tc>
        <w:tc>
          <w:tcPr>
            <w:tcW w:w="1580" w:type="dxa"/>
            <w:vAlign w:val="bottom"/>
            <w:tcBorders>
              <w:bottom w:val="single" w:sz="8" w:color="D1DDE6"/>
            </w:tcBorders>
            <w:shd w:val="clear" w:color="auto" w:fill="D1DDE6"/>
          </w:tcPr>
          <w:p>
            <w:pPr>
              <w:jc w:val="center"/>
              <w:ind w:right="52"/>
              <w:spacing w:after="0"/>
              <w:rPr>
                <w:sz w:val="20"/>
                <w:szCs w:val="20"/>
                <w:color w:val="auto"/>
              </w:rPr>
            </w:pPr>
            <w:r>
              <w:rPr>
                <w:rFonts w:ascii="Arial" w:cs="Arial" w:eastAsia="Arial" w:hAnsi="Arial"/>
                <w:sz w:val="14"/>
                <w:szCs w:val="14"/>
                <w:color w:val="auto"/>
                <w:w w:val="98"/>
              </w:rPr>
              <w:t>302,268</w:t>
            </w:r>
          </w:p>
        </w:tc>
        <w:tc>
          <w:tcPr>
            <w:tcW w:w="1280" w:type="dxa"/>
            <w:vAlign w:val="bottom"/>
            <w:tcBorders>
              <w:bottom w:val="single" w:sz="8" w:color="D1DDE6"/>
            </w:tcBorders>
            <w:shd w:val="clear" w:color="auto" w:fill="D1DDE6"/>
          </w:tcPr>
          <w:p>
            <w:pPr>
              <w:jc w:val="center"/>
              <w:ind w:right="12"/>
              <w:spacing w:after="0"/>
              <w:rPr>
                <w:sz w:val="20"/>
                <w:szCs w:val="20"/>
                <w:color w:val="auto"/>
              </w:rPr>
            </w:pPr>
            <w:r>
              <w:rPr>
                <w:rFonts w:ascii="Arial" w:cs="Arial" w:eastAsia="Arial" w:hAnsi="Arial"/>
                <w:sz w:val="14"/>
                <w:szCs w:val="14"/>
                <w:color w:val="auto"/>
                <w:w w:val="96"/>
              </w:rPr>
              <w:t>5,917,430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2520" w:type="dxa"/>
            <w:vAlign w:val="bottom"/>
          </w:tcPr>
          <w:p>
            <w:pPr>
              <w:ind w:left="180"/>
              <w:spacing w:after="0"/>
              <w:rPr>
                <w:sz w:val="20"/>
                <w:szCs w:val="20"/>
                <w:color w:val="auto"/>
              </w:rPr>
            </w:pPr>
            <w:r>
              <w:rPr>
                <w:rFonts w:ascii="Arial" w:cs="Arial" w:eastAsia="Arial" w:hAnsi="Arial"/>
                <w:sz w:val="14"/>
                <w:szCs w:val="14"/>
                <w:color w:val="auto"/>
              </w:rPr>
              <w:t>Corporate Vice President and</w:t>
            </w:r>
          </w:p>
        </w:tc>
        <w:tc>
          <w:tcPr>
            <w:tcW w:w="760" w:type="dxa"/>
            <w:vAlign w:val="bottom"/>
          </w:tcPr>
          <w:p>
            <w:pPr>
              <w:ind w:left="200"/>
              <w:spacing w:after="0"/>
              <w:rPr>
                <w:sz w:val="20"/>
                <w:szCs w:val="20"/>
                <w:color w:val="auto"/>
              </w:rPr>
            </w:pPr>
            <w:r>
              <w:rPr>
                <w:rFonts w:ascii="Arial" w:cs="Arial" w:eastAsia="Arial" w:hAnsi="Arial"/>
                <w:sz w:val="14"/>
                <w:szCs w:val="14"/>
                <w:color w:val="auto"/>
              </w:rPr>
              <w:t>2017</w:t>
            </w:r>
          </w:p>
        </w:tc>
        <w:tc>
          <w:tcPr>
            <w:tcW w:w="1140" w:type="dxa"/>
            <w:vAlign w:val="bottom"/>
          </w:tcPr>
          <w:p>
            <w:pPr>
              <w:jc w:val="center"/>
              <w:spacing w:after="0"/>
              <w:rPr>
                <w:sz w:val="20"/>
                <w:szCs w:val="20"/>
                <w:color w:val="auto"/>
              </w:rPr>
            </w:pPr>
            <w:r>
              <w:rPr>
                <w:rFonts w:ascii="Arial" w:cs="Arial" w:eastAsia="Arial" w:hAnsi="Arial"/>
                <w:sz w:val="14"/>
                <w:szCs w:val="14"/>
                <w:color w:val="auto"/>
                <w:w w:val="98"/>
              </w:rPr>
              <w:t>790,192</w:t>
            </w:r>
          </w:p>
        </w:tc>
        <w:tc>
          <w:tcPr>
            <w:tcW w:w="1140" w:type="dxa"/>
            <w:vAlign w:val="bottom"/>
          </w:tcPr>
          <w:p>
            <w:pPr>
              <w:jc w:val="center"/>
              <w:spacing w:after="0"/>
              <w:rPr>
                <w:sz w:val="20"/>
                <w:szCs w:val="20"/>
                <w:color w:val="auto"/>
              </w:rPr>
            </w:pPr>
            <w:r>
              <w:rPr>
                <w:rFonts w:ascii="Arial" w:cs="Arial" w:eastAsia="Arial" w:hAnsi="Arial"/>
                <w:sz w:val="14"/>
                <w:szCs w:val="14"/>
                <w:color w:val="auto"/>
                <w:w w:val="99"/>
              </w:rPr>
              <w:t>3,250,106</w:t>
            </w:r>
          </w:p>
        </w:tc>
        <w:tc>
          <w:tcPr>
            <w:tcW w:w="1500" w:type="dxa"/>
            <w:vAlign w:val="bottom"/>
          </w:tcPr>
          <w:p>
            <w:pPr>
              <w:jc w:val="center"/>
              <w:spacing w:after="0"/>
              <w:rPr>
                <w:sz w:val="20"/>
                <w:szCs w:val="20"/>
                <w:color w:val="auto"/>
              </w:rPr>
            </w:pPr>
            <w:r>
              <w:rPr>
                <w:rFonts w:ascii="Arial" w:cs="Arial" w:eastAsia="Arial" w:hAnsi="Arial"/>
                <w:sz w:val="14"/>
                <w:szCs w:val="14"/>
                <w:color w:val="auto"/>
                <w:w w:val="99"/>
              </w:rPr>
              <w:t>1,041,000</w:t>
            </w:r>
          </w:p>
        </w:tc>
        <w:tc>
          <w:tcPr>
            <w:tcW w:w="15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580" w:type="dxa"/>
            <w:vAlign w:val="bottom"/>
          </w:tcPr>
          <w:p>
            <w:pPr>
              <w:jc w:val="center"/>
              <w:ind w:right="52"/>
              <w:spacing w:after="0"/>
              <w:rPr>
                <w:sz w:val="20"/>
                <w:szCs w:val="20"/>
                <w:color w:val="auto"/>
              </w:rPr>
            </w:pPr>
            <w:r>
              <w:rPr>
                <w:rFonts w:ascii="Arial" w:cs="Arial" w:eastAsia="Arial" w:hAnsi="Arial"/>
                <w:sz w:val="14"/>
                <w:szCs w:val="14"/>
                <w:color w:val="auto"/>
                <w:w w:val="98"/>
              </w:rPr>
              <w:t>351,426</w:t>
            </w:r>
          </w:p>
        </w:tc>
        <w:tc>
          <w:tcPr>
            <w:tcW w:w="1280" w:type="dxa"/>
            <w:vAlign w:val="bottom"/>
          </w:tcPr>
          <w:p>
            <w:pPr>
              <w:jc w:val="center"/>
              <w:ind w:right="12"/>
              <w:spacing w:after="0"/>
              <w:rPr>
                <w:sz w:val="20"/>
                <w:szCs w:val="20"/>
                <w:color w:val="auto"/>
              </w:rPr>
            </w:pPr>
            <w:r>
              <w:rPr>
                <w:rFonts w:ascii="Arial" w:cs="Arial" w:eastAsia="Arial" w:hAnsi="Arial"/>
                <w:sz w:val="14"/>
                <w:szCs w:val="14"/>
                <w:color w:val="auto"/>
                <w:w w:val="96"/>
              </w:rPr>
              <w:t>5,432,724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2"/>
        </w:trPr>
        <w:tc>
          <w:tcPr>
            <w:tcW w:w="2520" w:type="dxa"/>
            <w:vAlign w:val="bottom"/>
            <w:vMerge w:val="restart"/>
          </w:tcPr>
          <w:p>
            <w:pPr>
              <w:ind w:left="180"/>
              <w:spacing w:after="0"/>
              <w:rPr>
                <w:sz w:val="20"/>
                <w:szCs w:val="20"/>
                <w:color w:val="auto"/>
              </w:rPr>
            </w:pPr>
            <w:r>
              <w:rPr>
                <w:rFonts w:ascii="Arial" w:cs="Arial" w:eastAsia="Arial" w:hAnsi="Arial"/>
                <w:sz w:val="14"/>
                <w:szCs w:val="14"/>
                <w:color w:val="auto"/>
              </w:rPr>
              <w:t>Chief Financial Officer</w:t>
            </w:r>
          </w:p>
        </w:tc>
        <w:tc>
          <w:tcPr>
            <w:tcW w:w="7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500" w:type="dxa"/>
            <w:vAlign w:val="bottom"/>
          </w:tcPr>
          <w:p>
            <w:pPr>
              <w:spacing w:after="0"/>
              <w:rPr>
                <w:sz w:val="6"/>
                <w:szCs w:val="6"/>
                <w:color w:val="auto"/>
              </w:rPr>
            </w:pPr>
          </w:p>
        </w:tc>
        <w:tc>
          <w:tcPr>
            <w:tcW w:w="1500" w:type="dxa"/>
            <w:vAlign w:val="bottom"/>
          </w:tcPr>
          <w:p>
            <w:pPr>
              <w:spacing w:after="0"/>
              <w:rPr>
                <w:sz w:val="6"/>
                <w:szCs w:val="6"/>
                <w:color w:val="auto"/>
              </w:rPr>
            </w:pPr>
          </w:p>
        </w:tc>
        <w:tc>
          <w:tcPr>
            <w:tcW w:w="1580" w:type="dxa"/>
            <w:vAlign w:val="bottom"/>
          </w:tcPr>
          <w:p>
            <w:pPr>
              <w:spacing w:after="0"/>
              <w:rPr>
                <w:sz w:val="6"/>
                <w:szCs w:val="6"/>
                <w:color w:val="auto"/>
              </w:rPr>
            </w:pPr>
          </w:p>
        </w:tc>
        <w:tc>
          <w:tcPr>
            <w:tcW w:w="12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1"/>
        </w:trPr>
        <w:tc>
          <w:tcPr>
            <w:tcW w:w="2520" w:type="dxa"/>
            <w:vAlign w:val="bottom"/>
            <w:vMerge w:val="continue"/>
          </w:tcPr>
          <w:p>
            <w:pPr>
              <w:spacing w:after="0"/>
              <w:rPr>
                <w:sz w:val="7"/>
                <w:szCs w:val="7"/>
                <w:color w:val="auto"/>
              </w:rPr>
            </w:pPr>
          </w:p>
        </w:tc>
        <w:tc>
          <w:tcPr>
            <w:tcW w:w="760" w:type="dxa"/>
            <w:vAlign w:val="bottom"/>
            <w:vMerge w:val="restart"/>
            <w:shd w:val="clear" w:color="auto" w:fill="D1DDE6"/>
          </w:tcPr>
          <w:p>
            <w:pPr>
              <w:ind w:left="200"/>
              <w:spacing w:after="0"/>
              <w:rPr>
                <w:sz w:val="20"/>
                <w:szCs w:val="20"/>
                <w:color w:val="auto"/>
              </w:rPr>
            </w:pPr>
            <w:r>
              <w:rPr>
                <w:rFonts w:ascii="Arial" w:cs="Arial" w:eastAsia="Arial" w:hAnsi="Arial"/>
                <w:sz w:val="14"/>
                <w:szCs w:val="14"/>
                <w:color w:val="auto"/>
              </w:rPr>
              <w:t>2016</w:t>
            </w:r>
          </w:p>
        </w:tc>
        <w:tc>
          <w:tcPr>
            <w:tcW w:w="1140" w:type="dxa"/>
            <w:vAlign w:val="bottom"/>
            <w:vMerge w:val="restart"/>
            <w:shd w:val="clear" w:color="auto" w:fill="D1DDE6"/>
          </w:tcPr>
          <w:p>
            <w:pPr>
              <w:jc w:val="center"/>
              <w:spacing w:after="0"/>
              <w:rPr>
                <w:sz w:val="20"/>
                <w:szCs w:val="20"/>
                <w:color w:val="auto"/>
              </w:rPr>
            </w:pPr>
            <w:r>
              <w:rPr>
                <w:rFonts w:ascii="Arial" w:cs="Arial" w:eastAsia="Arial" w:hAnsi="Arial"/>
                <w:sz w:val="14"/>
                <w:szCs w:val="14"/>
                <w:color w:val="auto"/>
                <w:w w:val="98"/>
              </w:rPr>
              <w:t>756,539</w:t>
            </w:r>
          </w:p>
        </w:tc>
        <w:tc>
          <w:tcPr>
            <w:tcW w:w="1140" w:type="dxa"/>
            <w:vAlign w:val="bottom"/>
            <w:vMerge w:val="restart"/>
            <w:shd w:val="clear" w:color="auto" w:fill="D1DDE6"/>
          </w:tcPr>
          <w:p>
            <w:pPr>
              <w:jc w:val="center"/>
              <w:spacing w:after="0"/>
              <w:rPr>
                <w:sz w:val="20"/>
                <w:szCs w:val="20"/>
                <w:color w:val="auto"/>
              </w:rPr>
            </w:pPr>
            <w:r>
              <w:rPr>
                <w:rFonts w:ascii="Arial" w:cs="Arial" w:eastAsia="Arial" w:hAnsi="Arial"/>
                <w:sz w:val="14"/>
                <w:szCs w:val="14"/>
                <w:color w:val="auto"/>
                <w:w w:val="99"/>
              </w:rPr>
              <w:t>2,999,980</w:t>
            </w:r>
          </w:p>
        </w:tc>
        <w:tc>
          <w:tcPr>
            <w:tcW w:w="1500" w:type="dxa"/>
            <w:vAlign w:val="bottom"/>
            <w:vMerge w:val="restart"/>
            <w:shd w:val="clear" w:color="auto" w:fill="D1DDE6"/>
          </w:tcPr>
          <w:p>
            <w:pPr>
              <w:jc w:val="center"/>
              <w:spacing w:after="0"/>
              <w:rPr>
                <w:sz w:val="20"/>
                <w:szCs w:val="20"/>
                <w:color w:val="auto"/>
              </w:rPr>
            </w:pPr>
            <w:r>
              <w:rPr>
                <w:rFonts w:ascii="Arial" w:cs="Arial" w:eastAsia="Arial" w:hAnsi="Arial"/>
                <w:sz w:val="14"/>
                <w:szCs w:val="14"/>
                <w:color w:val="auto"/>
                <w:w w:val="99"/>
              </w:rPr>
              <w:t>1,232,000</w:t>
            </w:r>
          </w:p>
        </w:tc>
        <w:tc>
          <w:tcPr>
            <w:tcW w:w="1500" w:type="dxa"/>
            <w:vAlign w:val="bottom"/>
            <w:vMerge w:val="restart"/>
            <w:shd w:val="clear" w:color="auto" w:fill="D1DDE6"/>
          </w:tcPr>
          <w:p>
            <w:pPr>
              <w:jc w:val="center"/>
              <w:spacing w:after="0"/>
              <w:rPr>
                <w:sz w:val="20"/>
                <w:szCs w:val="20"/>
                <w:color w:val="auto"/>
              </w:rPr>
            </w:pPr>
            <w:r>
              <w:rPr>
                <w:rFonts w:ascii="Arial" w:cs="Arial" w:eastAsia="Arial" w:hAnsi="Arial"/>
                <w:sz w:val="14"/>
                <w:szCs w:val="14"/>
                <w:color w:val="auto"/>
                <w:w w:val="99"/>
              </w:rPr>
              <w:t>—</w:t>
            </w:r>
          </w:p>
        </w:tc>
        <w:tc>
          <w:tcPr>
            <w:tcW w:w="1580" w:type="dxa"/>
            <w:vAlign w:val="bottom"/>
            <w:vMerge w:val="restart"/>
            <w:shd w:val="clear" w:color="auto" w:fill="D1DDE6"/>
          </w:tcPr>
          <w:p>
            <w:pPr>
              <w:jc w:val="center"/>
              <w:ind w:right="52"/>
              <w:spacing w:after="0"/>
              <w:rPr>
                <w:sz w:val="20"/>
                <w:szCs w:val="20"/>
                <w:color w:val="auto"/>
              </w:rPr>
            </w:pPr>
            <w:r>
              <w:rPr>
                <w:rFonts w:ascii="Arial" w:cs="Arial" w:eastAsia="Arial" w:hAnsi="Arial"/>
                <w:sz w:val="14"/>
                <w:szCs w:val="14"/>
                <w:color w:val="auto"/>
                <w:w w:val="98"/>
              </w:rPr>
              <w:t>314,724</w:t>
            </w:r>
          </w:p>
        </w:tc>
        <w:tc>
          <w:tcPr>
            <w:tcW w:w="1280" w:type="dxa"/>
            <w:vAlign w:val="bottom"/>
            <w:vMerge w:val="restart"/>
            <w:shd w:val="clear" w:color="auto" w:fill="D1DDE6"/>
          </w:tcPr>
          <w:p>
            <w:pPr>
              <w:jc w:val="center"/>
              <w:ind w:right="12"/>
              <w:spacing w:after="0"/>
              <w:rPr>
                <w:sz w:val="20"/>
                <w:szCs w:val="20"/>
                <w:color w:val="auto"/>
              </w:rPr>
            </w:pPr>
            <w:r>
              <w:rPr>
                <w:rFonts w:ascii="Arial" w:cs="Arial" w:eastAsia="Arial" w:hAnsi="Arial"/>
                <w:sz w:val="14"/>
                <w:szCs w:val="14"/>
                <w:color w:val="auto"/>
                <w:w w:val="96"/>
              </w:rPr>
              <w:t>5,303,243</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2520" w:type="dxa"/>
            <w:vAlign w:val="bottom"/>
          </w:tcPr>
          <w:p>
            <w:pPr>
              <w:spacing w:after="0"/>
              <w:rPr>
                <w:sz w:val="14"/>
                <w:szCs w:val="14"/>
                <w:color w:val="auto"/>
              </w:rPr>
            </w:pPr>
          </w:p>
        </w:tc>
        <w:tc>
          <w:tcPr>
            <w:tcW w:w="760" w:type="dxa"/>
            <w:vAlign w:val="bottom"/>
            <w:tcBorders>
              <w:bottom w:val="single" w:sz="8" w:color="D1DDE6"/>
            </w:tcBorders>
            <w:vMerge w:val="continue"/>
            <w:shd w:val="clear" w:color="auto" w:fill="D1DDE6"/>
          </w:tcPr>
          <w:p>
            <w:pPr>
              <w:spacing w:after="0"/>
              <w:rPr>
                <w:sz w:val="14"/>
                <w:szCs w:val="14"/>
                <w:color w:val="auto"/>
              </w:rPr>
            </w:pPr>
          </w:p>
        </w:tc>
        <w:tc>
          <w:tcPr>
            <w:tcW w:w="1140" w:type="dxa"/>
            <w:vAlign w:val="bottom"/>
            <w:tcBorders>
              <w:bottom w:val="single" w:sz="8" w:color="D1DDE6"/>
            </w:tcBorders>
            <w:vMerge w:val="continue"/>
            <w:shd w:val="clear" w:color="auto" w:fill="D1DDE6"/>
          </w:tcPr>
          <w:p>
            <w:pPr>
              <w:spacing w:after="0"/>
              <w:rPr>
                <w:sz w:val="14"/>
                <w:szCs w:val="14"/>
                <w:color w:val="auto"/>
              </w:rPr>
            </w:pPr>
          </w:p>
        </w:tc>
        <w:tc>
          <w:tcPr>
            <w:tcW w:w="1140" w:type="dxa"/>
            <w:vAlign w:val="bottom"/>
            <w:tcBorders>
              <w:bottom w:val="single" w:sz="8" w:color="D1DDE6"/>
            </w:tcBorders>
            <w:vMerge w:val="continue"/>
            <w:shd w:val="clear" w:color="auto" w:fill="D1DDE6"/>
          </w:tcPr>
          <w:p>
            <w:pPr>
              <w:spacing w:after="0"/>
              <w:rPr>
                <w:sz w:val="14"/>
                <w:szCs w:val="14"/>
                <w:color w:val="auto"/>
              </w:rPr>
            </w:pPr>
          </w:p>
        </w:tc>
        <w:tc>
          <w:tcPr>
            <w:tcW w:w="1500" w:type="dxa"/>
            <w:vAlign w:val="bottom"/>
            <w:tcBorders>
              <w:bottom w:val="single" w:sz="8" w:color="D1DDE6"/>
            </w:tcBorders>
            <w:vMerge w:val="continue"/>
            <w:shd w:val="clear" w:color="auto" w:fill="D1DDE6"/>
          </w:tcPr>
          <w:p>
            <w:pPr>
              <w:spacing w:after="0"/>
              <w:rPr>
                <w:sz w:val="14"/>
                <w:szCs w:val="14"/>
                <w:color w:val="auto"/>
              </w:rPr>
            </w:pPr>
          </w:p>
        </w:tc>
        <w:tc>
          <w:tcPr>
            <w:tcW w:w="1500" w:type="dxa"/>
            <w:vAlign w:val="bottom"/>
            <w:tcBorders>
              <w:bottom w:val="single" w:sz="8" w:color="D1DDE6"/>
            </w:tcBorders>
            <w:vMerge w:val="continue"/>
            <w:shd w:val="clear" w:color="auto" w:fill="D1DDE6"/>
          </w:tcPr>
          <w:p>
            <w:pPr>
              <w:spacing w:after="0"/>
              <w:rPr>
                <w:sz w:val="14"/>
                <w:szCs w:val="14"/>
                <w:color w:val="auto"/>
              </w:rPr>
            </w:pPr>
          </w:p>
        </w:tc>
        <w:tc>
          <w:tcPr>
            <w:tcW w:w="1580" w:type="dxa"/>
            <w:vAlign w:val="bottom"/>
            <w:tcBorders>
              <w:bottom w:val="single" w:sz="8" w:color="D1DDE6"/>
            </w:tcBorders>
            <w:vMerge w:val="continue"/>
            <w:shd w:val="clear" w:color="auto" w:fill="D1DDE6"/>
          </w:tcPr>
          <w:p>
            <w:pPr>
              <w:spacing w:after="0"/>
              <w:rPr>
                <w:sz w:val="14"/>
                <w:szCs w:val="14"/>
                <w:color w:val="auto"/>
              </w:rPr>
            </w:pPr>
          </w:p>
        </w:tc>
        <w:tc>
          <w:tcPr>
            <w:tcW w:w="1280" w:type="dxa"/>
            <w:vAlign w:val="bottom"/>
            <w:tcBorders>
              <w:bottom w:val="single" w:sz="8" w:color="D1DDE6"/>
            </w:tcBorders>
            <w:vMerge w:val="continue"/>
            <w:shd w:val="clear" w:color="auto" w:fill="D1DDE6"/>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2520" w:type="dxa"/>
            <w:vAlign w:val="bottom"/>
            <w:tcBorders>
              <w:top w:val="single" w:sz="8" w:color="34657F"/>
            </w:tcBorders>
          </w:tcPr>
          <w:p>
            <w:pPr>
              <w:ind w:left="20"/>
              <w:spacing w:after="0"/>
              <w:rPr>
                <w:sz w:val="20"/>
                <w:szCs w:val="20"/>
                <w:color w:val="auto"/>
              </w:rPr>
            </w:pPr>
            <w:r>
              <w:rPr>
                <w:rFonts w:ascii="Arial" w:cs="Arial" w:eastAsia="Arial" w:hAnsi="Arial"/>
                <w:sz w:val="14"/>
                <w:szCs w:val="14"/>
                <w:color w:val="auto"/>
              </w:rPr>
              <w:t>Mark A. Caylor (6)</w:t>
            </w:r>
          </w:p>
        </w:tc>
        <w:tc>
          <w:tcPr>
            <w:tcW w:w="760" w:type="dxa"/>
            <w:vAlign w:val="bottom"/>
            <w:tcBorders>
              <w:top w:val="single" w:sz="8" w:color="34657F"/>
            </w:tcBorders>
          </w:tcPr>
          <w:p>
            <w:pPr>
              <w:ind w:left="200"/>
              <w:spacing w:after="0"/>
              <w:rPr>
                <w:sz w:val="20"/>
                <w:szCs w:val="20"/>
                <w:color w:val="auto"/>
              </w:rPr>
            </w:pPr>
            <w:r>
              <w:rPr>
                <w:rFonts w:ascii="Arial" w:cs="Arial" w:eastAsia="Arial" w:hAnsi="Arial"/>
                <w:sz w:val="14"/>
                <w:szCs w:val="14"/>
                <w:color w:val="auto"/>
              </w:rPr>
              <w:t>2018</w:t>
            </w:r>
          </w:p>
        </w:tc>
        <w:tc>
          <w:tcPr>
            <w:tcW w:w="1140" w:type="dxa"/>
            <w:vAlign w:val="bottom"/>
            <w:tcBorders>
              <w:top w:val="single" w:sz="8" w:color="34657F"/>
            </w:tcBorders>
          </w:tcPr>
          <w:p>
            <w:pPr>
              <w:jc w:val="center"/>
              <w:spacing w:after="0"/>
              <w:rPr>
                <w:sz w:val="20"/>
                <w:szCs w:val="20"/>
                <w:color w:val="auto"/>
              </w:rPr>
            </w:pPr>
            <w:r>
              <w:rPr>
                <w:rFonts w:ascii="Arial" w:cs="Arial" w:eastAsia="Arial" w:hAnsi="Arial"/>
                <w:sz w:val="14"/>
                <w:szCs w:val="14"/>
                <w:color w:val="auto"/>
                <w:w w:val="98"/>
              </w:rPr>
              <w:t>790,577</w:t>
            </w:r>
          </w:p>
        </w:tc>
        <w:tc>
          <w:tcPr>
            <w:tcW w:w="1140" w:type="dxa"/>
            <w:vAlign w:val="bottom"/>
            <w:tcBorders>
              <w:top w:val="single" w:sz="8" w:color="34657F"/>
            </w:tcBorders>
          </w:tcPr>
          <w:p>
            <w:pPr>
              <w:jc w:val="center"/>
              <w:spacing w:after="0"/>
              <w:rPr>
                <w:sz w:val="20"/>
                <w:szCs w:val="20"/>
                <w:color w:val="auto"/>
              </w:rPr>
            </w:pPr>
            <w:r>
              <w:rPr>
                <w:rFonts w:ascii="Arial" w:cs="Arial" w:eastAsia="Arial" w:hAnsi="Arial"/>
                <w:sz w:val="14"/>
                <w:szCs w:val="14"/>
                <w:color w:val="auto"/>
                <w:w w:val="99"/>
              </w:rPr>
              <w:t>3,900,096</w:t>
            </w:r>
          </w:p>
        </w:tc>
        <w:tc>
          <w:tcPr>
            <w:tcW w:w="1500" w:type="dxa"/>
            <w:vAlign w:val="bottom"/>
            <w:tcBorders>
              <w:top w:val="single" w:sz="8" w:color="34657F"/>
            </w:tcBorders>
          </w:tcPr>
          <w:p>
            <w:pPr>
              <w:jc w:val="center"/>
              <w:spacing w:after="0"/>
              <w:rPr>
                <w:sz w:val="20"/>
                <w:szCs w:val="20"/>
                <w:color w:val="auto"/>
              </w:rPr>
            </w:pPr>
            <w:r>
              <w:rPr>
                <w:rFonts w:ascii="Arial" w:cs="Arial" w:eastAsia="Arial" w:hAnsi="Arial"/>
                <w:sz w:val="14"/>
                <w:szCs w:val="14"/>
                <w:color w:val="auto"/>
                <w:w w:val="99"/>
              </w:rPr>
              <w:t>1,328,000</w:t>
            </w:r>
          </w:p>
        </w:tc>
        <w:tc>
          <w:tcPr>
            <w:tcW w:w="1500" w:type="dxa"/>
            <w:vAlign w:val="bottom"/>
            <w:tcBorders>
              <w:top w:val="single" w:sz="8" w:color="34657F"/>
            </w:tcBorders>
          </w:tcPr>
          <w:p>
            <w:pPr>
              <w:jc w:val="center"/>
              <w:spacing w:after="0"/>
              <w:rPr>
                <w:sz w:val="20"/>
                <w:szCs w:val="20"/>
                <w:color w:val="auto"/>
              </w:rPr>
            </w:pPr>
            <w:r>
              <w:rPr>
                <w:rFonts w:ascii="Arial" w:cs="Arial" w:eastAsia="Arial" w:hAnsi="Arial"/>
                <w:sz w:val="14"/>
                <w:szCs w:val="14"/>
                <w:color w:val="auto"/>
                <w:w w:val="99"/>
              </w:rPr>
              <w:t>—</w:t>
            </w:r>
          </w:p>
        </w:tc>
        <w:tc>
          <w:tcPr>
            <w:tcW w:w="1580" w:type="dxa"/>
            <w:vAlign w:val="bottom"/>
            <w:tcBorders>
              <w:top w:val="single" w:sz="8" w:color="34657F"/>
            </w:tcBorders>
          </w:tcPr>
          <w:p>
            <w:pPr>
              <w:jc w:val="center"/>
              <w:ind w:right="52"/>
              <w:spacing w:after="0"/>
              <w:rPr>
                <w:sz w:val="20"/>
                <w:szCs w:val="20"/>
                <w:color w:val="auto"/>
              </w:rPr>
            </w:pPr>
            <w:r>
              <w:rPr>
                <w:rFonts w:ascii="Arial" w:cs="Arial" w:eastAsia="Arial" w:hAnsi="Arial"/>
                <w:sz w:val="14"/>
                <w:szCs w:val="14"/>
                <w:color w:val="auto"/>
                <w:w w:val="98"/>
              </w:rPr>
              <w:t>127,017</w:t>
            </w:r>
          </w:p>
        </w:tc>
        <w:tc>
          <w:tcPr>
            <w:tcW w:w="1280" w:type="dxa"/>
            <w:vAlign w:val="bottom"/>
            <w:tcBorders>
              <w:top w:val="single" w:sz="8" w:color="34657F"/>
            </w:tcBorders>
          </w:tcPr>
          <w:p>
            <w:pPr>
              <w:jc w:val="center"/>
              <w:ind w:right="12"/>
              <w:spacing w:after="0"/>
              <w:rPr>
                <w:sz w:val="20"/>
                <w:szCs w:val="20"/>
                <w:color w:val="auto"/>
              </w:rPr>
            </w:pPr>
            <w:r>
              <w:rPr>
                <w:rFonts w:ascii="Arial" w:cs="Arial" w:eastAsia="Arial" w:hAnsi="Arial"/>
                <w:sz w:val="14"/>
                <w:szCs w:val="14"/>
                <w:color w:val="auto"/>
                <w:w w:val="96"/>
              </w:rPr>
              <w:t>6,145,690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
        </w:trPr>
        <w:tc>
          <w:tcPr>
            <w:tcW w:w="2520" w:type="dxa"/>
            <w:vAlign w:val="bottom"/>
            <w:vMerge w:val="restart"/>
          </w:tcPr>
          <w:p>
            <w:pPr>
              <w:ind w:left="180"/>
              <w:spacing w:after="0"/>
              <w:rPr>
                <w:sz w:val="20"/>
                <w:szCs w:val="20"/>
                <w:color w:val="auto"/>
              </w:rPr>
            </w:pPr>
            <w:r>
              <w:rPr>
                <w:rFonts w:ascii="Arial" w:cs="Arial" w:eastAsia="Arial" w:hAnsi="Arial"/>
                <w:sz w:val="14"/>
                <w:szCs w:val="14"/>
                <w:color w:val="auto"/>
              </w:rPr>
              <w:t>Corporate Vice President and</w:t>
            </w:r>
          </w:p>
        </w:tc>
        <w:tc>
          <w:tcPr>
            <w:tcW w:w="7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5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4"/>
        </w:trPr>
        <w:tc>
          <w:tcPr>
            <w:tcW w:w="2520" w:type="dxa"/>
            <w:vAlign w:val="bottom"/>
            <w:vMerge w:val="continue"/>
          </w:tcPr>
          <w:p>
            <w:pPr>
              <w:spacing w:after="0"/>
              <w:rPr>
                <w:sz w:val="16"/>
                <w:szCs w:val="16"/>
                <w:color w:val="auto"/>
              </w:rPr>
            </w:pPr>
          </w:p>
        </w:tc>
        <w:tc>
          <w:tcPr>
            <w:tcW w:w="760" w:type="dxa"/>
            <w:vAlign w:val="bottom"/>
            <w:shd w:val="clear" w:color="auto" w:fill="D1DDE6"/>
          </w:tcPr>
          <w:p>
            <w:pPr>
              <w:spacing w:after="0"/>
              <w:rPr>
                <w:sz w:val="16"/>
                <w:szCs w:val="16"/>
                <w:color w:val="auto"/>
              </w:rPr>
            </w:pPr>
          </w:p>
        </w:tc>
        <w:tc>
          <w:tcPr>
            <w:tcW w:w="1140" w:type="dxa"/>
            <w:vAlign w:val="bottom"/>
            <w:shd w:val="clear" w:color="auto" w:fill="D1DDE6"/>
          </w:tcPr>
          <w:p>
            <w:pPr>
              <w:spacing w:after="0"/>
              <w:rPr>
                <w:sz w:val="16"/>
                <w:szCs w:val="16"/>
                <w:color w:val="auto"/>
              </w:rPr>
            </w:pPr>
          </w:p>
        </w:tc>
        <w:tc>
          <w:tcPr>
            <w:tcW w:w="1140" w:type="dxa"/>
            <w:vAlign w:val="bottom"/>
            <w:shd w:val="clear" w:color="auto" w:fill="D1DDE6"/>
          </w:tcPr>
          <w:p>
            <w:pPr>
              <w:spacing w:after="0"/>
              <w:rPr>
                <w:sz w:val="16"/>
                <w:szCs w:val="16"/>
                <w:color w:val="auto"/>
              </w:rPr>
            </w:pPr>
          </w:p>
        </w:tc>
        <w:tc>
          <w:tcPr>
            <w:tcW w:w="1500" w:type="dxa"/>
            <w:vAlign w:val="bottom"/>
            <w:shd w:val="clear" w:color="auto" w:fill="D1DDE6"/>
          </w:tcPr>
          <w:p>
            <w:pPr>
              <w:spacing w:after="0"/>
              <w:rPr>
                <w:sz w:val="16"/>
                <w:szCs w:val="16"/>
                <w:color w:val="auto"/>
              </w:rPr>
            </w:pPr>
          </w:p>
        </w:tc>
        <w:tc>
          <w:tcPr>
            <w:tcW w:w="1500" w:type="dxa"/>
            <w:vAlign w:val="bottom"/>
            <w:shd w:val="clear" w:color="auto" w:fill="D1DDE6"/>
          </w:tcPr>
          <w:p>
            <w:pPr>
              <w:spacing w:after="0"/>
              <w:rPr>
                <w:sz w:val="16"/>
                <w:szCs w:val="16"/>
                <w:color w:val="auto"/>
              </w:rPr>
            </w:pPr>
          </w:p>
        </w:tc>
        <w:tc>
          <w:tcPr>
            <w:tcW w:w="1580" w:type="dxa"/>
            <w:vAlign w:val="bottom"/>
            <w:shd w:val="clear" w:color="auto" w:fill="D1DDE6"/>
          </w:tcPr>
          <w:p>
            <w:pPr>
              <w:spacing w:after="0"/>
              <w:rPr>
                <w:sz w:val="16"/>
                <w:szCs w:val="16"/>
                <w:color w:val="auto"/>
              </w:rPr>
            </w:pPr>
          </w:p>
        </w:tc>
        <w:tc>
          <w:tcPr>
            <w:tcW w:w="1280" w:type="dxa"/>
            <w:vAlign w:val="bottom"/>
            <w:shd w:val="clear" w:color="auto" w:fill="D1DDE6"/>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2"/>
        </w:trPr>
        <w:tc>
          <w:tcPr>
            <w:tcW w:w="2520" w:type="dxa"/>
            <w:vAlign w:val="bottom"/>
            <w:vMerge w:val="restart"/>
          </w:tcPr>
          <w:p>
            <w:pPr>
              <w:ind w:left="180"/>
              <w:spacing w:after="0"/>
              <w:rPr>
                <w:sz w:val="20"/>
                <w:szCs w:val="20"/>
                <w:color w:val="auto"/>
              </w:rPr>
            </w:pPr>
            <w:r>
              <w:rPr>
                <w:rFonts w:ascii="Arial" w:cs="Arial" w:eastAsia="Arial" w:hAnsi="Arial"/>
                <w:sz w:val="14"/>
                <w:szCs w:val="14"/>
                <w:color w:val="auto"/>
              </w:rPr>
              <w:t>President, Mission Systems</w:t>
            </w:r>
          </w:p>
        </w:tc>
        <w:tc>
          <w:tcPr>
            <w:tcW w:w="760" w:type="dxa"/>
            <w:vAlign w:val="bottom"/>
            <w:shd w:val="clear" w:color="auto" w:fill="D1DDE6"/>
          </w:tcPr>
          <w:p>
            <w:pPr>
              <w:spacing w:after="0"/>
              <w:rPr>
                <w:sz w:val="6"/>
                <w:szCs w:val="6"/>
                <w:color w:val="auto"/>
              </w:rPr>
            </w:pPr>
          </w:p>
        </w:tc>
        <w:tc>
          <w:tcPr>
            <w:tcW w:w="1140" w:type="dxa"/>
            <w:vAlign w:val="bottom"/>
            <w:shd w:val="clear" w:color="auto" w:fill="D1DDE6"/>
          </w:tcPr>
          <w:p>
            <w:pPr>
              <w:spacing w:after="0"/>
              <w:rPr>
                <w:sz w:val="6"/>
                <w:szCs w:val="6"/>
                <w:color w:val="auto"/>
              </w:rPr>
            </w:pPr>
          </w:p>
        </w:tc>
        <w:tc>
          <w:tcPr>
            <w:tcW w:w="1140" w:type="dxa"/>
            <w:vAlign w:val="bottom"/>
            <w:shd w:val="clear" w:color="auto" w:fill="D1DDE6"/>
          </w:tcPr>
          <w:p>
            <w:pPr>
              <w:spacing w:after="0"/>
              <w:rPr>
                <w:sz w:val="6"/>
                <w:szCs w:val="6"/>
                <w:color w:val="auto"/>
              </w:rPr>
            </w:pPr>
          </w:p>
        </w:tc>
        <w:tc>
          <w:tcPr>
            <w:tcW w:w="1500" w:type="dxa"/>
            <w:vAlign w:val="bottom"/>
            <w:shd w:val="clear" w:color="auto" w:fill="D1DDE6"/>
          </w:tcPr>
          <w:p>
            <w:pPr>
              <w:spacing w:after="0"/>
              <w:rPr>
                <w:sz w:val="6"/>
                <w:szCs w:val="6"/>
                <w:color w:val="auto"/>
              </w:rPr>
            </w:pPr>
          </w:p>
        </w:tc>
        <w:tc>
          <w:tcPr>
            <w:tcW w:w="1500" w:type="dxa"/>
            <w:vAlign w:val="bottom"/>
            <w:shd w:val="clear" w:color="auto" w:fill="D1DDE6"/>
          </w:tcPr>
          <w:p>
            <w:pPr>
              <w:spacing w:after="0"/>
              <w:rPr>
                <w:sz w:val="6"/>
                <w:szCs w:val="6"/>
                <w:color w:val="auto"/>
              </w:rPr>
            </w:pPr>
          </w:p>
        </w:tc>
        <w:tc>
          <w:tcPr>
            <w:tcW w:w="1580" w:type="dxa"/>
            <w:vAlign w:val="bottom"/>
            <w:shd w:val="clear" w:color="auto" w:fill="D1DDE6"/>
          </w:tcPr>
          <w:p>
            <w:pPr>
              <w:spacing w:after="0"/>
              <w:rPr>
                <w:sz w:val="6"/>
                <w:szCs w:val="6"/>
                <w:color w:val="auto"/>
              </w:rPr>
            </w:pPr>
          </w:p>
        </w:tc>
        <w:tc>
          <w:tcPr>
            <w:tcW w:w="1280" w:type="dxa"/>
            <w:vAlign w:val="bottom"/>
            <w:shd w:val="clear" w:color="auto" w:fill="D1DDE6"/>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1"/>
        </w:trPr>
        <w:tc>
          <w:tcPr>
            <w:tcW w:w="252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500" w:type="dxa"/>
            <w:vAlign w:val="bottom"/>
          </w:tcPr>
          <w:p>
            <w:pPr>
              <w:spacing w:after="0"/>
              <w:rPr>
                <w:sz w:val="7"/>
                <w:szCs w:val="7"/>
                <w:color w:val="auto"/>
              </w:rPr>
            </w:pPr>
          </w:p>
        </w:tc>
        <w:tc>
          <w:tcPr>
            <w:tcW w:w="15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12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8"/>
        </w:trPr>
        <w:tc>
          <w:tcPr>
            <w:tcW w:w="2520" w:type="dxa"/>
            <w:vAlign w:val="bottom"/>
            <w:tcBorders>
              <w:bottom w:val="single" w:sz="8" w:color="34657F"/>
            </w:tcBorders>
          </w:tcPr>
          <w:p>
            <w:pPr>
              <w:spacing w:after="0"/>
              <w:rPr>
                <w:sz w:val="15"/>
                <w:szCs w:val="15"/>
                <w:color w:val="auto"/>
              </w:rPr>
            </w:pPr>
          </w:p>
        </w:tc>
        <w:tc>
          <w:tcPr>
            <w:tcW w:w="760" w:type="dxa"/>
            <w:vAlign w:val="bottom"/>
            <w:tcBorders>
              <w:bottom w:val="single" w:sz="8" w:color="34657F"/>
            </w:tcBorders>
          </w:tcPr>
          <w:p>
            <w:pPr>
              <w:spacing w:after="0"/>
              <w:rPr>
                <w:sz w:val="15"/>
                <w:szCs w:val="15"/>
                <w:color w:val="auto"/>
              </w:rPr>
            </w:pPr>
          </w:p>
        </w:tc>
        <w:tc>
          <w:tcPr>
            <w:tcW w:w="1140" w:type="dxa"/>
            <w:vAlign w:val="bottom"/>
            <w:tcBorders>
              <w:bottom w:val="single" w:sz="8" w:color="34657F"/>
            </w:tcBorders>
          </w:tcPr>
          <w:p>
            <w:pPr>
              <w:spacing w:after="0"/>
              <w:rPr>
                <w:sz w:val="15"/>
                <w:szCs w:val="15"/>
                <w:color w:val="auto"/>
              </w:rPr>
            </w:pPr>
          </w:p>
        </w:tc>
        <w:tc>
          <w:tcPr>
            <w:tcW w:w="1140" w:type="dxa"/>
            <w:vAlign w:val="bottom"/>
            <w:tcBorders>
              <w:bottom w:val="single" w:sz="8" w:color="34657F"/>
            </w:tcBorders>
          </w:tcPr>
          <w:p>
            <w:pPr>
              <w:spacing w:after="0"/>
              <w:rPr>
                <w:sz w:val="15"/>
                <w:szCs w:val="15"/>
                <w:color w:val="auto"/>
              </w:rPr>
            </w:pPr>
          </w:p>
        </w:tc>
        <w:tc>
          <w:tcPr>
            <w:tcW w:w="1500" w:type="dxa"/>
            <w:vAlign w:val="bottom"/>
            <w:tcBorders>
              <w:bottom w:val="single" w:sz="8" w:color="34657F"/>
            </w:tcBorders>
          </w:tcPr>
          <w:p>
            <w:pPr>
              <w:spacing w:after="0"/>
              <w:rPr>
                <w:sz w:val="15"/>
                <w:szCs w:val="15"/>
                <w:color w:val="auto"/>
              </w:rPr>
            </w:pPr>
          </w:p>
        </w:tc>
        <w:tc>
          <w:tcPr>
            <w:tcW w:w="1500" w:type="dxa"/>
            <w:vAlign w:val="bottom"/>
            <w:tcBorders>
              <w:bottom w:val="single" w:sz="8" w:color="34657F"/>
            </w:tcBorders>
          </w:tcPr>
          <w:p>
            <w:pPr>
              <w:spacing w:after="0"/>
              <w:rPr>
                <w:sz w:val="15"/>
                <w:szCs w:val="15"/>
                <w:color w:val="auto"/>
              </w:rPr>
            </w:pPr>
          </w:p>
        </w:tc>
        <w:tc>
          <w:tcPr>
            <w:tcW w:w="1580" w:type="dxa"/>
            <w:vAlign w:val="bottom"/>
            <w:tcBorders>
              <w:bottom w:val="single" w:sz="8" w:color="34657F"/>
            </w:tcBorders>
          </w:tcPr>
          <w:p>
            <w:pPr>
              <w:spacing w:after="0"/>
              <w:rPr>
                <w:sz w:val="15"/>
                <w:szCs w:val="15"/>
                <w:color w:val="auto"/>
              </w:rPr>
            </w:pPr>
          </w:p>
        </w:tc>
        <w:tc>
          <w:tcPr>
            <w:tcW w:w="1280" w:type="dxa"/>
            <w:vAlign w:val="bottom"/>
            <w:tcBorders>
              <w:bottom w:val="single" w:sz="8" w:color="34657F"/>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520" w:type="dxa"/>
            <w:vAlign w:val="bottom"/>
          </w:tcPr>
          <w:p>
            <w:pPr>
              <w:ind w:left="20"/>
              <w:spacing w:after="0"/>
              <w:rPr>
                <w:sz w:val="20"/>
                <w:szCs w:val="20"/>
                <w:color w:val="auto"/>
              </w:rPr>
            </w:pPr>
            <w:r>
              <w:rPr>
                <w:rFonts w:ascii="Arial" w:cs="Arial" w:eastAsia="Arial" w:hAnsi="Arial"/>
                <w:sz w:val="14"/>
                <w:szCs w:val="14"/>
                <w:color w:val="auto"/>
              </w:rPr>
              <w:t>Blake E. Larson (6)</w:t>
            </w:r>
          </w:p>
        </w:tc>
        <w:tc>
          <w:tcPr>
            <w:tcW w:w="760" w:type="dxa"/>
            <w:vAlign w:val="bottom"/>
            <w:tcBorders>
              <w:bottom w:val="single" w:sz="8" w:color="D1DDE6"/>
            </w:tcBorders>
            <w:shd w:val="clear" w:color="auto" w:fill="D1DDE6"/>
          </w:tcPr>
          <w:p>
            <w:pPr>
              <w:ind w:left="200"/>
              <w:spacing w:after="0"/>
              <w:rPr>
                <w:sz w:val="20"/>
                <w:szCs w:val="20"/>
                <w:color w:val="auto"/>
              </w:rPr>
            </w:pPr>
            <w:r>
              <w:rPr>
                <w:rFonts w:ascii="Arial" w:cs="Arial" w:eastAsia="Arial" w:hAnsi="Arial"/>
                <w:sz w:val="14"/>
                <w:szCs w:val="14"/>
                <w:color w:val="auto"/>
              </w:rPr>
              <w:t>2018</w:t>
            </w:r>
          </w:p>
        </w:tc>
        <w:tc>
          <w:tcPr>
            <w:tcW w:w="1140" w:type="dxa"/>
            <w:vAlign w:val="bottom"/>
            <w:tcBorders>
              <w:bottom w:val="single" w:sz="8" w:color="D1DDE6"/>
            </w:tcBorders>
            <w:shd w:val="clear" w:color="auto" w:fill="D1DDE6"/>
          </w:tcPr>
          <w:p>
            <w:pPr>
              <w:jc w:val="center"/>
              <w:spacing w:after="0"/>
              <w:rPr>
                <w:sz w:val="20"/>
                <w:szCs w:val="20"/>
                <w:color w:val="auto"/>
              </w:rPr>
            </w:pPr>
            <w:r>
              <w:rPr>
                <w:rFonts w:ascii="Arial" w:cs="Arial" w:eastAsia="Arial" w:hAnsi="Arial"/>
                <w:sz w:val="14"/>
                <w:szCs w:val="14"/>
                <w:color w:val="auto"/>
                <w:w w:val="98"/>
              </w:rPr>
              <w:t>426,216</w:t>
            </w:r>
          </w:p>
        </w:tc>
        <w:tc>
          <w:tcPr>
            <w:tcW w:w="1140" w:type="dxa"/>
            <w:vAlign w:val="bottom"/>
            <w:tcBorders>
              <w:bottom w:val="single" w:sz="8" w:color="D1DDE6"/>
            </w:tcBorders>
            <w:shd w:val="clear" w:color="auto" w:fill="D1DDE6"/>
          </w:tcPr>
          <w:p>
            <w:pPr>
              <w:jc w:val="center"/>
              <w:spacing w:after="0"/>
              <w:rPr>
                <w:sz w:val="20"/>
                <w:szCs w:val="20"/>
                <w:color w:val="auto"/>
              </w:rPr>
            </w:pPr>
            <w:r>
              <w:rPr>
                <w:rFonts w:ascii="Arial" w:cs="Arial" w:eastAsia="Arial" w:hAnsi="Arial"/>
                <w:sz w:val="14"/>
                <w:szCs w:val="14"/>
                <w:color w:val="auto"/>
                <w:w w:val="99"/>
              </w:rPr>
              <w:t>6,499,923</w:t>
            </w:r>
          </w:p>
        </w:tc>
        <w:tc>
          <w:tcPr>
            <w:tcW w:w="1500" w:type="dxa"/>
            <w:vAlign w:val="bottom"/>
            <w:tcBorders>
              <w:bottom w:val="single" w:sz="8" w:color="D1DDE6"/>
            </w:tcBorders>
            <w:shd w:val="clear" w:color="auto" w:fill="D1DDE6"/>
          </w:tcPr>
          <w:p>
            <w:pPr>
              <w:jc w:val="center"/>
              <w:spacing w:after="0"/>
              <w:rPr>
                <w:sz w:val="20"/>
                <w:szCs w:val="20"/>
                <w:color w:val="auto"/>
              </w:rPr>
            </w:pPr>
            <w:r>
              <w:rPr>
                <w:rFonts w:ascii="Arial" w:cs="Arial" w:eastAsia="Arial" w:hAnsi="Arial"/>
                <w:sz w:val="14"/>
                <w:szCs w:val="14"/>
                <w:color w:val="auto"/>
                <w:w w:val="99"/>
              </w:rPr>
              <w:t>1,127,000</w:t>
            </w:r>
          </w:p>
        </w:tc>
        <w:tc>
          <w:tcPr>
            <w:tcW w:w="1500" w:type="dxa"/>
            <w:vAlign w:val="bottom"/>
            <w:tcBorders>
              <w:bottom w:val="single" w:sz="8" w:color="D1DDE6"/>
            </w:tcBorders>
            <w:shd w:val="clear" w:color="auto" w:fill="D1DDE6"/>
          </w:tcPr>
          <w:p>
            <w:pPr>
              <w:jc w:val="center"/>
              <w:spacing w:after="0"/>
              <w:rPr>
                <w:sz w:val="20"/>
                <w:szCs w:val="20"/>
                <w:color w:val="auto"/>
              </w:rPr>
            </w:pPr>
            <w:r>
              <w:rPr>
                <w:rFonts w:ascii="Arial" w:cs="Arial" w:eastAsia="Arial" w:hAnsi="Arial"/>
                <w:sz w:val="14"/>
                <w:szCs w:val="14"/>
                <w:color w:val="auto"/>
                <w:w w:val="96"/>
              </w:rPr>
              <w:t>5,297</w:t>
            </w:r>
          </w:p>
        </w:tc>
        <w:tc>
          <w:tcPr>
            <w:tcW w:w="1580" w:type="dxa"/>
            <w:vAlign w:val="bottom"/>
            <w:tcBorders>
              <w:bottom w:val="single" w:sz="8" w:color="D1DDE6"/>
            </w:tcBorders>
            <w:shd w:val="clear" w:color="auto" w:fill="D1DDE6"/>
          </w:tcPr>
          <w:p>
            <w:pPr>
              <w:jc w:val="center"/>
              <w:ind w:right="52"/>
              <w:spacing w:after="0"/>
              <w:rPr>
                <w:sz w:val="20"/>
                <w:szCs w:val="20"/>
                <w:color w:val="auto"/>
              </w:rPr>
            </w:pPr>
            <w:r>
              <w:rPr>
                <w:rFonts w:ascii="Arial" w:cs="Arial" w:eastAsia="Arial" w:hAnsi="Arial"/>
                <w:sz w:val="14"/>
                <w:szCs w:val="14"/>
                <w:color w:val="auto"/>
                <w:w w:val="97"/>
              </w:rPr>
              <w:t>35,717</w:t>
            </w:r>
          </w:p>
        </w:tc>
        <w:tc>
          <w:tcPr>
            <w:tcW w:w="1280" w:type="dxa"/>
            <w:vAlign w:val="bottom"/>
            <w:tcBorders>
              <w:bottom w:val="single" w:sz="8" w:color="D1DDE6"/>
            </w:tcBorders>
            <w:shd w:val="clear" w:color="auto" w:fill="D1DDE6"/>
          </w:tcPr>
          <w:p>
            <w:pPr>
              <w:jc w:val="center"/>
              <w:ind w:right="12"/>
              <w:spacing w:after="0"/>
              <w:rPr>
                <w:sz w:val="20"/>
                <w:szCs w:val="20"/>
                <w:color w:val="auto"/>
              </w:rPr>
            </w:pPr>
            <w:r>
              <w:rPr>
                <w:rFonts w:ascii="Arial" w:cs="Arial" w:eastAsia="Arial" w:hAnsi="Arial"/>
                <w:sz w:val="14"/>
                <w:szCs w:val="14"/>
                <w:color w:val="auto"/>
                <w:w w:val="96"/>
              </w:rPr>
              <w:t>8,094,153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2520" w:type="dxa"/>
            <w:vAlign w:val="bottom"/>
          </w:tcPr>
          <w:p>
            <w:pPr>
              <w:ind w:left="180"/>
              <w:spacing w:after="0"/>
              <w:rPr>
                <w:sz w:val="20"/>
                <w:szCs w:val="20"/>
                <w:color w:val="auto"/>
              </w:rPr>
            </w:pPr>
            <w:r>
              <w:rPr>
                <w:rFonts w:ascii="Arial" w:cs="Arial" w:eastAsia="Arial" w:hAnsi="Arial"/>
                <w:sz w:val="14"/>
                <w:szCs w:val="14"/>
                <w:color w:val="auto"/>
              </w:rPr>
              <w:t>Corporate Vice President and</w:t>
            </w:r>
          </w:p>
        </w:tc>
        <w:tc>
          <w:tcPr>
            <w:tcW w:w="7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2"/>
        </w:trPr>
        <w:tc>
          <w:tcPr>
            <w:tcW w:w="2520" w:type="dxa"/>
            <w:vAlign w:val="bottom"/>
            <w:vMerge w:val="restart"/>
          </w:tcPr>
          <w:p>
            <w:pPr>
              <w:ind w:left="180"/>
              <w:spacing w:after="0"/>
              <w:rPr>
                <w:sz w:val="20"/>
                <w:szCs w:val="20"/>
                <w:color w:val="auto"/>
              </w:rPr>
            </w:pPr>
            <w:r>
              <w:rPr>
                <w:rFonts w:ascii="Arial" w:cs="Arial" w:eastAsia="Arial" w:hAnsi="Arial"/>
                <w:sz w:val="14"/>
                <w:szCs w:val="14"/>
                <w:color w:val="auto"/>
              </w:rPr>
              <w:t>President, Innovation Systems</w:t>
            </w:r>
          </w:p>
        </w:tc>
        <w:tc>
          <w:tcPr>
            <w:tcW w:w="7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500" w:type="dxa"/>
            <w:vAlign w:val="bottom"/>
          </w:tcPr>
          <w:p>
            <w:pPr>
              <w:spacing w:after="0"/>
              <w:rPr>
                <w:sz w:val="6"/>
                <w:szCs w:val="6"/>
                <w:color w:val="auto"/>
              </w:rPr>
            </w:pPr>
          </w:p>
        </w:tc>
        <w:tc>
          <w:tcPr>
            <w:tcW w:w="1500" w:type="dxa"/>
            <w:vAlign w:val="bottom"/>
          </w:tcPr>
          <w:p>
            <w:pPr>
              <w:spacing w:after="0"/>
              <w:rPr>
                <w:sz w:val="6"/>
                <w:szCs w:val="6"/>
                <w:color w:val="auto"/>
              </w:rPr>
            </w:pPr>
          </w:p>
        </w:tc>
        <w:tc>
          <w:tcPr>
            <w:tcW w:w="1580" w:type="dxa"/>
            <w:vAlign w:val="bottom"/>
          </w:tcPr>
          <w:p>
            <w:pPr>
              <w:spacing w:after="0"/>
              <w:rPr>
                <w:sz w:val="6"/>
                <w:szCs w:val="6"/>
                <w:color w:val="auto"/>
              </w:rPr>
            </w:pPr>
          </w:p>
        </w:tc>
        <w:tc>
          <w:tcPr>
            <w:tcW w:w="12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1"/>
        </w:trPr>
        <w:tc>
          <w:tcPr>
            <w:tcW w:w="2520" w:type="dxa"/>
            <w:vAlign w:val="bottom"/>
            <w:vMerge w:val="continue"/>
          </w:tcPr>
          <w:p>
            <w:pPr>
              <w:spacing w:after="0"/>
              <w:rPr>
                <w:sz w:val="7"/>
                <w:szCs w:val="7"/>
                <w:color w:val="auto"/>
              </w:rPr>
            </w:pPr>
          </w:p>
        </w:tc>
        <w:tc>
          <w:tcPr>
            <w:tcW w:w="760" w:type="dxa"/>
            <w:vAlign w:val="bottom"/>
            <w:shd w:val="clear" w:color="auto" w:fill="D1DDE6"/>
          </w:tcPr>
          <w:p>
            <w:pPr>
              <w:spacing w:after="0"/>
              <w:rPr>
                <w:sz w:val="7"/>
                <w:szCs w:val="7"/>
                <w:color w:val="auto"/>
              </w:rPr>
            </w:pPr>
          </w:p>
        </w:tc>
        <w:tc>
          <w:tcPr>
            <w:tcW w:w="1140" w:type="dxa"/>
            <w:vAlign w:val="bottom"/>
            <w:shd w:val="clear" w:color="auto" w:fill="D1DDE6"/>
          </w:tcPr>
          <w:p>
            <w:pPr>
              <w:spacing w:after="0"/>
              <w:rPr>
                <w:sz w:val="7"/>
                <w:szCs w:val="7"/>
                <w:color w:val="auto"/>
              </w:rPr>
            </w:pPr>
          </w:p>
        </w:tc>
        <w:tc>
          <w:tcPr>
            <w:tcW w:w="1140" w:type="dxa"/>
            <w:vAlign w:val="bottom"/>
            <w:shd w:val="clear" w:color="auto" w:fill="D1DDE6"/>
          </w:tcPr>
          <w:p>
            <w:pPr>
              <w:spacing w:after="0"/>
              <w:rPr>
                <w:sz w:val="7"/>
                <w:szCs w:val="7"/>
                <w:color w:val="auto"/>
              </w:rPr>
            </w:pPr>
          </w:p>
        </w:tc>
        <w:tc>
          <w:tcPr>
            <w:tcW w:w="1500" w:type="dxa"/>
            <w:vAlign w:val="bottom"/>
            <w:shd w:val="clear" w:color="auto" w:fill="D1DDE6"/>
          </w:tcPr>
          <w:p>
            <w:pPr>
              <w:spacing w:after="0"/>
              <w:rPr>
                <w:sz w:val="7"/>
                <w:szCs w:val="7"/>
                <w:color w:val="auto"/>
              </w:rPr>
            </w:pPr>
          </w:p>
        </w:tc>
        <w:tc>
          <w:tcPr>
            <w:tcW w:w="1500" w:type="dxa"/>
            <w:vAlign w:val="bottom"/>
            <w:shd w:val="clear" w:color="auto" w:fill="D1DDE6"/>
          </w:tcPr>
          <w:p>
            <w:pPr>
              <w:spacing w:after="0"/>
              <w:rPr>
                <w:sz w:val="7"/>
                <w:szCs w:val="7"/>
                <w:color w:val="auto"/>
              </w:rPr>
            </w:pPr>
          </w:p>
        </w:tc>
        <w:tc>
          <w:tcPr>
            <w:tcW w:w="1580" w:type="dxa"/>
            <w:vAlign w:val="bottom"/>
            <w:shd w:val="clear" w:color="auto" w:fill="D1DDE6"/>
          </w:tcPr>
          <w:p>
            <w:pPr>
              <w:spacing w:after="0"/>
              <w:rPr>
                <w:sz w:val="7"/>
                <w:szCs w:val="7"/>
                <w:color w:val="auto"/>
              </w:rPr>
            </w:pPr>
          </w:p>
        </w:tc>
        <w:tc>
          <w:tcPr>
            <w:tcW w:w="1280" w:type="dxa"/>
            <w:vAlign w:val="bottom"/>
            <w:shd w:val="clear" w:color="auto" w:fill="D1DDE6"/>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2520" w:type="dxa"/>
            <w:vAlign w:val="bottom"/>
            <w:tcBorders>
              <w:bottom w:val="single" w:sz="8" w:color="34657F"/>
            </w:tcBorders>
          </w:tcPr>
          <w:p>
            <w:pPr>
              <w:spacing w:after="0"/>
              <w:rPr>
                <w:sz w:val="14"/>
                <w:szCs w:val="14"/>
                <w:color w:val="auto"/>
              </w:rPr>
            </w:pPr>
          </w:p>
        </w:tc>
        <w:tc>
          <w:tcPr>
            <w:tcW w:w="760" w:type="dxa"/>
            <w:vAlign w:val="bottom"/>
            <w:tcBorders>
              <w:bottom w:val="single" w:sz="8" w:color="34657F"/>
            </w:tcBorders>
            <w:shd w:val="clear" w:color="auto" w:fill="D1DDE6"/>
          </w:tcPr>
          <w:p>
            <w:pPr>
              <w:spacing w:after="0"/>
              <w:rPr>
                <w:sz w:val="14"/>
                <w:szCs w:val="14"/>
                <w:color w:val="auto"/>
              </w:rPr>
            </w:pPr>
          </w:p>
        </w:tc>
        <w:tc>
          <w:tcPr>
            <w:tcW w:w="1140" w:type="dxa"/>
            <w:vAlign w:val="bottom"/>
            <w:tcBorders>
              <w:bottom w:val="single" w:sz="8" w:color="34657F"/>
            </w:tcBorders>
            <w:shd w:val="clear" w:color="auto" w:fill="D1DDE6"/>
          </w:tcPr>
          <w:p>
            <w:pPr>
              <w:spacing w:after="0"/>
              <w:rPr>
                <w:sz w:val="14"/>
                <w:szCs w:val="14"/>
                <w:color w:val="auto"/>
              </w:rPr>
            </w:pPr>
          </w:p>
        </w:tc>
        <w:tc>
          <w:tcPr>
            <w:tcW w:w="1140" w:type="dxa"/>
            <w:vAlign w:val="bottom"/>
            <w:tcBorders>
              <w:bottom w:val="single" w:sz="8" w:color="34657F"/>
            </w:tcBorders>
            <w:shd w:val="clear" w:color="auto" w:fill="D1DDE6"/>
          </w:tcPr>
          <w:p>
            <w:pPr>
              <w:spacing w:after="0"/>
              <w:rPr>
                <w:sz w:val="14"/>
                <w:szCs w:val="14"/>
                <w:color w:val="auto"/>
              </w:rPr>
            </w:pPr>
          </w:p>
        </w:tc>
        <w:tc>
          <w:tcPr>
            <w:tcW w:w="1500" w:type="dxa"/>
            <w:vAlign w:val="bottom"/>
            <w:tcBorders>
              <w:bottom w:val="single" w:sz="8" w:color="34657F"/>
            </w:tcBorders>
            <w:shd w:val="clear" w:color="auto" w:fill="D1DDE6"/>
          </w:tcPr>
          <w:p>
            <w:pPr>
              <w:spacing w:after="0"/>
              <w:rPr>
                <w:sz w:val="14"/>
                <w:szCs w:val="14"/>
                <w:color w:val="auto"/>
              </w:rPr>
            </w:pPr>
          </w:p>
        </w:tc>
        <w:tc>
          <w:tcPr>
            <w:tcW w:w="1500" w:type="dxa"/>
            <w:vAlign w:val="bottom"/>
            <w:tcBorders>
              <w:bottom w:val="single" w:sz="8" w:color="34657F"/>
            </w:tcBorders>
            <w:shd w:val="clear" w:color="auto" w:fill="D1DDE6"/>
          </w:tcPr>
          <w:p>
            <w:pPr>
              <w:spacing w:after="0"/>
              <w:rPr>
                <w:sz w:val="14"/>
                <w:szCs w:val="14"/>
                <w:color w:val="auto"/>
              </w:rPr>
            </w:pPr>
          </w:p>
        </w:tc>
        <w:tc>
          <w:tcPr>
            <w:tcW w:w="1580" w:type="dxa"/>
            <w:vAlign w:val="bottom"/>
            <w:tcBorders>
              <w:bottom w:val="single" w:sz="8" w:color="34657F"/>
            </w:tcBorders>
            <w:shd w:val="clear" w:color="auto" w:fill="D1DDE6"/>
          </w:tcPr>
          <w:p>
            <w:pPr>
              <w:spacing w:after="0"/>
              <w:rPr>
                <w:sz w:val="14"/>
                <w:szCs w:val="14"/>
                <w:color w:val="auto"/>
              </w:rPr>
            </w:pPr>
          </w:p>
        </w:tc>
        <w:tc>
          <w:tcPr>
            <w:tcW w:w="1280" w:type="dxa"/>
            <w:vAlign w:val="bottom"/>
            <w:tcBorders>
              <w:bottom w:val="single" w:sz="8" w:color="34657F"/>
            </w:tcBorders>
            <w:shd w:val="clear" w:color="auto" w:fill="D1DDE6"/>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ind w:left="380" w:right="220" w:hanging="377"/>
        <w:spacing w:after="0" w:line="277" w:lineRule="auto"/>
        <w:tabs>
          <w:tab w:leader="none" w:pos="380" w:val="left"/>
        </w:tabs>
        <w:numPr>
          <w:ilvl w:val="0"/>
          <w:numId w:val="65"/>
        </w:numPr>
        <w:rPr>
          <w:rFonts w:ascii="Arial" w:cs="Arial" w:eastAsia="Arial" w:hAnsi="Arial"/>
          <w:sz w:val="17"/>
          <w:szCs w:val="17"/>
          <w:color w:val="auto"/>
        </w:rPr>
      </w:pPr>
      <w:r>
        <w:rPr>
          <w:rFonts w:ascii="Arial" w:cs="Arial" w:eastAsia="Arial" w:hAnsi="Arial"/>
          <w:sz w:val="17"/>
          <w:szCs w:val="17"/>
          <w:color w:val="auto"/>
        </w:rPr>
        <w:t>Includes amounts deferred under qualified savings and nonqualified deferred compensation plans. Amounts shown for Mr. Larson include salary earned since the Merger Date and payments for vacation days sold under the Orbital ATK vacation buy/sell benefit program ($7,489).</w:t>
      </w:r>
    </w:p>
    <w:p>
      <w:pPr>
        <w:spacing w:after="0" w:line="47" w:lineRule="exact"/>
        <w:rPr>
          <w:rFonts w:ascii="Arial" w:cs="Arial" w:eastAsia="Arial" w:hAnsi="Arial"/>
          <w:sz w:val="17"/>
          <w:szCs w:val="17"/>
          <w:color w:val="auto"/>
        </w:rPr>
      </w:pPr>
    </w:p>
    <w:p>
      <w:pPr>
        <w:ind w:left="380" w:right="20" w:hanging="377"/>
        <w:spacing w:after="0" w:line="253" w:lineRule="auto"/>
        <w:tabs>
          <w:tab w:leader="none" w:pos="380" w:val="left"/>
        </w:tabs>
        <w:numPr>
          <w:ilvl w:val="0"/>
          <w:numId w:val="65"/>
        </w:numPr>
        <w:rPr>
          <w:rFonts w:ascii="Arial" w:cs="Arial" w:eastAsia="Arial" w:hAnsi="Arial"/>
          <w:sz w:val="17"/>
          <w:szCs w:val="17"/>
          <w:color w:val="auto"/>
        </w:rPr>
      </w:pPr>
      <w:r>
        <w:rPr>
          <w:rFonts w:ascii="Arial" w:cs="Arial" w:eastAsia="Arial" w:hAnsi="Arial"/>
          <w:sz w:val="17"/>
          <w:szCs w:val="17"/>
          <w:color w:val="auto"/>
        </w:rPr>
        <w:t>Represents the grant date aggregate fair value of RPSRs and RSRs granted during the periods presented. The 2018 value shown for Mr. Bush includes the value of his annual grant issued in February 2018 of $10,000,294 and the incremental amount that must be recognized in accordance with accounting standards for the modification to the 2017 and 2018 long-term incentive grants. The modification recognized Mr. Bush’s significant business contributions and continuing role with the Company as Chairman as well as the extension of the post-employment covenants. The fair value of awards was computed in accordance with Financial Accounting Standards Board (FASB) Accounting Standards Codification (ASC) Topic 718. Assumptions used in the calculation of these amounts are disclosed in Note 14 of the Company's 2018 Form 10-K. The maximum grant date fair values of the 2018 RPSRs are as follows, noting the grants assume a 150% maximum payout:</w:t>
      </w:r>
    </w:p>
    <w:p>
      <w:pPr>
        <w:spacing w:after="0" w:line="122" w:lineRule="exact"/>
        <w:rPr>
          <w:sz w:val="20"/>
          <w:szCs w:val="20"/>
          <w:color w:val="auto"/>
        </w:rPr>
      </w:pPr>
    </w:p>
    <w:tbl>
      <w:tblPr>
        <w:tblLayout w:type="fixed"/>
        <w:tblInd w:w="380" w:type="dxa"/>
        <w:tblCellMar>
          <w:top w:w="0" w:type="dxa"/>
          <w:left w:w="0" w:type="dxa"/>
          <w:bottom w:w="0" w:type="dxa"/>
          <w:right w:w="0" w:type="dxa"/>
        </w:tblCellMar>
      </w:tblPr>
      <w:tr>
        <w:trPr>
          <w:trHeight w:val="181"/>
        </w:trPr>
        <w:tc>
          <w:tcPr>
            <w:tcW w:w="3780" w:type="dxa"/>
            <w:vAlign w:val="bottom"/>
            <w:shd w:val="clear" w:color="auto" w:fill="34657F"/>
          </w:tcPr>
          <w:p>
            <w:pPr>
              <w:spacing w:after="0"/>
              <w:rPr>
                <w:sz w:val="15"/>
                <w:szCs w:val="15"/>
                <w:color w:val="auto"/>
              </w:rPr>
            </w:pPr>
          </w:p>
        </w:tc>
        <w:tc>
          <w:tcPr>
            <w:tcW w:w="3780" w:type="dxa"/>
            <w:vAlign w:val="bottom"/>
            <w:shd w:val="clear" w:color="auto" w:fill="34657F"/>
          </w:tcPr>
          <w:p>
            <w:pPr>
              <w:ind w:left="860"/>
              <w:spacing w:after="0"/>
              <w:rPr>
                <w:sz w:val="20"/>
                <w:szCs w:val="20"/>
                <w:color w:val="auto"/>
              </w:rPr>
            </w:pPr>
            <w:r>
              <w:rPr>
                <w:rFonts w:ascii="Arial" w:cs="Arial" w:eastAsia="Arial" w:hAnsi="Arial"/>
                <w:sz w:val="14"/>
                <w:szCs w:val="14"/>
                <w:b w:val="1"/>
                <w:bCs w:val="1"/>
                <w:color w:val="FFFFFF"/>
              </w:rPr>
              <w:t>Maximum Grant Date Fair Value</w:t>
            </w:r>
          </w:p>
        </w:tc>
        <w:tc>
          <w:tcPr>
            <w:tcW w:w="20" w:type="dxa"/>
            <w:vAlign w:val="bottom"/>
            <w:shd w:val="clear" w:color="auto" w:fill="34657F"/>
          </w:tcPr>
          <w:p>
            <w:pPr>
              <w:spacing w:after="0"/>
              <w:rPr>
                <w:sz w:val="15"/>
                <w:szCs w:val="15"/>
                <w:color w:val="auto"/>
              </w:rPr>
            </w:pPr>
          </w:p>
        </w:tc>
      </w:tr>
      <w:tr>
        <w:trPr>
          <w:trHeight w:val="184"/>
        </w:trPr>
        <w:tc>
          <w:tcPr>
            <w:tcW w:w="3780" w:type="dxa"/>
            <w:vAlign w:val="bottom"/>
            <w:tcBorders>
              <w:bottom w:val="single" w:sz="8" w:color="34657F"/>
            </w:tcBorders>
            <w:shd w:val="clear" w:color="auto" w:fill="34657F"/>
          </w:tcPr>
          <w:p>
            <w:pPr>
              <w:ind w:left="40"/>
              <w:spacing w:after="0"/>
              <w:rPr>
                <w:sz w:val="20"/>
                <w:szCs w:val="20"/>
                <w:color w:val="auto"/>
              </w:rPr>
            </w:pPr>
            <w:r>
              <w:rPr>
                <w:rFonts w:ascii="Arial" w:cs="Arial" w:eastAsia="Arial" w:hAnsi="Arial"/>
                <w:sz w:val="14"/>
                <w:szCs w:val="14"/>
                <w:b w:val="1"/>
                <w:bCs w:val="1"/>
                <w:color w:val="FFFFFF"/>
              </w:rPr>
              <w:t>Name</w:t>
            </w:r>
          </w:p>
        </w:tc>
        <w:tc>
          <w:tcPr>
            <w:tcW w:w="3780" w:type="dxa"/>
            <w:vAlign w:val="bottom"/>
            <w:tcBorders>
              <w:bottom w:val="single" w:sz="8" w:color="34657F"/>
            </w:tcBorders>
            <w:shd w:val="clear" w:color="auto" w:fill="34657F"/>
          </w:tcPr>
          <w:p>
            <w:pPr>
              <w:jc w:val="center"/>
              <w:spacing w:after="0"/>
              <w:rPr>
                <w:sz w:val="20"/>
                <w:szCs w:val="20"/>
                <w:color w:val="auto"/>
              </w:rPr>
            </w:pPr>
            <w:r>
              <w:rPr>
                <w:rFonts w:ascii="Arial" w:cs="Arial" w:eastAsia="Arial" w:hAnsi="Arial"/>
                <w:sz w:val="14"/>
                <w:szCs w:val="14"/>
                <w:b w:val="1"/>
                <w:bCs w:val="1"/>
                <w:color w:val="FFFFFF"/>
                <w:w w:val="93"/>
              </w:rPr>
              <w:t>($)</w:t>
            </w:r>
          </w:p>
        </w:tc>
        <w:tc>
          <w:tcPr>
            <w:tcW w:w="20" w:type="dxa"/>
            <w:vAlign w:val="bottom"/>
            <w:tcBorders>
              <w:bottom w:val="single" w:sz="8" w:color="34657F"/>
            </w:tcBorders>
            <w:shd w:val="clear" w:color="auto" w:fill="34657F"/>
          </w:tcPr>
          <w:p>
            <w:pPr>
              <w:spacing w:after="0"/>
              <w:rPr>
                <w:sz w:val="15"/>
                <w:szCs w:val="15"/>
                <w:color w:val="auto"/>
              </w:rPr>
            </w:pPr>
          </w:p>
        </w:tc>
      </w:tr>
      <w:tr>
        <w:trPr>
          <w:trHeight w:val="205"/>
        </w:trPr>
        <w:tc>
          <w:tcPr>
            <w:tcW w:w="3780" w:type="dxa"/>
            <w:vAlign w:val="bottom"/>
            <w:shd w:val="clear" w:color="auto" w:fill="D1DDE6"/>
          </w:tcPr>
          <w:p>
            <w:pPr>
              <w:ind w:left="40"/>
              <w:spacing w:after="0" w:line="205" w:lineRule="exact"/>
              <w:rPr>
                <w:sz w:val="20"/>
                <w:szCs w:val="20"/>
                <w:color w:val="auto"/>
              </w:rPr>
            </w:pPr>
            <w:r>
              <w:rPr>
                <w:rFonts w:ascii="Arial" w:cs="Arial" w:eastAsia="Arial" w:hAnsi="Arial"/>
                <w:sz w:val="14"/>
                <w:szCs w:val="14"/>
                <w:color w:val="auto"/>
              </w:rPr>
              <w:t xml:space="preserve">Mr. Bush </w:t>
            </w:r>
            <w:r>
              <w:rPr>
                <w:rFonts w:ascii="Arial" w:cs="Arial" w:eastAsia="Arial" w:hAnsi="Arial"/>
                <w:sz w:val="22"/>
                <w:szCs w:val="22"/>
                <w:color w:val="auto"/>
                <w:vertAlign w:val="superscript"/>
              </w:rPr>
              <w:t>(a)</w:t>
            </w:r>
          </w:p>
        </w:tc>
        <w:tc>
          <w:tcPr>
            <w:tcW w:w="3780" w:type="dxa"/>
            <w:vAlign w:val="bottom"/>
            <w:shd w:val="clear" w:color="auto" w:fill="D1DDE6"/>
          </w:tcPr>
          <w:p>
            <w:pPr>
              <w:jc w:val="center"/>
              <w:spacing w:after="0"/>
              <w:rPr>
                <w:sz w:val="20"/>
                <w:szCs w:val="20"/>
                <w:color w:val="auto"/>
              </w:rPr>
            </w:pPr>
            <w:r>
              <w:rPr>
                <w:rFonts w:ascii="Arial" w:cs="Arial" w:eastAsia="Arial" w:hAnsi="Arial"/>
                <w:sz w:val="14"/>
                <w:szCs w:val="14"/>
                <w:color w:val="auto"/>
                <w:w w:val="96"/>
              </w:rPr>
              <w:t>14,487,375</w:t>
            </w:r>
          </w:p>
        </w:tc>
        <w:tc>
          <w:tcPr>
            <w:tcW w:w="20" w:type="dxa"/>
            <w:vAlign w:val="bottom"/>
          </w:tcPr>
          <w:p>
            <w:pPr>
              <w:spacing w:after="0"/>
              <w:rPr>
                <w:sz w:val="17"/>
                <w:szCs w:val="17"/>
                <w:color w:val="auto"/>
              </w:rPr>
            </w:pPr>
          </w:p>
        </w:tc>
      </w:tr>
      <w:tr>
        <w:trPr>
          <w:trHeight w:val="199"/>
        </w:trPr>
        <w:tc>
          <w:tcPr>
            <w:tcW w:w="3780" w:type="dxa"/>
            <w:vAlign w:val="bottom"/>
          </w:tcPr>
          <w:p>
            <w:pPr>
              <w:ind w:left="40"/>
              <w:spacing w:after="0"/>
              <w:rPr>
                <w:sz w:val="20"/>
                <w:szCs w:val="20"/>
                <w:color w:val="auto"/>
              </w:rPr>
            </w:pPr>
            <w:r>
              <w:rPr>
                <w:rFonts w:ascii="Arial" w:cs="Arial" w:eastAsia="Arial" w:hAnsi="Arial"/>
                <w:sz w:val="14"/>
                <w:szCs w:val="14"/>
                <w:color w:val="auto"/>
              </w:rPr>
              <w:t>Ms. Warden</w:t>
            </w:r>
          </w:p>
        </w:tc>
        <w:tc>
          <w:tcPr>
            <w:tcW w:w="3780" w:type="dxa"/>
            <w:vAlign w:val="bottom"/>
          </w:tcPr>
          <w:p>
            <w:pPr>
              <w:jc w:val="center"/>
              <w:spacing w:after="0"/>
              <w:rPr>
                <w:sz w:val="20"/>
                <w:szCs w:val="20"/>
                <w:color w:val="auto"/>
              </w:rPr>
            </w:pPr>
            <w:r>
              <w:rPr>
                <w:rFonts w:ascii="Arial" w:cs="Arial" w:eastAsia="Arial" w:hAnsi="Arial"/>
                <w:sz w:val="14"/>
                <w:szCs w:val="14"/>
                <w:color w:val="auto"/>
                <w:w w:val="96"/>
              </w:rPr>
              <w:t>10,499,979</w:t>
            </w:r>
          </w:p>
        </w:tc>
        <w:tc>
          <w:tcPr>
            <w:tcW w:w="20" w:type="dxa"/>
            <w:vAlign w:val="bottom"/>
          </w:tcPr>
          <w:p>
            <w:pPr>
              <w:spacing w:after="0"/>
              <w:rPr>
                <w:sz w:val="17"/>
                <w:szCs w:val="17"/>
                <w:color w:val="auto"/>
              </w:rPr>
            </w:pPr>
          </w:p>
        </w:tc>
      </w:tr>
      <w:tr>
        <w:trPr>
          <w:trHeight w:val="211"/>
        </w:trPr>
        <w:tc>
          <w:tcPr>
            <w:tcW w:w="3780" w:type="dxa"/>
            <w:vAlign w:val="bottom"/>
            <w:shd w:val="clear" w:color="auto" w:fill="D1DDE6"/>
          </w:tcPr>
          <w:p>
            <w:pPr>
              <w:ind w:left="40"/>
              <w:spacing w:after="0"/>
              <w:rPr>
                <w:sz w:val="20"/>
                <w:szCs w:val="20"/>
                <w:color w:val="auto"/>
              </w:rPr>
            </w:pPr>
            <w:r>
              <w:rPr>
                <w:rFonts w:ascii="Arial" w:cs="Arial" w:eastAsia="Arial" w:hAnsi="Arial"/>
                <w:sz w:val="14"/>
                <w:szCs w:val="14"/>
                <w:color w:val="auto"/>
              </w:rPr>
              <w:t>Mr. Bedingfield</w:t>
            </w:r>
          </w:p>
        </w:tc>
        <w:tc>
          <w:tcPr>
            <w:tcW w:w="3780" w:type="dxa"/>
            <w:vAlign w:val="bottom"/>
            <w:shd w:val="clear" w:color="auto" w:fill="D1DDE6"/>
          </w:tcPr>
          <w:p>
            <w:pPr>
              <w:jc w:val="center"/>
              <w:spacing w:after="0"/>
              <w:rPr>
                <w:sz w:val="20"/>
                <w:szCs w:val="20"/>
                <w:color w:val="auto"/>
              </w:rPr>
            </w:pPr>
            <w:r>
              <w:rPr>
                <w:rFonts w:ascii="Arial" w:cs="Arial" w:eastAsia="Arial" w:hAnsi="Arial"/>
                <w:sz w:val="14"/>
                <w:szCs w:val="14"/>
                <w:color w:val="auto"/>
                <w:w w:val="99"/>
              </w:rPr>
              <w:t>3,675,207</w:t>
            </w:r>
          </w:p>
        </w:tc>
        <w:tc>
          <w:tcPr>
            <w:tcW w:w="20" w:type="dxa"/>
            <w:vAlign w:val="bottom"/>
          </w:tcPr>
          <w:p>
            <w:pPr>
              <w:spacing w:after="0"/>
              <w:rPr>
                <w:sz w:val="18"/>
                <w:szCs w:val="18"/>
                <w:color w:val="auto"/>
              </w:rPr>
            </w:pPr>
          </w:p>
        </w:tc>
      </w:tr>
      <w:tr>
        <w:trPr>
          <w:trHeight w:val="199"/>
        </w:trPr>
        <w:tc>
          <w:tcPr>
            <w:tcW w:w="3780" w:type="dxa"/>
            <w:vAlign w:val="bottom"/>
          </w:tcPr>
          <w:p>
            <w:pPr>
              <w:ind w:left="40"/>
              <w:spacing w:after="0"/>
              <w:rPr>
                <w:sz w:val="20"/>
                <w:szCs w:val="20"/>
                <w:color w:val="auto"/>
              </w:rPr>
            </w:pPr>
            <w:r>
              <w:rPr>
                <w:rFonts w:ascii="Arial" w:cs="Arial" w:eastAsia="Arial" w:hAnsi="Arial"/>
                <w:sz w:val="14"/>
                <w:szCs w:val="14"/>
                <w:color w:val="auto"/>
              </w:rPr>
              <w:t>Mr. Caylor</w:t>
            </w:r>
          </w:p>
        </w:tc>
        <w:tc>
          <w:tcPr>
            <w:tcW w:w="3780" w:type="dxa"/>
            <w:vAlign w:val="bottom"/>
          </w:tcPr>
          <w:p>
            <w:pPr>
              <w:jc w:val="center"/>
              <w:spacing w:after="0"/>
              <w:rPr>
                <w:sz w:val="20"/>
                <w:szCs w:val="20"/>
                <w:color w:val="auto"/>
              </w:rPr>
            </w:pPr>
            <w:r>
              <w:rPr>
                <w:rFonts w:ascii="Arial" w:cs="Arial" w:eastAsia="Arial" w:hAnsi="Arial"/>
                <w:sz w:val="14"/>
                <w:szCs w:val="14"/>
                <w:color w:val="auto"/>
                <w:w w:val="99"/>
              </w:rPr>
              <w:t>3,675,207</w:t>
            </w:r>
          </w:p>
        </w:tc>
        <w:tc>
          <w:tcPr>
            <w:tcW w:w="20" w:type="dxa"/>
            <w:vAlign w:val="bottom"/>
          </w:tcPr>
          <w:p>
            <w:pPr>
              <w:spacing w:after="0"/>
              <w:rPr>
                <w:sz w:val="17"/>
                <w:szCs w:val="17"/>
                <w:color w:val="auto"/>
              </w:rPr>
            </w:pPr>
          </w:p>
        </w:tc>
      </w:tr>
      <w:tr>
        <w:trPr>
          <w:trHeight w:val="211"/>
        </w:trPr>
        <w:tc>
          <w:tcPr>
            <w:tcW w:w="3780" w:type="dxa"/>
            <w:vAlign w:val="bottom"/>
            <w:shd w:val="clear" w:color="auto" w:fill="D1DDE6"/>
          </w:tcPr>
          <w:p>
            <w:pPr>
              <w:ind w:left="40"/>
              <w:spacing w:after="0"/>
              <w:rPr>
                <w:sz w:val="20"/>
                <w:szCs w:val="20"/>
                <w:color w:val="auto"/>
              </w:rPr>
            </w:pPr>
            <w:r>
              <w:rPr>
                <w:rFonts w:ascii="Arial" w:cs="Arial" w:eastAsia="Arial" w:hAnsi="Arial"/>
                <w:sz w:val="14"/>
                <w:szCs w:val="14"/>
                <w:color w:val="auto"/>
              </w:rPr>
              <w:t>Mr. Larson</w:t>
            </w:r>
          </w:p>
        </w:tc>
        <w:tc>
          <w:tcPr>
            <w:tcW w:w="3780" w:type="dxa"/>
            <w:vAlign w:val="bottom"/>
            <w:shd w:val="clear" w:color="auto" w:fill="D1DDE6"/>
          </w:tcPr>
          <w:p>
            <w:pPr>
              <w:jc w:val="center"/>
              <w:spacing w:after="0"/>
              <w:rPr>
                <w:sz w:val="20"/>
                <w:szCs w:val="20"/>
                <w:color w:val="auto"/>
              </w:rPr>
            </w:pPr>
            <w:r>
              <w:rPr>
                <w:rFonts w:ascii="Arial" w:cs="Arial" w:eastAsia="Arial" w:hAnsi="Arial"/>
                <w:sz w:val="14"/>
                <w:szCs w:val="14"/>
                <w:color w:val="auto"/>
                <w:w w:val="99"/>
              </w:rPr>
              <w:t>3,150,074</w:t>
            </w:r>
          </w:p>
        </w:tc>
        <w:tc>
          <w:tcPr>
            <w:tcW w:w="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245745</wp:posOffset>
            </wp:positionH>
            <wp:positionV relativeFrom="paragraph">
              <wp:posOffset>0</wp:posOffset>
            </wp:positionV>
            <wp:extent cx="479488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4794885" cy="8255"/>
                    </a:xfrm>
                    <a:prstGeom prst="rect">
                      <a:avLst/>
                    </a:prstGeom>
                    <a:noFill/>
                  </pic:spPr>
                </pic:pic>
              </a:graphicData>
            </a:graphic>
          </wp:anchor>
        </w:drawing>
      </w:r>
    </w:p>
    <w:p>
      <w:pPr>
        <w:ind w:left="380"/>
        <w:spacing w:after="0"/>
        <w:rPr>
          <w:sz w:val="20"/>
          <w:szCs w:val="20"/>
          <w:color w:val="auto"/>
        </w:rPr>
      </w:pPr>
      <w:r>
        <w:rPr>
          <w:rFonts w:ascii="Arial" w:cs="Arial" w:eastAsia="Arial" w:hAnsi="Arial"/>
          <w:sz w:val="14"/>
          <w:szCs w:val="14"/>
          <w:color w:val="auto"/>
        </w:rPr>
        <w:t xml:space="preserve">(a) </w:t>
      </w:r>
      <w:r>
        <w:rPr>
          <w:rFonts w:ascii="Arial" w:cs="Arial" w:eastAsia="Arial" w:hAnsi="Arial"/>
          <w:sz w:val="13"/>
          <w:szCs w:val="13"/>
          <w:color w:val="auto"/>
        </w:rPr>
        <w:t>Includes the modification to the 2018 RPSR. For additional details refer to the Grants of Plan-Based Awards Table on page 55.</w:t>
      </w:r>
    </w:p>
    <w:p>
      <w:pPr>
        <w:spacing w:after="0" w:line="120" w:lineRule="exact"/>
        <w:rPr>
          <w:sz w:val="20"/>
          <w:szCs w:val="20"/>
          <w:color w:val="auto"/>
        </w:rPr>
      </w:pPr>
    </w:p>
    <w:p>
      <w:pPr>
        <w:ind w:left="380" w:right="180" w:hanging="377"/>
        <w:spacing w:after="0" w:line="257" w:lineRule="auto"/>
        <w:tabs>
          <w:tab w:leader="none" w:pos="380" w:val="left"/>
        </w:tabs>
        <w:numPr>
          <w:ilvl w:val="0"/>
          <w:numId w:val="66"/>
        </w:numPr>
        <w:rPr>
          <w:rFonts w:ascii="Arial" w:cs="Arial" w:eastAsia="Arial" w:hAnsi="Arial"/>
          <w:sz w:val="17"/>
          <w:szCs w:val="17"/>
          <w:color w:val="auto"/>
        </w:rPr>
      </w:pPr>
      <w:r>
        <w:rPr>
          <w:rFonts w:ascii="Arial" w:cs="Arial" w:eastAsia="Arial" w:hAnsi="Arial"/>
          <w:sz w:val="17"/>
          <w:szCs w:val="17"/>
          <w:color w:val="auto"/>
        </w:rPr>
        <w:t>These amounts were paid based on the CPF and the NEO’s target bonus, with the exception of Mr. Larson whose payout was based on EOIP performance metrics and prorated target bonus. Includes amounts deferred under the qualified savings and nonqualified deferred compensation plans.</w:t>
      </w:r>
    </w:p>
    <w:p>
      <w:pPr>
        <w:spacing w:after="0" w:line="64" w:lineRule="exact"/>
        <w:rPr>
          <w:rFonts w:ascii="Arial" w:cs="Arial" w:eastAsia="Arial" w:hAnsi="Arial"/>
          <w:sz w:val="17"/>
          <w:szCs w:val="17"/>
          <w:color w:val="auto"/>
        </w:rPr>
      </w:pPr>
    </w:p>
    <w:p>
      <w:pPr>
        <w:ind w:left="380" w:right="200" w:hanging="377"/>
        <w:spacing w:after="0" w:line="255" w:lineRule="auto"/>
        <w:tabs>
          <w:tab w:leader="none" w:pos="380" w:val="left"/>
        </w:tabs>
        <w:numPr>
          <w:ilvl w:val="0"/>
          <w:numId w:val="66"/>
        </w:numPr>
        <w:rPr>
          <w:rFonts w:ascii="Arial" w:cs="Arial" w:eastAsia="Arial" w:hAnsi="Arial"/>
          <w:sz w:val="17"/>
          <w:szCs w:val="17"/>
          <w:color w:val="auto"/>
        </w:rPr>
      </w:pPr>
      <w:r>
        <w:rPr>
          <w:rFonts w:ascii="Arial" w:cs="Arial" w:eastAsia="Arial" w:hAnsi="Arial"/>
          <w:sz w:val="17"/>
          <w:szCs w:val="17"/>
          <w:color w:val="auto"/>
        </w:rPr>
        <w:t>These amounts relate solely to the increased present value of the NEO's pension plan benefits using mandatory SEC assumptions (see the descriptions of these plans under the Pension Benefits table on page 58). The amount accrued in each year differs from the amount accrued in prior years due to an increase in age, service and pay (salary and bonus).The change in pension value is also highly sensitive to changes in the interest rate used to determine the present value of the payments to be made over the life of the executive.</w:t>
      </w:r>
    </w:p>
    <w:p>
      <w:pPr>
        <w:spacing w:after="0" w:line="303" w:lineRule="exact"/>
        <w:rPr>
          <w:sz w:val="20"/>
          <w:szCs w:val="20"/>
          <w:color w:val="auto"/>
        </w:rPr>
      </w:pPr>
    </w:p>
    <w:p>
      <w:pPr>
        <w:ind w:left="5740"/>
        <w:spacing w:after="0"/>
        <w:rPr>
          <w:sz w:val="20"/>
          <w:szCs w:val="20"/>
          <w:color w:val="auto"/>
        </w:rPr>
      </w:pPr>
      <w:r>
        <w:rPr>
          <w:rFonts w:ascii="Arial" w:cs="Arial" w:eastAsia="Arial" w:hAnsi="Arial"/>
          <w:sz w:val="13"/>
          <w:szCs w:val="13"/>
          <w:color w:val="34657F"/>
        </w:rPr>
        <w:t xml:space="preserve">NOTICE OF 2019 ANNUAL MEETING OF SHAREHOLDERS AND PROXY STATEMENT </w:t>
      </w:r>
      <w:r>
        <w:rPr>
          <w:rFonts w:ascii="Arial" w:cs="Arial" w:eastAsia="Arial" w:hAnsi="Arial"/>
          <w:sz w:val="13"/>
          <w:szCs w:val="13"/>
          <w:color w:val="000000"/>
        </w:rPr>
        <w:t>I 53</w:t>
      </w:r>
    </w:p>
    <w:p>
      <w:pPr>
        <w:sectPr>
          <w:pgSz w:w="11900" w:h="16838" w:orient="portrait"/>
          <w:cols w:equalWidth="0" w:num="1">
            <w:col w:w="11440"/>
          </w:cols>
          <w:pgMar w:left="240" w:top="671" w:right="219" w:bottom="1440" w:gutter="0" w:footer="0" w:header="0"/>
        </w:sectPr>
      </w:pPr>
    </w:p>
    <w:bookmarkStart w:id="59" w:name="page60"/>
    <w:bookmarkEnd w:id="59"/>
    <w:p>
      <w:pPr>
        <w:ind w:left="20"/>
        <w:spacing w:after="0"/>
        <w:rPr>
          <w:sz w:val="20"/>
          <w:szCs w:val="20"/>
          <w:color w:val="auto"/>
        </w:rPr>
      </w:pPr>
      <w:r>
        <w:rPr>
          <w:rFonts w:ascii="Arial" w:cs="Arial" w:eastAsia="Arial" w:hAnsi="Arial"/>
          <w:sz w:val="21"/>
          <w:szCs w:val="21"/>
          <w:b w:val="1"/>
          <w:bCs w:val="1"/>
          <w:color w:val="FFFFFF"/>
        </w:rPr>
        <w:drawing>
          <wp:anchor simplePos="0" relativeHeight="251657728" behindDoc="1" locked="0" layoutInCell="0" allowOverlap="1">
            <wp:simplePos x="0" y="0"/>
            <wp:positionH relativeFrom="page">
              <wp:posOffset>154305</wp:posOffset>
            </wp:positionH>
            <wp:positionV relativeFrom="page">
              <wp:posOffset>365760</wp:posOffset>
            </wp:positionV>
            <wp:extent cx="7253605" cy="56197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53605" cy="561975"/>
                    </a:xfrm>
                    <a:prstGeom prst="rect">
                      <a:avLst/>
                    </a:prstGeom>
                    <a:noFill/>
                  </pic:spPr>
                </pic:pic>
              </a:graphicData>
            </a:graphic>
          </wp:anchor>
        </w:drawing>
        <w:t>COMPENSATION TABLES | S</w:t>
      </w:r>
      <w:r>
        <w:rPr>
          <w:rFonts w:ascii="Arial" w:cs="Arial" w:eastAsia="Arial" w:hAnsi="Arial"/>
          <w:sz w:val="17"/>
          <w:szCs w:val="17"/>
          <w:b w:val="1"/>
          <w:bCs w:val="1"/>
          <w:color w:val="FFFFFF"/>
        </w:rPr>
        <w:t>UMMARY</w:t>
      </w:r>
      <w:r>
        <w:rPr>
          <w:rFonts w:ascii="Arial" w:cs="Arial" w:eastAsia="Arial" w:hAnsi="Arial"/>
          <w:sz w:val="21"/>
          <w:szCs w:val="21"/>
          <w:b w:val="1"/>
          <w:bCs w:val="1"/>
          <w:color w:val="FFFFFF"/>
        </w:rPr>
        <w:t xml:space="preserve"> C</w:t>
      </w:r>
      <w:r>
        <w:rPr>
          <w:rFonts w:ascii="Arial" w:cs="Arial" w:eastAsia="Arial" w:hAnsi="Arial"/>
          <w:sz w:val="17"/>
          <w:szCs w:val="17"/>
          <w:b w:val="1"/>
          <w:bCs w:val="1"/>
          <w:color w:val="FFFFFF"/>
        </w:rPr>
        <w:t>OMPENSATION</w:t>
      </w:r>
      <w:r>
        <w:rPr>
          <w:rFonts w:ascii="Arial" w:cs="Arial" w:eastAsia="Arial" w:hAnsi="Arial"/>
          <w:sz w:val="21"/>
          <w:szCs w:val="21"/>
          <w:b w:val="1"/>
          <w:bCs w:val="1"/>
          <w:color w:val="FFFFFF"/>
        </w:rPr>
        <w:t xml:space="preserve"> T</w:t>
      </w:r>
      <w:r>
        <w:rPr>
          <w:rFonts w:ascii="Arial" w:cs="Arial" w:eastAsia="Arial" w:hAnsi="Arial"/>
          <w:sz w:val="17"/>
          <w:szCs w:val="17"/>
          <w:b w:val="1"/>
          <w:bCs w:val="1"/>
          <w:color w:val="FFFFFF"/>
        </w:rPr>
        <w:t>ABLE</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380" w:right="160"/>
        <w:spacing w:after="0" w:line="257" w:lineRule="auto"/>
        <w:rPr>
          <w:sz w:val="20"/>
          <w:szCs w:val="20"/>
          <w:color w:val="auto"/>
        </w:rPr>
      </w:pPr>
      <w:r>
        <w:rPr>
          <w:rFonts w:ascii="Arial" w:cs="Arial" w:eastAsia="Arial" w:hAnsi="Arial"/>
          <w:sz w:val="17"/>
          <w:szCs w:val="17"/>
          <w:color w:val="auto"/>
        </w:rPr>
        <w:t>In 2018, the aggregate change in actuarial present value of pension benefits is a negative amount for Mr. Bush (-$2,645,152), Ms. Warden (-$25,448) and Mr. Caylor (-$32,265) due primarily to increased interest rates. In accordance with SEC rules, the negative amounts are reported as $0 in the above table.</w:t>
      </w:r>
    </w:p>
    <w:p>
      <w:pPr>
        <w:spacing w:after="0" w:line="64" w:lineRule="exact"/>
        <w:rPr>
          <w:sz w:val="20"/>
          <w:szCs w:val="20"/>
          <w:color w:val="auto"/>
        </w:rPr>
      </w:pPr>
    </w:p>
    <w:p>
      <w:pPr>
        <w:ind w:left="380" w:right="120"/>
        <w:spacing w:after="0" w:line="263" w:lineRule="auto"/>
        <w:rPr>
          <w:sz w:val="20"/>
          <w:szCs w:val="20"/>
          <w:color w:val="auto"/>
        </w:rPr>
      </w:pPr>
      <w:r>
        <w:rPr>
          <w:rFonts w:ascii="Arial" w:cs="Arial" w:eastAsia="Arial" w:hAnsi="Arial"/>
          <w:sz w:val="17"/>
          <w:szCs w:val="17"/>
          <w:color w:val="auto"/>
        </w:rPr>
        <w:t>Mr. Bedingfield was hired after the Company's defined benefit pension plans were closed to new entrants, and as a result he does not participate in any defined benefit pension plans.</w:t>
      </w:r>
    </w:p>
    <w:p>
      <w:pPr>
        <w:spacing w:after="0" w:line="59" w:lineRule="exact"/>
        <w:rPr>
          <w:sz w:val="20"/>
          <w:szCs w:val="20"/>
          <w:color w:val="auto"/>
        </w:rPr>
      </w:pPr>
    </w:p>
    <w:p>
      <w:pPr>
        <w:ind w:left="380"/>
        <w:spacing w:after="0" w:line="263" w:lineRule="auto"/>
        <w:rPr>
          <w:sz w:val="20"/>
          <w:szCs w:val="20"/>
          <w:color w:val="auto"/>
        </w:rPr>
      </w:pPr>
      <w:r>
        <w:rPr>
          <w:rFonts w:ascii="Arial" w:cs="Arial" w:eastAsia="Arial" w:hAnsi="Arial"/>
          <w:sz w:val="17"/>
          <w:szCs w:val="17"/>
          <w:color w:val="auto"/>
        </w:rPr>
        <w:t>Mr. Larson is a participant in the Orbital ATK Pension and Retirement Plan and Defined Benefit Supplemental Executive Retirement Plan. In 2018, the aggregate change in actuarial present value of his pension benefit is due to an increase in interest rates, benefits and age.</w:t>
      </w:r>
    </w:p>
    <w:p>
      <w:pPr>
        <w:spacing w:after="0" w:line="59" w:lineRule="exact"/>
        <w:rPr>
          <w:sz w:val="20"/>
          <w:szCs w:val="20"/>
          <w:color w:val="auto"/>
        </w:rPr>
      </w:pPr>
    </w:p>
    <w:p>
      <w:pPr>
        <w:ind w:left="380" w:right="940"/>
        <w:spacing w:after="0" w:line="263" w:lineRule="auto"/>
        <w:rPr>
          <w:sz w:val="20"/>
          <w:szCs w:val="20"/>
          <w:color w:val="auto"/>
        </w:rPr>
      </w:pPr>
      <w:r>
        <w:rPr>
          <w:rFonts w:ascii="Arial" w:cs="Arial" w:eastAsia="Arial" w:hAnsi="Arial"/>
          <w:sz w:val="17"/>
          <w:szCs w:val="17"/>
          <w:color w:val="auto"/>
        </w:rPr>
        <w:t>There were no above-market earnings in the nonqualified deferred compensation plans (see the descriptions of these plans under the Nonqualified Deferred Compensation table on page 63).</w:t>
      </w:r>
    </w:p>
    <w:p>
      <w:pPr>
        <w:spacing w:after="0" w:line="59" w:lineRule="exact"/>
        <w:rPr>
          <w:sz w:val="20"/>
          <w:szCs w:val="20"/>
          <w:color w:val="auto"/>
        </w:rPr>
      </w:pPr>
    </w:p>
    <w:p>
      <w:pPr>
        <w:ind w:left="380" w:right="240" w:hanging="377"/>
        <w:spacing w:after="0" w:line="254" w:lineRule="auto"/>
        <w:tabs>
          <w:tab w:leader="none" w:pos="380" w:val="left"/>
        </w:tabs>
        <w:numPr>
          <w:ilvl w:val="0"/>
          <w:numId w:val="67"/>
        </w:numPr>
        <w:rPr>
          <w:rFonts w:ascii="Arial" w:cs="Arial" w:eastAsia="Arial" w:hAnsi="Arial"/>
          <w:sz w:val="17"/>
          <w:szCs w:val="17"/>
          <w:color w:val="auto"/>
        </w:rPr>
      </w:pPr>
      <w:r>
        <w:rPr>
          <w:rFonts w:ascii="Arial" w:cs="Arial" w:eastAsia="Arial" w:hAnsi="Arial"/>
          <w:sz w:val="17"/>
          <w:szCs w:val="17"/>
          <w:color w:val="auto"/>
        </w:rPr>
        <w:t>Amounts include, as applicable, (a) the value of perquisites and personal benefits, (b) basic life insurance premiums, (c) matching contributions through the Northrop Grumman Foundation made to eligible educational institutions and to non-profit organizations under a Company program, and (d) Company contributions to defined contribution and deferred compensation plans. Where the value of the items reported in a particular category for an NEO exceeded $10,000 in 2018 (other than perquisites and personal benefits, which are subject to different thresholds as described below), those items are identified and quantified below.</w:t>
      </w:r>
    </w:p>
    <w:p>
      <w:pPr>
        <w:spacing w:after="0" w:line="50" w:lineRule="exact"/>
        <w:rPr>
          <w:rFonts w:ascii="Arial" w:cs="Arial" w:eastAsia="Arial" w:hAnsi="Arial"/>
          <w:sz w:val="17"/>
          <w:szCs w:val="17"/>
          <w:color w:val="auto"/>
        </w:rPr>
      </w:pPr>
    </w:p>
    <w:p>
      <w:pPr>
        <w:ind w:left="380" w:right="100"/>
        <w:spacing w:after="0" w:line="260" w:lineRule="auto"/>
        <w:rPr>
          <w:rFonts w:ascii="Arial" w:cs="Arial" w:eastAsia="Arial" w:hAnsi="Arial"/>
          <w:sz w:val="17"/>
          <w:szCs w:val="17"/>
          <w:color w:val="auto"/>
        </w:rPr>
      </w:pPr>
      <w:r>
        <w:rPr>
          <w:rFonts w:ascii="Arial" w:cs="Arial" w:eastAsia="Arial" w:hAnsi="Arial"/>
          <w:sz w:val="17"/>
          <w:szCs w:val="17"/>
          <w:i w:val="1"/>
          <w:iCs w:val="1"/>
          <w:color w:val="auto"/>
        </w:rPr>
        <w:t xml:space="preserve">Perquisites and Personal Benefits - </w:t>
      </w:r>
      <w:r>
        <w:rPr>
          <w:rFonts w:ascii="Arial" w:cs="Arial" w:eastAsia="Arial" w:hAnsi="Arial"/>
          <w:sz w:val="17"/>
          <w:szCs w:val="17"/>
          <w:color w:val="auto"/>
        </w:rPr>
        <w:t>Perquisites and other personal benefits provided to certain NEOs are as follows: security, travel-related</w:t>
      </w:r>
      <w:r>
        <w:rPr>
          <w:rFonts w:ascii="Arial" w:cs="Arial" w:eastAsia="Arial" w:hAnsi="Arial"/>
          <w:sz w:val="17"/>
          <w:szCs w:val="17"/>
          <w:i w:val="1"/>
          <w:iCs w:val="1"/>
          <w:color w:val="auto"/>
        </w:rPr>
        <w:t xml:space="preserve"> </w:t>
      </w:r>
      <w:r>
        <w:rPr>
          <w:rFonts w:ascii="Arial" w:cs="Arial" w:eastAsia="Arial" w:hAnsi="Arial"/>
          <w:sz w:val="17"/>
          <w:szCs w:val="17"/>
          <w:color w:val="auto"/>
        </w:rPr>
        <w:t>perquisites (including use of Company aircraft or ground transportation services for personal travel and incidental expenses for family members if accompanying the NEO while on business travel), financial planning/income tax preparation services, insurance premiums paid by the Company on the NEO's behalf, executive physicals and other nominal perquisites or personal benefits. We determine the incremental cost for perquisites and personal benefits based on costs or charges incurred by the Company for the benefits.</w:t>
      </w:r>
    </w:p>
    <w:p>
      <w:pPr>
        <w:spacing w:after="0" w:line="61" w:lineRule="exact"/>
        <w:rPr>
          <w:rFonts w:ascii="Arial" w:cs="Arial" w:eastAsia="Arial" w:hAnsi="Arial"/>
          <w:sz w:val="17"/>
          <w:szCs w:val="17"/>
          <w:color w:val="auto"/>
        </w:rPr>
      </w:pPr>
    </w:p>
    <w:p>
      <w:pPr>
        <w:ind w:left="380" w:right="120"/>
        <w:spacing w:after="0" w:line="253" w:lineRule="auto"/>
        <w:rPr>
          <w:rFonts w:ascii="Arial" w:cs="Arial" w:eastAsia="Arial" w:hAnsi="Arial"/>
          <w:sz w:val="17"/>
          <w:szCs w:val="17"/>
          <w:color w:val="auto"/>
        </w:rPr>
      </w:pPr>
      <w:r>
        <w:rPr>
          <w:rFonts w:ascii="Arial" w:cs="Arial" w:eastAsia="Arial" w:hAnsi="Arial"/>
          <w:sz w:val="17"/>
          <w:szCs w:val="17"/>
          <w:color w:val="auto"/>
        </w:rPr>
        <w:t>As discussed in "Key Components of Our Programs - Security Arrangements," the Company provides NEOs with certain residential and travel security protection due to the nature of our business and security threat information. The amounts reflected in the "All Other Compensation" column include expenses for certain residential and travel security that we treat as perquisites under relevant SEC guidance, even though the need for such expenses arises from the risks attendant with their positions with the Company. The Company calculates the cost of travel security coverage based on the hourly rates and overhead fees charged directly to the Company by the firms providing security personnel. If Company security personnel are used, their hourly rates are used to calculate the cost of coverage. The Company calculates the value of personal use of Company aircraft based on the incremental cost of each element. Fixed costs that would be incurred in any event to operate Company aircraft (e.g., aircraft purchase costs, maintenance not related to personal trips and flight crew salaries) are not included.</w:t>
      </w:r>
    </w:p>
    <w:p>
      <w:pPr>
        <w:spacing w:after="0" w:line="69" w:lineRule="exact"/>
        <w:rPr>
          <w:rFonts w:ascii="Arial" w:cs="Arial" w:eastAsia="Arial" w:hAnsi="Arial"/>
          <w:sz w:val="17"/>
          <w:szCs w:val="17"/>
          <w:color w:val="auto"/>
        </w:rPr>
      </w:pPr>
    </w:p>
    <w:p>
      <w:pPr>
        <w:ind w:left="380" w:right="40"/>
        <w:spacing w:after="0" w:line="253" w:lineRule="auto"/>
        <w:rPr>
          <w:rFonts w:ascii="Arial" w:cs="Arial" w:eastAsia="Arial" w:hAnsi="Arial"/>
          <w:sz w:val="17"/>
          <w:szCs w:val="17"/>
          <w:color w:val="auto"/>
        </w:rPr>
      </w:pPr>
      <w:r>
        <w:rPr>
          <w:rFonts w:ascii="Arial" w:cs="Arial" w:eastAsia="Arial" w:hAnsi="Arial"/>
          <w:sz w:val="17"/>
          <w:szCs w:val="17"/>
          <w:color w:val="auto"/>
        </w:rPr>
        <w:t>The cost of any category of the listed perquisites and personal benefits did not exceed the greater of $25,000 or 10% of total perquisites and personal benefits for any NEO in 2018, except for the following: (i) costs attributable to security protection for Mr. Bush ($654,674), which includes personal travel on Company aircraft consistent with the Company's security program ($418,746); (ii) costs attributable to security protection for Ms. Warden ($252,625), which includes personal travel on Company aircraft consistent with the Company's security program ($68,963); and (iii) costs attributable to security protection for Mr. Bedingfield ($49,603). The amount of the Company's security costs for Mr. Bush has been reduced by $82,578, which reflects the portion of the security perquisite that Mr. Bush voluntarily reimbursed to the Company for himself and his family related to personal travel on the corporate aircraft ($76,619) and other security related costs ($5,959).</w:t>
      </w:r>
    </w:p>
    <w:p>
      <w:pPr>
        <w:spacing w:after="0" w:line="52" w:lineRule="exact"/>
        <w:rPr>
          <w:rFonts w:ascii="Arial" w:cs="Arial" w:eastAsia="Arial" w:hAnsi="Arial"/>
          <w:sz w:val="17"/>
          <w:szCs w:val="17"/>
          <w:color w:val="auto"/>
        </w:rPr>
      </w:pPr>
    </w:p>
    <w:p>
      <w:pPr>
        <w:ind w:left="380"/>
        <w:spacing w:after="0"/>
        <w:rPr>
          <w:rFonts w:ascii="Arial" w:cs="Arial" w:eastAsia="Arial" w:hAnsi="Arial"/>
          <w:sz w:val="17"/>
          <w:szCs w:val="17"/>
          <w:color w:val="auto"/>
        </w:rPr>
      </w:pPr>
      <w:r>
        <w:rPr>
          <w:rFonts w:ascii="Arial" w:cs="Arial" w:eastAsia="Arial" w:hAnsi="Arial"/>
          <w:sz w:val="17"/>
          <w:szCs w:val="17"/>
          <w:i w:val="1"/>
          <w:iCs w:val="1"/>
          <w:color w:val="auto"/>
        </w:rPr>
        <w:t xml:space="preserve">Contributions to Plans </w:t>
      </w:r>
      <w:r>
        <w:rPr>
          <w:rFonts w:ascii="Arial" w:cs="Arial" w:eastAsia="Arial" w:hAnsi="Arial"/>
          <w:sz w:val="17"/>
          <w:szCs w:val="17"/>
          <w:color w:val="auto"/>
        </w:rPr>
        <w:t>- In 2018, we made the following Company contributions to the defined contribution and deferred compensation plans:</w:t>
      </w:r>
    </w:p>
    <w:p>
      <w:pPr>
        <w:spacing w:after="0" w:line="234" w:lineRule="exact"/>
        <w:rPr>
          <w:sz w:val="20"/>
          <w:szCs w:val="20"/>
          <w:color w:val="auto"/>
        </w:rPr>
      </w:pPr>
    </w:p>
    <w:tbl>
      <w:tblPr>
        <w:tblLayout w:type="fixed"/>
        <w:tblInd w:w="380" w:type="dxa"/>
        <w:tblCellMar>
          <w:top w:w="0" w:type="dxa"/>
          <w:left w:w="0" w:type="dxa"/>
          <w:bottom w:w="0" w:type="dxa"/>
          <w:right w:w="0" w:type="dxa"/>
        </w:tblCellMar>
      </w:tblPr>
      <w:tr>
        <w:trPr>
          <w:trHeight w:val="181"/>
        </w:trPr>
        <w:tc>
          <w:tcPr>
            <w:tcW w:w="3780" w:type="dxa"/>
            <w:vAlign w:val="bottom"/>
            <w:shd w:val="clear" w:color="auto" w:fill="34657F"/>
          </w:tcPr>
          <w:p>
            <w:pPr>
              <w:spacing w:after="0"/>
              <w:rPr>
                <w:sz w:val="15"/>
                <w:szCs w:val="15"/>
                <w:color w:val="auto"/>
              </w:rPr>
            </w:pPr>
          </w:p>
        </w:tc>
        <w:tc>
          <w:tcPr>
            <w:tcW w:w="3780" w:type="dxa"/>
            <w:vAlign w:val="bottom"/>
            <w:shd w:val="clear" w:color="auto" w:fill="34657F"/>
          </w:tcPr>
          <w:p>
            <w:pPr>
              <w:ind w:left="1120"/>
              <w:spacing w:after="0"/>
              <w:rPr>
                <w:sz w:val="20"/>
                <w:szCs w:val="20"/>
                <w:color w:val="auto"/>
              </w:rPr>
            </w:pPr>
            <w:r>
              <w:rPr>
                <w:rFonts w:ascii="Arial" w:cs="Arial" w:eastAsia="Arial" w:hAnsi="Arial"/>
                <w:sz w:val="14"/>
                <w:szCs w:val="14"/>
                <w:b w:val="1"/>
                <w:bCs w:val="1"/>
                <w:color w:val="FFFFFF"/>
              </w:rPr>
              <w:t>Company Contributions</w:t>
            </w:r>
          </w:p>
        </w:tc>
        <w:tc>
          <w:tcPr>
            <w:tcW w:w="20" w:type="dxa"/>
            <w:vAlign w:val="bottom"/>
            <w:shd w:val="clear" w:color="auto" w:fill="34657F"/>
          </w:tcPr>
          <w:p>
            <w:pPr>
              <w:spacing w:after="0"/>
              <w:rPr>
                <w:sz w:val="15"/>
                <w:szCs w:val="15"/>
                <w:color w:val="auto"/>
              </w:rPr>
            </w:pPr>
          </w:p>
        </w:tc>
      </w:tr>
      <w:tr>
        <w:trPr>
          <w:trHeight w:val="184"/>
        </w:trPr>
        <w:tc>
          <w:tcPr>
            <w:tcW w:w="3780" w:type="dxa"/>
            <w:vAlign w:val="bottom"/>
            <w:tcBorders>
              <w:bottom w:val="single" w:sz="8" w:color="34657F"/>
            </w:tcBorders>
            <w:shd w:val="clear" w:color="auto" w:fill="34657F"/>
          </w:tcPr>
          <w:p>
            <w:pPr>
              <w:ind w:left="40"/>
              <w:spacing w:after="0"/>
              <w:rPr>
                <w:sz w:val="20"/>
                <w:szCs w:val="20"/>
                <w:color w:val="auto"/>
              </w:rPr>
            </w:pPr>
            <w:r>
              <w:rPr>
                <w:rFonts w:ascii="Arial" w:cs="Arial" w:eastAsia="Arial" w:hAnsi="Arial"/>
                <w:sz w:val="14"/>
                <w:szCs w:val="14"/>
                <w:b w:val="1"/>
                <w:bCs w:val="1"/>
                <w:color w:val="FFFFFF"/>
              </w:rPr>
              <w:t>Name</w:t>
            </w:r>
          </w:p>
        </w:tc>
        <w:tc>
          <w:tcPr>
            <w:tcW w:w="3780" w:type="dxa"/>
            <w:vAlign w:val="bottom"/>
            <w:tcBorders>
              <w:bottom w:val="single" w:sz="8" w:color="34657F"/>
            </w:tcBorders>
            <w:shd w:val="clear" w:color="auto" w:fill="34657F"/>
          </w:tcPr>
          <w:p>
            <w:pPr>
              <w:jc w:val="center"/>
              <w:spacing w:after="0"/>
              <w:rPr>
                <w:sz w:val="20"/>
                <w:szCs w:val="20"/>
                <w:color w:val="auto"/>
              </w:rPr>
            </w:pPr>
            <w:r>
              <w:rPr>
                <w:rFonts w:ascii="Arial" w:cs="Arial" w:eastAsia="Arial" w:hAnsi="Arial"/>
                <w:sz w:val="14"/>
                <w:szCs w:val="14"/>
                <w:b w:val="1"/>
                <w:bCs w:val="1"/>
                <w:color w:val="FFFFFF"/>
                <w:w w:val="93"/>
              </w:rPr>
              <w:t>($)</w:t>
            </w:r>
          </w:p>
        </w:tc>
        <w:tc>
          <w:tcPr>
            <w:tcW w:w="20" w:type="dxa"/>
            <w:vAlign w:val="bottom"/>
            <w:tcBorders>
              <w:bottom w:val="single" w:sz="8" w:color="34657F"/>
            </w:tcBorders>
            <w:shd w:val="clear" w:color="auto" w:fill="34657F"/>
          </w:tcPr>
          <w:p>
            <w:pPr>
              <w:spacing w:after="0"/>
              <w:rPr>
                <w:sz w:val="15"/>
                <w:szCs w:val="15"/>
                <w:color w:val="auto"/>
              </w:rPr>
            </w:pPr>
          </w:p>
        </w:tc>
      </w:tr>
      <w:tr>
        <w:trPr>
          <w:trHeight w:val="205"/>
        </w:trPr>
        <w:tc>
          <w:tcPr>
            <w:tcW w:w="3780" w:type="dxa"/>
            <w:vAlign w:val="bottom"/>
            <w:shd w:val="clear" w:color="auto" w:fill="D1DDE6"/>
          </w:tcPr>
          <w:p>
            <w:pPr>
              <w:ind w:left="40"/>
              <w:spacing w:after="0"/>
              <w:rPr>
                <w:sz w:val="20"/>
                <w:szCs w:val="20"/>
                <w:color w:val="auto"/>
              </w:rPr>
            </w:pPr>
            <w:r>
              <w:rPr>
                <w:rFonts w:ascii="Arial" w:cs="Arial" w:eastAsia="Arial" w:hAnsi="Arial"/>
                <w:sz w:val="14"/>
                <w:szCs w:val="14"/>
                <w:color w:val="auto"/>
              </w:rPr>
              <w:t>Mr. Bush</w:t>
            </w:r>
          </w:p>
        </w:tc>
        <w:tc>
          <w:tcPr>
            <w:tcW w:w="3780" w:type="dxa"/>
            <w:vAlign w:val="bottom"/>
            <w:shd w:val="clear" w:color="auto" w:fill="D1DDE6"/>
          </w:tcPr>
          <w:p>
            <w:pPr>
              <w:jc w:val="center"/>
              <w:spacing w:after="0"/>
              <w:rPr>
                <w:sz w:val="20"/>
                <w:szCs w:val="20"/>
                <w:color w:val="auto"/>
              </w:rPr>
            </w:pPr>
            <w:r>
              <w:rPr>
                <w:rFonts w:ascii="Arial" w:cs="Arial" w:eastAsia="Arial" w:hAnsi="Arial"/>
                <w:sz w:val="14"/>
                <w:szCs w:val="14"/>
                <w:color w:val="auto"/>
                <w:w w:val="98"/>
              </w:rPr>
              <w:t>419,203</w:t>
            </w:r>
          </w:p>
        </w:tc>
        <w:tc>
          <w:tcPr>
            <w:tcW w:w="20" w:type="dxa"/>
            <w:vAlign w:val="bottom"/>
          </w:tcPr>
          <w:p>
            <w:pPr>
              <w:spacing w:after="0"/>
              <w:rPr>
                <w:sz w:val="17"/>
                <w:szCs w:val="17"/>
                <w:color w:val="auto"/>
              </w:rPr>
            </w:pPr>
          </w:p>
        </w:tc>
      </w:tr>
      <w:tr>
        <w:trPr>
          <w:trHeight w:val="199"/>
        </w:trPr>
        <w:tc>
          <w:tcPr>
            <w:tcW w:w="3780" w:type="dxa"/>
            <w:vAlign w:val="bottom"/>
          </w:tcPr>
          <w:p>
            <w:pPr>
              <w:ind w:left="40"/>
              <w:spacing w:after="0"/>
              <w:rPr>
                <w:sz w:val="20"/>
                <w:szCs w:val="20"/>
                <w:color w:val="auto"/>
              </w:rPr>
            </w:pPr>
            <w:r>
              <w:rPr>
                <w:rFonts w:ascii="Arial" w:cs="Arial" w:eastAsia="Arial" w:hAnsi="Arial"/>
                <w:sz w:val="14"/>
                <w:szCs w:val="14"/>
                <w:color w:val="auto"/>
              </w:rPr>
              <w:t>Ms. Warden</w:t>
            </w:r>
          </w:p>
        </w:tc>
        <w:tc>
          <w:tcPr>
            <w:tcW w:w="3780" w:type="dxa"/>
            <w:vAlign w:val="bottom"/>
          </w:tcPr>
          <w:p>
            <w:pPr>
              <w:jc w:val="center"/>
              <w:spacing w:after="0"/>
              <w:rPr>
                <w:sz w:val="20"/>
                <w:szCs w:val="20"/>
                <w:color w:val="auto"/>
              </w:rPr>
            </w:pPr>
            <w:r>
              <w:rPr>
                <w:rFonts w:ascii="Arial" w:cs="Arial" w:eastAsia="Arial" w:hAnsi="Arial"/>
                <w:sz w:val="14"/>
                <w:szCs w:val="14"/>
                <w:color w:val="auto"/>
                <w:w w:val="98"/>
              </w:rPr>
              <w:t>161,957</w:t>
            </w:r>
          </w:p>
        </w:tc>
        <w:tc>
          <w:tcPr>
            <w:tcW w:w="20" w:type="dxa"/>
            <w:vAlign w:val="bottom"/>
          </w:tcPr>
          <w:p>
            <w:pPr>
              <w:spacing w:after="0"/>
              <w:rPr>
                <w:sz w:val="17"/>
                <w:szCs w:val="17"/>
                <w:color w:val="auto"/>
              </w:rPr>
            </w:pPr>
          </w:p>
        </w:tc>
      </w:tr>
      <w:tr>
        <w:trPr>
          <w:trHeight w:val="211"/>
        </w:trPr>
        <w:tc>
          <w:tcPr>
            <w:tcW w:w="3780" w:type="dxa"/>
            <w:vAlign w:val="bottom"/>
            <w:shd w:val="clear" w:color="auto" w:fill="D1DDE6"/>
          </w:tcPr>
          <w:p>
            <w:pPr>
              <w:ind w:left="40"/>
              <w:spacing w:after="0"/>
              <w:rPr>
                <w:sz w:val="20"/>
                <w:szCs w:val="20"/>
                <w:color w:val="auto"/>
              </w:rPr>
            </w:pPr>
            <w:r>
              <w:rPr>
                <w:rFonts w:ascii="Arial" w:cs="Arial" w:eastAsia="Arial" w:hAnsi="Arial"/>
                <w:sz w:val="14"/>
                <w:szCs w:val="14"/>
                <w:color w:val="auto"/>
              </w:rPr>
              <w:t>Mr. Bedingfield</w:t>
            </w:r>
          </w:p>
        </w:tc>
        <w:tc>
          <w:tcPr>
            <w:tcW w:w="3780" w:type="dxa"/>
            <w:vAlign w:val="bottom"/>
            <w:shd w:val="clear" w:color="auto" w:fill="D1DDE6"/>
          </w:tcPr>
          <w:p>
            <w:pPr>
              <w:jc w:val="center"/>
              <w:spacing w:after="0"/>
              <w:rPr>
                <w:sz w:val="20"/>
                <w:szCs w:val="20"/>
                <w:color w:val="auto"/>
              </w:rPr>
            </w:pPr>
            <w:r>
              <w:rPr>
                <w:rFonts w:ascii="Arial" w:cs="Arial" w:eastAsia="Arial" w:hAnsi="Arial"/>
                <w:sz w:val="14"/>
                <w:szCs w:val="14"/>
                <w:color w:val="auto"/>
                <w:w w:val="98"/>
              </w:rPr>
              <w:t>222,259</w:t>
            </w:r>
          </w:p>
        </w:tc>
        <w:tc>
          <w:tcPr>
            <w:tcW w:w="20" w:type="dxa"/>
            <w:vAlign w:val="bottom"/>
          </w:tcPr>
          <w:p>
            <w:pPr>
              <w:spacing w:after="0"/>
              <w:rPr>
                <w:sz w:val="18"/>
                <w:szCs w:val="18"/>
                <w:color w:val="auto"/>
              </w:rPr>
            </w:pPr>
          </w:p>
        </w:tc>
      </w:tr>
      <w:tr>
        <w:trPr>
          <w:trHeight w:val="199"/>
        </w:trPr>
        <w:tc>
          <w:tcPr>
            <w:tcW w:w="3780" w:type="dxa"/>
            <w:vAlign w:val="bottom"/>
          </w:tcPr>
          <w:p>
            <w:pPr>
              <w:ind w:left="40"/>
              <w:spacing w:after="0"/>
              <w:rPr>
                <w:sz w:val="20"/>
                <w:szCs w:val="20"/>
                <w:color w:val="auto"/>
              </w:rPr>
            </w:pPr>
            <w:r>
              <w:rPr>
                <w:rFonts w:ascii="Arial" w:cs="Arial" w:eastAsia="Arial" w:hAnsi="Arial"/>
                <w:sz w:val="14"/>
                <w:szCs w:val="14"/>
                <w:color w:val="auto"/>
              </w:rPr>
              <w:t>Mr. Caylor</w:t>
            </w:r>
          </w:p>
        </w:tc>
        <w:tc>
          <w:tcPr>
            <w:tcW w:w="3780" w:type="dxa"/>
            <w:vAlign w:val="bottom"/>
          </w:tcPr>
          <w:p>
            <w:pPr>
              <w:jc w:val="center"/>
              <w:spacing w:after="0"/>
              <w:rPr>
                <w:sz w:val="20"/>
                <w:szCs w:val="20"/>
                <w:color w:val="auto"/>
              </w:rPr>
            </w:pPr>
            <w:r>
              <w:rPr>
                <w:rFonts w:ascii="Arial" w:cs="Arial" w:eastAsia="Arial" w:hAnsi="Arial"/>
                <w:sz w:val="14"/>
                <w:szCs w:val="14"/>
                <w:color w:val="auto"/>
                <w:w w:val="97"/>
              </w:rPr>
              <w:t>75,383</w:t>
            </w:r>
          </w:p>
        </w:tc>
        <w:tc>
          <w:tcPr>
            <w:tcW w:w="20" w:type="dxa"/>
            <w:vAlign w:val="bottom"/>
          </w:tcPr>
          <w:p>
            <w:pPr>
              <w:spacing w:after="0"/>
              <w:rPr>
                <w:sz w:val="17"/>
                <w:szCs w:val="17"/>
                <w:color w:val="auto"/>
              </w:rPr>
            </w:pPr>
          </w:p>
        </w:tc>
      </w:tr>
      <w:tr>
        <w:trPr>
          <w:trHeight w:val="211"/>
        </w:trPr>
        <w:tc>
          <w:tcPr>
            <w:tcW w:w="3780" w:type="dxa"/>
            <w:vAlign w:val="bottom"/>
            <w:shd w:val="clear" w:color="auto" w:fill="D1DDE6"/>
          </w:tcPr>
          <w:p>
            <w:pPr>
              <w:ind w:left="40"/>
              <w:spacing w:after="0" w:line="210" w:lineRule="exact"/>
              <w:rPr>
                <w:sz w:val="20"/>
                <w:szCs w:val="20"/>
                <w:color w:val="auto"/>
              </w:rPr>
            </w:pPr>
            <w:r>
              <w:rPr>
                <w:rFonts w:ascii="Arial" w:cs="Arial" w:eastAsia="Arial" w:hAnsi="Arial"/>
                <w:sz w:val="14"/>
                <w:szCs w:val="14"/>
                <w:color w:val="auto"/>
              </w:rPr>
              <w:t xml:space="preserve">Mr. Larson </w:t>
            </w:r>
            <w:r>
              <w:rPr>
                <w:rFonts w:ascii="Arial" w:cs="Arial" w:eastAsia="Arial" w:hAnsi="Arial"/>
                <w:sz w:val="22"/>
                <w:szCs w:val="22"/>
                <w:color w:val="auto"/>
                <w:vertAlign w:val="superscript"/>
              </w:rPr>
              <w:t>(a)</w:t>
            </w:r>
          </w:p>
        </w:tc>
        <w:tc>
          <w:tcPr>
            <w:tcW w:w="3780" w:type="dxa"/>
            <w:vAlign w:val="bottom"/>
            <w:shd w:val="clear" w:color="auto" w:fill="D1DDE6"/>
          </w:tcPr>
          <w:p>
            <w:pPr>
              <w:jc w:val="center"/>
              <w:spacing w:after="0"/>
              <w:rPr>
                <w:sz w:val="20"/>
                <w:szCs w:val="20"/>
                <w:color w:val="auto"/>
              </w:rPr>
            </w:pPr>
            <w:r>
              <w:rPr>
                <w:rFonts w:ascii="Arial" w:cs="Arial" w:eastAsia="Arial" w:hAnsi="Arial"/>
                <w:sz w:val="14"/>
                <w:szCs w:val="14"/>
                <w:color w:val="auto"/>
                <w:w w:val="97"/>
              </w:rPr>
              <w:t>16,749</w:t>
            </w:r>
          </w:p>
        </w:tc>
        <w:tc>
          <w:tcPr>
            <w:tcW w:w="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245745</wp:posOffset>
            </wp:positionH>
            <wp:positionV relativeFrom="paragraph">
              <wp:posOffset>0</wp:posOffset>
            </wp:positionV>
            <wp:extent cx="479488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4794885" cy="8255"/>
                    </a:xfrm>
                    <a:prstGeom prst="rect">
                      <a:avLst/>
                    </a:prstGeom>
                    <a:noFill/>
                  </pic:spPr>
                </pic:pic>
              </a:graphicData>
            </a:graphic>
          </wp:anchor>
        </w:drawing>
      </w:r>
    </w:p>
    <w:p>
      <w:pPr>
        <w:ind w:left="380"/>
        <w:spacing w:after="0"/>
        <w:rPr>
          <w:sz w:val="20"/>
          <w:szCs w:val="20"/>
          <w:color w:val="auto"/>
        </w:rPr>
      </w:pPr>
      <w:r>
        <w:rPr>
          <w:rFonts w:ascii="Arial" w:cs="Arial" w:eastAsia="Arial" w:hAnsi="Arial"/>
          <w:sz w:val="14"/>
          <w:szCs w:val="14"/>
          <w:color w:val="auto"/>
        </w:rPr>
        <w:t xml:space="preserve">(a) </w:t>
      </w:r>
      <w:r>
        <w:rPr>
          <w:rFonts w:ascii="Arial" w:cs="Arial" w:eastAsia="Arial" w:hAnsi="Arial"/>
          <w:sz w:val="13"/>
          <w:szCs w:val="13"/>
          <w:color w:val="auto"/>
        </w:rPr>
        <w:t>Amounts represent Company contributions from the Merger Date.</w:t>
      </w:r>
    </w:p>
    <w:p>
      <w:pPr>
        <w:spacing w:after="0" w:line="109" w:lineRule="exact"/>
        <w:rPr>
          <w:sz w:val="20"/>
          <w:szCs w:val="20"/>
          <w:color w:val="auto"/>
        </w:rPr>
      </w:pPr>
    </w:p>
    <w:p>
      <w:pPr>
        <w:ind w:left="380" w:hanging="377"/>
        <w:spacing w:after="0"/>
        <w:tabs>
          <w:tab w:leader="none" w:pos="380" w:val="left"/>
        </w:tabs>
        <w:numPr>
          <w:ilvl w:val="0"/>
          <w:numId w:val="68"/>
        </w:numPr>
        <w:rPr>
          <w:rFonts w:ascii="Arial" w:cs="Arial" w:eastAsia="Arial" w:hAnsi="Arial"/>
          <w:sz w:val="17"/>
          <w:szCs w:val="17"/>
          <w:color w:val="auto"/>
        </w:rPr>
      </w:pPr>
      <w:r>
        <w:rPr>
          <w:rFonts w:ascii="Arial" w:cs="Arial" w:eastAsia="Arial" w:hAnsi="Arial"/>
          <w:sz w:val="17"/>
          <w:szCs w:val="17"/>
          <w:color w:val="auto"/>
        </w:rPr>
        <w:t>Mr. Caylor and Mr. Larson were not NEOs for 2017 and 2016; therefore, data for these years is not reflected.</w:t>
      </w:r>
    </w:p>
    <w:p>
      <w:pPr>
        <w:spacing w:after="0" w:line="329"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54 </w:t>
      </w:r>
      <w:r>
        <w:rPr>
          <w:rFonts w:ascii="Arial" w:cs="Arial" w:eastAsia="Arial" w:hAnsi="Arial"/>
          <w:sz w:val="13"/>
          <w:szCs w:val="13"/>
          <w:color w:val="auto"/>
        </w:rPr>
        <w:t>I</w:t>
      </w:r>
      <w:r>
        <w:rPr>
          <w:rFonts w:ascii="Arial" w:cs="Arial" w:eastAsia="Arial" w:hAnsi="Arial"/>
          <w:sz w:val="17"/>
          <w:szCs w:val="17"/>
          <w:color w:val="auto"/>
        </w:rPr>
        <w:t xml:space="preserve"> </w:t>
      </w:r>
      <w:r>
        <w:rPr>
          <w:rFonts w:ascii="Arial" w:cs="Arial" w:eastAsia="Arial" w:hAnsi="Arial"/>
          <w:sz w:val="13"/>
          <w:szCs w:val="13"/>
          <w:color w:val="34657F"/>
        </w:rPr>
        <w:t>NOTICE OF 2019 ANNUAL MEETING OF SHAREHOLDERS AND PROXY STATEMENT</w:t>
      </w:r>
    </w:p>
    <w:p>
      <w:pPr>
        <w:sectPr>
          <w:pgSz w:w="11900" w:h="16838" w:orient="portrait"/>
          <w:cols w:equalWidth="0" w:num="1">
            <w:col w:w="11420"/>
          </w:cols>
          <w:pgMar w:left="240" w:top="671" w:right="239" w:bottom="1440" w:gutter="0" w:footer="0" w:header="0"/>
        </w:sectPr>
      </w:pPr>
    </w:p>
    <w:bookmarkStart w:id="60" w:name="page61"/>
    <w:bookmarkEnd w:id="60"/>
    <w:p>
      <w:pPr>
        <w:ind w:left="20"/>
        <w:spacing w:after="0"/>
        <w:rPr>
          <w:sz w:val="20"/>
          <w:szCs w:val="20"/>
          <w:color w:val="auto"/>
        </w:rPr>
      </w:pPr>
      <w:r>
        <w:rPr>
          <w:rFonts w:ascii="Arial" w:cs="Arial" w:eastAsia="Arial" w:hAnsi="Arial"/>
          <w:sz w:val="21"/>
          <w:szCs w:val="21"/>
          <w:b w:val="1"/>
          <w:bCs w:val="1"/>
          <w:color w:val="FFFFFF"/>
        </w:rPr>
        <w:drawing>
          <wp:anchor simplePos="0" relativeHeight="251657728" behindDoc="1" locked="0" layoutInCell="0" allowOverlap="1">
            <wp:simplePos x="0" y="0"/>
            <wp:positionH relativeFrom="page">
              <wp:posOffset>154305</wp:posOffset>
            </wp:positionH>
            <wp:positionV relativeFrom="page">
              <wp:posOffset>365760</wp:posOffset>
            </wp:positionV>
            <wp:extent cx="7253605" cy="56197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53605" cy="561975"/>
                    </a:xfrm>
                    <a:prstGeom prst="rect">
                      <a:avLst/>
                    </a:prstGeom>
                    <a:noFill/>
                  </pic:spPr>
                </pic:pic>
              </a:graphicData>
            </a:graphic>
          </wp:anchor>
        </w:drawing>
        <w:t>COMPENSATION TABLES | G</w:t>
      </w:r>
      <w:r>
        <w:rPr>
          <w:rFonts w:ascii="Arial" w:cs="Arial" w:eastAsia="Arial" w:hAnsi="Arial"/>
          <w:sz w:val="17"/>
          <w:szCs w:val="17"/>
          <w:b w:val="1"/>
          <w:bCs w:val="1"/>
          <w:color w:val="FFFFFF"/>
        </w:rPr>
        <w:t>RANTS OF</w:t>
      </w:r>
      <w:r>
        <w:rPr>
          <w:rFonts w:ascii="Arial" w:cs="Arial" w:eastAsia="Arial" w:hAnsi="Arial"/>
          <w:sz w:val="21"/>
          <w:szCs w:val="21"/>
          <w:b w:val="1"/>
          <w:bCs w:val="1"/>
          <w:color w:val="FFFFFF"/>
        </w:rPr>
        <w:t xml:space="preserve"> P</w:t>
      </w:r>
      <w:r>
        <w:rPr>
          <w:rFonts w:ascii="Arial" w:cs="Arial" w:eastAsia="Arial" w:hAnsi="Arial"/>
          <w:sz w:val="17"/>
          <w:szCs w:val="17"/>
          <w:b w:val="1"/>
          <w:bCs w:val="1"/>
          <w:color w:val="FFFFFF"/>
        </w:rPr>
        <w:t>LAN-</w:t>
      </w:r>
      <w:r>
        <w:rPr>
          <w:rFonts w:ascii="Arial" w:cs="Arial" w:eastAsia="Arial" w:hAnsi="Arial"/>
          <w:sz w:val="21"/>
          <w:szCs w:val="21"/>
          <w:b w:val="1"/>
          <w:bCs w:val="1"/>
          <w:color w:val="FFFFFF"/>
        </w:rPr>
        <w:t>B</w:t>
      </w:r>
      <w:r>
        <w:rPr>
          <w:rFonts w:ascii="Arial" w:cs="Arial" w:eastAsia="Arial" w:hAnsi="Arial"/>
          <w:sz w:val="17"/>
          <w:szCs w:val="17"/>
          <w:b w:val="1"/>
          <w:bCs w:val="1"/>
          <w:color w:val="FFFFFF"/>
        </w:rPr>
        <w:t>ASED</w:t>
      </w:r>
      <w:r>
        <w:rPr>
          <w:rFonts w:ascii="Arial" w:cs="Arial" w:eastAsia="Arial" w:hAnsi="Arial"/>
          <w:sz w:val="21"/>
          <w:szCs w:val="21"/>
          <w:b w:val="1"/>
          <w:bCs w:val="1"/>
          <w:color w:val="FFFFFF"/>
        </w:rPr>
        <w:t xml:space="preserve"> A</w:t>
      </w:r>
      <w:r>
        <w:rPr>
          <w:rFonts w:ascii="Arial" w:cs="Arial" w:eastAsia="Arial" w:hAnsi="Arial"/>
          <w:sz w:val="17"/>
          <w:szCs w:val="17"/>
          <w:b w:val="1"/>
          <w:bCs w:val="1"/>
          <w:color w:val="FFFFFF"/>
        </w:rPr>
        <w:t>WARDS</w:t>
      </w:r>
      <w:r>
        <w:rPr>
          <w:rFonts w:ascii="Arial" w:cs="Arial" w:eastAsia="Arial" w:hAnsi="Arial"/>
          <w:sz w:val="21"/>
          <w:szCs w:val="21"/>
          <w:b w:val="1"/>
          <w:bCs w:val="1"/>
          <w:color w:val="FFFFFF"/>
        </w:rPr>
        <w:t xml:space="preserve"> T</w:t>
      </w:r>
      <w:r>
        <w:rPr>
          <w:rFonts w:ascii="Arial" w:cs="Arial" w:eastAsia="Arial" w:hAnsi="Arial"/>
          <w:sz w:val="17"/>
          <w:szCs w:val="17"/>
          <w:b w:val="1"/>
          <w:bCs w:val="1"/>
          <w:color w:val="FFFFFF"/>
        </w:rPr>
        <w:t>ABLE</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2018 Grants of Plan-Based Awards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960" w:type="dxa"/>
            <w:vAlign w:val="bottom"/>
            <w:shd w:val="clear" w:color="auto" w:fill="34657F"/>
          </w:tcPr>
          <w:p>
            <w:pPr>
              <w:spacing w:after="0"/>
              <w:rPr>
                <w:sz w:val="15"/>
                <w:szCs w:val="15"/>
                <w:color w:val="auto"/>
              </w:rPr>
            </w:pPr>
          </w:p>
        </w:tc>
        <w:tc>
          <w:tcPr>
            <w:tcW w:w="1140" w:type="dxa"/>
            <w:vAlign w:val="bottom"/>
            <w:shd w:val="clear" w:color="auto" w:fill="34657F"/>
          </w:tcPr>
          <w:p>
            <w:pPr>
              <w:spacing w:after="0"/>
              <w:rPr>
                <w:sz w:val="15"/>
                <w:szCs w:val="15"/>
                <w:color w:val="auto"/>
              </w:rPr>
            </w:pPr>
          </w:p>
        </w:tc>
        <w:tc>
          <w:tcPr>
            <w:tcW w:w="940" w:type="dxa"/>
            <w:vAlign w:val="bottom"/>
            <w:shd w:val="clear" w:color="auto" w:fill="34657F"/>
          </w:tcPr>
          <w:p>
            <w:pPr>
              <w:spacing w:after="0"/>
              <w:rPr>
                <w:sz w:val="15"/>
                <w:szCs w:val="15"/>
                <w:color w:val="auto"/>
              </w:rPr>
            </w:pPr>
          </w:p>
        </w:tc>
        <w:tc>
          <w:tcPr>
            <w:tcW w:w="820" w:type="dxa"/>
            <w:vAlign w:val="bottom"/>
            <w:shd w:val="clear" w:color="auto" w:fill="34657F"/>
          </w:tcPr>
          <w:p>
            <w:pPr>
              <w:spacing w:after="0"/>
              <w:rPr>
                <w:sz w:val="15"/>
                <w:szCs w:val="15"/>
                <w:color w:val="auto"/>
              </w:rPr>
            </w:pPr>
          </w:p>
        </w:tc>
        <w:tc>
          <w:tcPr>
            <w:tcW w:w="1100" w:type="dxa"/>
            <w:vAlign w:val="bottom"/>
            <w:shd w:val="clear" w:color="auto" w:fill="34657F"/>
          </w:tcPr>
          <w:p>
            <w:pPr>
              <w:spacing w:after="0"/>
              <w:rPr>
                <w:sz w:val="15"/>
                <w:szCs w:val="15"/>
                <w:color w:val="auto"/>
              </w:rPr>
            </w:pPr>
          </w:p>
        </w:tc>
        <w:tc>
          <w:tcPr>
            <w:tcW w:w="860" w:type="dxa"/>
            <w:vAlign w:val="bottom"/>
            <w:shd w:val="clear" w:color="auto" w:fill="34657F"/>
          </w:tcPr>
          <w:p>
            <w:pPr>
              <w:spacing w:after="0"/>
              <w:rPr>
                <w:sz w:val="15"/>
                <w:szCs w:val="15"/>
                <w:color w:val="auto"/>
              </w:rPr>
            </w:pPr>
          </w:p>
        </w:tc>
        <w:tc>
          <w:tcPr>
            <w:tcW w:w="880" w:type="dxa"/>
            <w:vAlign w:val="bottom"/>
            <w:shd w:val="clear" w:color="auto" w:fill="34657F"/>
          </w:tcPr>
          <w:p>
            <w:pPr>
              <w:spacing w:after="0"/>
              <w:rPr>
                <w:sz w:val="15"/>
                <w:szCs w:val="15"/>
                <w:color w:val="auto"/>
              </w:rPr>
            </w:pPr>
          </w:p>
        </w:tc>
        <w:tc>
          <w:tcPr>
            <w:tcW w:w="1100" w:type="dxa"/>
            <w:vAlign w:val="bottom"/>
            <w:shd w:val="clear" w:color="auto" w:fill="34657F"/>
          </w:tcPr>
          <w:p>
            <w:pPr>
              <w:spacing w:after="0"/>
              <w:rPr>
                <w:sz w:val="15"/>
                <w:szCs w:val="15"/>
                <w:color w:val="auto"/>
              </w:rPr>
            </w:pPr>
          </w:p>
        </w:tc>
        <w:tc>
          <w:tcPr>
            <w:tcW w:w="800" w:type="dxa"/>
            <w:vAlign w:val="bottom"/>
            <w:shd w:val="clear" w:color="auto" w:fill="34657F"/>
          </w:tcPr>
          <w:p>
            <w:pPr>
              <w:spacing w:after="0"/>
              <w:rPr>
                <w:sz w:val="15"/>
                <w:szCs w:val="15"/>
                <w:color w:val="auto"/>
              </w:rPr>
            </w:pPr>
          </w:p>
        </w:tc>
        <w:tc>
          <w:tcPr>
            <w:tcW w:w="920" w:type="dxa"/>
            <w:vAlign w:val="bottom"/>
            <w:shd w:val="clear" w:color="auto" w:fill="34657F"/>
          </w:tcPr>
          <w:p>
            <w:pPr>
              <w:jc w:val="center"/>
              <w:spacing w:after="0"/>
              <w:rPr>
                <w:sz w:val="20"/>
                <w:szCs w:val="20"/>
                <w:color w:val="auto"/>
              </w:rPr>
            </w:pPr>
            <w:r>
              <w:rPr>
                <w:rFonts w:ascii="Arial" w:cs="Arial" w:eastAsia="Arial" w:hAnsi="Arial"/>
                <w:sz w:val="14"/>
                <w:szCs w:val="14"/>
                <w:b w:val="1"/>
                <w:bCs w:val="1"/>
                <w:color w:val="FFFFFF"/>
                <w:w w:val="94"/>
              </w:rPr>
              <w:t>All Other</w:t>
            </w:r>
          </w:p>
        </w:tc>
        <w:tc>
          <w:tcPr>
            <w:tcW w:w="900" w:type="dxa"/>
            <w:vAlign w:val="bottom"/>
            <w:shd w:val="clear" w:color="auto" w:fill="34657F"/>
          </w:tcPr>
          <w:p>
            <w:pPr>
              <w:spacing w:after="0"/>
              <w:rPr>
                <w:sz w:val="15"/>
                <w:szCs w:val="15"/>
                <w:color w:val="auto"/>
              </w:rPr>
            </w:pPr>
          </w:p>
        </w:tc>
        <w:tc>
          <w:tcPr>
            <w:tcW w:w="20" w:type="dxa"/>
            <w:vAlign w:val="bottom"/>
            <w:shd w:val="clear" w:color="auto" w:fill="34657F"/>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1960" w:type="dxa"/>
            <w:vAlign w:val="bottom"/>
            <w:shd w:val="clear" w:color="auto" w:fill="34657F"/>
          </w:tcPr>
          <w:p>
            <w:pPr>
              <w:spacing w:after="0"/>
              <w:rPr>
                <w:sz w:val="13"/>
                <w:szCs w:val="13"/>
                <w:color w:val="auto"/>
              </w:rPr>
            </w:pPr>
          </w:p>
        </w:tc>
        <w:tc>
          <w:tcPr>
            <w:tcW w:w="1140" w:type="dxa"/>
            <w:vAlign w:val="bottom"/>
            <w:shd w:val="clear" w:color="auto" w:fill="34657F"/>
          </w:tcPr>
          <w:p>
            <w:pPr>
              <w:spacing w:after="0"/>
              <w:rPr>
                <w:sz w:val="13"/>
                <w:szCs w:val="13"/>
                <w:color w:val="auto"/>
              </w:rPr>
            </w:pPr>
          </w:p>
        </w:tc>
        <w:tc>
          <w:tcPr>
            <w:tcW w:w="940" w:type="dxa"/>
            <w:vAlign w:val="bottom"/>
            <w:shd w:val="clear" w:color="auto" w:fill="34657F"/>
          </w:tcPr>
          <w:p>
            <w:pPr>
              <w:spacing w:after="0"/>
              <w:rPr>
                <w:sz w:val="13"/>
                <w:szCs w:val="13"/>
                <w:color w:val="auto"/>
              </w:rPr>
            </w:pPr>
          </w:p>
        </w:tc>
        <w:tc>
          <w:tcPr>
            <w:tcW w:w="2780" w:type="dxa"/>
            <w:vAlign w:val="bottom"/>
            <w:gridSpan w:val="3"/>
            <w:vMerge w:val="restart"/>
            <w:shd w:val="clear" w:color="auto" w:fill="34657F"/>
          </w:tcPr>
          <w:p>
            <w:pPr>
              <w:jc w:val="center"/>
              <w:spacing w:after="0"/>
              <w:rPr>
                <w:sz w:val="20"/>
                <w:szCs w:val="20"/>
                <w:color w:val="auto"/>
              </w:rPr>
            </w:pPr>
            <w:r>
              <w:rPr>
                <w:rFonts w:ascii="Arial" w:cs="Arial" w:eastAsia="Arial" w:hAnsi="Arial"/>
                <w:sz w:val="14"/>
                <w:szCs w:val="14"/>
                <w:b w:val="1"/>
                <w:bCs w:val="1"/>
                <w:color w:val="FFFFFF"/>
                <w:w w:val="97"/>
              </w:rPr>
              <w:t>Estimated Future Payouts Under</w:t>
            </w:r>
          </w:p>
        </w:tc>
        <w:tc>
          <w:tcPr>
            <w:tcW w:w="2780" w:type="dxa"/>
            <w:vAlign w:val="bottom"/>
            <w:gridSpan w:val="3"/>
            <w:vMerge w:val="restart"/>
            <w:shd w:val="clear" w:color="auto" w:fill="34657F"/>
          </w:tcPr>
          <w:p>
            <w:pPr>
              <w:jc w:val="center"/>
              <w:spacing w:after="0"/>
              <w:rPr>
                <w:sz w:val="20"/>
                <w:szCs w:val="20"/>
                <w:color w:val="auto"/>
              </w:rPr>
            </w:pPr>
            <w:r>
              <w:rPr>
                <w:rFonts w:ascii="Arial" w:cs="Arial" w:eastAsia="Arial" w:hAnsi="Arial"/>
                <w:sz w:val="14"/>
                <w:szCs w:val="14"/>
                <w:b w:val="1"/>
                <w:bCs w:val="1"/>
                <w:color w:val="FFFFFF"/>
                <w:w w:val="97"/>
              </w:rPr>
              <w:t>Estimated Future Payouts</w:t>
            </w:r>
          </w:p>
        </w:tc>
        <w:tc>
          <w:tcPr>
            <w:tcW w:w="920" w:type="dxa"/>
            <w:vAlign w:val="bottom"/>
            <w:shd w:val="clear" w:color="auto" w:fill="34657F"/>
          </w:tcPr>
          <w:p>
            <w:pPr>
              <w:jc w:val="center"/>
              <w:spacing w:after="0" w:line="154" w:lineRule="exact"/>
              <w:rPr>
                <w:sz w:val="20"/>
                <w:szCs w:val="20"/>
                <w:color w:val="auto"/>
              </w:rPr>
            </w:pPr>
            <w:r>
              <w:rPr>
                <w:rFonts w:ascii="Arial" w:cs="Arial" w:eastAsia="Arial" w:hAnsi="Arial"/>
                <w:sz w:val="14"/>
                <w:szCs w:val="14"/>
                <w:b w:val="1"/>
                <w:bCs w:val="1"/>
                <w:color w:val="FFFFFF"/>
                <w:w w:val="94"/>
              </w:rPr>
              <w:t>Stock</w:t>
            </w:r>
          </w:p>
        </w:tc>
        <w:tc>
          <w:tcPr>
            <w:tcW w:w="900" w:type="dxa"/>
            <w:vAlign w:val="bottom"/>
            <w:shd w:val="clear" w:color="auto" w:fill="34657F"/>
          </w:tcPr>
          <w:p>
            <w:pPr>
              <w:spacing w:after="0"/>
              <w:rPr>
                <w:sz w:val="13"/>
                <w:szCs w:val="13"/>
                <w:color w:val="auto"/>
              </w:rPr>
            </w:pPr>
          </w:p>
        </w:tc>
        <w:tc>
          <w:tcPr>
            <w:tcW w:w="20" w:type="dxa"/>
            <w:vAlign w:val="bottom"/>
            <w:shd w:val="clear" w:color="auto" w:fill="34657F"/>
          </w:tcPr>
          <w:p>
            <w:pPr>
              <w:spacing w:after="0"/>
              <w:rPr>
                <w:sz w:val="13"/>
                <w:szCs w:val="13"/>
                <w:color w:val="auto"/>
              </w:rPr>
            </w:pPr>
          </w:p>
        </w:tc>
        <w:tc>
          <w:tcPr>
            <w:tcW w:w="0" w:type="dxa"/>
            <w:vAlign w:val="bottom"/>
          </w:tcPr>
          <w:p>
            <w:pPr>
              <w:spacing w:after="0"/>
              <w:rPr>
                <w:sz w:val="1"/>
                <w:szCs w:val="1"/>
                <w:color w:val="auto"/>
              </w:rPr>
            </w:pPr>
          </w:p>
        </w:tc>
      </w:tr>
      <w:tr>
        <w:trPr>
          <w:trHeight w:val="77"/>
        </w:trPr>
        <w:tc>
          <w:tcPr>
            <w:tcW w:w="1960" w:type="dxa"/>
            <w:vAlign w:val="bottom"/>
            <w:shd w:val="clear" w:color="auto" w:fill="34657F"/>
          </w:tcPr>
          <w:p>
            <w:pPr>
              <w:spacing w:after="0"/>
              <w:rPr>
                <w:sz w:val="6"/>
                <w:szCs w:val="6"/>
                <w:color w:val="auto"/>
              </w:rPr>
            </w:pPr>
          </w:p>
        </w:tc>
        <w:tc>
          <w:tcPr>
            <w:tcW w:w="1140" w:type="dxa"/>
            <w:vAlign w:val="bottom"/>
            <w:shd w:val="clear" w:color="auto" w:fill="34657F"/>
          </w:tcPr>
          <w:p>
            <w:pPr>
              <w:spacing w:after="0"/>
              <w:rPr>
                <w:sz w:val="6"/>
                <w:szCs w:val="6"/>
                <w:color w:val="auto"/>
              </w:rPr>
            </w:pPr>
          </w:p>
        </w:tc>
        <w:tc>
          <w:tcPr>
            <w:tcW w:w="940" w:type="dxa"/>
            <w:vAlign w:val="bottom"/>
            <w:shd w:val="clear" w:color="auto" w:fill="34657F"/>
          </w:tcPr>
          <w:p>
            <w:pPr>
              <w:spacing w:after="0"/>
              <w:rPr>
                <w:sz w:val="6"/>
                <w:szCs w:val="6"/>
                <w:color w:val="auto"/>
              </w:rPr>
            </w:pPr>
          </w:p>
        </w:tc>
        <w:tc>
          <w:tcPr>
            <w:tcW w:w="2780" w:type="dxa"/>
            <w:vAlign w:val="bottom"/>
            <w:gridSpan w:val="3"/>
            <w:vMerge w:val="continue"/>
            <w:shd w:val="clear" w:color="auto" w:fill="34657F"/>
          </w:tcPr>
          <w:p>
            <w:pPr>
              <w:spacing w:after="0"/>
              <w:rPr>
                <w:sz w:val="6"/>
                <w:szCs w:val="6"/>
                <w:color w:val="auto"/>
              </w:rPr>
            </w:pPr>
          </w:p>
        </w:tc>
        <w:tc>
          <w:tcPr>
            <w:tcW w:w="2780" w:type="dxa"/>
            <w:vAlign w:val="bottom"/>
            <w:gridSpan w:val="3"/>
            <w:vMerge w:val="continue"/>
            <w:shd w:val="clear" w:color="auto" w:fill="34657F"/>
          </w:tcPr>
          <w:p>
            <w:pPr>
              <w:spacing w:after="0"/>
              <w:rPr>
                <w:sz w:val="6"/>
                <w:szCs w:val="6"/>
                <w:color w:val="auto"/>
              </w:rPr>
            </w:pPr>
          </w:p>
        </w:tc>
        <w:tc>
          <w:tcPr>
            <w:tcW w:w="920" w:type="dxa"/>
            <w:vAlign w:val="bottom"/>
            <w:vMerge w:val="restart"/>
            <w:shd w:val="clear" w:color="auto" w:fill="34657F"/>
          </w:tcPr>
          <w:p>
            <w:pPr>
              <w:jc w:val="center"/>
              <w:spacing w:after="0" w:line="154" w:lineRule="exact"/>
              <w:rPr>
                <w:sz w:val="20"/>
                <w:szCs w:val="20"/>
                <w:color w:val="auto"/>
              </w:rPr>
            </w:pPr>
            <w:r>
              <w:rPr>
                <w:rFonts w:ascii="Arial" w:cs="Arial" w:eastAsia="Arial" w:hAnsi="Arial"/>
                <w:sz w:val="14"/>
                <w:szCs w:val="14"/>
                <w:b w:val="1"/>
                <w:bCs w:val="1"/>
                <w:color w:val="FFFFFF"/>
                <w:w w:val="94"/>
              </w:rPr>
              <w:t>Awards:</w:t>
            </w:r>
          </w:p>
        </w:tc>
        <w:tc>
          <w:tcPr>
            <w:tcW w:w="900" w:type="dxa"/>
            <w:vAlign w:val="bottom"/>
            <w:vMerge w:val="restart"/>
            <w:shd w:val="clear" w:color="auto" w:fill="34657F"/>
          </w:tcPr>
          <w:p>
            <w:pPr>
              <w:jc w:val="center"/>
              <w:spacing w:after="0" w:line="154" w:lineRule="exact"/>
              <w:rPr>
                <w:sz w:val="20"/>
                <w:szCs w:val="20"/>
                <w:color w:val="auto"/>
              </w:rPr>
            </w:pPr>
            <w:r>
              <w:rPr>
                <w:rFonts w:ascii="Arial" w:cs="Arial" w:eastAsia="Arial" w:hAnsi="Arial"/>
                <w:sz w:val="14"/>
                <w:szCs w:val="14"/>
                <w:b w:val="1"/>
                <w:bCs w:val="1"/>
                <w:color w:val="FFFFFF"/>
              </w:rPr>
              <w:t>Grant</w:t>
            </w:r>
          </w:p>
        </w:tc>
        <w:tc>
          <w:tcPr>
            <w:tcW w:w="20" w:type="dxa"/>
            <w:vAlign w:val="bottom"/>
            <w:shd w:val="clear" w:color="auto" w:fill="34657F"/>
          </w:tcPr>
          <w:p>
            <w:pPr>
              <w:spacing w:after="0"/>
              <w:rPr>
                <w:sz w:val="6"/>
                <w:szCs w:val="6"/>
                <w:color w:val="auto"/>
              </w:rPr>
            </w:pPr>
          </w:p>
        </w:tc>
        <w:tc>
          <w:tcPr>
            <w:tcW w:w="0" w:type="dxa"/>
            <w:vAlign w:val="bottom"/>
          </w:tcPr>
          <w:p>
            <w:pPr>
              <w:spacing w:after="0"/>
              <w:rPr>
                <w:sz w:val="1"/>
                <w:szCs w:val="1"/>
                <w:color w:val="auto"/>
              </w:rPr>
            </w:pPr>
          </w:p>
        </w:tc>
      </w:tr>
      <w:tr>
        <w:trPr>
          <w:trHeight w:val="77"/>
        </w:trPr>
        <w:tc>
          <w:tcPr>
            <w:tcW w:w="1960" w:type="dxa"/>
            <w:vAlign w:val="bottom"/>
            <w:shd w:val="clear" w:color="auto" w:fill="34657F"/>
          </w:tcPr>
          <w:p>
            <w:pPr>
              <w:spacing w:after="0"/>
              <w:rPr>
                <w:sz w:val="6"/>
                <w:szCs w:val="6"/>
                <w:color w:val="auto"/>
              </w:rPr>
            </w:pPr>
          </w:p>
        </w:tc>
        <w:tc>
          <w:tcPr>
            <w:tcW w:w="1140" w:type="dxa"/>
            <w:vAlign w:val="bottom"/>
            <w:shd w:val="clear" w:color="auto" w:fill="34657F"/>
          </w:tcPr>
          <w:p>
            <w:pPr>
              <w:spacing w:after="0"/>
              <w:rPr>
                <w:sz w:val="6"/>
                <w:szCs w:val="6"/>
                <w:color w:val="auto"/>
              </w:rPr>
            </w:pPr>
          </w:p>
        </w:tc>
        <w:tc>
          <w:tcPr>
            <w:tcW w:w="940" w:type="dxa"/>
            <w:vAlign w:val="bottom"/>
            <w:shd w:val="clear" w:color="auto" w:fill="34657F"/>
          </w:tcPr>
          <w:p>
            <w:pPr>
              <w:spacing w:after="0"/>
              <w:rPr>
                <w:sz w:val="6"/>
                <w:szCs w:val="6"/>
                <w:color w:val="auto"/>
              </w:rPr>
            </w:pPr>
          </w:p>
        </w:tc>
        <w:tc>
          <w:tcPr>
            <w:tcW w:w="2780" w:type="dxa"/>
            <w:vAlign w:val="bottom"/>
            <w:gridSpan w:val="3"/>
            <w:vMerge w:val="restart"/>
            <w:shd w:val="clear" w:color="auto" w:fill="34657F"/>
          </w:tcPr>
          <w:p>
            <w:pPr>
              <w:jc w:val="center"/>
              <w:spacing w:after="0" w:line="154" w:lineRule="exact"/>
              <w:rPr>
                <w:sz w:val="20"/>
                <w:szCs w:val="20"/>
                <w:color w:val="auto"/>
              </w:rPr>
            </w:pPr>
            <w:r>
              <w:rPr>
                <w:rFonts w:ascii="Arial" w:cs="Arial" w:eastAsia="Arial" w:hAnsi="Arial"/>
                <w:sz w:val="14"/>
                <w:szCs w:val="14"/>
                <w:b w:val="1"/>
                <w:bCs w:val="1"/>
                <w:color w:val="FFFFFF"/>
                <w:w w:val="97"/>
              </w:rPr>
              <w:t>Non-Equity Incentive</w:t>
            </w:r>
          </w:p>
        </w:tc>
        <w:tc>
          <w:tcPr>
            <w:tcW w:w="2780" w:type="dxa"/>
            <w:vAlign w:val="bottom"/>
            <w:gridSpan w:val="3"/>
            <w:vMerge w:val="restart"/>
            <w:shd w:val="clear" w:color="auto" w:fill="34657F"/>
          </w:tcPr>
          <w:p>
            <w:pPr>
              <w:jc w:val="center"/>
              <w:spacing w:after="0" w:line="154" w:lineRule="exact"/>
              <w:rPr>
                <w:sz w:val="20"/>
                <w:szCs w:val="20"/>
                <w:color w:val="auto"/>
              </w:rPr>
            </w:pPr>
            <w:r>
              <w:rPr>
                <w:rFonts w:ascii="Arial" w:cs="Arial" w:eastAsia="Arial" w:hAnsi="Arial"/>
                <w:sz w:val="14"/>
                <w:szCs w:val="14"/>
                <w:b w:val="1"/>
                <w:bCs w:val="1"/>
                <w:color w:val="FFFFFF"/>
                <w:w w:val="97"/>
              </w:rPr>
              <w:t>Under Equity Incentive</w:t>
            </w:r>
          </w:p>
        </w:tc>
        <w:tc>
          <w:tcPr>
            <w:tcW w:w="920" w:type="dxa"/>
            <w:vAlign w:val="bottom"/>
            <w:vMerge w:val="continue"/>
            <w:shd w:val="clear" w:color="auto" w:fill="34657F"/>
          </w:tcPr>
          <w:p>
            <w:pPr>
              <w:spacing w:after="0"/>
              <w:rPr>
                <w:sz w:val="6"/>
                <w:szCs w:val="6"/>
                <w:color w:val="auto"/>
              </w:rPr>
            </w:pPr>
          </w:p>
        </w:tc>
        <w:tc>
          <w:tcPr>
            <w:tcW w:w="900" w:type="dxa"/>
            <w:vAlign w:val="bottom"/>
            <w:vMerge w:val="continue"/>
            <w:shd w:val="clear" w:color="auto" w:fill="34657F"/>
          </w:tcPr>
          <w:p>
            <w:pPr>
              <w:spacing w:after="0"/>
              <w:rPr>
                <w:sz w:val="6"/>
                <w:szCs w:val="6"/>
                <w:color w:val="auto"/>
              </w:rPr>
            </w:pPr>
          </w:p>
        </w:tc>
        <w:tc>
          <w:tcPr>
            <w:tcW w:w="20" w:type="dxa"/>
            <w:vAlign w:val="bottom"/>
            <w:shd w:val="clear" w:color="auto" w:fill="34657F"/>
          </w:tcPr>
          <w:p>
            <w:pPr>
              <w:spacing w:after="0"/>
              <w:rPr>
                <w:sz w:val="6"/>
                <w:szCs w:val="6"/>
                <w:color w:val="auto"/>
              </w:rPr>
            </w:pPr>
          </w:p>
        </w:tc>
        <w:tc>
          <w:tcPr>
            <w:tcW w:w="0" w:type="dxa"/>
            <w:vAlign w:val="bottom"/>
          </w:tcPr>
          <w:p>
            <w:pPr>
              <w:spacing w:after="0"/>
              <w:rPr>
                <w:sz w:val="1"/>
                <w:szCs w:val="1"/>
                <w:color w:val="auto"/>
              </w:rPr>
            </w:pPr>
          </w:p>
        </w:tc>
      </w:tr>
      <w:tr>
        <w:trPr>
          <w:trHeight w:val="77"/>
        </w:trPr>
        <w:tc>
          <w:tcPr>
            <w:tcW w:w="1960" w:type="dxa"/>
            <w:vAlign w:val="bottom"/>
            <w:shd w:val="clear" w:color="auto" w:fill="34657F"/>
          </w:tcPr>
          <w:p>
            <w:pPr>
              <w:spacing w:after="0"/>
              <w:rPr>
                <w:sz w:val="6"/>
                <w:szCs w:val="6"/>
                <w:color w:val="auto"/>
              </w:rPr>
            </w:pPr>
          </w:p>
        </w:tc>
        <w:tc>
          <w:tcPr>
            <w:tcW w:w="1140" w:type="dxa"/>
            <w:vAlign w:val="bottom"/>
            <w:shd w:val="clear" w:color="auto" w:fill="34657F"/>
          </w:tcPr>
          <w:p>
            <w:pPr>
              <w:spacing w:after="0"/>
              <w:rPr>
                <w:sz w:val="6"/>
                <w:szCs w:val="6"/>
                <w:color w:val="auto"/>
              </w:rPr>
            </w:pPr>
          </w:p>
        </w:tc>
        <w:tc>
          <w:tcPr>
            <w:tcW w:w="940" w:type="dxa"/>
            <w:vAlign w:val="bottom"/>
            <w:shd w:val="clear" w:color="auto" w:fill="34657F"/>
          </w:tcPr>
          <w:p>
            <w:pPr>
              <w:spacing w:after="0"/>
              <w:rPr>
                <w:sz w:val="6"/>
                <w:szCs w:val="6"/>
                <w:color w:val="auto"/>
              </w:rPr>
            </w:pPr>
          </w:p>
        </w:tc>
        <w:tc>
          <w:tcPr>
            <w:tcW w:w="2780" w:type="dxa"/>
            <w:vAlign w:val="bottom"/>
            <w:gridSpan w:val="3"/>
            <w:vMerge w:val="continue"/>
            <w:shd w:val="clear" w:color="auto" w:fill="34657F"/>
          </w:tcPr>
          <w:p>
            <w:pPr>
              <w:spacing w:after="0"/>
              <w:rPr>
                <w:sz w:val="6"/>
                <w:szCs w:val="6"/>
                <w:color w:val="auto"/>
              </w:rPr>
            </w:pPr>
          </w:p>
        </w:tc>
        <w:tc>
          <w:tcPr>
            <w:tcW w:w="2780" w:type="dxa"/>
            <w:vAlign w:val="bottom"/>
            <w:gridSpan w:val="3"/>
            <w:vMerge w:val="continue"/>
            <w:shd w:val="clear" w:color="auto" w:fill="34657F"/>
          </w:tcPr>
          <w:p>
            <w:pPr>
              <w:spacing w:after="0"/>
              <w:rPr>
                <w:sz w:val="6"/>
                <w:szCs w:val="6"/>
                <w:color w:val="auto"/>
              </w:rPr>
            </w:pPr>
          </w:p>
        </w:tc>
        <w:tc>
          <w:tcPr>
            <w:tcW w:w="920" w:type="dxa"/>
            <w:vAlign w:val="bottom"/>
            <w:vMerge w:val="restart"/>
            <w:shd w:val="clear" w:color="auto" w:fill="34657F"/>
          </w:tcPr>
          <w:p>
            <w:pPr>
              <w:jc w:val="center"/>
              <w:spacing w:after="0" w:line="154" w:lineRule="exact"/>
              <w:rPr>
                <w:sz w:val="20"/>
                <w:szCs w:val="20"/>
                <w:color w:val="auto"/>
              </w:rPr>
            </w:pPr>
            <w:r>
              <w:rPr>
                <w:rFonts w:ascii="Arial" w:cs="Arial" w:eastAsia="Arial" w:hAnsi="Arial"/>
                <w:sz w:val="14"/>
                <w:szCs w:val="14"/>
                <w:b w:val="1"/>
                <w:bCs w:val="1"/>
                <w:color w:val="FFFFFF"/>
                <w:w w:val="97"/>
              </w:rPr>
              <w:t>Number of</w:t>
            </w:r>
          </w:p>
        </w:tc>
        <w:tc>
          <w:tcPr>
            <w:tcW w:w="900" w:type="dxa"/>
            <w:vAlign w:val="bottom"/>
            <w:vMerge w:val="restart"/>
            <w:shd w:val="clear" w:color="auto" w:fill="34657F"/>
          </w:tcPr>
          <w:p>
            <w:pPr>
              <w:jc w:val="center"/>
              <w:spacing w:after="0" w:line="154" w:lineRule="exact"/>
              <w:rPr>
                <w:sz w:val="20"/>
                <w:szCs w:val="20"/>
                <w:color w:val="auto"/>
              </w:rPr>
            </w:pPr>
            <w:r>
              <w:rPr>
                <w:rFonts w:ascii="Arial" w:cs="Arial" w:eastAsia="Arial" w:hAnsi="Arial"/>
                <w:sz w:val="14"/>
                <w:szCs w:val="14"/>
                <w:b w:val="1"/>
                <w:bCs w:val="1"/>
                <w:color w:val="FFFFFF"/>
                <w:w w:val="96"/>
              </w:rPr>
              <w:t>Date Fair</w:t>
            </w:r>
          </w:p>
        </w:tc>
        <w:tc>
          <w:tcPr>
            <w:tcW w:w="20" w:type="dxa"/>
            <w:vAlign w:val="bottom"/>
            <w:shd w:val="clear" w:color="auto" w:fill="34657F"/>
          </w:tcPr>
          <w:p>
            <w:pPr>
              <w:spacing w:after="0"/>
              <w:rPr>
                <w:sz w:val="6"/>
                <w:szCs w:val="6"/>
                <w:color w:val="auto"/>
              </w:rPr>
            </w:pPr>
          </w:p>
        </w:tc>
        <w:tc>
          <w:tcPr>
            <w:tcW w:w="0" w:type="dxa"/>
            <w:vAlign w:val="bottom"/>
          </w:tcPr>
          <w:p>
            <w:pPr>
              <w:spacing w:after="0"/>
              <w:rPr>
                <w:sz w:val="1"/>
                <w:szCs w:val="1"/>
                <w:color w:val="auto"/>
              </w:rPr>
            </w:pPr>
          </w:p>
        </w:tc>
      </w:tr>
      <w:tr>
        <w:trPr>
          <w:trHeight w:val="77"/>
        </w:trPr>
        <w:tc>
          <w:tcPr>
            <w:tcW w:w="1960" w:type="dxa"/>
            <w:vAlign w:val="bottom"/>
            <w:shd w:val="clear" w:color="auto" w:fill="34657F"/>
          </w:tcPr>
          <w:p>
            <w:pPr>
              <w:spacing w:after="0"/>
              <w:rPr>
                <w:sz w:val="6"/>
                <w:szCs w:val="6"/>
                <w:color w:val="auto"/>
              </w:rPr>
            </w:pPr>
          </w:p>
        </w:tc>
        <w:tc>
          <w:tcPr>
            <w:tcW w:w="1140" w:type="dxa"/>
            <w:vAlign w:val="bottom"/>
            <w:shd w:val="clear" w:color="auto" w:fill="34657F"/>
          </w:tcPr>
          <w:p>
            <w:pPr>
              <w:spacing w:after="0"/>
              <w:rPr>
                <w:sz w:val="6"/>
                <w:szCs w:val="6"/>
                <w:color w:val="auto"/>
              </w:rPr>
            </w:pPr>
          </w:p>
        </w:tc>
        <w:tc>
          <w:tcPr>
            <w:tcW w:w="940" w:type="dxa"/>
            <w:vAlign w:val="bottom"/>
            <w:shd w:val="clear" w:color="auto" w:fill="34657F"/>
          </w:tcPr>
          <w:p>
            <w:pPr>
              <w:spacing w:after="0"/>
              <w:rPr>
                <w:sz w:val="6"/>
                <w:szCs w:val="6"/>
                <w:color w:val="auto"/>
              </w:rPr>
            </w:pPr>
          </w:p>
        </w:tc>
        <w:tc>
          <w:tcPr>
            <w:tcW w:w="820" w:type="dxa"/>
            <w:vAlign w:val="bottom"/>
            <w:shd w:val="clear" w:color="auto" w:fill="34657F"/>
          </w:tcPr>
          <w:p>
            <w:pPr>
              <w:spacing w:after="0"/>
              <w:rPr>
                <w:sz w:val="6"/>
                <w:szCs w:val="6"/>
                <w:color w:val="auto"/>
              </w:rPr>
            </w:pPr>
          </w:p>
        </w:tc>
        <w:tc>
          <w:tcPr>
            <w:tcW w:w="1100" w:type="dxa"/>
            <w:vAlign w:val="bottom"/>
            <w:vMerge w:val="restart"/>
            <w:shd w:val="clear" w:color="auto" w:fill="34657F"/>
          </w:tcPr>
          <w:p>
            <w:pPr>
              <w:jc w:val="center"/>
              <w:spacing w:after="0"/>
              <w:rPr>
                <w:sz w:val="20"/>
                <w:szCs w:val="20"/>
                <w:color w:val="auto"/>
              </w:rPr>
            </w:pPr>
            <w:r>
              <w:rPr>
                <w:rFonts w:ascii="Arial" w:cs="Arial" w:eastAsia="Arial" w:hAnsi="Arial"/>
                <w:sz w:val="14"/>
                <w:szCs w:val="14"/>
                <w:b w:val="1"/>
                <w:bCs w:val="1"/>
                <w:color w:val="FFFFFF"/>
                <w:w w:val="95"/>
              </w:rPr>
              <w:t>Plan Awards (1)</w:t>
            </w:r>
          </w:p>
        </w:tc>
        <w:tc>
          <w:tcPr>
            <w:tcW w:w="860" w:type="dxa"/>
            <w:vAlign w:val="bottom"/>
            <w:shd w:val="clear" w:color="auto" w:fill="34657F"/>
          </w:tcPr>
          <w:p>
            <w:pPr>
              <w:spacing w:after="0"/>
              <w:rPr>
                <w:sz w:val="6"/>
                <w:szCs w:val="6"/>
                <w:color w:val="auto"/>
              </w:rPr>
            </w:pPr>
          </w:p>
        </w:tc>
        <w:tc>
          <w:tcPr>
            <w:tcW w:w="880" w:type="dxa"/>
            <w:vAlign w:val="bottom"/>
            <w:shd w:val="clear" w:color="auto" w:fill="34657F"/>
          </w:tcPr>
          <w:p>
            <w:pPr>
              <w:spacing w:after="0"/>
              <w:rPr>
                <w:sz w:val="6"/>
                <w:szCs w:val="6"/>
                <w:color w:val="auto"/>
              </w:rPr>
            </w:pPr>
          </w:p>
        </w:tc>
        <w:tc>
          <w:tcPr>
            <w:tcW w:w="1100" w:type="dxa"/>
            <w:vAlign w:val="bottom"/>
            <w:vMerge w:val="restart"/>
            <w:shd w:val="clear" w:color="auto" w:fill="34657F"/>
          </w:tcPr>
          <w:p>
            <w:pPr>
              <w:jc w:val="center"/>
              <w:spacing w:after="0"/>
              <w:rPr>
                <w:sz w:val="20"/>
                <w:szCs w:val="20"/>
                <w:color w:val="auto"/>
              </w:rPr>
            </w:pPr>
            <w:r>
              <w:rPr>
                <w:rFonts w:ascii="Arial" w:cs="Arial" w:eastAsia="Arial" w:hAnsi="Arial"/>
                <w:sz w:val="14"/>
                <w:szCs w:val="14"/>
                <w:b w:val="1"/>
                <w:bCs w:val="1"/>
                <w:color w:val="FFFFFF"/>
                <w:w w:val="95"/>
              </w:rPr>
              <w:t>Plan Awards (2)</w:t>
            </w:r>
          </w:p>
        </w:tc>
        <w:tc>
          <w:tcPr>
            <w:tcW w:w="800" w:type="dxa"/>
            <w:vAlign w:val="bottom"/>
            <w:shd w:val="clear" w:color="auto" w:fill="34657F"/>
          </w:tcPr>
          <w:p>
            <w:pPr>
              <w:spacing w:after="0"/>
              <w:rPr>
                <w:sz w:val="6"/>
                <w:szCs w:val="6"/>
                <w:color w:val="auto"/>
              </w:rPr>
            </w:pPr>
          </w:p>
        </w:tc>
        <w:tc>
          <w:tcPr>
            <w:tcW w:w="920" w:type="dxa"/>
            <w:vAlign w:val="bottom"/>
            <w:vMerge w:val="continue"/>
            <w:shd w:val="clear" w:color="auto" w:fill="34657F"/>
          </w:tcPr>
          <w:p>
            <w:pPr>
              <w:spacing w:after="0"/>
              <w:rPr>
                <w:sz w:val="6"/>
                <w:szCs w:val="6"/>
                <w:color w:val="auto"/>
              </w:rPr>
            </w:pPr>
          </w:p>
        </w:tc>
        <w:tc>
          <w:tcPr>
            <w:tcW w:w="900" w:type="dxa"/>
            <w:vAlign w:val="bottom"/>
            <w:vMerge w:val="continue"/>
            <w:shd w:val="clear" w:color="auto" w:fill="34657F"/>
          </w:tcPr>
          <w:p>
            <w:pPr>
              <w:spacing w:after="0"/>
              <w:rPr>
                <w:sz w:val="6"/>
                <w:szCs w:val="6"/>
                <w:color w:val="auto"/>
              </w:rPr>
            </w:pPr>
          </w:p>
        </w:tc>
        <w:tc>
          <w:tcPr>
            <w:tcW w:w="20" w:type="dxa"/>
            <w:vAlign w:val="bottom"/>
            <w:shd w:val="clear" w:color="auto" w:fill="34657F"/>
          </w:tcPr>
          <w:p>
            <w:pPr>
              <w:spacing w:after="0"/>
              <w:rPr>
                <w:sz w:val="6"/>
                <w:szCs w:val="6"/>
                <w:color w:val="auto"/>
              </w:rPr>
            </w:pPr>
          </w:p>
        </w:tc>
        <w:tc>
          <w:tcPr>
            <w:tcW w:w="0" w:type="dxa"/>
            <w:vAlign w:val="bottom"/>
          </w:tcPr>
          <w:p>
            <w:pPr>
              <w:spacing w:after="0"/>
              <w:rPr>
                <w:sz w:val="1"/>
                <w:szCs w:val="1"/>
                <w:color w:val="auto"/>
              </w:rPr>
            </w:pPr>
          </w:p>
        </w:tc>
      </w:tr>
      <w:tr>
        <w:trPr>
          <w:trHeight w:val="103"/>
        </w:trPr>
        <w:tc>
          <w:tcPr>
            <w:tcW w:w="1960" w:type="dxa"/>
            <w:vAlign w:val="bottom"/>
            <w:shd w:val="clear" w:color="auto" w:fill="34657F"/>
          </w:tcPr>
          <w:p>
            <w:pPr>
              <w:spacing w:after="0"/>
              <w:rPr>
                <w:sz w:val="8"/>
                <w:szCs w:val="8"/>
                <w:color w:val="auto"/>
              </w:rPr>
            </w:pPr>
          </w:p>
        </w:tc>
        <w:tc>
          <w:tcPr>
            <w:tcW w:w="1140" w:type="dxa"/>
            <w:vAlign w:val="bottom"/>
            <w:shd w:val="clear" w:color="auto" w:fill="34657F"/>
          </w:tcPr>
          <w:p>
            <w:pPr>
              <w:spacing w:after="0"/>
              <w:rPr>
                <w:sz w:val="8"/>
                <w:szCs w:val="8"/>
                <w:color w:val="auto"/>
              </w:rPr>
            </w:pPr>
          </w:p>
        </w:tc>
        <w:tc>
          <w:tcPr>
            <w:tcW w:w="940" w:type="dxa"/>
            <w:vAlign w:val="bottom"/>
            <w:shd w:val="clear" w:color="auto" w:fill="34657F"/>
          </w:tcPr>
          <w:p>
            <w:pPr>
              <w:spacing w:after="0"/>
              <w:rPr>
                <w:sz w:val="8"/>
                <w:szCs w:val="8"/>
                <w:color w:val="auto"/>
              </w:rPr>
            </w:pPr>
          </w:p>
        </w:tc>
        <w:tc>
          <w:tcPr>
            <w:tcW w:w="820" w:type="dxa"/>
            <w:vAlign w:val="bottom"/>
            <w:shd w:val="clear" w:color="auto" w:fill="34657F"/>
          </w:tcPr>
          <w:p>
            <w:pPr>
              <w:spacing w:after="0"/>
              <w:rPr>
                <w:sz w:val="8"/>
                <w:szCs w:val="8"/>
                <w:color w:val="auto"/>
              </w:rPr>
            </w:pPr>
          </w:p>
        </w:tc>
        <w:tc>
          <w:tcPr>
            <w:tcW w:w="1100" w:type="dxa"/>
            <w:vAlign w:val="bottom"/>
            <w:vMerge w:val="continue"/>
            <w:shd w:val="clear" w:color="auto" w:fill="34657F"/>
          </w:tcPr>
          <w:p>
            <w:pPr>
              <w:spacing w:after="0"/>
              <w:rPr>
                <w:sz w:val="8"/>
                <w:szCs w:val="8"/>
                <w:color w:val="auto"/>
              </w:rPr>
            </w:pPr>
          </w:p>
        </w:tc>
        <w:tc>
          <w:tcPr>
            <w:tcW w:w="860" w:type="dxa"/>
            <w:vAlign w:val="bottom"/>
            <w:shd w:val="clear" w:color="auto" w:fill="34657F"/>
          </w:tcPr>
          <w:p>
            <w:pPr>
              <w:spacing w:after="0"/>
              <w:rPr>
                <w:sz w:val="8"/>
                <w:szCs w:val="8"/>
                <w:color w:val="auto"/>
              </w:rPr>
            </w:pPr>
          </w:p>
        </w:tc>
        <w:tc>
          <w:tcPr>
            <w:tcW w:w="880" w:type="dxa"/>
            <w:vAlign w:val="bottom"/>
            <w:shd w:val="clear" w:color="auto" w:fill="34657F"/>
          </w:tcPr>
          <w:p>
            <w:pPr>
              <w:spacing w:after="0"/>
              <w:rPr>
                <w:sz w:val="8"/>
                <w:szCs w:val="8"/>
                <w:color w:val="auto"/>
              </w:rPr>
            </w:pPr>
          </w:p>
        </w:tc>
        <w:tc>
          <w:tcPr>
            <w:tcW w:w="1100" w:type="dxa"/>
            <w:vAlign w:val="bottom"/>
            <w:vMerge w:val="continue"/>
            <w:shd w:val="clear" w:color="auto" w:fill="34657F"/>
          </w:tcPr>
          <w:p>
            <w:pPr>
              <w:spacing w:after="0"/>
              <w:rPr>
                <w:sz w:val="8"/>
                <w:szCs w:val="8"/>
                <w:color w:val="auto"/>
              </w:rPr>
            </w:pPr>
          </w:p>
        </w:tc>
        <w:tc>
          <w:tcPr>
            <w:tcW w:w="800" w:type="dxa"/>
            <w:vAlign w:val="bottom"/>
            <w:shd w:val="clear" w:color="auto" w:fill="34657F"/>
          </w:tcPr>
          <w:p>
            <w:pPr>
              <w:spacing w:after="0"/>
              <w:rPr>
                <w:sz w:val="8"/>
                <w:szCs w:val="8"/>
                <w:color w:val="auto"/>
              </w:rPr>
            </w:pPr>
          </w:p>
        </w:tc>
        <w:tc>
          <w:tcPr>
            <w:tcW w:w="920" w:type="dxa"/>
            <w:vAlign w:val="bottom"/>
            <w:vMerge w:val="restart"/>
            <w:shd w:val="clear" w:color="auto" w:fill="34657F"/>
          </w:tcPr>
          <w:p>
            <w:pPr>
              <w:jc w:val="center"/>
              <w:spacing w:after="0" w:line="154" w:lineRule="exact"/>
              <w:rPr>
                <w:sz w:val="20"/>
                <w:szCs w:val="20"/>
                <w:color w:val="auto"/>
              </w:rPr>
            </w:pPr>
            <w:r>
              <w:rPr>
                <w:rFonts w:ascii="Arial" w:cs="Arial" w:eastAsia="Arial" w:hAnsi="Arial"/>
                <w:sz w:val="14"/>
                <w:szCs w:val="14"/>
                <w:b w:val="1"/>
                <w:bCs w:val="1"/>
                <w:color w:val="FFFFFF"/>
              </w:rPr>
              <w:t>Shares of</w:t>
            </w:r>
          </w:p>
        </w:tc>
        <w:tc>
          <w:tcPr>
            <w:tcW w:w="900" w:type="dxa"/>
            <w:vAlign w:val="bottom"/>
            <w:vMerge w:val="restart"/>
            <w:shd w:val="clear" w:color="auto" w:fill="34657F"/>
          </w:tcPr>
          <w:p>
            <w:pPr>
              <w:jc w:val="center"/>
              <w:spacing w:after="0" w:line="154" w:lineRule="exact"/>
              <w:rPr>
                <w:sz w:val="20"/>
                <w:szCs w:val="20"/>
                <w:color w:val="auto"/>
              </w:rPr>
            </w:pPr>
            <w:r>
              <w:rPr>
                <w:rFonts w:ascii="Arial" w:cs="Arial" w:eastAsia="Arial" w:hAnsi="Arial"/>
                <w:sz w:val="14"/>
                <w:szCs w:val="14"/>
                <w:b w:val="1"/>
                <w:bCs w:val="1"/>
                <w:color w:val="FFFFFF"/>
                <w:w w:val="99"/>
              </w:rPr>
              <w:t>Value of</w:t>
            </w:r>
          </w:p>
        </w:tc>
        <w:tc>
          <w:tcPr>
            <w:tcW w:w="20" w:type="dxa"/>
            <w:vAlign w:val="bottom"/>
            <w:shd w:val="clear" w:color="auto" w:fill="34657F"/>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1960" w:type="dxa"/>
            <w:vAlign w:val="bottom"/>
            <w:shd w:val="clear" w:color="auto" w:fill="34657F"/>
          </w:tcPr>
          <w:p>
            <w:pPr>
              <w:spacing w:after="0"/>
              <w:rPr>
                <w:sz w:val="4"/>
                <w:szCs w:val="4"/>
                <w:color w:val="auto"/>
              </w:rPr>
            </w:pPr>
          </w:p>
        </w:tc>
        <w:tc>
          <w:tcPr>
            <w:tcW w:w="1140" w:type="dxa"/>
            <w:vAlign w:val="bottom"/>
            <w:shd w:val="clear" w:color="auto" w:fill="34657F"/>
          </w:tcPr>
          <w:p>
            <w:pPr>
              <w:spacing w:after="0"/>
              <w:rPr>
                <w:sz w:val="4"/>
                <w:szCs w:val="4"/>
                <w:color w:val="auto"/>
              </w:rPr>
            </w:pPr>
          </w:p>
        </w:tc>
        <w:tc>
          <w:tcPr>
            <w:tcW w:w="940" w:type="dxa"/>
            <w:vAlign w:val="bottom"/>
            <w:shd w:val="clear" w:color="auto" w:fill="34657F"/>
          </w:tcPr>
          <w:p>
            <w:pPr>
              <w:spacing w:after="0"/>
              <w:rPr>
                <w:sz w:val="4"/>
                <w:szCs w:val="4"/>
                <w:color w:val="auto"/>
              </w:rPr>
            </w:pPr>
          </w:p>
        </w:tc>
        <w:tc>
          <w:tcPr>
            <w:tcW w:w="820" w:type="dxa"/>
            <w:vAlign w:val="bottom"/>
            <w:shd w:val="clear" w:color="auto" w:fill="34657F"/>
          </w:tcPr>
          <w:p>
            <w:pPr>
              <w:spacing w:after="0"/>
              <w:rPr>
                <w:sz w:val="4"/>
                <w:szCs w:val="4"/>
                <w:color w:val="auto"/>
              </w:rPr>
            </w:pPr>
          </w:p>
        </w:tc>
        <w:tc>
          <w:tcPr>
            <w:tcW w:w="1100" w:type="dxa"/>
            <w:vAlign w:val="bottom"/>
            <w:shd w:val="clear" w:color="auto" w:fill="34657F"/>
          </w:tcPr>
          <w:p>
            <w:pPr>
              <w:spacing w:after="0"/>
              <w:rPr>
                <w:sz w:val="4"/>
                <w:szCs w:val="4"/>
                <w:color w:val="auto"/>
              </w:rPr>
            </w:pPr>
          </w:p>
        </w:tc>
        <w:tc>
          <w:tcPr>
            <w:tcW w:w="860" w:type="dxa"/>
            <w:vAlign w:val="bottom"/>
            <w:shd w:val="clear" w:color="auto" w:fill="34657F"/>
          </w:tcPr>
          <w:p>
            <w:pPr>
              <w:spacing w:after="0"/>
              <w:rPr>
                <w:sz w:val="4"/>
                <w:szCs w:val="4"/>
                <w:color w:val="auto"/>
              </w:rPr>
            </w:pPr>
          </w:p>
        </w:tc>
        <w:tc>
          <w:tcPr>
            <w:tcW w:w="880" w:type="dxa"/>
            <w:vAlign w:val="bottom"/>
            <w:shd w:val="clear" w:color="auto" w:fill="34657F"/>
          </w:tcPr>
          <w:p>
            <w:pPr>
              <w:spacing w:after="0"/>
              <w:rPr>
                <w:sz w:val="4"/>
                <w:szCs w:val="4"/>
                <w:color w:val="auto"/>
              </w:rPr>
            </w:pPr>
          </w:p>
        </w:tc>
        <w:tc>
          <w:tcPr>
            <w:tcW w:w="1100" w:type="dxa"/>
            <w:vAlign w:val="bottom"/>
            <w:shd w:val="clear" w:color="auto" w:fill="34657F"/>
          </w:tcPr>
          <w:p>
            <w:pPr>
              <w:spacing w:after="0"/>
              <w:rPr>
                <w:sz w:val="4"/>
                <w:szCs w:val="4"/>
                <w:color w:val="auto"/>
              </w:rPr>
            </w:pPr>
          </w:p>
        </w:tc>
        <w:tc>
          <w:tcPr>
            <w:tcW w:w="800" w:type="dxa"/>
            <w:vAlign w:val="bottom"/>
            <w:shd w:val="clear" w:color="auto" w:fill="34657F"/>
          </w:tcPr>
          <w:p>
            <w:pPr>
              <w:spacing w:after="0"/>
              <w:rPr>
                <w:sz w:val="4"/>
                <w:szCs w:val="4"/>
                <w:color w:val="auto"/>
              </w:rPr>
            </w:pPr>
          </w:p>
        </w:tc>
        <w:tc>
          <w:tcPr>
            <w:tcW w:w="920" w:type="dxa"/>
            <w:vAlign w:val="bottom"/>
            <w:vMerge w:val="continue"/>
            <w:shd w:val="clear" w:color="auto" w:fill="34657F"/>
          </w:tcPr>
          <w:p>
            <w:pPr>
              <w:spacing w:after="0"/>
              <w:rPr>
                <w:sz w:val="4"/>
                <w:szCs w:val="4"/>
                <w:color w:val="auto"/>
              </w:rPr>
            </w:pPr>
          </w:p>
        </w:tc>
        <w:tc>
          <w:tcPr>
            <w:tcW w:w="900" w:type="dxa"/>
            <w:vAlign w:val="bottom"/>
            <w:vMerge w:val="continue"/>
            <w:shd w:val="clear" w:color="auto" w:fill="34657F"/>
          </w:tcPr>
          <w:p>
            <w:pPr>
              <w:spacing w:after="0"/>
              <w:rPr>
                <w:sz w:val="4"/>
                <w:szCs w:val="4"/>
                <w:color w:val="auto"/>
              </w:rPr>
            </w:pPr>
          </w:p>
        </w:tc>
        <w:tc>
          <w:tcPr>
            <w:tcW w:w="20" w:type="dxa"/>
            <w:vAlign w:val="bottom"/>
            <w:shd w:val="clear" w:color="auto" w:fill="34657F"/>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1960" w:type="dxa"/>
            <w:vAlign w:val="bottom"/>
            <w:shd w:val="clear" w:color="auto" w:fill="34657F"/>
          </w:tcPr>
          <w:p>
            <w:pPr>
              <w:spacing w:after="0"/>
              <w:rPr>
                <w:sz w:val="13"/>
                <w:szCs w:val="13"/>
                <w:color w:val="auto"/>
              </w:rPr>
            </w:pPr>
          </w:p>
        </w:tc>
        <w:tc>
          <w:tcPr>
            <w:tcW w:w="1140" w:type="dxa"/>
            <w:vAlign w:val="bottom"/>
            <w:shd w:val="clear" w:color="auto" w:fill="34657F"/>
          </w:tcPr>
          <w:p>
            <w:pPr>
              <w:spacing w:after="0"/>
              <w:rPr>
                <w:sz w:val="13"/>
                <w:szCs w:val="13"/>
                <w:color w:val="auto"/>
              </w:rPr>
            </w:pPr>
          </w:p>
        </w:tc>
        <w:tc>
          <w:tcPr>
            <w:tcW w:w="940" w:type="dxa"/>
            <w:vAlign w:val="bottom"/>
            <w:shd w:val="clear" w:color="auto" w:fill="34657F"/>
          </w:tcPr>
          <w:p>
            <w:pPr>
              <w:spacing w:after="0"/>
              <w:rPr>
                <w:sz w:val="13"/>
                <w:szCs w:val="13"/>
                <w:color w:val="auto"/>
              </w:rPr>
            </w:pPr>
          </w:p>
        </w:tc>
        <w:tc>
          <w:tcPr>
            <w:tcW w:w="820" w:type="dxa"/>
            <w:vAlign w:val="bottom"/>
            <w:shd w:val="clear" w:color="auto" w:fill="34657F"/>
          </w:tcPr>
          <w:p>
            <w:pPr>
              <w:spacing w:after="0"/>
              <w:rPr>
                <w:sz w:val="13"/>
                <w:szCs w:val="13"/>
                <w:color w:val="auto"/>
              </w:rPr>
            </w:pPr>
          </w:p>
        </w:tc>
        <w:tc>
          <w:tcPr>
            <w:tcW w:w="1100" w:type="dxa"/>
            <w:vAlign w:val="bottom"/>
            <w:shd w:val="clear" w:color="auto" w:fill="34657F"/>
          </w:tcPr>
          <w:p>
            <w:pPr>
              <w:spacing w:after="0"/>
              <w:rPr>
                <w:sz w:val="13"/>
                <w:szCs w:val="13"/>
                <w:color w:val="auto"/>
              </w:rPr>
            </w:pPr>
          </w:p>
        </w:tc>
        <w:tc>
          <w:tcPr>
            <w:tcW w:w="860" w:type="dxa"/>
            <w:vAlign w:val="bottom"/>
            <w:shd w:val="clear" w:color="auto" w:fill="34657F"/>
          </w:tcPr>
          <w:p>
            <w:pPr>
              <w:spacing w:after="0"/>
              <w:rPr>
                <w:sz w:val="13"/>
                <w:szCs w:val="13"/>
                <w:color w:val="auto"/>
              </w:rPr>
            </w:pPr>
          </w:p>
        </w:tc>
        <w:tc>
          <w:tcPr>
            <w:tcW w:w="880" w:type="dxa"/>
            <w:vAlign w:val="bottom"/>
            <w:shd w:val="clear" w:color="auto" w:fill="34657F"/>
          </w:tcPr>
          <w:p>
            <w:pPr>
              <w:spacing w:after="0"/>
              <w:rPr>
                <w:sz w:val="13"/>
                <w:szCs w:val="13"/>
                <w:color w:val="auto"/>
              </w:rPr>
            </w:pPr>
          </w:p>
        </w:tc>
        <w:tc>
          <w:tcPr>
            <w:tcW w:w="1100" w:type="dxa"/>
            <w:vAlign w:val="bottom"/>
            <w:shd w:val="clear" w:color="auto" w:fill="34657F"/>
          </w:tcPr>
          <w:p>
            <w:pPr>
              <w:spacing w:after="0"/>
              <w:rPr>
                <w:sz w:val="13"/>
                <w:szCs w:val="13"/>
                <w:color w:val="auto"/>
              </w:rPr>
            </w:pPr>
          </w:p>
        </w:tc>
        <w:tc>
          <w:tcPr>
            <w:tcW w:w="800" w:type="dxa"/>
            <w:vAlign w:val="bottom"/>
            <w:shd w:val="clear" w:color="auto" w:fill="34657F"/>
          </w:tcPr>
          <w:p>
            <w:pPr>
              <w:spacing w:after="0"/>
              <w:rPr>
                <w:sz w:val="13"/>
                <w:szCs w:val="13"/>
                <w:color w:val="auto"/>
              </w:rPr>
            </w:pPr>
          </w:p>
        </w:tc>
        <w:tc>
          <w:tcPr>
            <w:tcW w:w="920" w:type="dxa"/>
            <w:vAlign w:val="bottom"/>
            <w:shd w:val="clear" w:color="auto" w:fill="34657F"/>
          </w:tcPr>
          <w:p>
            <w:pPr>
              <w:jc w:val="center"/>
              <w:spacing w:after="0" w:line="154" w:lineRule="exact"/>
              <w:rPr>
                <w:sz w:val="20"/>
                <w:szCs w:val="20"/>
                <w:color w:val="auto"/>
              </w:rPr>
            </w:pPr>
            <w:r>
              <w:rPr>
                <w:rFonts w:ascii="Arial" w:cs="Arial" w:eastAsia="Arial" w:hAnsi="Arial"/>
                <w:sz w:val="14"/>
                <w:szCs w:val="14"/>
                <w:b w:val="1"/>
                <w:bCs w:val="1"/>
                <w:color w:val="FFFFFF"/>
                <w:w w:val="99"/>
              </w:rPr>
              <w:t>Stock or</w:t>
            </w:r>
          </w:p>
        </w:tc>
        <w:tc>
          <w:tcPr>
            <w:tcW w:w="900" w:type="dxa"/>
            <w:vAlign w:val="bottom"/>
            <w:shd w:val="clear" w:color="auto" w:fill="34657F"/>
          </w:tcPr>
          <w:p>
            <w:pPr>
              <w:jc w:val="center"/>
              <w:spacing w:after="0" w:line="154" w:lineRule="exact"/>
              <w:rPr>
                <w:sz w:val="20"/>
                <w:szCs w:val="20"/>
                <w:color w:val="auto"/>
              </w:rPr>
            </w:pPr>
            <w:r>
              <w:rPr>
                <w:rFonts w:ascii="Arial" w:cs="Arial" w:eastAsia="Arial" w:hAnsi="Arial"/>
                <w:sz w:val="14"/>
                <w:szCs w:val="14"/>
                <w:b w:val="1"/>
                <w:bCs w:val="1"/>
                <w:color w:val="FFFFFF"/>
                <w:w w:val="99"/>
              </w:rPr>
              <w:t>Stock</w:t>
            </w:r>
          </w:p>
        </w:tc>
        <w:tc>
          <w:tcPr>
            <w:tcW w:w="20" w:type="dxa"/>
            <w:vAlign w:val="bottom"/>
            <w:shd w:val="clear" w:color="auto" w:fill="34657F"/>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960" w:type="dxa"/>
            <w:vAlign w:val="bottom"/>
            <w:shd w:val="clear" w:color="auto" w:fill="34657F"/>
          </w:tcPr>
          <w:p>
            <w:pPr>
              <w:spacing w:after="0"/>
              <w:rPr>
                <w:sz w:val="13"/>
                <w:szCs w:val="13"/>
                <w:color w:val="auto"/>
              </w:rPr>
            </w:pPr>
          </w:p>
        </w:tc>
        <w:tc>
          <w:tcPr>
            <w:tcW w:w="1140" w:type="dxa"/>
            <w:vAlign w:val="bottom"/>
            <w:shd w:val="clear" w:color="auto" w:fill="34657F"/>
          </w:tcPr>
          <w:p>
            <w:pPr>
              <w:spacing w:after="0"/>
              <w:rPr>
                <w:sz w:val="13"/>
                <w:szCs w:val="13"/>
                <w:color w:val="auto"/>
              </w:rPr>
            </w:pPr>
          </w:p>
        </w:tc>
        <w:tc>
          <w:tcPr>
            <w:tcW w:w="940" w:type="dxa"/>
            <w:vAlign w:val="bottom"/>
            <w:shd w:val="clear" w:color="auto" w:fill="34657F"/>
          </w:tcPr>
          <w:p>
            <w:pPr>
              <w:spacing w:after="0"/>
              <w:rPr>
                <w:sz w:val="13"/>
                <w:szCs w:val="13"/>
                <w:color w:val="auto"/>
              </w:rPr>
            </w:pPr>
          </w:p>
        </w:tc>
        <w:tc>
          <w:tcPr>
            <w:tcW w:w="820" w:type="dxa"/>
            <w:vAlign w:val="bottom"/>
            <w:shd w:val="clear" w:color="auto" w:fill="34657F"/>
          </w:tcPr>
          <w:p>
            <w:pPr>
              <w:ind w:left="120"/>
              <w:spacing w:after="0" w:line="154" w:lineRule="exact"/>
              <w:rPr>
                <w:sz w:val="20"/>
                <w:szCs w:val="20"/>
                <w:color w:val="auto"/>
              </w:rPr>
            </w:pPr>
            <w:r>
              <w:rPr>
                <w:rFonts w:ascii="Arial" w:cs="Arial" w:eastAsia="Arial" w:hAnsi="Arial"/>
                <w:sz w:val="14"/>
                <w:szCs w:val="14"/>
                <w:b w:val="1"/>
                <w:bCs w:val="1"/>
                <w:color w:val="FFFFFF"/>
              </w:rPr>
              <w:t>Threshold</w:t>
            </w:r>
          </w:p>
        </w:tc>
        <w:tc>
          <w:tcPr>
            <w:tcW w:w="1100" w:type="dxa"/>
            <w:vAlign w:val="bottom"/>
            <w:shd w:val="clear" w:color="auto" w:fill="34657F"/>
          </w:tcPr>
          <w:p>
            <w:pPr>
              <w:jc w:val="center"/>
              <w:spacing w:after="0" w:line="154" w:lineRule="exact"/>
              <w:rPr>
                <w:sz w:val="20"/>
                <w:szCs w:val="20"/>
                <w:color w:val="auto"/>
              </w:rPr>
            </w:pPr>
            <w:r>
              <w:rPr>
                <w:rFonts w:ascii="Arial" w:cs="Arial" w:eastAsia="Arial" w:hAnsi="Arial"/>
                <w:sz w:val="14"/>
                <w:szCs w:val="14"/>
                <w:b w:val="1"/>
                <w:bCs w:val="1"/>
                <w:color w:val="FFFFFF"/>
                <w:w w:val="98"/>
              </w:rPr>
              <w:t>Target</w:t>
            </w:r>
          </w:p>
        </w:tc>
        <w:tc>
          <w:tcPr>
            <w:tcW w:w="860" w:type="dxa"/>
            <w:vAlign w:val="bottom"/>
            <w:shd w:val="clear" w:color="auto" w:fill="34657F"/>
          </w:tcPr>
          <w:p>
            <w:pPr>
              <w:ind w:left="40"/>
              <w:spacing w:after="0" w:line="154" w:lineRule="exact"/>
              <w:rPr>
                <w:sz w:val="20"/>
                <w:szCs w:val="20"/>
                <w:color w:val="auto"/>
              </w:rPr>
            </w:pPr>
            <w:r>
              <w:rPr>
                <w:rFonts w:ascii="Arial" w:cs="Arial" w:eastAsia="Arial" w:hAnsi="Arial"/>
                <w:sz w:val="14"/>
                <w:szCs w:val="14"/>
                <w:b w:val="1"/>
                <w:bCs w:val="1"/>
                <w:color w:val="FFFFFF"/>
              </w:rPr>
              <w:t>Maximum</w:t>
            </w:r>
          </w:p>
        </w:tc>
        <w:tc>
          <w:tcPr>
            <w:tcW w:w="880" w:type="dxa"/>
            <w:vAlign w:val="bottom"/>
            <w:shd w:val="clear" w:color="auto" w:fill="34657F"/>
          </w:tcPr>
          <w:p>
            <w:pPr>
              <w:ind w:left="180"/>
              <w:spacing w:after="0" w:line="154" w:lineRule="exact"/>
              <w:rPr>
                <w:sz w:val="20"/>
                <w:szCs w:val="20"/>
                <w:color w:val="auto"/>
              </w:rPr>
            </w:pPr>
            <w:r>
              <w:rPr>
                <w:rFonts w:ascii="Arial" w:cs="Arial" w:eastAsia="Arial" w:hAnsi="Arial"/>
                <w:sz w:val="14"/>
                <w:szCs w:val="14"/>
                <w:b w:val="1"/>
                <w:bCs w:val="1"/>
                <w:color w:val="FFFFFF"/>
              </w:rPr>
              <w:t>Threshold</w:t>
            </w:r>
          </w:p>
        </w:tc>
        <w:tc>
          <w:tcPr>
            <w:tcW w:w="1100" w:type="dxa"/>
            <w:vAlign w:val="bottom"/>
            <w:shd w:val="clear" w:color="auto" w:fill="34657F"/>
          </w:tcPr>
          <w:p>
            <w:pPr>
              <w:jc w:val="center"/>
              <w:spacing w:after="0" w:line="154" w:lineRule="exact"/>
              <w:rPr>
                <w:sz w:val="20"/>
                <w:szCs w:val="20"/>
                <w:color w:val="auto"/>
              </w:rPr>
            </w:pPr>
            <w:r>
              <w:rPr>
                <w:rFonts w:ascii="Arial" w:cs="Arial" w:eastAsia="Arial" w:hAnsi="Arial"/>
                <w:sz w:val="14"/>
                <w:szCs w:val="14"/>
                <w:b w:val="1"/>
                <w:bCs w:val="1"/>
                <w:color w:val="FFFFFF"/>
                <w:w w:val="93"/>
              </w:rPr>
              <w:t>Target</w:t>
            </w:r>
          </w:p>
        </w:tc>
        <w:tc>
          <w:tcPr>
            <w:tcW w:w="800" w:type="dxa"/>
            <w:vAlign w:val="bottom"/>
            <w:shd w:val="clear" w:color="auto" w:fill="34657F"/>
          </w:tcPr>
          <w:p>
            <w:pPr>
              <w:ind w:left="40"/>
              <w:spacing w:after="0" w:line="154" w:lineRule="exact"/>
              <w:rPr>
                <w:sz w:val="20"/>
                <w:szCs w:val="20"/>
                <w:color w:val="auto"/>
              </w:rPr>
            </w:pPr>
            <w:r>
              <w:rPr>
                <w:rFonts w:ascii="Arial" w:cs="Arial" w:eastAsia="Arial" w:hAnsi="Arial"/>
                <w:sz w:val="14"/>
                <w:szCs w:val="14"/>
                <w:b w:val="1"/>
                <w:bCs w:val="1"/>
                <w:color w:val="FFFFFF"/>
              </w:rPr>
              <w:t>Maximum</w:t>
            </w:r>
          </w:p>
        </w:tc>
        <w:tc>
          <w:tcPr>
            <w:tcW w:w="920" w:type="dxa"/>
            <w:vAlign w:val="bottom"/>
            <w:shd w:val="clear" w:color="auto" w:fill="34657F"/>
          </w:tcPr>
          <w:p>
            <w:pPr>
              <w:jc w:val="center"/>
              <w:spacing w:after="0" w:line="154" w:lineRule="exact"/>
              <w:rPr>
                <w:sz w:val="20"/>
                <w:szCs w:val="20"/>
                <w:color w:val="auto"/>
              </w:rPr>
            </w:pPr>
            <w:r>
              <w:rPr>
                <w:rFonts w:ascii="Arial" w:cs="Arial" w:eastAsia="Arial" w:hAnsi="Arial"/>
                <w:sz w:val="14"/>
                <w:szCs w:val="14"/>
                <w:b w:val="1"/>
                <w:bCs w:val="1"/>
                <w:color w:val="FFFFFF"/>
                <w:w w:val="99"/>
              </w:rPr>
              <w:t>Units (3)</w:t>
            </w:r>
          </w:p>
        </w:tc>
        <w:tc>
          <w:tcPr>
            <w:tcW w:w="900" w:type="dxa"/>
            <w:vAlign w:val="bottom"/>
            <w:shd w:val="clear" w:color="auto" w:fill="34657F"/>
          </w:tcPr>
          <w:p>
            <w:pPr>
              <w:jc w:val="center"/>
              <w:spacing w:after="0" w:line="154" w:lineRule="exact"/>
              <w:rPr>
                <w:sz w:val="20"/>
                <w:szCs w:val="20"/>
                <w:color w:val="auto"/>
              </w:rPr>
            </w:pPr>
            <w:r>
              <w:rPr>
                <w:rFonts w:ascii="Arial" w:cs="Arial" w:eastAsia="Arial" w:hAnsi="Arial"/>
                <w:sz w:val="14"/>
                <w:szCs w:val="14"/>
                <w:b w:val="1"/>
                <w:bCs w:val="1"/>
                <w:color w:val="FFFFFF"/>
                <w:w w:val="97"/>
              </w:rPr>
              <w:t>Awards (4)</w:t>
            </w:r>
          </w:p>
        </w:tc>
        <w:tc>
          <w:tcPr>
            <w:tcW w:w="20" w:type="dxa"/>
            <w:vAlign w:val="bottom"/>
            <w:shd w:val="clear" w:color="auto" w:fill="34657F"/>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1960" w:type="dxa"/>
            <w:vAlign w:val="bottom"/>
            <w:tcBorders>
              <w:bottom w:val="single" w:sz="8" w:color="34657F"/>
            </w:tcBorders>
            <w:shd w:val="clear" w:color="auto" w:fill="34657F"/>
          </w:tcPr>
          <w:p>
            <w:pPr>
              <w:ind w:left="40"/>
              <w:spacing w:after="0"/>
              <w:rPr>
                <w:sz w:val="20"/>
                <w:szCs w:val="20"/>
                <w:color w:val="auto"/>
              </w:rPr>
            </w:pPr>
            <w:r>
              <w:rPr>
                <w:rFonts w:ascii="Arial" w:cs="Arial" w:eastAsia="Arial" w:hAnsi="Arial"/>
                <w:sz w:val="14"/>
                <w:szCs w:val="14"/>
                <w:b w:val="1"/>
                <w:bCs w:val="1"/>
                <w:color w:val="FFFFFF"/>
              </w:rPr>
              <w:t>Name</w:t>
            </w:r>
          </w:p>
        </w:tc>
        <w:tc>
          <w:tcPr>
            <w:tcW w:w="1140" w:type="dxa"/>
            <w:vAlign w:val="bottom"/>
            <w:tcBorders>
              <w:bottom w:val="single" w:sz="8" w:color="34657F"/>
            </w:tcBorders>
            <w:shd w:val="clear" w:color="auto" w:fill="34657F"/>
          </w:tcPr>
          <w:p>
            <w:pPr>
              <w:ind w:left="220"/>
              <w:spacing w:after="0"/>
              <w:rPr>
                <w:sz w:val="20"/>
                <w:szCs w:val="20"/>
                <w:color w:val="auto"/>
              </w:rPr>
            </w:pPr>
            <w:r>
              <w:rPr>
                <w:rFonts w:ascii="Arial" w:cs="Arial" w:eastAsia="Arial" w:hAnsi="Arial"/>
                <w:sz w:val="14"/>
                <w:szCs w:val="14"/>
                <w:b w:val="1"/>
                <w:bCs w:val="1"/>
                <w:color w:val="FFFFFF"/>
              </w:rPr>
              <w:t>Grant Type</w:t>
            </w:r>
          </w:p>
        </w:tc>
        <w:tc>
          <w:tcPr>
            <w:tcW w:w="940" w:type="dxa"/>
            <w:vAlign w:val="bottom"/>
            <w:tcBorders>
              <w:bottom w:val="single" w:sz="8" w:color="34657F"/>
            </w:tcBorders>
            <w:shd w:val="clear" w:color="auto" w:fill="34657F"/>
          </w:tcPr>
          <w:p>
            <w:pPr>
              <w:jc w:val="center"/>
              <w:spacing w:after="0"/>
              <w:rPr>
                <w:sz w:val="20"/>
                <w:szCs w:val="20"/>
                <w:color w:val="auto"/>
              </w:rPr>
            </w:pPr>
            <w:r>
              <w:rPr>
                <w:rFonts w:ascii="Arial" w:cs="Arial" w:eastAsia="Arial" w:hAnsi="Arial"/>
                <w:sz w:val="14"/>
                <w:szCs w:val="14"/>
                <w:b w:val="1"/>
                <w:bCs w:val="1"/>
                <w:color w:val="FFFFFF"/>
                <w:w w:val="97"/>
              </w:rPr>
              <w:t>Grant Date</w:t>
            </w:r>
          </w:p>
        </w:tc>
        <w:tc>
          <w:tcPr>
            <w:tcW w:w="820" w:type="dxa"/>
            <w:vAlign w:val="bottom"/>
            <w:tcBorders>
              <w:bottom w:val="single" w:sz="8" w:color="34657F"/>
            </w:tcBorders>
            <w:shd w:val="clear" w:color="auto" w:fill="34657F"/>
          </w:tcPr>
          <w:p>
            <w:pPr>
              <w:jc w:val="center"/>
              <w:ind w:left="12"/>
              <w:spacing w:after="0"/>
              <w:rPr>
                <w:sz w:val="20"/>
                <w:szCs w:val="20"/>
                <w:color w:val="auto"/>
              </w:rPr>
            </w:pPr>
            <w:r>
              <w:rPr>
                <w:rFonts w:ascii="Arial" w:cs="Arial" w:eastAsia="Arial" w:hAnsi="Arial"/>
                <w:sz w:val="14"/>
                <w:szCs w:val="14"/>
                <w:b w:val="1"/>
                <w:bCs w:val="1"/>
                <w:color w:val="FFFFFF"/>
              </w:rPr>
              <w:t>($)</w:t>
            </w:r>
          </w:p>
        </w:tc>
        <w:tc>
          <w:tcPr>
            <w:tcW w:w="1100" w:type="dxa"/>
            <w:vAlign w:val="bottom"/>
            <w:tcBorders>
              <w:bottom w:val="single" w:sz="8" w:color="34657F"/>
            </w:tcBorders>
            <w:shd w:val="clear" w:color="auto" w:fill="34657F"/>
          </w:tcPr>
          <w:p>
            <w:pPr>
              <w:jc w:val="center"/>
              <w:spacing w:after="0"/>
              <w:rPr>
                <w:sz w:val="20"/>
                <w:szCs w:val="20"/>
                <w:color w:val="auto"/>
              </w:rPr>
            </w:pPr>
            <w:r>
              <w:rPr>
                <w:rFonts w:ascii="Arial" w:cs="Arial" w:eastAsia="Arial" w:hAnsi="Arial"/>
                <w:sz w:val="14"/>
                <w:szCs w:val="14"/>
                <w:b w:val="1"/>
                <w:bCs w:val="1"/>
                <w:color w:val="FFFFFF"/>
                <w:w w:val="93"/>
              </w:rPr>
              <w:t>($)</w:t>
            </w:r>
          </w:p>
        </w:tc>
        <w:tc>
          <w:tcPr>
            <w:tcW w:w="860" w:type="dxa"/>
            <w:vAlign w:val="bottom"/>
            <w:tcBorders>
              <w:bottom w:val="single" w:sz="8" w:color="34657F"/>
            </w:tcBorders>
            <w:shd w:val="clear" w:color="auto" w:fill="34657F"/>
          </w:tcPr>
          <w:p>
            <w:pPr>
              <w:jc w:val="center"/>
              <w:ind w:right="72"/>
              <w:spacing w:after="0"/>
              <w:rPr>
                <w:sz w:val="20"/>
                <w:szCs w:val="20"/>
                <w:color w:val="auto"/>
              </w:rPr>
            </w:pPr>
            <w:r>
              <w:rPr>
                <w:rFonts w:ascii="Arial" w:cs="Arial" w:eastAsia="Arial" w:hAnsi="Arial"/>
                <w:sz w:val="14"/>
                <w:szCs w:val="14"/>
                <w:b w:val="1"/>
                <w:bCs w:val="1"/>
                <w:color w:val="FFFFFF"/>
                <w:w w:val="93"/>
              </w:rPr>
              <w:t>($)</w:t>
            </w:r>
          </w:p>
        </w:tc>
        <w:tc>
          <w:tcPr>
            <w:tcW w:w="880" w:type="dxa"/>
            <w:vAlign w:val="bottom"/>
            <w:tcBorders>
              <w:bottom w:val="single" w:sz="8" w:color="34657F"/>
            </w:tcBorders>
            <w:shd w:val="clear" w:color="auto" w:fill="34657F"/>
          </w:tcPr>
          <w:p>
            <w:pPr>
              <w:jc w:val="center"/>
              <w:ind w:left="72"/>
              <w:spacing w:after="0"/>
              <w:rPr>
                <w:sz w:val="20"/>
                <w:szCs w:val="20"/>
                <w:color w:val="auto"/>
              </w:rPr>
            </w:pPr>
            <w:r>
              <w:rPr>
                <w:rFonts w:ascii="Arial" w:cs="Arial" w:eastAsia="Arial" w:hAnsi="Arial"/>
                <w:sz w:val="14"/>
                <w:szCs w:val="14"/>
                <w:b w:val="1"/>
                <w:bCs w:val="1"/>
                <w:color w:val="FFFFFF"/>
              </w:rPr>
              <w:t>(#)</w:t>
            </w:r>
          </w:p>
        </w:tc>
        <w:tc>
          <w:tcPr>
            <w:tcW w:w="1100" w:type="dxa"/>
            <w:vAlign w:val="bottom"/>
            <w:tcBorders>
              <w:bottom w:val="single" w:sz="8" w:color="34657F"/>
            </w:tcBorders>
            <w:shd w:val="clear" w:color="auto" w:fill="34657F"/>
          </w:tcPr>
          <w:p>
            <w:pPr>
              <w:jc w:val="center"/>
              <w:spacing w:after="0"/>
              <w:rPr>
                <w:sz w:val="20"/>
                <w:szCs w:val="20"/>
                <w:color w:val="auto"/>
              </w:rPr>
            </w:pPr>
            <w:r>
              <w:rPr>
                <w:rFonts w:ascii="Arial" w:cs="Arial" w:eastAsia="Arial" w:hAnsi="Arial"/>
                <w:sz w:val="14"/>
                <w:szCs w:val="14"/>
                <w:b w:val="1"/>
                <w:bCs w:val="1"/>
                <w:color w:val="FFFFFF"/>
                <w:w w:val="93"/>
              </w:rPr>
              <w:t>(#)</w:t>
            </w:r>
          </w:p>
        </w:tc>
        <w:tc>
          <w:tcPr>
            <w:tcW w:w="800" w:type="dxa"/>
            <w:vAlign w:val="bottom"/>
            <w:tcBorders>
              <w:bottom w:val="single" w:sz="8" w:color="34657F"/>
            </w:tcBorders>
            <w:shd w:val="clear" w:color="auto" w:fill="34657F"/>
          </w:tcPr>
          <w:p>
            <w:pPr>
              <w:jc w:val="center"/>
              <w:ind w:right="32"/>
              <w:spacing w:after="0"/>
              <w:rPr>
                <w:sz w:val="20"/>
                <w:szCs w:val="20"/>
                <w:color w:val="auto"/>
              </w:rPr>
            </w:pPr>
            <w:r>
              <w:rPr>
                <w:rFonts w:ascii="Arial" w:cs="Arial" w:eastAsia="Arial" w:hAnsi="Arial"/>
                <w:sz w:val="14"/>
                <w:szCs w:val="14"/>
                <w:b w:val="1"/>
                <w:bCs w:val="1"/>
                <w:color w:val="FFFFFF"/>
              </w:rPr>
              <w:t>(#)</w:t>
            </w:r>
          </w:p>
        </w:tc>
        <w:tc>
          <w:tcPr>
            <w:tcW w:w="920" w:type="dxa"/>
            <w:vAlign w:val="bottom"/>
            <w:tcBorders>
              <w:bottom w:val="single" w:sz="8" w:color="34657F"/>
            </w:tcBorders>
            <w:shd w:val="clear" w:color="auto" w:fill="34657F"/>
          </w:tcPr>
          <w:p>
            <w:pPr>
              <w:jc w:val="center"/>
              <w:spacing w:after="0"/>
              <w:rPr>
                <w:sz w:val="20"/>
                <w:szCs w:val="20"/>
                <w:color w:val="auto"/>
              </w:rPr>
            </w:pPr>
            <w:r>
              <w:rPr>
                <w:rFonts w:ascii="Arial" w:cs="Arial" w:eastAsia="Arial" w:hAnsi="Arial"/>
                <w:sz w:val="14"/>
                <w:szCs w:val="14"/>
                <w:b w:val="1"/>
                <w:bCs w:val="1"/>
                <w:color w:val="FFFFFF"/>
                <w:w w:val="93"/>
              </w:rPr>
              <w:t>(#)</w:t>
            </w:r>
          </w:p>
        </w:tc>
        <w:tc>
          <w:tcPr>
            <w:tcW w:w="900" w:type="dxa"/>
            <w:vAlign w:val="bottom"/>
            <w:tcBorders>
              <w:bottom w:val="single" w:sz="8" w:color="34657F"/>
            </w:tcBorders>
            <w:shd w:val="clear" w:color="auto" w:fill="34657F"/>
          </w:tcPr>
          <w:p>
            <w:pPr>
              <w:jc w:val="center"/>
              <w:spacing w:after="0"/>
              <w:rPr>
                <w:sz w:val="20"/>
                <w:szCs w:val="20"/>
                <w:color w:val="auto"/>
              </w:rPr>
            </w:pPr>
            <w:r>
              <w:rPr>
                <w:rFonts w:ascii="Arial" w:cs="Arial" w:eastAsia="Arial" w:hAnsi="Arial"/>
                <w:sz w:val="14"/>
                <w:szCs w:val="14"/>
                <w:b w:val="1"/>
                <w:bCs w:val="1"/>
                <w:color w:val="FFFFFF"/>
              </w:rPr>
              <w:t>($)</w:t>
            </w:r>
          </w:p>
        </w:tc>
        <w:tc>
          <w:tcPr>
            <w:tcW w:w="20" w:type="dxa"/>
            <w:vAlign w:val="bottom"/>
            <w:tcBorders>
              <w:bottom w:val="single" w:sz="8" w:color="34657F"/>
            </w:tcBorders>
            <w:shd w:val="clear" w:color="auto" w:fill="34657F"/>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1960" w:type="dxa"/>
            <w:vAlign w:val="bottom"/>
          </w:tcPr>
          <w:p>
            <w:pPr>
              <w:spacing w:after="0"/>
              <w:rPr>
                <w:sz w:val="20"/>
                <w:szCs w:val="20"/>
                <w:color w:val="auto"/>
              </w:rPr>
            </w:pPr>
          </w:p>
        </w:tc>
        <w:tc>
          <w:tcPr>
            <w:tcW w:w="1140" w:type="dxa"/>
            <w:vAlign w:val="bottom"/>
            <w:tcBorders>
              <w:bottom w:val="single" w:sz="8" w:color="D1DDE6"/>
            </w:tcBorders>
            <w:shd w:val="clear" w:color="auto" w:fill="D1DDE6"/>
          </w:tcPr>
          <w:p>
            <w:pPr>
              <w:ind w:left="20"/>
              <w:spacing w:after="0"/>
              <w:rPr>
                <w:sz w:val="20"/>
                <w:szCs w:val="20"/>
                <w:color w:val="auto"/>
              </w:rPr>
            </w:pPr>
            <w:r>
              <w:rPr>
                <w:rFonts w:ascii="Arial" w:cs="Arial" w:eastAsia="Arial" w:hAnsi="Arial"/>
                <w:sz w:val="14"/>
                <w:szCs w:val="14"/>
                <w:color w:val="auto"/>
              </w:rPr>
              <w:t>Incentive Plan</w:t>
            </w:r>
          </w:p>
        </w:tc>
        <w:tc>
          <w:tcPr>
            <w:tcW w:w="940" w:type="dxa"/>
            <w:vAlign w:val="bottom"/>
            <w:tcBorders>
              <w:bottom w:val="single" w:sz="8" w:color="D1DDE6"/>
            </w:tcBorders>
            <w:shd w:val="clear" w:color="auto" w:fill="D1DDE6"/>
          </w:tcPr>
          <w:p>
            <w:pPr>
              <w:spacing w:after="0"/>
              <w:rPr>
                <w:sz w:val="20"/>
                <w:szCs w:val="20"/>
                <w:color w:val="auto"/>
              </w:rPr>
            </w:pPr>
          </w:p>
        </w:tc>
        <w:tc>
          <w:tcPr>
            <w:tcW w:w="820" w:type="dxa"/>
            <w:vAlign w:val="bottom"/>
            <w:tcBorders>
              <w:bottom w:val="single" w:sz="8" w:color="D1DDE6"/>
            </w:tcBorders>
            <w:shd w:val="clear" w:color="auto" w:fill="D1DDE6"/>
          </w:tcPr>
          <w:p>
            <w:pPr>
              <w:jc w:val="center"/>
              <w:ind w:left="12"/>
              <w:spacing w:after="0"/>
              <w:rPr>
                <w:sz w:val="20"/>
                <w:szCs w:val="20"/>
                <w:color w:val="auto"/>
              </w:rPr>
            </w:pPr>
            <w:r>
              <w:rPr>
                <w:rFonts w:ascii="Arial" w:cs="Arial" w:eastAsia="Arial" w:hAnsi="Arial"/>
                <w:sz w:val="14"/>
                <w:szCs w:val="14"/>
                <w:color w:val="auto"/>
                <w:w w:val="99"/>
              </w:rPr>
              <w:t>—</w:t>
            </w:r>
          </w:p>
        </w:tc>
        <w:tc>
          <w:tcPr>
            <w:tcW w:w="1100" w:type="dxa"/>
            <w:vAlign w:val="bottom"/>
            <w:tcBorders>
              <w:bottom w:val="single" w:sz="8" w:color="D1DDE6"/>
            </w:tcBorders>
            <w:shd w:val="clear" w:color="auto" w:fill="D1DDE6"/>
          </w:tcPr>
          <w:p>
            <w:pPr>
              <w:jc w:val="center"/>
              <w:spacing w:after="0"/>
              <w:rPr>
                <w:sz w:val="20"/>
                <w:szCs w:val="20"/>
                <w:color w:val="auto"/>
              </w:rPr>
            </w:pPr>
            <w:r>
              <w:rPr>
                <w:rFonts w:ascii="Arial" w:cs="Arial" w:eastAsia="Arial" w:hAnsi="Arial"/>
                <w:sz w:val="14"/>
                <w:szCs w:val="14"/>
                <w:color w:val="auto"/>
                <w:w w:val="99"/>
              </w:rPr>
              <w:t>2,851,200</w:t>
            </w:r>
          </w:p>
        </w:tc>
        <w:tc>
          <w:tcPr>
            <w:tcW w:w="860" w:type="dxa"/>
            <w:vAlign w:val="bottom"/>
            <w:tcBorders>
              <w:bottom w:val="single" w:sz="8" w:color="D1DDE6"/>
            </w:tcBorders>
            <w:shd w:val="clear" w:color="auto" w:fill="D1DDE6"/>
          </w:tcPr>
          <w:p>
            <w:pPr>
              <w:jc w:val="center"/>
              <w:ind w:right="72"/>
              <w:spacing w:after="0"/>
              <w:rPr>
                <w:sz w:val="20"/>
                <w:szCs w:val="20"/>
                <w:color w:val="auto"/>
              </w:rPr>
            </w:pPr>
            <w:r>
              <w:rPr>
                <w:rFonts w:ascii="Arial" w:cs="Arial" w:eastAsia="Arial" w:hAnsi="Arial"/>
                <w:sz w:val="14"/>
                <w:szCs w:val="14"/>
                <w:color w:val="auto"/>
                <w:w w:val="96"/>
              </w:rPr>
              <w:t>5,702,400</w:t>
            </w:r>
          </w:p>
        </w:tc>
        <w:tc>
          <w:tcPr>
            <w:tcW w:w="880" w:type="dxa"/>
            <w:vAlign w:val="bottom"/>
            <w:tcBorders>
              <w:bottom w:val="single" w:sz="8" w:color="D1DDE6"/>
            </w:tcBorders>
            <w:shd w:val="clear" w:color="auto" w:fill="D1DDE6"/>
          </w:tcPr>
          <w:p>
            <w:pPr>
              <w:spacing w:after="0"/>
              <w:rPr>
                <w:sz w:val="20"/>
                <w:szCs w:val="20"/>
                <w:color w:val="auto"/>
              </w:rPr>
            </w:pPr>
          </w:p>
        </w:tc>
        <w:tc>
          <w:tcPr>
            <w:tcW w:w="1100" w:type="dxa"/>
            <w:vAlign w:val="bottom"/>
            <w:tcBorders>
              <w:bottom w:val="single" w:sz="8" w:color="D1DDE6"/>
            </w:tcBorders>
            <w:shd w:val="clear" w:color="auto" w:fill="D1DDE6"/>
          </w:tcPr>
          <w:p>
            <w:pPr>
              <w:spacing w:after="0"/>
              <w:rPr>
                <w:sz w:val="20"/>
                <w:szCs w:val="20"/>
                <w:color w:val="auto"/>
              </w:rPr>
            </w:pPr>
          </w:p>
        </w:tc>
        <w:tc>
          <w:tcPr>
            <w:tcW w:w="800" w:type="dxa"/>
            <w:vAlign w:val="bottom"/>
            <w:tcBorders>
              <w:bottom w:val="single" w:sz="8" w:color="D1DDE6"/>
            </w:tcBorders>
            <w:shd w:val="clear" w:color="auto" w:fill="D1DDE6"/>
          </w:tcPr>
          <w:p>
            <w:pPr>
              <w:spacing w:after="0"/>
              <w:rPr>
                <w:sz w:val="20"/>
                <w:szCs w:val="20"/>
                <w:color w:val="auto"/>
              </w:rPr>
            </w:pPr>
          </w:p>
        </w:tc>
        <w:tc>
          <w:tcPr>
            <w:tcW w:w="920" w:type="dxa"/>
            <w:vAlign w:val="bottom"/>
            <w:tcBorders>
              <w:bottom w:val="single" w:sz="8" w:color="D1DDE6"/>
            </w:tcBorders>
            <w:shd w:val="clear" w:color="auto" w:fill="D1DDE6"/>
          </w:tcPr>
          <w:p>
            <w:pPr>
              <w:spacing w:after="0"/>
              <w:rPr>
                <w:sz w:val="20"/>
                <w:szCs w:val="20"/>
                <w:color w:val="auto"/>
              </w:rPr>
            </w:pPr>
          </w:p>
        </w:tc>
        <w:tc>
          <w:tcPr>
            <w:tcW w:w="900" w:type="dxa"/>
            <w:vAlign w:val="bottom"/>
            <w:tcBorders>
              <w:bottom w:val="single" w:sz="8" w:color="D1DDE6"/>
            </w:tcBorders>
            <w:shd w:val="clear" w:color="auto" w:fill="D1DDE6"/>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1960" w:type="dxa"/>
            <w:vAlign w:val="bottom"/>
          </w:tcPr>
          <w:p>
            <w:pPr>
              <w:spacing w:after="0"/>
              <w:rPr>
                <w:sz w:val="19"/>
                <w:szCs w:val="19"/>
                <w:color w:val="auto"/>
              </w:rPr>
            </w:pPr>
          </w:p>
        </w:tc>
        <w:tc>
          <w:tcPr>
            <w:tcW w:w="1140" w:type="dxa"/>
            <w:vAlign w:val="bottom"/>
          </w:tcPr>
          <w:p>
            <w:pPr>
              <w:ind w:left="20"/>
              <w:spacing w:after="0"/>
              <w:rPr>
                <w:sz w:val="20"/>
                <w:szCs w:val="20"/>
                <w:color w:val="auto"/>
              </w:rPr>
            </w:pPr>
            <w:r>
              <w:rPr>
                <w:rFonts w:ascii="Arial" w:cs="Arial" w:eastAsia="Arial" w:hAnsi="Arial"/>
                <w:sz w:val="14"/>
                <w:szCs w:val="14"/>
                <w:color w:val="auto"/>
              </w:rPr>
              <w:t>RPSR</w:t>
            </w:r>
          </w:p>
        </w:tc>
        <w:tc>
          <w:tcPr>
            <w:tcW w:w="940" w:type="dxa"/>
            <w:vAlign w:val="bottom"/>
          </w:tcPr>
          <w:p>
            <w:pPr>
              <w:jc w:val="center"/>
              <w:spacing w:after="0"/>
              <w:rPr>
                <w:sz w:val="20"/>
                <w:szCs w:val="20"/>
                <w:color w:val="auto"/>
              </w:rPr>
            </w:pPr>
            <w:r>
              <w:rPr>
                <w:rFonts w:ascii="Arial" w:cs="Arial" w:eastAsia="Arial" w:hAnsi="Arial"/>
                <w:sz w:val="14"/>
                <w:szCs w:val="14"/>
                <w:color w:val="auto"/>
                <w:w w:val="99"/>
              </w:rPr>
              <w:t>2/13/2018</w:t>
            </w:r>
          </w:p>
        </w:tc>
        <w:tc>
          <w:tcPr>
            <w:tcW w:w="8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80" w:type="dxa"/>
            <w:vAlign w:val="bottom"/>
          </w:tcPr>
          <w:p>
            <w:pPr>
              <w:jc w:val="center"/>
              <w:ind w:left="72"/>
              <w:spacing w:after="0"/>
              <w:rPr>
                <w:sz w:val="20"/>
                <w:szCs w:val="20"/>
                <w:color w:val="auto"/>
              </w:rPr>
            </w:pPr>
            <w:r>
              <w:rPr>
                <w:rFonts w:ascii="Arial" w:cs="Arial" w:eastAsia="Arial" w:hAnsi="Arial"/>
                <w:sz w:val="14"/>
                <w:szCs w:val="14"/>
                <w:color w:val="auto"/>
                <w:w w:val="99"/>
              </w:rPr>
              <w:t>—</w:t>
            </w:r>
          </w:p>
        </w:tc>
        <w:tc>
          <w:tcPr>
            <w:tcW w:w="1100" w:type="dxa"/>
            <w:vAlign w:val="bottom"/>
          </w:tcPr>
          <w:p>
            <w:pPr>
              <w:jc w:val="center"/>
              <w:spacing w:after="0"/>
              <w:rPr>
                <w:sz w:val="20"/>
                <w:szCs w:val="20"/>
                <w:color w:val="auto"/>
              </w:rPr>
            </w:pPr>
            <w:r>
              <w:rPr>
                <w:rFonts w:ascii="Arial" w:cs="Arial" w:eastAsia="Arial" w:hAnsi="Arial"/>
                <w:sz w:val="14"/>
                <w:szCs w:val="14"/>
                <w:color w:val="auto"/>
                <w:w w:val="93"/>
              </w:rPr>
              <w:t>19,888</w:t>
            </w:r>
          </w:p>
        </w:tc>
        <w:tc>
          <w:tcPr>
            <w:tcW w:w="800" w:type="dxa"/>
            <w:vAlign w:val="bottom"/>
          </w:tcPr>
          <w:p>
            <w:pPr>
              <w:jc w:val="center"/>
              <w:ind w:right="32"/>
              <w:spacing w:after="0"/>
              <w:rPr>
                <w:sz w:val="20"/>
                <w:szCs w:val="20"/>
                <w:color w:val="auto"/>
              </w:rPr>
            </w:pPr>
            <w:r>
              <w:rPr>
                <w:rFonts w:ascii="Arial" w:cs="Arial" w:eastAsia="Arial" w:hAnsi="Arial"/>
                <w:sz w:val="14"/>
                <w:szCs w:val="14"/>
                <w:color w:val="auto"/>
                <w:w w:val="97"/>
              </w:rPr>
              <w:t>29,832</w:t>
            </w:r>
          </w:p>
        </w:tc>
        <w:tc>
          <w:tcPr>
            <w:tcW w:w="920" w:type="dxa"/>
            <w:vAlign w:val="bottom"/>
          </w:tcPr>
          <w:p>
            <w:pPr>
              <w:spacing w:after="0"/>
              <w:rPr>
                <w:sz w:val="19"/>
                <w:szCs w:val="19"/>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9"/>
              </w:rPr>
              <w:t>7,000,145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19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920" w:type="dxa"/>
            <w:vAlign w:val="bottom"/>
          </w:tcPr>
          <w:p>
            <w:pPr>
              <w:spacing w:after="0"/>
              <w:rPr>
                <w:sz w:val="3"/>
                <w:szCs w:val="3"/>
                <w:color w:val="auto"/>
              </w:rPr>
            </w:pPr>
          </w:p>
        </w:tc>
        <w:tc>
          <w:tcPr>
            <w:tcW w:w="90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6"/>
        </w:trPr>
        <w:tc>
          <w:tcPr>
            <w:tcW w:w="1960" w:type="dxa"/>
            <w:vAlign w:val="bottom"/>
          </w:tcPr>
          <w:p>
            <w:pPr>
              <w:ind w:left="20"/>
              <w:spacing w:after="0"/>
              <w:rPr>
                <w:sz w:val="20"/>
                <w:szCs w:val="20"/>
                <w:color w:val="auto"/>
              </w:rPr>
            </w:pPr>
            <w:r>
              <w:rPr>
                <w:rFonts w:ascii="Arial" w:cs="Arial" w:eastAsia="Arial" w:hAnsi="Arial"/>
                <w:sz w:val="14"/>
                <w:szCs w:val="14"/>
                <w:color w:val="auto"/>
              </w:rPr>
              <w:t>Wesley G. Bush</w:t>
            </w:r>
          </w:p>
        </w:tc>
        <w:tc>
          <w:tcPr>
            <w:tcW w:w="1140" w:type="dxa"/>
            <w:vAlign w:val="bottom"/>
            <w:tcBorders>
              <w:bottom w:val="single" w:sz="8" w:color="D1DDE6"/>
            </w:tcBorders>
            <w:shd w:val="clear" w:color="auto" w:fill="D1DDE6"/>
          </w:tcPr>
          <w:p>
            <w:pPr>
              <w:ind w:left="20"/>
              <w:spacing w:after="0"/>
              <w:rPr>
                <w:sz w:val="20"/>
                <w:szCs w:val="20"/>
                <w:color w:val="auto"/>
              </w:rPr>
            </w:pPr>
            <w:r>
              <w:rPr>
                <w:rFonts w:ascii="Arial" w:cs="Arial" w:eastAsia="Arial" w:hAnsi="Arial"/>
                <w:sz w:val="14"/>
                <w:szCs w:val="14"/>
                <w:color w:val="auto"/>
              </w:rPr>
              <w:t>RSR</w:t>
            </w:r>
          </w:p>
        </w:tc>
        <w:tc>
          <w:tcPr>
            <w:tcW w:w="940" w:type="dxa"/>
            <w:vAlign w:val="bottom"/>
            <w:tcBorders>
              <w:bottom w:val="single" w:sz="8" w:color="D1DDE6"/>
            </w:tcBorders>
            <w:shd w:val="clear" w:color="auto" w:fill="D1DDE6"/>
          </w:tcPr>
          <w:p>
            <w:pPr>
              <w:jc w:val="center"/>
              <w:spacing w:after="0"/>
              <w:rPr>
                <w:sz w:val="20"/>
                <w:szCs w:val="20"/>
                <w:color w:val="auto"/>
              </w:rPr>
            </w:pPr>
            <w:r>
              <w:rPr>
                <w:rFonts w:ascii="Arial" w:cs="Arial" w:eastAsia="Arial" w:hAnsi="Arial"/>
                <w:sz w:val="14"/>
                <w:szCs w:val="14"/>
                <w:color w:val="auto"/>
                <w:w w:val="99"/>
              </w:rPr>
              <w:t>2/13/2018</w:t>
            </w:r>
          </w:p>
        </w:tc>
        <w:tc>
          <w:tcPr>
            <w:tcW w:w="820" w:type="dxa"/>
            <w:vAlign w:val="bottom"/>
            <w:tcBorders>
              <w:bottom w:val="single" w:sz="8" w:color="D1DDE6"/>
            </w:tcBorders>
            <w:shd w:val="clear" w:color="auto" w:fill="D1DDE6"/>
          </w:tcPr>
          <w:p>
            <w:pPr>
              <w:spacing w:after="0"/>
              <w:rPr>
                <w:sz w:val="20"/>
                <w:szCs w:val="20"/>
                <w:color w:val="auto"/>
              </w:rPr>
            </w:pPr>
          </w:p>
        </w:tc>
        <w:tc>
          <w:tcPr>
            <w:tcW w:w="1100" w:type="dxa"/>
            <w:vAlign w:val="bottom"/>
            <w:tcBorders>
              <w:bottom w:val="single" w:sz="8" w:color="D1DDE6"/>
            </w:tcBorders>
            <w:shd w:val="clear" w:color="auto" w:fill="D1DDE6"/>
          </w:tcPr>
          <w:p>
            <w:pPr>
              <w:spacing w:after="0"/>
              <w:rPr>
                <w:sz w:val="20"/>
                <w:szCs w:val="20"/>
                <w:color w:val="auto"/>
              </w:rPr>
            </w:pPr>
          </w:p>
        </w:tc>
        <w:tc>
          <w:tcPr>
            <w:tcW w:w="860" w:type="dxa"/>
            <w:vAlign w:val="bottom"/>
            <w:tcBorders>
              <w:bottom w:val="single" w:sz="8" w:color="D1DDE6"/>
            </w:tcBorders>
            <w:shd w:val="clear" w:color="auto" w:fill="D1DDE6"/>
          </w:tcPr>
          <w:p>
            <w:pPr>
              <w:spacing w:after="0"/>
              <w:rPr>
                <w:sz w:val="20"/>
                <w:szCs w:val="20"/>
                <w:color w:val="auto"/>
              </w:rPr>
            </w:pPr>
          </w:p>
        </w:tc>
        <w:tc>
          <w:tcPr>
            <w:tcW w:w="880" w:type="dxa"/>
            <w:vAlign w:val="bottom"/>
            <w:tcBorders>
              <w:bottom w:val="single" w:sz="8" w:color="D1DDE6"/>
            </w:tcBorders>
            <w:shd w:val="clear" w:color="auto" w:fill="D1DDE6"/>
          </w:tcPr>
          <w:p>
            <w:pPr>
              <w:spacing w:after="0"/>
              <w:rPr>
                <w:sz w:val="20"/>
                <w:szCs w:val="20"/>
                <w:color w:val="auto"/>
              </w:rPr>
            </w:pPr>
          </w:p>
        </w:tc>
        <w:tc>
          <w:tcPr>
            <w:tcW w:w="1100" w:type="dxa"/>
            <w:vAlign w:val="bottom"/>
            <w:tcBorders>
              <w:bottom w:val="single" w:sz="8" w:color="D1DDE6"/>
            </w:tcBorders>
            <w:shd w:val="clear" w:color="auto" w:fill="D1DDE6"/>
          </w:tcPr>
          <w:p>
            <w:pPr>
              <w:spacing w:after="0"/>
              <w:rPr>
                <w:sz w:val="20"/>
                <w:szCs w:val="20"/>
                <w:color w:val="auto"/>
              </w:rPr>
            </w:pPr>
          </w:p>
        </w:tc>
        <w:tc>
          <w:tcPr>
            <w:tcW w:w="800" w:type="dxa"/>
            <w:vAlign w:val="bottom"/>
            <w:tcBorders>
              <w:bottom w:val="single" w:sz="8" w:color="D1DDE6"/>
            </w:tcBorders>
            <w:shd w:val="clear" w:color="auto" w:fill="D1DDE6"/>
          </w:tcPr>
          <w:p>
            <w:pPr>
              <w:spacing w:after="0"/>
              <w:rPr>
                <w:sz w:val="20"/>
                <w:szCs w:val="20"/>
                <w:color w:val="auto"/>
              </w:rPr>
            </w:pPr>
          </w:p>
        </w:tc>
        <w:tc>
          <w:tcPr>
            <w:tcW w:w="920" w:type="dxa"/>
            <w:vAlign w:val="bottom"/>
            <w:tcBorders>
              <w:bottom w:val="single" w:sz="8" w:color="D1DDE6"/>
            </w:tcBorders>
            <w:shd w:val="clear" w:color="auto" w:fill="D1DDE6"/>
          </w:tcPr>
          <w:p>
            <w:pPr>
              <w:jc w:val="center"/>
              <w:spacing w:after="0"/>
              <w:rPr>
                <w:sz w:val="20"/>
                <w:szCs w:val="20"/>
                <w:color w:val="auto"/>
              </w:rPr>
            </w:pPr>
            <w:r>
              <w:rPr>
                <w:rFonts w:ascii="Arial" w:cs="Arial" w:eastAsia="Arial" w:hAnsi="Arial"/>
                <w:sz w:val="14"/>
                <w:szCs w:val="14"/>
                <w:color w:val="auto"/>
              </w:rPr>
              <w:t>9,033</w:t>
            </w:r>
          </w:p>
        </w:tc>
        <w:tc>
          <w:tcPr>
            <w:tcW w:w="900" w:type="dxa"/>
            <w:vAlign w:val="bottom"/>
            <w:tcBorders>
              <w:bottom w:val="single" w:sz="8" w:color="D1DDE6"/>
            </w:tcBorders>
            <w:shd w:val="clear" w:color="auto" w:fill="D1DDE6"/>
          </w:tcPr>
          <w:p>
            <w:pPr>
              <w:jc w:val="center"/>
              <w:spacing w:after="0"/>
              <w:rPr>
                <w:sz w:val="20"/>
                <w:szCs w:val="20"/>
                <w:color w:val="auto"/>
              </w:rPr>
            </w:pPr>
            <w:r>
              <w:rPr>
                <w:rFonts w:ascii="Arial" w:cs="Arial" w:eastAsia="Arial" w:hAnsi="Arial"/>
                <w:sz w:val="14"/>
                <w:szCs w:val="14"/>
                <w:color w:val="auto"/>
                <w:w w:val="99"/>
              </w:rPr>
              <w:t>3,000,149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1960" w:type="dxa"/>
            <w:vAlign w:val="bottom"/>
          </w:tcPr>
          <w:p>
            <w:pPr>
              <w:spacing w:after="0"/>
              <w:rPr>
                <w:sz w:val="19"/>
                <w:szCs w:val="19"/>
                <w:color w:val="auto"/>
              </w:rPr>
            </w:pPr>
          </w:p>
        </w:tc>
        <w:tc>
          <w:tcPr>
            <w:tcW w:w="1140" w:type="dxa"/>
            <w:vAlign w:val="bottom"/>
          </w:tcPr>
          <w:p>
            <w:pPr>
              <w:ind w:left="20"/>
              <w:spacing w:after="0"/>
              <w:rPr>
                <w:sz w:val="20"/>
                <w:szCs w:val="20"/>
                <w:color w:val="auto"/>
              </w:rPr>
            </w:pPr>
            <w:r>
              <w:rPr>
                <w:rFonts w:ascii="Arial" w:cs="Arial" w:eastAsia="Arial" w:hAnsi="Arial"/>
                <w:sz w:val="14"/>
                <w:szCs w:val="14"/>
                <w:color w:val="auto"/>
              </w:rPr>
              <w:t>RPSR (5)</w:t>
            </w:r>
          </w:p>
        </w:tc>
        <w:tc>
          <w:tcPr>
            <w:tcW w:w="940" w:type="dxa"/>
            <w:vAlign w:val="bottom"/>
          </w:tcPr>
          <w:p>
            <w:pPr>
              <w:jc w:val="center"/>
              <w:spacing w:after="0"/>
              <w:rPr>
                <w:sz w:val="20"/>
                <w:szCs w:val="20"/>
                <w:color w:val="auto"/>
              </w:rPr>
            </w:pPr>
            <w:r>
              <w:rPr>
                <w:rFonts w:ascii="Arial" w:cs="Arial" w:eastAsia="Arial" w:hAnsi="Arial"/>
                <w:sz w:val="14"/>
                <w:szCs w:val="14"/>
                <w:color w:val="auto"/>
                <w:w w:val="99"/>
              </w:rPr>
              <w:t>9/19/2018</w:t>
            </w:r>
          </w:p>
        </w:tc>
        <w:tc>
          <w:tcPr>
            <w:tcW w:w="8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80" w:type="dxa"/>
            <w:vAlign w:val="bottom"/>
          </w:tcPr>
          <w:p>
            <w:pPr>
              <w:jc w:val="center"/>
              <w:ind w:left="72"/>
              <w:spacing w:after="0"/>
              <w:rPr>
                <w:sz w:val="20"/>
                <w:szCs w:val="20"/>
                <w:color w:val="auto"/>
              </w:rPr>
            </w:pPr>
            <w:r>
              <w:rPr>
                <w:rFonts w:ascii="Arial" w:cs="Arial" w:eastAsia="Arial" w:hAnsi="Arial"/>
                <w:sz w:val="14"/>
                <w:szCs w:val="14"/>
                <w:color w:val="auto"/>
                <w:w w:val="99"/>
              </w:rPr>
              <w:t>—</w:t>
            </w:r>
          </w:p>
        </w:tc>
        <w:tc>
          <w:tcPr>
            <w:tcW w:w="1100" w:type="dxa"/>
            <w:vAlign w:val="bottom"/>
          </w:tcPr>
          <w:p>
            <w:pPr>
              <w:jc w:val="center"/>
              <w:spacing w:after="0"/>
              <w:rPr>
                <w:sz w:val="20"/>
                <w:szCs w:val="20"/>
                <w:color w:val="auto"/>
              </w:rPr>
            </w:pPr>
            <w:r>
              <w:rPr>
                <w:rFonts w:ascii="Arial" w:cs="Arial" w:eastAsia="Arial" w:hAnsi="Arial"/>
                <w:sz w:val="14"/>
                <w:szCs w:val="14"/>
                <w:color w:val="auto"/>
                <w:w w:val="93"/>
              </w:rPr>
              <w:t>13,681</w:t>
            </w:r>
          </w:p>
        </w:tc>
        <w:tc>
          <w:tcPr>
            <w:tcW w:w="800" w:type="dxa"/>
            <w:vAlign w:val="bottom"/>
          </w:tcPr>
          <w:p>
            <w:pPr>
              <w:jc w:val="center"/>
              <w:ind w:right="32"/>
              <w:spacing w:after="0"/>
              <w:rPr>
                <w:sz w:val="20"/>
                <w:szCs w:val="20"/>
                <w:color w:val="auto"/>
              </w:rPr>
            </w:pPr>
            <w:r>
              <w:rPr>
                <w:rFonts w:ascii="Arial" w:cs="Arial" w:eastAsia="Arial" w:hAnsi="Arial"/>
                <w:sz w:val="14"/>
                <w:szCs w:val="14"/>
                <w:color w:val="auto"/>
                <w:w w:val="97"/>
              </w:rPr>
              <w:t>20,522</w:t>
            </w:r>
          </w:p>
        </w:tc>
        <w:tc>
          <w:tcPr>
            <w:tcW w:w="920" w:type="dxa"/>
            <w:vAlign w:val="bottom"/>
          </w:tcPr>
          <w:p>
            <w:pPr>
              <w:spacing w:after="0"/>
              <w:rPr>
                <w:sz w:val="19"/>
                <w:szCs w:val="19"/>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9"/>
              </w:rPr>
              <w:t>4,807,271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19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920" w:type="dxa"/>
            <w:vAlign w:val="bottom"/>
          </w:tcPr>
          <w:p>
            <w:pPr>
              <w:spacing w:after="0"/>
              <w:rPr>
                <w:sz w:val="3"/>
                <w:szCs w:val="3"/>
                <w:color w:val="auto"/>
              </w:rPr>
            </w:pPr>
          </w:p>
        </w:tc>
        <w:tc>
          <w:tcPr>
            <w:tcW w:w="90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6"/>
        </w:trPr>
        <w:tc>
          <w:tcPr>
            <w:tcW w:w="1960" w:type="dxa"/>
            <w:vAlign w:val="bottom"/>
          </w:tcPr>
          <w:p>
            <w:pPr>
              <w:spacing w:after="0"/>
              <w:rPr>
                <w:sz w:val="22"/>
                <w:szCs w:val="22"/>
                <w:color w:val="auto"/>
              </w:rPr>
            </w:pPr>
          </w:p>
        </w:tc>
        <w:tc>
          <w:tcPr>
            <w:tcW w:w="1140" w:type="dxa"/>
            <w:vAlign w:val="bottom"/>
            <w:tcBorders>
              <w:bottom w:val="single" w:sz="8" w:color="D1DDE6"/>
            </w:tcBorders>
            <w:shd w:val="clear" w:color="auto" w:fill="D1DDE6"/>
          </w:tcPr>
          <w:p>
            <w:pPr>
              <w:ind w:left="20"/>
              <w:spacing w:after="0"/>
              <w:rPr>
                <w:sz w:val="20"/>
                <w:szCs w:val="20"/>
                <w:color w:val="auto"/>
              </w:rPr>
            </w:pPr>
            <w:r>
              <w:rPr>
                <w:rFonts w:ascii="Arial" w:cs="Arial" w:eastAsia="Arial" w:hAnsi="Arial"/>
                <w:sz w:val="14"/>
                <w:szCs w:val="14"/>
                <w:color w:val="auto"/>
              </w:rPr>
              <w:t>RSR (5)</w:t>
            </w:r>
          </w:p>
        </w:tc>
        <w:tc>
          <w:tcPr>
            <w:tcW w:w="940" w:type="dxa"/>
            <w:vAlign w:val="bottom"/>
            <w:tcBorders>
              <w:bottom w:val="single" w:sz="8" w:color="D1DDE6"/>
            </w:tcBorders>
            <w:shd w:val="clear" w:color="auto" w:fill="D1DDE6"/>
          </w:tcPr>
          <w:p>
            <w:pPr>
              <w:jc w:val="center"/>
              <w:spacing w:after="0"/>
              <w:rPr>
                <w:sz w:val="20"/>
                <w:szCs w:val="20"/>
                <w:color w:val="auto"/>
              </w:rPr>
            </w:pPr>
            <w:r>
              <w:rPr>
                <w:rFonts w:ascii="Arial" w:cs="Arial" w:eastAsia="Arial" w:hAnsi="Arial"/>
                <w:sz w:val="14"/>
                <w:szCs w:val="14"/>
                <w:color w:val="auto"/>
                <w:w w:val="99"/>
              </w:rPr>
              <w:t>9/19/2018</w:t>
            </w:r>
          </w:p>
        </w:tc>
        <w:tc>
          <w:tcPr>
            <w:tcW w:w="820" w:type="dxa"/>
            <w:vAlign w:val="bottom"/>
            <w:tcBorders>
              <w:bottom w:val="single" w:sz="8" w:color="D1DDE6"/>
            </w:tcBorders>
            <w:shd w:val="clear" w:color="auto" w:fill="D1DDE6"/>
          </w:tcPr>
          <w:p>
            <w:pPr>
              <w:spacing w:after="0"/>
              <w:rPr>
                <w:sz w:val="22"/>
                <w:szCs w:val="22"/>
                <w:color w:val="auto"/>
              </w:rPr>
            </w:pPr>
          </w:p>
        </w:tc>
        <w:tc>
          <w:tcPr>
            <w:tcW w:w="1100" w:type="dxa"/>
            <w:vAlign w:val="bottom"/>
            <w:tcBorders>
              <w:bottom w:val="single" w:sz="8" w:color="D1DDE6"/>
            </w:tcBorders>
            <w:shd w:val="clear" w:color="auto" w:fill="D1DDE6"/>
          </w:tcPr>
          <w:p>
            <w:pPr>
              <w:spacing w:after="0"/>
              <w:rPr>
                <w:sz w:val="22"/>
                <w:szCs w:val="22"/>
                <w:color w:val="auto"/>
              </w:rPr>
            </w:pPr>
          </w:p>
        </w:tc>
        <w:tc>
          <w:tcPr>
            <w:tcW w:w="860" w:type="dxa"/>
            <w:vAlign w:val="bottom"/>
            <w:tcBorders>
              <w:bottom w:val="single" w:sz="8" w:color="D1DDE6"/>
            </w:tcBorders>
            <w:shd w:val="clear" w:color="auto" w:fill="D1DDE6"/>
          </w:tcPr>
          <w:p>
            <w:pPr>
              <w:spacing w:after="0"/>
              <w:rPr>
                <w:sz w:val="22"/>
                <w:szCs w:val="22"/>
                <w:color w:val="auto"/>
              </w:rPr>
            </w:pPr>
          </w:p>
        </w:tc>
        <w:tc>
          <w:tcPr>
            <w:tcW w:w="880" w:type="dxa"/>
            <w:vAlign w:val="bottom"/>
            <w:tcBorders>
              <w:bottom w:val="single" w:sz="8" w:color="D1DDE6"/>
            </w:tcBorders>
            <w:shd w:val="clear" w:color="auto" w:fill="D1DDE6"/>
          </w:tcPr>
          <w:p>
            <w:pPr>
              <w:spacing w:after="0"/>
              <w:rPr>
                <w:sz w:val="22"/>
                <w:szCs w:val="22"/>
                <w:color w:val="auto"/>
              </w:rPr>
            </w:pPr>
          </w:p>
        </w:tc>
        <w:tc>
          <w:tcPr>
            <w:tcW w:w="1100" w:type="dxa"/>
            <w:vAlign w:val="bottom"/>
            <w:tcBorders>
              <w:bottom w:val="single" w:sz="8" w:color="D1DDE6"/>
            </w:tcBorders>
            <w:shd w:val="clear" w:color="auto" w:fill="D1DDE6"/>
          </w:tcPr>
          <w:p>
            <w:pPr>
              <w:spacing w:after="0"/>
              <w:rPr>
                <w:sz w:val="22"/>
                <w:szCs w:val="22"/>
                <w:color w:val="auto"/>
              </w:rPr>
            </w:pPr>
          </w:p>
        </w:tc>
        <w:tc>
          <w:tcPr>
            <w:tcW w:w="800" w:type="dxa"/>
            <w:vAlign w:val="bottom"/>
            <w:tcBorders>
              <w:bottom w:val="single" w:sz="8" w:color="D1DDE6"/>
            </w:tcBorders>
            <w:shd w:val="clear" w:color="auto" w:fill="D1DDE6"/>
          </w:tcPr>
          <w:p>
            <w:pPr>
              <w:spacing w:after="0"/>
              <w:rPr>
                <w:sz w:val="22"/>
                <w:szCs w:val="22"/>
                <w:color w:val="auto"/>
              </w:rPr>
            </w:pPr>
          </w:p>
        </w:tc>
        <w:tc>
          <w:tcPr>
            <w:tcW w:w="920" w:type="dxa"/>
            <w:vAlign w:val="bottom"/>
            <w:tcBorders>
              <w:bottom w:val="single" w:sz="8" w:color="D1DDE6"/>
            </w:tcBorders>
            <w:shd w:val="clear" w:color="auto" w:fill="D1DDE6"/>
          </w:tcPr>
          <w:p>
            <w:pPr>
              <w:jc w:val="center"/>
              <w:spacing w:after="0"/>
              <w:rPr>
                <w:sz w:val="20"/>
                <w:szCs w:val="20"/>
                <w:color w:val="auto"/>
              </w:rPr>
            </w:pPr>
            <w:r>
              <w:rPr>
                <w:rFonts w:ascii="Arial" w:cs="Arial" w:eastAsia="Arial" w:hAnsi="Arial"/>
                <w:sz w:val="14"/>
                <w:szCs w:val="14"/>
                <w:color w:val="auto"/>
              </w:rPr>
              <w:t>6,976</w:t>
            </w:r>
          </w:p>
        </w:tc>
        <w:tc>
          <w:tcPr>
            <w:tcW w:w="900" w:type="dxa"/>
            <w:vAlign w:val="bottom"/>
            <w:tcBorders>
              <w:bottom w:val="single" w:sz="8" w:color="D1DDE6"/>
            </w:tcBorders>
            <w:shd w:val="clear" w:color="auto" w:fill="D1DDE6"/>
          </w:tcPr>
          <w:p>
            <w:pPr>
              <w:jc w:val="center"/>
              <w:spacing w:after="0"/>
              <w:rPr>
                <w:sz w:val="20"/>
                <w:szCs w:val="20"/>
                <w:color w:val="auto"/>
              </w:rPr>
            </w:pPr>
            <w:r>
              <w:rPr>
                <w:rFonts w:ascii="Arial" w:cs="Arial" w:eastAsia="Arial" w:hAnsi="Arial"/>
                <w:sz w:val="14"/>
                <w:szCs w:val="14"/>
                <w:color w:val="auto"/>
                <w:w w:val="99"/>
              </w:rPr>
              <w:t>2,116,897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2"/>
        </w:trPr>
        <w:tc>
          <w:tcPr>
            <w:tcW w:w="1960" w:type="dxa"/>
            <w:vAlign w:val="bottom"/>
            <w:tcBorders>
              <w:top w:val="single" w:sz="8" w:color="34657F"/>
            </w:tcBorders>
          </w:tcPr>
          <w:p>
            <w:pPr>
              <w:spacing w:after="0"/>
              <w:rPr>
                <w:sz w:val="18"/>
                <w:szCs w:val="18"/>
                <w:color w:val="auto"/>
              </w:rPr>
            </w:pPr>
          </w:p>
        </w:tc>
        <w:tc>
          <w:tcPr>
            <w:tcW w:w="1140" w:type="dxa"/>
            <w:vAlign w:val="bottom"/>
            <w:tcBorders>
              <w:top w:val="single" w:sz="8" w:color="34657F"/>
            </w:tcBorders>
          </w:tcPr>
          <w:p>
            <w:pPr>
              <w:ind w:left="20"/>
              <w:spacing w:after="0"/>
              <w:rPr>
                <w:sz w:val="20"/>
                <w:szCs w:val="20"/>
                <w:color w:val="auto"/>
              </w:rPr>
            </w:pPr>
            <w:r>
              <w:rPr>
                <w:rFonts w:ascii="Arial" w:cs="Arial" w:eastAsia="Arial" w:hAnsi="Arial"/>
                <w:sz w:val="14"/>
                <w:szCs w:val="14"/>
                <w:color w:val="auto"/>
              </w:rPr>
              <w:t>Incentive Plan</w:t>
            </w:r>
          </w:p>
        </w:tc>
        <w:tc>
          <w:tcPr>
            <w:tcW w:w="940" w:type="dxa"/>
            <w:vAlign w:val="bottom"/>
            <w:tcBorders>
              <w:top w:val="single" w:sz="8" w:color="34657F"/>
            </w:tcBorders>
          </w:tcPr>
          <w:p>
            <w:pPr>
              <w:spacing w:after="0"/>
              <w:rPr>
                <w:sz w:val="18"/>
                <w:szCs w:val="18"/>
                <w:color w:val="auto"/>
              </w:rPr>
            </w:pPr>
          </w:p>
        </w:tc>
        <w:tc>
          <w:tcPr>
            <w:tcW w:w="820" w:type="dxa"/>
            <w:vAlign w:val="bottom"/>
            <w:tcBorders>
              <w:top w:val="single" w:sz="8" w:color="34657F"/>
            </w:tcBorders>
          </w:tcPr>
          <w:p>
            <w:pPr>
              <w:jc w:val="center"/>
              <w:ind w:left="12"/>
              <w:spacing w:after="0"/>
              <w:rPr>
                <w:sz w:val="20"/>
                <w:szCs w:val="20"/>
                <w:color w:val="auto"/>
              </w:rPr>
            </w:pPr>
            <w:r>
              <w:rPr>
                <w:rFonts w:ascii="Arial" w:cs="Arial" w:eastAsia="Arial" w:hAnsi="Arial"/>
                <w:sz w:val="14"/>
                <w:szCs w:val="14"/>
                <w:color w:val="auto"/>
                <w:w w:val="99"/>
              </w:rPr>
              <w:t>—</w:t>
            </w:r>
          </w:p>
        </w:tc>
        <w:tc>
          <w:tcPr>
            <w:tcW w:w="1100" w:type="dxa"/>
            <w:vAlign w:val="bottom"/>
            <w:tcBorders>
              <w:top w:val="single" w:sz="8" w:color="34657F"/>
            </w:tcBorders>
          </w:tcPr>
          <w:p>
            <w:pPr>
              <w:jc w:val="center"/>
              <w:spacing w:after="0"/>
              <w:rPr>
                <w:sz w:val="20"/>
                <w:szCs w:val="20"/>
                <w:color w:val="auto"/>
              </w:rPr>
            </w:pPr>
            <w:r>
              <w:rPr>
                <w:rFonts w:ascii="Arial" w:cs="Arial" w:eastAsia="Arial" w:hAnsi="Arial"/>
                <w:sz w:val="14"/>
                <w:szCs w:val="14"/>
                <w:color w:val="auto"/>
                <w:w w:val="99"/>
              </w:rPr>
              <w:t>1,200,000</w:t>
            </w:r>
          </w:p>
        </w:tc>
        <w:tc>
          <w:tcPr>
            <w:tcW w:w="860" w:type="dxa"/>
            <w:vAlign w:val="bottom"/>
            <w:tcBorders>
              <w:top w:val="single" w:sz="8" w:color="34657F"/>
            </w:tcBorders>
          </w:tcPr>
          <w:p>
            <w:pPr>
              <w:jc w:val="center"/>
              <w:ind w:right="72"/>
              <w:spacing w:after="0"/>
              <w:rPr>
                <w:sz w:val="20"/>
                <w:szCs w:val="20"/>
                <w:color w:val="auto"/>
              </w:rPr>
            </w:pPr>
            <w:r>
              <w:rPr>
                <w:rFonts w:ascii="Arial" w:cs="Arial" w:eastAsia="Arial" w:hAnsi="Arial"/>
                <w:sz w:val="14"/>
                <w:szCs w:val="14"/>
                <w:color w:val="auto"/>
                <w:w w:val="96"/>
              </w:rPr>
              <w:t>2,400,000</w:t>
            </w:r>
          </w:p>
        </w:tc>
        <w:tc>
          <w:tcPr>
            <w:tcW w:w="880" w:type="dxa"/>
            <w:vAlign w:val="bottom"/>
            <w:tcBorders>
              <w:top w:val="single" w:sz="8" w:color="34657F"/>
            </w:tcBorders>
          </w:tcPr>
          <w:p>
            <w:pPr>
              <w:spacing w:after="0"/>
              <w:rPr>
                <w:sz w:val="18"/>
                <w:szCs w:val="18"/>
                <w:color w:val="auto"/>
              </w:rPr>
            </w:pPr>
          </w:p>
        </w:tc>
        <w:tc>
          <w:tcPr>
            <w:tcW w:w="1100" w:type="dxa"/>
            <w:vAlign w:val="bottom"/>
            <w:tcBorders>
              <w:top w:val="single" w:sz="8" w:color="34657F"/>
            </w:tcBorders>
          </w:tcPr>
          <w:p>
            <w:pPr>
              <w:spacing w:after="0"/>
              <w:rPr>
                <w:sz w:val="18"/>
                <w:szCs w:val="18"/>
                <w:color w:val="auto"/>
              </w:rPr>
            </w:pPr>
          </w:p>
        </w:tc>
        <w:tc>
          <w:tcPr>
            <w:tcW w:w="800" w:type="dxa"/>
            <w:vAlign w:val="bottom"/>
            <w:tcBorders>
              <w:top w:val="single" w:sz="8" w:color="34657F"/>
            </w:tcBorders>
          </w:tcPr>
          <w:p>
            <w:pPr>
              <w:spacing w:after="0"/>
              <w:rPr>
                <w:sz w:val="18"/>
                <w:szCs w:val="18"/>
                <w:color w:val="auto"/>
              </w:rPr>
            </w:pPr>
          </w:p>
        </w:tc>
        <w:tc>
          <w:tcPr>
            <w:tcW w:w="920" w:type="dxa"/>
            <w:vAlign w:val="bottom"/>
            <w:tcBorders>
              <w:top w:val="single" w:sz="8" w:color="34657F"/>
            </w:tcBorders>
          </w:tcPr>
          <w:p>
            <w:pPr>
              <w:spacing w:after="0"/>
              <w:rPr>
                <w:sz w:val="18"/>
                <w:szCs w:val="18"/>
                <w:color w:val="auto"/>
              </w:rPr>
            </w:pPr>
          </w:p>
        </w:tc>
        <w:tc>
          <w:tcPr>
            <w:tcW w:w="900" w:type="dxa"/>
            <w:vAlign w:val="bottom"/>
            <w:tcBorders>
              <w:top w:val="single" w:sz="8" w:color="34657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
        </w:trPr>
        <w:tc>
          <w:tcPr>
            <w:tcW w:w="19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920" w:type="dxa"/>
            <w:vAlign w:val="bottom"/>
          </w:tcPr>
          <w:p>
            <w:pPr>
              <w:spacing w:after="0"/>
              <w:rPr>
                <w:sz w:val="3"/>
                <w:szCs w:val="3"/>
                <w:color w:val="auto"/>
              </w:rPr>
            </w:pPr>
          </w:p>
        </w:tc>
        <w:tc>
          <w:tcPr>
            <w:tcW w:w="90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6"/>
        </w:trPr>
        <w:tc>
          <w:tcPr>
            <w:tcW w:w="1960" w:type="dxa"/>
            <w:vAlign w:val="bottom"/>
          </w:tcPr>
          <w:p>
            <w:pPr>
              <w:spacing w:after="0"/>
              <w:rPr>
                <w:sz w:val="20"/>
                <w:szCs w:val="20"/>
                <w:color w:val="auto"/>
              </w:rPr>
            </w:pPr>
          </w:p>
        </w:tc>
        <w:tc>
          <w:tcPr>
            <w:tcW w:w="1140" w:type="dxa"/>
            <w:vAlign w:val="bottom"/>
            <w:tcBorders>
              <w:bottom w:val="single" w:sz="8" w:color="D1DDE6"/>
            </w:tcBorders>
            <w:shd w:val="clear" w:color="auto" w:fill="D1DDE6"/>
          </w:tcPr>
          <w:p>
            <w:pPr>
              <w:ind w:left="20"/>
              <w:spacing w:after="0"/>
              <w:rPr>
                <w:sz w:val="20"/>
                <w:szCs w:val="20"/>
                <w:color w:val="auto"/>
              </w:rPr>
            </w:pPr>
            <w:r>
              <w:rPr>
                <w:rFonts w:ascii="Arial" w:cs="Arial" w:eastAsia="Arial" w:hAnsi="Arial"/>
                <w:sz w:val="14"/>
                <w:szCs w:val="14"/>
                <w:color w:val="auto"/>
              </w:rPr>
              <w:t>RPSR</w:t>
            </w:r>
          </w:p>
        </w:tc>
        <w:tc>
          <w:tcPr>
            <w:tcW w:w="940" w:type="dxa"/>
            <w:vAlign w:val="bottom"/>
            <w:tcBorders>
              <w:bottom w:val="single" w:sz="8" w:color="D1DDE6"/>
            </w:tcBorders>
            <w:shd w:val="clear" w:color="auto" w:fill="D1DDE6"/>
          </w:tcPr>
          <w:p>
            <w:pPr>
              <w:jc w:val="center"/>
              <w:spacing w:after="0"/>
              <w:rPr>
                <w:sz w:val="20"/>
                <w:szCs w:val="20"/>
                <w:color w:val="auto"/>
              </w:rPr>
            </w:pPr>
            <w:r>
              <w:rPr>
                <w:rFonts w:ascii="Arial" w:cs="Arial" w:eastAsia="Arial" w:hAnsi="Arial"/>
                <w:sz w:val="14"/>
                <w:szCs w:val="14"/>
                <w:color w:val="auto"/>
                <w:w w:val="99"/>
              </w:rPr>
              <w:t>2/13/2018</w:t>
            </w:r>
          </w:p>
        </w:tc>
        <w:tc>
          <w:tcPr>
            <w:tcW w:w="820" w:type="dxa"/>
            <w:vAlign w:val="bottom"/>
            <w:tcBorders>
              <w:bottom w:val="single" w:sz="8" w:color="D1DDE6"/>
            </w:tcBorders>
            <w:shd w:val="clear" w:color="auto" w:fill="D1DDE6"/>
          </w:tcPr>
          <w:p>
            <w:pPr>
              <w:spacing w:after="0"/>
              <w:rPr>
                <w:sz w:val="20"/>
                <w:szCs w:val="20"/>
                <w:color w:val="auto"/>
              </w:rPr>
            </w:pPr>
          </w:p>
        </w:tc>
        <w:tc>
          <w:tcPr>
            <w:tcW w:w="1100" w:type="dxa"/>
            <w:vAlign w:val="bottom"/>
            <w:tcBorders>
              <w:bottom w:val="single" w:sz="8" w:color="D1DDE6"/>
            </w:tcBorders>
            <w:shd w:val="clear" w:color="auto" w:fill="D1DDE6"/>
          </w:tcPr>
          <w:p>
            <w:pPr>
              <w:spacing w:after="0"/>
              <w:rPr>
                <w:sz w:val="20"/>
                <w:szCs w:val="20"/>
                <w:color w:val="auto"/>
              </w:rPr>
            </w:pPr>
          </w:p>
        </w:tc>
        <w:tc>
          <w:tcPr>
            <w:tcW w:w="860" w:type="dxa"/>
            <w:vAlign w:val="bottom"/>
            <w:tcBorders>
              <w:bottom w:val="single" w:sz="8" w:color="D1DDE6"/>
            </w:tcBorders>
            <w:shd w:val="clear" w:color="auto" w:fill="D1DDE6"/>
          </w:tcPr>
          <w:p>
            <w:pPr>
              <w:spacing w:after="0"/>
              <w:rPr>
                <w:sz w:val="20"/>
                <w:szCs w:val="20"/>
                <w:color w:val="auto"/>
              </w:rPr>
            </w:pPr>
          </w:p>
        </w:tc>
        <w:tc>
          <w:tcPr>
            <w:tcW w:w="880" w:type="dxa"/>
            <w:vAlign w:val="bottom"/>
            <w:tcBorders>
              <w:bottom w:val="single" w:sz="8" w:color="D1DDE6"/>
            </w:tcBorders>
            <w:shd w:val="clear" w:color="auto" w:fill="D1DDE6"/>
          </w:tcPr>
          <w:p>
            <w:pPr>
              <w:jc w:val="center"/>
              <w:ind w:left="72"/>
              <w:spacing w:after="0"/>
              <w:rPr>
                <w:sz w:val="20"/>
                <w:szCs w:val="20"/>
                <w:color w:val="auto"/>
              </w:rPr>
            </w:pPr>
            <w:r>
              <w:rPr>
                <w:rFonts w:ascii="Arial" w:cs="Arial" w:eastAsia="Arial" w:hAnsi="Arial"/>
                <w:sz w:val="14"/>
                <w:szCs w:val="14"/>
                <w:color w:val="auto"/>
                <w:w w:val="99"/>
              </w:rPr>
              <w:t>—</w:t>
            </w:r>
          </w:p>
        </w:tc>
        <w:tc>
          <w:tcPr>
            <w:tcW w:w="1100" w:type="dxa"/>
            <w:vAlign w:val="bottom"/>
            <w:tcBorders>
              <w:bottom w:val="single" w:sz="8" w:color="D1DDE6"/>
            </w:tcBorders>
            <w:shd w:val="clear" w:color="auto" w:fill="D1DDE6"/>
          </w:tcPr>
          <w:p>
            <w:pPr>
              <w:jc w:val="center"/>
              <w:spacing w:after="0"/>
              <w:rPr>
                <w:sz w:val="20"/>
                <w:szCs w:val="20"/>
                <w:color w:val="auto"/>
              </w:rPr>
            </w:pPr>
            <w:r>
              <w:rPr>
                <w:rFonts w:ascii="Arial" w:cs="Arial" w:eastAsia="Arial" w:hAnsi="Arial"/>
                <w:sz w:val="14"/>
                <w:szCs w:val="14"/>
                <w:color w:val="auto"/>
              </w:rPr>
              <w:t>9,944</w:t>
            </w:r>
          </w:p>
        </w:tc>
        <w:tc>
          <w:tcPr>
            <w:tcW w:w="800" w:type="dxa"/>
            <w:vAlign w:val="bottom"/>
            <w:tcBorders>
              <w:bottom w:val="single" w:sz="8" w:color="D1DDE6"/>
            </w:tcBorders>
            <w:shd w:val="clear" w:color="auto" w:fill="D1DDE6"/>
          </w:tcPr>
          <w:p>
            <w:pPr>
              <w:jc w:val="center"/>
              <w:ind w:right="32"/>
              <w:spacing w:after="0"/>
              <w:rPr>
                <w:sz w:val="20"/>
                <w:szCs w:val="20"/>
                <w:color w:val="auto"/>
              </w:rPr>
            </w:pPr>
            <w:r>
              <w:rPr>
                <w:rFonts w:ascii="Arial" w:cs="Arial" w:eastAsia="Arial" w:hAnsi="Arial"/>
                <w:sz w:val="14"/>
                <w:szCs w:val="14"/>
                <w:color w:val="auto"/>
                <w:w w:val="97"/>
              </w:rPr>
              <w:t>14,916</w:t>
            </w:r>
          </w:p>
        </w:tc>
        <w:tc>
          <w:tcPr>
            <w:tcW w:w="920" w:type="dxa"/>
            <w:vAlign w:val="bottom"/>
            <w:tcBorders>
              <w:bottom w:val="single" w:sz="8" w:color="D1DDE6"/>
            </w:tcBorders>
            <w:shd w:val="clear" w:color="auto" w:fill="D1DDE6"/>
          </w:tcPr>
          <w:p>
            <w:pPr>
              <w:spacing w:after="0"/>
              <w:rPr>
                <w:sz w:val="20"/>
                <w:szCs w:val="20"/>
                <w:color w:val="auto"/>
              </w:rPr>
            </w:pPr>
          </w:p>
        </w:tc>
        <w:tc>
          <w:tcPr>
            <w:tcW w:w="900" w:type="dxa"/>
            <w:vAlign w:val="bottom"/>
            <w:tcBorders>
              <w:bottom w:val="single" w:sz="8" w:color="D1DDE6"/>
            </w:tcBorders>
            <w:shd w:val="clear" w:color="auto" w:fill="D1DDE6"/>
          </w:tcPr>
          <w:p>
            <w:pPr>
              <w:jc w:val="center"/>
              <w:spacing w:after="0"/>
              <w:rPr>
                <w:sz w:val="20"/>
                <w:szCs w:val="20"/>
                <w:color w:val="auto"/>
              </w:rPr>
            </w:pPr>
            <w:r>
              <w:rPr>
                <w:rFonts w:ascii="Arial" w:cs="Arial" w:eastAsia="Arial" w:hAnsi="Arial"/>
                <w:sz w:val="14"/>
                <w:szCs w:val="14"/>
                <w:color w:val="auto"/>
                <w:w w:val="99"/>
              </w:rPr>
              <w:t>3,500,072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1960" w:type="dxa"/>
            <w:vAlign w:val="bottom"/>
          </w:tcPr>
          <w:p>
            <w:pPr>
              <w:ind w:left="20"/>
              <w:spacing w:after="0"/>
              <w:rPr>
                <w:sz w:val="20"/>
                <w:szCs w:val="20"/>
                <w:color w:val="auto"/>
              </w:rPr>
            </w:pPr>
            <w:r>
              <w:rPr>
                <w:rFonts w:ascii="Arial" w:cs="Arial" w:eastAsia="Arial" w:hAnsi="Arial"/>
                <w:sz w:val="14"/>
                <w:szCs w:val="14"/>
                <w:color w:val="auto"/>
              </w:rPr>
              <w:t>Kathy J. Warden</w:t>
            </w:r>
          </w:p>
        </w:tc>
        <w:tc>
          <w:tcPr>
            <w:tcW w:w="1140" w:type="dxa"/>
            <w:vAlign w:val="bottom"/>
          </w:tcPr>
          <w:p>
            <w:pPr>
              <w:ind w:left="20"/>
              <w:spacing w:after="0"/>
              <w:rPr>
                <w:sz w:val="20"/>
                <w:szCs w:val="20"/>
                <w:color w:val="auto"/>
              </w:rPr>
            </w:pPr>
            <w:r>
              <w:rPr>
                <w:rFonts w:ascii="Arial" w:cs="Arial" w:eastAsia="Arial" w:hAnsi="Arial"/>
                <w:sz w:val="14"/>
                <w:szCs w:val="14"/>
                <w:color w:val="auto"/>
              </w:rPr>
              <w:t>RSR</w:t>
            </w:r>
          </w:p>
        </w:tc>
        <w:tc>
          <w:tcPr>
            <w:tcW w:w="940" w:type="dxa"/>
            <w:vAlign w:val="bottom"/>
          </w:tcPr>
          <w:p>
            <w:pPr>
              <w:jc w:val="center"/>
              <w:spacing w:after="0"/>
              <w:rPr>
                <w:sz w:val="20"/>
                <w:szCs w:val="20"/>
                <w:color w:val="auto"/>
              </w:rPr>
            </w:pPr>
            <w:r>
              <w:rPr>
                <w:rFonts w:ascii="Arial" w:cs="Arial" w:eastAsia="Arial" w:hAnsi="Arial"/>
                <w:sz w:val="14"/>
                <w:szCs w:val="14"/>
                <w:color w:val="auto"/>
                <w:w w:val="99"/>
              </w:rPr>
              <w:t>2/13/2018</w:t>
            </w:r>
          </w:p>
        </w:tc>
        <w:tc>
          <w:tcPr>
            <w:tcW w:w="8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rPr>
              <w:t>4,516</w:t>
            </w:r>
          </w:p>
        </w:tc>
        <w:tc>
          <w:tcPr>
            <w:tcW w:w="900" w:type="dxa"/>
            <w:vAlign w:val="bottom"/>
          </w:tcPr>
          <w:p>
            <w:pPr>
              <w:jc w:val="center"/>
              <w:spacing w:after="0"/>
              <w:rPr>
                <w:sz w:val="20"/>
                <w:szCs w:val="20"/>
                <w:color w:val="auto"/>
              </w:rPr>
            </w:pPr>
            <w:r>
              <w:rPr>
                <w:rFonts w:ascii="Arial" w:cs="Arial" w:eastAsia="Arial" w:hAnsi="Arial"/>
                <w:sz w:val="14"/>
                <w:szCs w:val="14"/>
                <w:color w:val="auto"/>
                <w:w w:val="99"/>
              </w:rPr>
              <w:t>1,499,909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19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920" w:type="dxa"/>
            <w:vAlign w:val="bottom"/>
          </w:tcPr>
          <w:p>
            <w:pPr>
              <w:spacing w:after="0"/>
              <w:rPr>
                <w:sz w:val="3"/>
                <w:szCs w:val="3"/>
                <w:color w:val="auto"/>
              </w:rPr>
            </w:pPr>
          </w:p>
        </w:tc>
        <w:tc>
          <w:tcPr>
            <w:tcW w:w="90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6"/>
        </w:trPr>
        <w:tc>
          <w:tcPr>
            <w:tcW w:w="1960" w:type="dxa"/>
            <w:vAlign w:val="bottom"/>
          </w:tcPr>
          <w:p>
            <w:pPr>
              <w:spacing w:after="0"/>
              <w:rPr>
                <w:sz w:val="20"/>
                <w:szCs w:val="20"/>
                <w:color w:val="auto"/>
              </w:rPr>
            </w:pPr>
          </w:p>
        </w:tc>
        <w:tc>
          <w:tcPr>
            <w:tcW w:w="1140" w:type="dxa"/>
            <w:vAlign w:val="bottom"/>
            <w:tcBorders>
              <w:bottom w:val="single" w:sz="8" w:color="D1DDE6"/>
            </w:tcBorders>
            <w:shd w:val="clear" w:color="auto" w:fill="D1DDE6"/>
          </w:tcPr>
          <w:p>
            <w:pPr>
              <w:ind w:left="20"/>
              <w:spacing w:after="0"/>
              <w:rPr>
                <w:sz w:val="20"/>
                <w:szCs w:val="20"/>
                <w:color w:val="auto"/>
              </w:rPr>
            </w:pPr>
            <w:r>
              <w:rPr>
                <w:rFonts w:ascii="Arial" w:cs="Arial" w:eastAsia="Arial" w:hAnsi="Arial"/>
                <w:sz w:val="14"/>
                <w:szCs w:val="14"/>
                <w:color w:val="auto"/>
              </w:rPr>
              <w:t>RPSR</w:t>
            </w:r>
          </w:p>
        </w:tc>
        <w:tc>
          <w:tcPr>
            <w:tcW w:w="940" w:type="dxa"/>
            <w:vAlign w:val="bottom"/>
            <w:tcBorders>
              <w:bottom w:val="single" w:sz="8" w:color="D1DDE6"/>
            </w:tcBorders>
            <w:shd w:val="clear" w:color="auto" w:fill="D1DDE6"/>
          </w:tcPr>
          <w:p>
            <w:pPr>
              <w:jc w:val="center"/>
              <w:spacing w:after="0"/>
              <w:rPr>
                <w:sz w:val="20"/>
                <w:szCs w:val="20"/>
                <w:color w:val="auto"/>
              </w:rPr>
            </w:pPr>
            <w:r>
              <w:rPr>
                <w:rFonts w:ascii="Arial" w:cs="Arial" w:eastAsia="Arial" w:hAnsi="Arial"/>
                <w:sz w:val="14"/>
                <w:szCs w:val="14"/>
                <w:color w:val="auto"/>
                <w:w w:val="99"/>
              </w:rPr>
              <w:t>9/19/2018</w:t>
            </w:r>
          </w:p>
        </w:tc>
        <w:tc>
          <w:tcPr>
            <w:tcW w:w="820" w:type="dxa"/>
            <w:vAlign w:val="bottom"/>
            <w:tcBorders>
              <w:bottom w:val="single" w:sz="8" w:color="D1DDE6"/>
            </w:tcBorders>
            <w:shd w:val="clear" w:color="auto" w:fill="D1DDE6"/>
          </w:tcPr>
          <w:p>
            <w:pPr>
              <w:spacing w:after="0"/>
              <w:rPr>
                <w:sz w:val="20"/>
                <w:szCs w:val="20"/>
                <w:color w:val="auto"/>
              </w:rPr>
            </w:pPr>
          </w:p>
        </w:tc>
        <w:tc>
          <w:tcPr>
            <w:tcW w:w="1100" w:type="dxa"/>
            <w:vAlign w:val="bottom"/>
            <w:tcBorders>
              <w:bottom w:val="single" w:sz="8" w:color="D1DDE6"/>
            </w:tcBorders>
            <w:shd w:val="clear" w:color="auto" w:fill="D1DDE6"/>
          </w:tcPr>
          <w:p>
            <w:pPr>
              <w:spacing w:after="0"/>
              <w:rPr>
                <w:sz w:val="20"/>
                <w:szCs w:val="20"/>
                <w:color w:val="auto"/>
              </w:rPr>
            </w:pPr>
          </w:p>
        </w:tc>
        <w:tc>
          <w:tcPr>
            <w:tcW w:w="860" w:type="dxa"/>
            <w:vAlign w:val="bottom"/>
            <w:tcBorders>
              <w:bottom w:val="single" w:sz="8" w:color="D1DDE6"/>
            </w:tcBorders>
            <w:shd w:val="clear" w:color="auto" w:fill="D1DDE6"/>
          </w:tcPr>
          <w:p>
            <w:pPr>
              <w:spacing w:after="0"/>
              <w:rPr>
                <w:sz w:val="20"/>
                <w:szCs w:val="20"/>
                <w:color w:val="auto"/>
              </w:rPr>
            </w:pPr>
          </w:p>
        </w:tc>
        <w:tc>
          <w:tcPr>
            <w:tcW w:w="880" w:type="dxa"/>
            <w:vAlign w:val="bottom"/>
            <w:tcBorders>
              <w:bottom w:val="single" w:sz="8" w:color="D1DDE6"/>
            </w:tcBorders>
            <w:shd w:val="clear" w:color="auto" w:fill="D1DDE6"/>
          </w:tcPr>
          <w:p>
            <w:pPr>
              <w:jc w:val="center"/>
              <w:ind w:left="72"/>
              <w:spacing w:after="0"/>
              <w:rPr>
                <w:sz w:val="20"/>
                <w:szCs w:val="20"/>
                <w:color w:val="auto"/>
              </w:rPr>
            </w:pPr>
            <w:r>
              <w:rPr>
                <w:rFonts w:ascii="Arial" w:cs="Arial" w:eastAsia="Arial" w:hAnsi="Arial"/>
                <w:sz w:val="14"/>
                <w:szCs w:val="14"/>
                <w:color w:val="auto"/>
                <w:w w:val="99"/>
              </w:rPr>
              <w:t>—</w:t>
            </w:r>
          </w:p>
        </w:tc>
        <w:tc>
          <w:tcPr>
            <w:tcW w:w="1100" w:type="dxa"/>
            <w:vAlign w:val="bottom"/>
            <w:tcBorders>
              <w:bottom w:val="single" w:sz="8" w:color="D1DDE6"/>
            </w:tcBorders>
            <w:shd w:val="clear" w:color="auto" w:fill="D1DDE6"/>
          </w:tcPr>
          <w:p>
            <w:pPr>
              <w:jc w:val="center"/>
              <w:spacing w:after="0"/>
              <w:rPr>
                <w:sz w:val="20"/>
                <w:szCs w:val="20"/>
                <w:color w:val="auto"/>
              </w:rPr>
            </w:pPr>
            <w:r>
              <w:rPr>
                <w:rFonts w:ascii="Arial" w:cs="Arial" w:eastAsia="Arial" w:hAnsi="Arial"/>
                <w:sz w:val="14"/>
                <w:szCs w:val="14"/>
                <w:color w:val="auto"/>
                <w:w w:val="93"/>
              </w:rPr>
              <w:t>13,016</w:t>
            </w:r>
          </w:p>
        </w:tc>
        <w:tc>
          <w:tcPr>
            <w:tcW w:w="800" w:type="dxa"/>
            <w:vAlign w:val="bottom"/>
            <w:tcBorders>
              <w:bottom w:val="single" w:sz="8" w:color="D1DDE6"/>
            </w:tcBorders>
            <w:shd w:val="clear" w:color="auto" w:fill="D1DDE6"/>
          </w:tcPr>
          <w:p>
            <w:pPr>
              <w:jc w:val="center"/>
              <w:ind w:right="32"/>
              <w:spacing w:after="0"/>
              <w:rPr>
                <w:sz w:val="20"/>
                <w:szCs w:val="20"/>
                <w:color w:val="auto"/>
              </w:rPr>
            </w:pPr>
            <w:r>
              <w:rPr>
                <w:rFonts w:ascii="Arial" w:cs="Arial" w:eastAsia="Arial" w:hAnsi="Arial"/>
                <w:sz w:val="14"/>
                <w:szCs w:val="14"/>
                <w:color w:val="auto"/>
                <w:w w:val="97"/>
              </w:rPr>
              <w:t>19,524</w:t>
            </w:r>
          </w:p>
        </w:tc>
        <w:tc>
          <w:tcPr>
            <w:tcW w:w="920" w:type="dxa"/>
            <w:vAlign w:val="bottom"/>
            <w:tcBorders>
              <w:bottom w:val="single" w:sz="8" w:color="D1DDE6"/>
            </w:tcBorders>
            <w:shd w:val="clear" w:color="auto" w:fill="D1DDE6"/>
          </w:tcPr>
          <w:p>
            <w:pPr>
              <w:spacing w:after="0"/>
              <w:rPr>
                <w:sz w:val="20"/>
                <w:szCs w:val="20"/>
                <w:color w:val="auto"/>
              </w:rPr>
            </w:pPr>
          </w:p>
        </w:tc>
        <w:tc>
          <w:tcPr>
            <w:tcW w:w="900" w:type="dxa"/>
            <w:vAlign w:val="bottom"/>
            <w:tcBorders>
              <w:bottom w:val="single" w:sz="8" w:color="D1DDE6"/>
            </w:tcBorders>
            <w:shd w:val="clear" w:color="auto" w:fill="D1DDE6"/>
          </w:tcPr>
          <w:p>
            <w:pPr>
              <w:jc w:val="center"/>
              <w:spacing w:after="0"/>
              <w:rPr>
                <w:sz w:val="20"/>
                <w:szCs w:val="20"/>
                <w:color w:val="auto"/>
              </w:rPr>
            </w:pPr>
            <w:r>
              <w:rPr>
                <w:rFonts w:ascii="Arial" w:cs="Arial" w:eastAsia="Arial" w:hAnsi="Arial"/>
                <w:sz w:val="14"/>
                <w:szCs w:val="14"/>
                <w:color w:val="auto"/>
                <w:w w:val="99"/>
              </w:rPr>
              <w:t>3,499,914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1960" w:type="dxa"/>
            <w:vAlign w:val="bottom"/>
          </w:tcPr>
          <w:p>
            <w:pPr>
              <w:spacing w:after="0"/>
              <w:rPr>
                <w:sz w:val="19"/>
                <w:szCs w:val="19"/>
                <w:color w:val="auto"/>
              </w:rPr>
            </w:pPr>
          </w:p>
        </w:tc>
        <w:tc>
          <w:tcPr>
            <w:tcW w:w="1140" w:type="dxa"/>
            <w:vAlign w:val="bottom"/>
          </w:tcPr>
          <w:p>
            <w:pPr>
              <w:ind w:left="20"/>
              <w:spacing w:after="0"/>
              <w:rPr>
                <w:sz w:val="20"/>
                <w:szCs w:val="20"/>
                <w:color w:val="auto"/>
              </w:rPr>
            </w:pPr>
            <w:r>
              <w:rPr>
                <w:rFonts w:ascii="Arial" w:cs="Arial" w:eastAsia="Arial" w:hAnsi="Arial"/>
                <w:sz w:val="14"/>
                <w:szCs w:val="14"/>
                <w:color w:val="auto"/>
              </w:rPr>
              <w:t>RSR</w:t>
            </w:r>
          </w:p>
        </w:tc>
        <w:tc>
          <w:tcPr>
            <w:tcW w:w="940" w:type="dxa"/>
            <w:vAlign w:val="bottom"/>
          </w:tcPr>
          <w:p>
            <w:pPr>
              <w:jc w:val="center"/>
              <w:spacing w:after="0"/>
              <w:rPr>
                <w:sz w:val="20"/>
                <w:szCs w:val="20"/>
                <w:color w:val="auto"/>
              </w:rPr>
            </w:pPr>
            <w:r>
              <w:rPr>
                <w:rFonts w:ascii="Arial" w:cs="Arial" w:eastAsia="Arial" w:hAnsi="Arial"/>
                <w:sz w:val="14"/>
                <w:szCs w:val="14"/>
                <w:color w:val="auto"/>
                <w:w w:val="99"/>
              </w:rPr>
              <w:t>9/19/2018</w:t>
            </w:r>
          </w:p>
        </w:tc>
        <w:tc>
          <w:tcPr>
            <w:tcW w:w="8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rPr>
              <w:t>4,943</w:t>
            </w:r>
          </w:p>
        </w:tc>
        <w:tc>
          <w:tcPr>
            <w:tcW w:w="900" w:type="dxa"/>
            <w:vAlign w:val="bottom"/>
          </w:tcPr>
          <w:p>
            <w:pPr>
              <w:jc w:val="center"/>
              <w:spacing w:after="0"/>
              <w:rPr>
                <w:sz w:val="20"/>
                <w:szCs w:val="20"/>
                <w:color w:val="auto"/>
              </w:rPr>
            </w:pPr>
            <w:r>
              <w:rPr>
                <w:rFonts w:ascii="Arial" w:cs="Arial" w:eastAsia="Arial" w:hAnsi="Arial"/>
                <w:sz w:val="14"/>
                <w:szCs w:val="14"/>
                <w:color w:val="auto"/>
                <w:w w:val="99"/>
              </w:rPr>
              <w:t>1,499,974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1960" w:type="dxa"/>
            <w:vAlign w:val="bottom"/>
            <w:tcBorders>
              <w:bottom w:val="single" w:sz="8" w:color="34657F"/>
            </w:tcBorders>
          </w:tcPr>
          <w:p>
            <w:pPr>
              <w:spacing w:after="0"/>
              <w:rPr>
                <w:sz w:val="3"/>
                <w:szCs w:val="3"/>
                <w:color w:val="auto"/>
              </w:rPr>
            </w:pPr>
          </w:p>
        </w:tc>
        <w:tc>
          <w:tcPr>
            <w:tcW w:w="1140" w:type="dxa"/>
            <w:vAlign w:val="bottom"/>
            <w:tcBorders>
              <w:bottom w:val="single" w:sz="8" w:color="34657F"/>
            </w:tcBorders>
          </w:tcPr>
          <w:p>
            <w:pPr>
              <w:spacing w:after="0"/>
              <w:rPr>
                <w:sz w:val="3"/>
                <w:szCs w:val="3"/>
                <w:color w:val="auto"/>
              </w:rPr>
            </w:pPr>
          </w:p>
        </w:tc>
        <w:tc>
          <w:tcPr>
            <w:tcW w:w="940" w:type="dxa"/>
            <w:vAlign w:val="bottom"/>
            <w:tcBorders>
              <w:bottom w:val="single" w:sz="8" w:color="34657F"/>
            </w:tcBorders>
          </w:tcPr>
          <w:p>
            <w:pPr>
              <w:spacing w:after="0"/>
              <w:rPr>
                <w:sz w:val="3"/>
                <w:szCs w:val="3"/>
                <w:color w:val="auto"/>
              </w:rPr>
            </w:pPr>
          </w:p>
        </w:tc>
        <w:tc>
          <w:tcPr>
            <w:tcW w:w="820" w:type="dxa"/>
            <w:vAlign w:val="bottom"/>
            <w:tcBorders>
              <w:bottom w:val="single" w:sz="8" w:color="34657F"/>
            </w:tcBorders>
          </w:tcPr>
          <w:p>
            <w:pPr>
              <w:spacing w:after="0"/>
              <w:rPr>
                <w:sz w:val="3"/>
                <w:szCs w:val="3"/>
                <w:color w:val="auto"/>
              </w:rPr>
            </w:pPr>
          </w:p>
        </w:tc>
        <w:tc>
          <w:tcPr>
            <w:tcW w:w="1100" w:type="dxa"/>
            <w:vAlign w:val="bottom"/>
            <w:tcBorders>
              <w:bottom w:val="single" w:sz="8" w:color="34657F"/>
            </w:tcBorders>
          </w:tcPr>
          <w:p>
            <w:pPr>
              <w:spacing w:after="0"/>
              <w:rPr>
                <w:sz w:val="3"/>
                <w:szCs w:val="3"/>
                <w:color w:val="auto"/>
              </w:rPr>
            </w:pPr>
          </w:p>
        </w:tc>
        <w:tc>
          <w:tcPr>
            <w:tcW w:w="860" w:type="dxa"/>
            <w:vAlign w:val="bottom"/>
            <w:tcBorders>
              <w:bottom w:val="single" w:sz="8" w:color="34657F"/>
            </w:tcBorders>
          </w:tcPr>
          <w:p>
            <w:pPr>
              <w:spacing w:after="0"/>
              <w:rPr>
                <w:sz w:val="3"/>
                <w:szCs w:val="3"/>
                <w:color w:val="auto"/>
              </w:rPr>
            </w:pPr>
          </w:p>
        </w:tc>
        <w:tc>
          <w:tcPr>
            <w:tcW w:w="880" w:type="dxa"/>
            <w:vAlign w:val="bottom"/>
            <w:tcBorders>
              <w:bottom w:val="single" w:sz="8" w:color="34657F"/>
            </w:tcBorders>
          </w:tcPr>
          <w:p>
            <w:pPr>
              <w:spacing w:after="0"/>
              <w:rPr>
                <w:sz w:val="3"/>
                <w:szCs w:val="3"/>
                <w:color w:val="auto"/>
              </w:rPr>
            </w:pPr>
          </w:p>
        </w:tc>
        <w:tc>
          <w:tcPr>
            <w:tcW w:w="1100" w:type="dxa"/>
            <w:vAlign w:val="bottom"/>
            <w:tcBorders>
              <w:bottom w:val="single" w:sz="8" w:color="34657F"/>
            </w:tcBorders>
          </w:tcPr>
          <w:p>
            <w:pPr>
              <w:spacing w:after="0"/>
              <w:rPr>
                <w:sz w:val="3"/>
                <w:szCs w:val="3"/>
                <w:color w:val="auto"/>
              </w:rPr>
            </w:pPr>
          </w:p>
        </w:tc>
        <w:tc>
          <w:tcPr>
            <w:tcW w:w="800" w:type="dxa"/>
            <w:vAlign w:val="bottom"/>
            <w:tcBorders>
              <w:bottom w:val="single" w:sz="8" w:color="34657F"/>
            </w:tcBorders>
          </w:tcPr>
          <w:p>
            <w:pPr>
              <w:spacing w:after="0"/>
              <w:rPr>
                <w:sz w:val="3"/>
                <w:szCs w:val="3"/>
                <w:color w:val="auto"/>
              </w:rPr>
            </w:pPr>
          </w:p>
        </w:tc>
        <w:tc>
          <w:tcPr>
            <w:tcW w:w="920" w:type="dxa"/>
            <w:vAlign w:val="bottom"/>
            <w:tcBorders>
              <w:bottom w:val="single" w:sz="8" w:color="34657F"/>
            </w:tcBorders>
          </w:tcPr>
          <w:p>
            <w:pPr>
              <w:spacing w:after="0"/>
              <w:rPr>
                <w:sz w:val="3"/>
                <w:szCs w:val="3"/>
                <w:color w:val="auto"/>
              </w:rPr>
            </w:pPr>
          </w:p>
        </w:tc>
        <w:tc>
          <w:tcPr>
            <w:tcW w:w="900" w:type="dxa"/>
            <w:vAlign w:val="bottom"/>
            <w:tcBorders>
              <w:bottom w:val="single" w:sz="8" w:color="34657F"/>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9"/>
        </w:trPr>
        <w:tc>
          <w:tcPr>
            <w:tcW w:w="1960" w:type="dxa"/>
            <w:vAlign w:val="bottom"/>
          </w:tcPr>
          <w:p>
            <w:pPr>
              <w:spacing w:after="0"/>
              <w:rPr>
                <w:sz w:val="19"/>
                <w:szCs w:val="19"/>
                <w:color w:val="auto"/>
              </w:rPr>
            </w:pPr>
          </w:p>
        </w:tc>
        <w:tc>
          <w:tcPr>
            <w:tcW w:w="1140" w:type="dxa"/>
            <w:vAlign w:val="bottom"/>
            <w:tcBorders>
              <w:bottom w:val="single" w:sz="8" w:color="D1DDE6"/>
            </w:tcBorders>
            <w:shd w:val="clear" w:color="auto" w:fill="D1DDE6"/>
          </w:tcPr>
          <w:p>
            <w:pPr>
              <w:ind w:left="20"/>
              <w:spacing w:after="0"/>
              <w:rPr>
                <w:sz w:val="20"/>
                <w:szCs w:val="20"/>
                <w:color w:val="auto"/>
              </w:rPr>
            </w:pPr>
            <w:r>
              <w:rPr>
                <w:rFonts w:ascii="Arial" w:cs="Arial" w:eastAsia="Arial" w:hAnsi="Arial"/>
                <w:sz w:val="14"/>
                <w:szCs w:val="14"/>
                <w:color w:val="auto"/>
              </w:rPr>
              <w:t>Incentive Plan</w:t>
            </w:r>
          </w:p>
        </w:tc>
        <w:tc>
          <w:tcPr>
            <w:tcW w:w="940" w:type="dxa"/>
            <w:vAlign w:val="bottom"/>
            <w:tcBorders>
              <w:bottom w:val="single" w:sz="8" w:color="D1DDE6"/>
            </w:tcBorders>
            <w:shd w:val="clear" w:color="auto" w:fill="D1DDE6"/>
          </w:tcPr>
          <w:p>
            <w:pPr>
              <w:spacing w:after="0"/>
              <w:rPr>
                <w:sz w:val="19"/>
                <w:szCs w:val="19"/>
                <w:color w:val="auto"/>
              </w:rPr>
            </w:pPr>
          </w:p>
        </w:tc>
        <w:tc>
          <w:tcPr>
            <w:tcW w:w="820" w:type="dxa"/>
            <w:vAlign w:val="bottom"/>
            <w:tcBorders>
              <w:bottom w:val="single" w:sz="8" w:color="D1DDE6"/>
            </w:tcBorders>
            <w:shd w:val="clear" w:color="auto" w:fill="D1DDE6"/>
          </w:tcPr>
          <w:p>
            <w:pPr>
              <w:jc w:val="center"/>
              <w:ind w:left="12"/>
              <w:spacing w:after="0"/>
              <w:rPr>
                <w:sz w:val="20"/>
                <w:szCs w:val="20"/>
                <w:color w:val="auto"/>
              </w:rPr>
            </w:pPr>
            <w:r>
              <w:rPr>
                <w:rFonts w:ascii="Arial" w:cs="Arial" w:eastAsia="Arial" w:hAnsi="Arial"/>
                <w:sz w:val="14"/>
                <w:szCs w:val="14"/>
                <w:color w:val="auto"/>
                <w:w w:val="99"/>
              </w:rPr>
              <w:t>—</w:t>
            </w:r>
          </w:p>
        </w:tc>
        <w:tc>
          <w:tcPr>
            <w:tcW w:w="1100" w:type="dxa"/>
            <w:vAlign w:val="bottom"/>
            <w:tcBorders>
              <w:bottom w:val="single" w:sz="8" w:color="D1DDE6"/>
            </w:tcBorders>
            <w:shd w:val="clear" w:color="auto" w:fill="D1DDE6"/>
          </w:tcPr>
          <w:p>
            <w:pPr>
              <w:jc w:val="center"/>
              <w:spacing w:after="0"/>
              <w:rPr>
                <w:sz w:val="20"/>
                <w:szCs w:val="20"/>
                <w:color w:val="auto"/>
              </w:rPr>
            </w:pPr>
            <w:r>
              <w:rPr>
                <w:rFonts w:ascii="Arial" w:cs="Arial" w:eastAsia="Arial" w:hAnsi="Arial"/>
                <w:sz w:val="14"/>
                <w:szCs w:val="14"/>
                <w:color w:val="auto"/>
                <w:w w:val="98"/>
              </w:rPr>
              <w:t>815,000</w:t>
            </w:r>
          </w:p>
        </w:tc>
        <w:tc>
          <w:tcPr>
            <w:tcW w:w="860" w:type="dxa"/>
            <w:vAlign w:val="bottom"/>
            <w:tcBorders>
              <w:bottom w:val="single" w:sz="8" w:color="D1DDE6"/>
            </w:tcBorders>
            <w:shd w:val="clear" w:color="auto" w:fill="D1DDE6"/>
          </w:tcPr>
          <w:p>
            <w:pPr>
              <w:jc w:val="center"/>
              <w:ind w:right="72"/>
              <w:spacing w:after="0"/>
              <w:rPr>
                <w:sz w:val="20"/>
                <w:szCs w:val="20"/>
                <w:color w:val="auto"/>
              </w:rPr>
            </w:pPr>
            <w:r>
              <w:rPr>
                <w:rFonts w:ascii="Arial" w:cs="Arial" w:eastAsia="Arial" w:hAnsi="Arial"/>
                <w:sz w:val="14"/>
                <w:szCs w:val="14"/>
                <w:color w:val="auto"/>
                <w:w w:val="96"/>
              </w:rPr>
              <w:t>1,630,000</w:t>
            </w:r>
          </w:p>
        </w:tc>
        <w:tc>
          <w:tcPr>
            <w:tcW w:w="880" w:type="dxa"/>
            <w:vAlign w:val="bottom"/>
            <w:tcBorders>
              <w:bottom w:val="single" w:sz="8" w:color="D1DDE6"/>
            </w:tcBorders>
            <w:shd w:val="clear" w:color="auto" w:fill="D1DDE6"/>
          </w:tcPr>
          <w:p>
            <w:pPr>
              <w:spacing w:after="0"/>
              <w:rPr>
                <w:sz w:val="19"/>
                <w:szCs w:val="19"/>
                <w:color w:val="auto"/>
              </w:rPr>
            </w:pPr>
          </w:p>
        </w:tc>
        <w:tc>
          <w:tcPr>
            <w:tcW w:w="1100" w:type="dxa"/>
            <w:vAlign w:val="bottom"/>
            <w:tcBorders>
              <w:bottom w:val="single" w:sz="8" w:color="D1DDE6"/>
            </w:tcBorders>
            <w:shd w:val="clear" w:color="auto" w:fill="D1DDE6"/>
          </w:tcPr>
          <w:p>
            <w:pPr>
              <w:spacing w:after="0"/>
              <w:rPr>
                <w:sz w:val="19"/>
                <w:szCs w:val="19"/>
                <w:color w:val="auto"/>
              </w:rPr>
            </w:pPr>
          </w:p>
        </w:tc>
        <w:tc>
          <w:tcPr>
            <w:tcW w:w="800" w:type="dxa"/>
            <w:vAlign w:val="bottom"/>
            <w:tcBorders>
              <w:bottom w:val="single" w:sz="8" w:color="D1DDE6"/>
            </w:tcBorders>
            <w:shd w:val="clear" w:color="auto" w:fill="D1DDE6"/>
          </w:tcPr>
          <w:p>
            <w:pPr>
              <w:spacing w:after="0"/>
              <w:rPr>
                <w:sz w:val="19"/>
                <w:szCs w:val="19"/>
                <w:color w:val="auto"/>
              </w:rPr>
            </w:pPr>
          </w:p>
        </w:tc>
        <w:tc>
          <w:tcPr>
            <w:tcW w:w="920" w:type="dxa"/>
            <w:vAlign w:val="bottom"/>
            <w:tcBorders>
              <w:bottom w:val="single" w:sz="8" w:color="D1DDE6"/>
            </w:tcBorders>
            <w:shd w:val="clear" w:color="auto" w:fill="D1DDE6"/>
          </w:tcPr>
          <w:p>
            <w:pPr>
              <w:spacing w:after="0"/>
              <w:rPr>
                <w:sz w:val="19"/>
                <w:szCs w:val="19"/>
                <w:color w:val="auto"/>
              </w:rPr>
            </w:pPr>
          </w:p>
        </w:tc>
        <w:tc>
          <w:tcPr>
            <w:tcW w:w="900" w:type="dxa"/>
            <w:vAlign w:val="bottom"/>
            <w:tcBorders>
              <w:bottom w:val="single" w:sz="8" w:color="D1DDE6"/>
            </w:tcBorders>
            <w:shd w:val="clear" w:color="auto" w:fill="D1DDE6"/>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960" w:type="dxa"/>
            <w:vAlign w:val="bottom"/>
          </w:tcPr>
          <w:p>
            <w:pPr>
              <w:ind w:left="20"/>
              <w:spacing w:after="0"/>
              <w:rPr>
                <w:sz w:val="20"/>
                <w:szCs w:val="20"/>
                <w:color w:val="auto"/>
              </w:rPr>
            </w:pPr>
            <w:r>
              <w:rPr>
                <w:rFonts w:ascii="Arial" w:cs="Arial" w:eastAsia="Arial" w:hAnsi="Arial"/>
                <w:sz w:val="14"/>
                <w:szCs w:val="14"/>
                <w:color w:val="auto"/>
              </w:rPr>
              <w:t>Kenneth L. Bedingfield</w:t>
            </w:r>
          </w:p>
        </w:tc>
        <w:tc>
          <w:tcPr>
            <w:tcW w:w="1140" w:type="dxa"/>
            <w:vAlign w:val="bottom"/>
          </w:tcPr>
          <w:p>
            <w:pPr>
              <w:ind w:left="20"/>
              <w:spacing w:after="0"/>
              <w:rPr>
                <w:sz w:val="20"/>
                <w:szCs w:val="20"/>
                <w:color w:val="auto"/>
              </w:rPr>
            </w:pPr>
            <w:r>
              <w:rPr>
                <w:rFonts w:ascii="Arial" w:cs="Arial" w:eastAsia="Arial" w:hAnsi="Arial"/>
                <w:sz w:val="14"/>
                <w:szCs w:val="14"/>
                <w:color w:val="auto"/>
              </w:rPr>
              <w:t>RPSR</w:t>
            </w:r>
          </w:p>
        </w:tc>
        <w:tc>
          <w:tcPr>
            <w:tcW w:w="940" w:type="dxa"/>
            <w:vAlign w:val="bottom"/>
          </w:tcPr>
          <w:p>
            <w:pPr>
              <w:jc w:val="center"/>
              <w:spacing w:after="0"/>
              <w:rPr>
                <w:sz w:val="20"/>
                <w:szCs w:val="20"/>
                <w:color w:val="auto"/>
              </w:rPr>
            </w:pPr>
            <w:r>
              <w:rPr>
                <w:rFonts w:ascii="Arial" w:cs="Arial" w:eastAsia="Arial" w:hAnsi="Arial"/>
                <w:sz w:val="14"/>
                <w:szCs w:val="14"/>
                <w:color w:val="auto"/>
                <w:w w:val="99"/>
              </w:rPr>
              <w:t>2/13/2018</w:t>
            </w:r>
          </w:p>
        </w:tc>
        <w:tc>
          <w:tcPr>
            <w:tcW w:w="8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80" w:type="dxa"/>
            <w:vAlign w:val="bottom"/>
          </w:tcPr>
          <w:p>
            <w:pPr>
              <w:jc w:val="center"/>
              <w:ind w:left="72"/>
              <w:spacing w:after="0"/>
              <w:rPr>
                <w:sz w:val="20"/>
                <w:szCs w:val="20"/>
                <w:color w:val="auto"/>
              </w:rPr>
            </w:pPr>
            <w:r>
              <w:rPr>
                <w:rFonts w:ascii="Arial" w:cs="Arial" w:eastAsia="Arial" w:hAnsi="Arial"/>
                <w:sz w:val="14"/>
                <w:szCs w:val="14"/>
                <w:color w:val="auto"/>
                <w:w w:val="99"/>
              </w:rPr>
              <w:t>—</w:t>
            </w:r>
          </w:p>
        </w:tc>
        <w:tc>
          <w:tcPr>
            <w:tcW w:w="1100" w:type="dxa"/>
            <w:vAlign w:val="bottom"/>
          </w:tcPr>
          <w:p>
            <w:pPr>
              <w:jc w:val="center"/>
              <w:spacing w:after="0"/>
              <w:rPr>
                <w:sz w:val="20"/>
                <w:szCs w:val="20"/>
                <w:color w:val="auto"/>
              </w:rPr>
            </w:pPr>
            <w:r>
              <w:rPr>
                <w:rFonts w:ascii="Arial" w:cs="Arial" w:eastAsia="Arial" w:hAnsi="Arial"/>
                <w:sz w:val="14"/>
                <w:szCs w:val="14"/>
                <w:color w:val="auto"/>
              </w:rPr>
              <w:t>6,961</w:t>
            </w:r>
          </w:p>
        </w:tc>
        <w:tc>
          <w:tcPr>
            <w:tcW w:w="800" w:type="dxa"/>
            <w:vAlign w:val="bottom"/>
          </w:tcPr>
          <w:p>
            <w:pPr>
              <w:jc w:val="center"/>
              <w:ind w:right="32"/>
              <w:spacing w:after="0"/>
              <w:rPr>
                <w:sz w:val="20"/>
                <w:szCs w:val="20"/>
                <w:color w:val="auto"/>
              </w:rPr>
            </w:pPr>
            <w:r>
              <w:rPr>
                <w:rFonts w:ascii="Arial" w:cs="Arial" w:eastAsia="Arial" w:hAnsi="Arial"/>
                <w:sz w:val="14"/>
                <w:szCs w:val="14"/>
                <w:color w:val="auto"/>
                <w:w w:val="97"/>
              </w:rPr>
              <w:t>10,442</w:t>
            </w:r>
          </w:p>
        </w:tc>
        <w:tc>
          <w:tcPr>
            <w:tcW w:w="920" w:type="dxa"/>
            <w:vAlign w:val="bottom"/>
          </w:tcPr>
          <w:p>
            <w:pPr>
              <w:spacing w:after="0"/>
              <w:rPr>
                <w:sz w:val="19"/>
                <w:szCs w:val="19"/>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9"/>
              </w:rPr>
              <w:t>2,450,138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19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920" w:type="dxa"/>
            <w:vAlign w:val="bottom"/>
          </w:tcPr>
          <w:p>
            <w:pPr>
              <w:spacing w:after="0"/>
              <w:rPr>
                <w:sz w:val="3"/>
                <w:szCs w:val="3"/>
                <w:color w:val="auto"/>
              </w:rPr>
            </w:pPr>
          </w:p>
        </w:tc>
        <w:tc>
          <w:tcPr>
            <w:tcW w:w="90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6"/>
        </w:trPr>
        <w:tc>
          <w:tcPr>
            <w:tcW w:w="1960" w:type="dxa"/>
            <w:vAlign w:val="bottom"/>
          </w:tcPr>
          <w:p>
            <w:pPr>
              <w:spacing w:after="0"/>
              <w:rPr>
                <w:sz w:val="22"/>
                <w:szCs w:val="22"/>
                <w:color w:val="auto"/>
              </w:rPr>
            </w:pPr>
          </w:p>
        </w:tc>
        <w:tc>
          <w:tcPr>
            <w:tcW w:w="1140" w:type="dxa"/>
            <w:vAlign w:val="bottom"/>
            <w:tcBorders>
              <w:bottom w:val="single" w:sz="8" w:color="D1DDE6"/>
            </w:tcBorders>
            <w:shd w:val="clear" w:color="auto" w:fill="D1DDE6"/>
          </w:tcPr>
          <w:p>
            <w:pPr>
              <w:ind w:left="20"/>
              <w:spacing w:after="0"/>
              <w:rPr>
                <w:sz w:val="20"/>
                <w:szCs w:val="20"/>
                <w:color w:val="auto"/>
              </w:rPr>
            </w:pPr>
            <w:r>
              <w:rPr>
                <w:rFonts w:ascii="Arial" w:cs="Arial" w:eastAsia="Arial" w:hAnsi="Arial"/>
                <w:sz w:val="14"/>
                <w:szCs w:val="14"/>
                <w:color w:val="auto"/>
              </w:rPr>
              <w:t>RSR</w:t>
            </w:r>
          </w:p>
        </w:tc>
        <w:tc>
          <w:tcPr>
            <w:tcW w:w="940" w:type="dxa"/>
            <w:vAlign w:val="bottom"/>
            <w:tcBorders>
              <w:bottom w:val="single" w:sz="8" w:color="D1DDE6"/>
            </w:tcBorders>
            <w:shd w:val="clear" w:color="auto" w:fill="D1DDE6"/>
          </w:tcPr>
          <w:p>
            <w:pPr>
              <w:jc w:val="center"/>
              <w:spacing w:after="0"/>
              <w:rPr>
                <w:sz w:val="20"/>
                <w:szCs w:val="20"/>
                <w:color w:val="auto"/>
              </w:rPr>
            </w:pPr>
            <w:r>
              <w:rPr>
                <w:rFonts w:ascii="Arial" w:cs="Arial" w:eastAsia="Arial" w:hAnsi="Arial"/>
                <w:sz w:val="14"/>
                <w:szCs w:val="14"/>
                <w:color w:val="auto"/>
                <w:w w:val="99"/>
              </w:rPr>
              <w:t>2/13/2018</w:t>
            </w:r>
          </w:p>
        </w:tc>
        <w:tc>
          <w:tcPr>
            <w:tcW w:w="820" w:type="dxa"/>
            <w:vAlign w:val="bottom"/>
            <w:tcBorders>
              <w:bottom w:val="single" w:sz="8" w:color="D1DDE6"/>
            </w:tcBorders>
            <w:shd w:val="clear" w:color="auto" w:fill="D1DDE6"/>
          </w:tcPr>
          <w:p>
            <w:pPr>
              <w:spacing w:after="0"/>
              <w:rPr>
                <w:sz w:val="22"/>
                <w:szCs w:val="22"/>
                <w:color w:val="auto"/>
              </w:rPr>
            </w:pPr>
          </w:p>
        </w:tc>
        <w:tc>
          <w:tcPr>
            <w:tcW w:w="1100" w:type="dxa"/>
            <w:vAlign w:val="bottom"/>
            <w:tcBorders>
              <w:bottom w:val="single" w:sz="8" w:color="D1DDE6"/>
            </w:tcBorders>
            <w:shd w:val="clear" w:color="auto" w:fill="D1DDE6"/>
          </w:tcPr>
          <w:p>
            <w:pPr>
              <w:spacing w:after="0"/>
              <w:rPr>
                <w:sz w:val="22"/>
                <w:szCs w:val="22"/>
                <w:color w:val="auto"/>
              </w:rPr>
            </w:pPr>
          </w:p>
        </w:tc>
        <w:tc>
          <w:tcPr>
            <w:tcW w:w="860" w:type="dxa"/>
            <w:vAlign w:val="bottom"/>
            <w:tcBorders>
              <w:bottom w:val="single" w:sz="8" w:color="D1DDE6"/>
            </w:tcBorders>
            <w:shd w:val="clear" w:color="auto" w:fill="D1DDE6"/>
          </w:tcPr>
          <w:p>
            <w:pPr>
              <w:spacing w:after="0"/>
              <w:rPr>
                <w:sz w:val="22"/>
                <w:szCs w:val="22"/>
                <w:color w:val="auto"/>
              </w:rPr>
            </w:pPr>
          </w:p>
        </w:tc>
        <w:tc>
          <w:tcPr>
            <w:tcW w:w="880" w:type="dxa"/>
            <w:vAlign w:val="bottom"/>
            <w:tcBorders>
              <w:bottom w:val="single" w:sz="8" w:color="D1DDE6"/>
            </w:tcBorders>
            <w:shd w:val="clear" w:color="auto" w:fill="D1DDE6"/>
          </w:tcPr>
          <w:p>
            <w:pPr>
              <w:spacing w:after="0"/>
              <w:rPr>
                <w:sz w:val="22"/>
                <w:szCs w:val="22"/>
                <w:color w:val="auto"/>
              </w:rPr>
            </w:pPr>
          </w:p>
        </w:tc>
        <w:tc>
          <w:tcPr>
            <w:tcW w:w="1100" w:type="dxa"/>
            <w:vAlign w:val="bottom"/>
            <w:tcBorders>
              <w:bottom w:val="single" w:sz="8" w:color="D1DDE6"/>
            </w:tcBorders>
            <w:shd w:val="clear" w:color="auto" w:fill="D1DDE6"/>
          </w:tcPr>
          <w:p>
            <w:pPr>
              <w:spacing w:after="0"/>
              <w:rPr>
                <w:sz w:val="22"/>
                <w:szCs w:val="22"/>
                <w:color w:val="auto"/>
              </w:rPr>
            </w:pPr>
          </w:p>
        </w:tc>
        <w:tc>
          <w:tcPr>
            <w:tcW w:w="800" w:type="dxa"/>
            <w:vAlign w:val="bottom"/>
            <w:tcBorders>
              <w:bottom w:val="single" w:sz="8" w:color="D1DDE6"/>
            </w:tcBorders>
            <w:shd w:val="clear" w:color="auto" w:fill="D1DDE6"/>
          </w:tcPr>
          <w:p>
            <w:pPr>
              <w:spacing w:after="0"/>
              <w:rPr>
                <w:sz w:val="22"/>
                <w:szCs w:val="22"/>
                <w:color w:val="auto"/>
              </w:rPr>
            </w:pPr>
          </w:p>
        </w:tc>
        <w:tc>
          <w:tcPr>
            <w:tcW w:w="920" w:type="dxa"/>
            <w:vAlign w:val="bottom"/>
            <w:tcBorders>
              <w:bottom w:val="single" w:sz="8" w:color="D1DDE6"/>
            </w:tcBorders>
            <w:shd w:val="clear" w:color="auto" w:fill="D1DDE6"/>
          </w:tcPr>
          <w:p>
            <w:pPr>
              <w:jc w:val="center"/>
              <w:spacing w:after="0"/>
              <w:rPr>
                <w:sz w:val="20"/>
                <w:szCs w:val="20"/>
                <w:color w:val="auto"/>
              </w:rPr>
            </w:pPr>
            <w:r>
              <w:rPr>
                <w:rFonts w:ascii="Arial" w:cs="Arial" w:eastAsia="Arial" w:hAnsi="Arial"/>
                <w:sz w:val="14"/>
                <w:szCs w:val="14"/>
                <w:color w:val="auto"/>
              </w:rPr>
              <w:t>3,161</w:t>
            </w:r>
          </w:p>
        </w:tc>
        <w:tc>
          <w:tcPr>
            <w:tcW w:w="900" w:type="dxa"/>
            <w:vAlign w:val="bottom"/>
            <w:tcBorders>
              <w:bottom w:val="single" w:sz="8" w:color="D1DDE6"/>
            </w:tcBorders>
            <w:shd w:val="clear" w:color="auto" w:fill="D1DDE6"/>
          </w:tcPr>
          <w:p>
            <w:pPr>
              <w:jc w:val="center"/>
              <w:spacing w:after="0"/>
              <w:rPr>
                <w:sz w:val="20"/>
                <w:szCs w:val="20"/>
                <w:color w:val="auto"/>
              </w:rPr>
            </w:pPr>
            <w:r>
              <w:rPr>
                <w:rFonts w:ascii="Arial" w:cs="Arial" w:eastAsia="Arial" w:hAnsi="Arial"/>
                <w:sz w:val="14"/>
                <w:szCs w:val="14"/>
                <w:color w:val="auto"/>
                <w:w w:val="99"/>
              </w:rPr>
              <w:t>1,049,870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2"/>
        </w:trPr>
        <w:tc>
          <w:tcPr>
            <w:tcW w:w="1960" w:type="dxa"/>
            <w:vAlign w:val="bottom"/>
            <w:tcBorders>
              <w:top w:val="single" w:sz="8" w:color="34657F"/>
            </w:tcBorders>
          </w:tcPr>
          <w:p>
            <w:pPr>
              <w:spacing w:after="0"/>
              <w:rPr>
                <w:sz w:val="18"/>
                <w:szCs w:val="18"/>
                <w:color w:val="auto"/>
              </w:rPr>
            </w:pPr>
          </w:p>
        </w:tc>
        <w:tc>
          <w:tcPr>
            <w:tcW w:w="1140" w:type="dxa"/>
            <w:vAlign w:val="bottom"/>
            <w:tcBorders>
              <w:top w:val="single" w:sz="8" w:color="34657F"/>
            </w:tcBorders>
          </w:tcPr>
          <w:p>
            <w:pPr>
              <w:ind w:left="20"/>
              <w:spacing w:after="0"/>
              <w:rPr>
                <w:sz w:val="20"/>
                <w:szCs w:val="20"/>
                <w:color w:val="auto"/>
              </w:rPr>
            </w:pPr>
            <w:r>
              <w:rPr>
                <w:rFonts w:ascii="Arial" w:cs="Arial" w:eastAsia="Arial" w:hAnsi="Arial"/>
                <w:sz w:val="14"/>
                <w:szCs w:val="14"/>
                <w:color w:val="auto"/>
              </w:rPr>
              <w:t>Incentive Plan</w:t>
            </w:r>
          </w:p>
        </w:tc>
        <w:tc>
          <w:tcPr>
            <w:tcW w:w="940" w:type="dxa"/>
            <w:vAlign w:val="bottom"/>
            <w:tcBorders>
              <w:top w:val="single" w:sz="8" w:color="34657F"/>
            </w:tcBorders>
          </w:tcPr>
          <w:p>
            <w:pPr>
              <w:spacing w:after="0"/>
              <w:rPr>
                <w:sz w:val="18"/>
                <w:szCs w:val="18"/>
                <w:color w:val="auto"/>
              </w:rPr>
            </w:pPr>
          </w:p>
        </w:tc>
        <w:tc>
          <w:tcPr>
            <w:tcW w:w="820" w:type="dxa"/>
            <w:vAlign w:val="bottom"/>
            <w:tcBorders>
              <w:top w:val="single" w:sz="8" w:color="34657F"/>
            </w:tcBorders>
          </w:tcPr>
          <w:p>
            <w:pPr>
              <w:jc w:val="center"/>
              <w:ind w:left="12"/>
              <w:spacing w:after="0"/>
              <w:rPr>
                <w:sz w:val="20"/>
                <w:szCs w:val="20"/>
                <w:color w:val="auto"/>
              </w:rPr>
            </w:pPr>
            <w:r>
              <w:rPr>
                <w:rFonts w:ascii="Arial" w:cs="Arial" w:eastAsia="Arial" w:hAnsi="Arial"/>
                <w:sz w:val="14"/>
                <w:szCs w:val="14"/>
                <w:color w:val="auto"/>
                <w:w w:val="99"/>
              </w:rPr>
              <w:t>—</w:t>
            </w:r>
          </w:p>
        </w:tc>
        <w:tc>
          <w:tcPr>
            <w:tcW w:w="1100" w:type="dxa"/>
            <w:vAlign w:val="bottom"/>
            <w:tcBorders>
              <w:top w:val="single" w:sz="8" w:color="34657F"/>
            </w:tcBorders>
          </w:tcPr>
          <w:p>
            <w:pPr>
              <w:jc w:val="center"/>
              <w:spacing w:after="0"/>
              <w:rPr>
                <w:sz w:val="20"/>
                <w:szCs w:val="20"/>
                <w:color w:val="auto"/>
              </w:rPr>
            </w:pPr>
            <w:r>
              <w:rPr>
                <w:rFonts w:ascii="Arial" w:cs="Arial" w:eastAsia="Arial" w:hAnsi="Arial"/>
                <w:sz w:val="14"/>
                <w:szCs w:val="14"/>
                <w:color w:val="auto"/>
                <w:w w:val="98"/>
              </w:rPr>
              <w:t>830,000</w:t>
            </w:r>
          </w:p>
        </w:tc>
        <w:tc>
          <w:tcPr>
            <w:tcW w:w="860" w:type="dxa"/>
            <w:vAlign w:val="bottom"/>
            <w:tcBorders>
              <w:top w:val="single" w:sz="8" w:color="34657F"/>
            </w:tcBorders>
          </w:tcPr>
          <w:p>
            <w:pPr>
              <w:jc w:val="center"/>
              <w:ind w:right="72"/>
              <w:spacing w:after="0"/>
              <w:rPr>
                <w:sz w:val="20"/>
                <w:szCs w:val="20"/>
                <w:color w:val="auto"/>
              </w:rPr>
            </w:pPr>
            <w:r>
              <w:rPr>
                <w:rFonts w:ascii="Arial" w:cs="Arial" w:eastAsia="Arial" w:hAnsi="Arial"/>
                <w:sz w:val="14"/>
                <w:szCs w:val="14"/>
                <w:color w:val="auto"/>
                <w:w w:val="96"/>
              </w:rPr>
              <w:t>1,660,000</w:t>
            </w:r>
          </w:p>
        </w:tc>
        <w:tc>
          <w:tcPr>
            <w:tcW w:w="880" w:type="dxa"/>
            <w:vAlign w:val="bottom"/>
            <w:tcBorders>
              <w:top w:val="single" w:sz="8" w:color="34657F"/>
            </w:tcBorders>
          </w:tcPr>
          <w:p>
            <w:pPr>
              <w:spacing w:after="0"/>
              <w:rPr>
                <w:sz w:val="18"/>
                <w:szCs w:val="18"/>
                <w:color w:val="auto"/>
              </w:rPr>
            </w:pPr>
          </w:p>
        </w:tc>
        <w:tc>
          <w:tcPr>
            <w:tcW w:w="1100" w:type="dxa"/>
            <w:vAlign w:val="bottom"/>
            <w:tcBorders>
              <w:top w:val="single" w:sz="8" w:color="34657F"/>
            </w:tcBorders>
          </w:tcPr>
          <w:p>
            <w:pPr>
              <w:spacing w:after="0"/>
              <w:rPr>
                <w:sz w:val="18"/>
                <w:szCs w:val="18"/>
                <w:color w:val="auto"/>
              </w:rPr>
            </w:pPr>
          </w:p>
        </w:tc>
        <w:tc>
          <w:tcPr>
            <w:tcW w:w="800" w:type="dxa"/>
            <w:vAlign w:val="bottom"/>
            <w:tcBorders>
              <w:top w:val="single" w:sz="8" w:color="34657F"/>
            </w:tcBorders>
          </w:tcPr>
          <w:p>
            <w:pPr>
              <w:spacing w:after="0"/>
              <w:rPr>
                <w:sz w:val="18"/>
                <w:szCs w:val="18"/>
                <w:color w:val="auto"/>
              </w:rPr>
            </w:pPr>
          </w:p>
        </w:tc>
        <w:tc>
          <w:tcPr>
            <w:tcW w:w="920" w:type="dxa"/>
            <w:vAlign w:val="bottom"/>
            <w:tcBorders>
              <w:top w:val="single" w:sz="8" w:color="34657F"/>
            </w:tcBorders>
          </w:tcPr>
          <w:p>
            <w:pPr>
              <w:spacing w:after="0"/>
              <w:rPr>
                <w:sz w:val="18"/>
                <w:szCs w:val="18"/>
                <w:color w:val="auto"/>
              </w:rPr>
            </w:pPr>
          </w:p>
        </w:tc>
        <w:tc>
          <w:tcPr>
            <w:tcW w:w="900" w:type="dxa"/>
            <w:vAlign w:val="bottom"/>
            <w:tcBorders>
              <w:top w:val="single" w:sz="8" w:color="34657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
        </w:trPr>
        <w:tc>
          <w:tcPr>
            <w:tcW w:w="19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920" w:type="dxa"/>
            <w:vAlign w:val="bottom"/>
          </w:tcPr>
          <w:p>
            <w:pPr>
              <w:spacing w:after="0"/>
              <w:rPr>
                <w:sz w:val="3"/>
                <w:szCs w:val="3"/>
                <w:color w:val="auto"/>
              </w:rPr>
            </w:pPr>
          </w:p>
        </w:tc>
        <w:tc>
          <w:tcPr>
            <w:tcW w:w="90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6"/>
        </w:trPr>
        <w:tc>
          <w:tcPr>
            <w:tcW w:w="1960" w:type="dxa"/>
            <w:vAlign w:val="bottom"/>
            <w:vMerge w:val="restart"/>
          </w:tcPr>
          <w:p>
            <w:pPr>
              <w:ind w:left="20"/>
              <w:spacing w:after="0"/>
              <w:rPr>
                <w:sz w:val="20"/>
                <w:szCs w:val="20"/>
                <w:color w:val="auto"/>
              </w:rPr>
            </w:pPr>
            <w:r>
              <w:rPr>
                <w:rFonts w:ascii="Arial" w:cs="Arial" w:eastAsia="Arial" w:hAnsi="Arial"/>
                <w:sz w:val="14"/>
                <w:szCs w:val="14"/>
                <w:color w:val="auto"/>
              </w:rPr>
              <w:t>Mark A. Caylor</w:t>
            </w:r>
          </w:p>
        </w:tc>
        <w:tc>
          <w:tcPr>
            <w:tcW w:w="1140" w:type="dxa"/>
            <w:vAlign w:val="bottom"/>
            <w:tcBorders>
              <w:bottom w:val="single" w:sz="8" w:color="D1DDE6"/>
            </w:tcBorders>
            <w:shd w:val="clear" w:color="auto" w:fill="D1DDE6"/>
          </w:tcPr>
          <w:p>
            <w:pPr>
              <w:ind w:left="20"/>
              <w:spacing w:after="0"/>
              <w:rPr>
                <w:sz w:val="20"/>
                <w:szCs w:val="20"/>
                <w:color w:val="auto"/>
              </w:rPr>
            </w:pPr>
            <w:r>
              <w:rPr>
                <w:rFonts w:ascii="Arial" w:cs="Arial" w:eastAsia="Arial" w:hAnsi="Arial"/>
                <w:sz w:val="14"/>
                <w:szCs w:val="14"/>
                <w:color w:val="auto"/>
              </w:rPr>
              <w:t>RPSR</w:t>
            </w:r>
          </w:p>
        </w:tc>
        <w:tc>
          <w:tcPr>
            <w:tcW w:w="940" w:type="dxa"/>
            <w:vAlign w:val="bottom"/>
            <w:tcBorders>
              <w:bottom w:val="single" w:sz="8" w:color="D1DDE6"/>
            </w:tcBorders>
            <w:shd w:val="clear" w:color="auto" w:fill="D1DDE6"/>
          </w:tcPr>
          <w:p>
            <w:pPr>
              <w:jc w:val="center"/>
              <w:spacing w:after="0"/>
              <w:rPr>
                <w:sz w:val="20"/>
                <w:szCs w:val="20"/>
                <w:color w:val="auto"/>
              </w:rPr>
            </w:pPr>
            <w:r>
              <w:rPr>
                <w:rFonts w:ascii="Arial" w:cs="Arial" w:eastAsia="Arial" w:hAnsi="Arial"/>
                <w:sz w:val="14"/>
                <w:szCs w:val="14"/>
                <w:color w:val="auto"/>
                <w:w w:val="99"/>
              </w:rPr>
              <w:t>2/13/2018</w:t>
            </w:r>
          </w:p>
        </w:tc>
        <w:tc>
          <w:tcPr>
            <w:tcW w:w="820" w:type="dxa"/>
            <w:vAlign w:val="bottom"/>
            <w:tcBorders>
              <w:bottom w:val="single" w:sz="8" w:color="D1DDE6"/>
            </w:tcBorders>
            <w:shd w:val="clear" w:color="auto" w:fill="D1DDE6"/>
          </w:tcPr>
          <w:p>
            <w:pPr>
              <w:spacing w:after="0"/>
              <w:rPr>
                <w:sz w:val="20"/>
                <w:szCs w:val="20"/>
                <w:color w:val="auto"/>
              </w:rPr>
            </w:pPr>
          </w:p>
        </w:tc>
        <w:tc>
          <w:tcPr>
            <w:tcW w:w="1100" w:type="dxa"/>
            <w:vAlign w:val="bottom"/>
            <w:tcBorders>
              <w:bottom w:val="single" w:sz="8" w:color="D1DDE6"/>
            </w:tcBorders>
            <w:shd w:val="clear" w:color="auto" w:fill="D1DDE6"/>
          </w:tcPr>
          <w:p>
            <w:pPr>
              <w:spacing w:after="0"/>
              <w:rPr>
                <w:sz w:val="20"/>
                <w:szCs w:val="20"/>
                <w:color w:val="auto"/>
              </w:rPr>
            </w:pPr>
          </w:p>
        </w:tc>
        <w:tc>
          <w:tcPr>
            <w:tcW w:w="860" w:type="dxa"/>
            <w:vAlign w:val="bottom"/>
            <w:tcBorders>
              <w:bottom w:val="single" w:sz="8" w:color="D1DDE6"/>
            </w:tcBorders>
            <w:shd w:val="clear" w:color="auto" w:fill="D1DDE6"/>
          </w:tcPr>
          <w:p>
            <w:pPr>
              <w:spacing w:after="0"/>
              <w:rPr>
                <w:sz w:val="20"/>
                <w:szCs w:val="20"/>
                <w:color w:val="auto"/>
              </w:rPr>
            </w:pPr>
          </w:p>
        </w:tc>
        <w:tc>
          <w:tcPr>
            <w:tcW w:w="880" w:type="dxa"/>
            <w:vAlign w:val="bottom"/>
            <w:tcBorders>
              <w:bottom w:val="single" w:sz="8" w:color="D1DDE6"/>
            </w:tcBorders>
            <w:shd w:val="clear" w:color="auto" w:fill="D1DDE6"/>
          </w:tcPr>
          <w:p>
            <w:pPr>
              <w:jc w:val="center"/>
              <w:ind w:left="72"/>
              <w:spacing w:after="0"/>
              <w:rPr>
                <w:sz w:val="20"/>
                <w:szCs w:val="20"/>
                <w:color w:val="auto"/>
              </w:rPr>
            </w:pPr>
            <w:r>
              <w:rPr>
                <w:rFonts w:ascii="Arial" w:cs="Arial" w:eastAsia="Arial" w:hAnsi="Arial"/>
                <w:sz w:val="14"/>
                <w:szCs w:val="14"/>
                <w:color w:val="auto"/>
                <w:w w:val="99"/>
              </w:rPr>
              <w:t>—</w:t>
            </w:r>
          </w:p>
        </w:tc>
        <w:tc>
          <w:tcPr>
            <w:tcW w:w="1100" w:type="dxa"/>
            <w:vAlign w:val="bottom"/>
            <w:tcBorders>
              <w:bottom w:val="single" w:sz="8" w:color="D1DDE6"/>
            </w:tcBorders>
            <w:shd w:val="clear" w:color="auto" w:fill="D1DDE6"/>
          </w:tcPr>
          <w:p>
            <w:pPr>
              <w:jc w:val="center"/>
              <w:spacing w:after="0"/>
              <w:rPr>
                <w:sz w:val="20"/>
                <w:szCs w:val="20"/>
                <w:color w:val="auto"/>
              </w:rPr>
            </w:pPr>
            <w:r>
              <w:rPr>
                <w:rFonts w:ascii="Arial" w:cs="Arial" w:eastAsia="Arial" w:hAnsi="Arial"/>
                <w:sz w:val="14"/>
                <w:szCs w:val="14"/>
                <w:color w:val="auto"/>
              </w:rPr>
              <w:t>6,961</w:t>
            </w:r>
          </w:p>
        </w:tc>
        <w:tc>
          <w:tcPr>
            <w:tcW w:w="800" w:type="dxa"/>
            <w:vAlign w:val="bottom"/>
            <w:tcBorders>
              <w:bottom w:val="single" w:sz="8" w:color="D1DDE6"/>
            </w:tcBorders>
            <w:shd w:val="clear" w:color="auto" w:fill="D1DDE6"/>
          </w:tcPr>
          <w:p>
            <w:pPr>
              <w:jc w:val="center"/>
              <w:ind w:right="32"/>
              <w:spacing w:after="0"/>
              <w:rPr>
                <w:sz w:val="20"/>
                <w:szCs w:val="20"/>
                <w:color w:val="auto"/>
              </w:rPr>
            </w:pPr>
            <w:r>
              <w:rPr>
                <w:rFonts w:ascii="Arial" w:cs="Arial" w:eastAsia="Arial" w:hAnsi="Arial"/>
                <w:sz w:val="14"/>
                <w:szCs w:val="14"/>
                <w:color w:val="auto"/>
                <w:w w:val="97"/>
              </w:rPr>
              <w:t>10,442</w:t>
            </w:r>
          </w:p>
        </w:tc>
        <w:tc>
          <w:tcPr>
            <w:tcW w:w="920" w:type="dxa"/>
            <w:vAlign w:val="bottom"/>
            <w:tcBorders>
              <w:bottom w:val="single" w:sz="8" w:color="D1DDE6"/>
            </w:tcBorders>
            <w:shd w:val="clear" w:color="auto" w:fill="D1DDE6"/>
          </w:tcPr>
          <w:p>
            <w:pPr>
              <w:spacing w:after="0"/>
              <w:rPr>
                <w:sz w:val="20"/>
                <w:szCs w:val="20"/>
                <w:color w:val="auto"/>
              </w:rPr>
            </w:pPr>
          </w:p>
        </w:tc>
        <w:tc>
          <w:tcPr>
            <w:tcW w:w="900" w:type="dxa"/>
            <w:vAlign w:val="bottom"/>
            <w:tcBorders>
              <w:bottom w:val="single" w:sz="8" w:color="D1DDE6"/>
            </w:tcBorders>
            <w:shd w:val="clear" w:color="auto" w:fill="D1DDE6"/>
          </w:tcPr>
          <w:p>
            <w:pPr>
              <w:jc w:val="center"/>
              <w:spacing w:after="0"/>
              <w:rPr>
                <w:sz w:val="20"/>
                <w:szCs w:val="20"/>
                <w:color w:val="auto"/>
              </w:rPr>
            </w:pPr>
            <w:r>
              <w:rPr>
                <w:rFonts w:ascii="Arial" w:cs="Arial" w:eastAsia="Arial" w:hAnsi="Arial"/>
                <w:sz w:val="14"/>
                <w:szCs w:val="14"/>
                <w:color w:val="auto"/>
                <w:w w:val="99"/>
              </w:rPr>
              <w:t>2,450,138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1"/>
        </w:trPr>
        <w:tc>
          <w:tcPr>
            <w:tcW w:w="1960" w:type="dxa"/>
            <w:vAlign w:val="bottom"/>
            <w:vMerge w:val="continue"/>
          </w:tcPr>
          <w:p>
            <w:pPr>
              <w:spacing w:after="0"/>
              <w:rPr>
                <w:sz w:val="7"/>
                <w:szCs w:val="7"/>
                <w:color w:val="auto"/>
              </w:rPr>
            </w:pPr>
          </w:p>
        </w:tc>
        <w:tc>
          <w:tcPr>
            <w:tcW w:w="1140" w:type="dxa"/>
            <w:vAlign w:val="bottom"/>
            <w:vMerge w:val="restart"/>
          </w:tcPr>
          <w:p>
            <w:pPr>
              <w:ind w:left="20"/>
              <w:spacing w:after="0"/>
              <w:rPr>
                <w:sz w:val="20"/>
                <w:szCs w:val="20"/>
                <w:color w:val="auto"/>
              </w:rPr>
            </w:pPr>
            <w:r>
              <w:rPr>
                <w:rFonts w:ascii="Arial" w:cs="Arial" w:eastAsia="Arial" w:hAnsi="Arial"/>
                <w:sz w:val="14"/>
                <w:szCs w:val="14"/>
                <w:color w:val="auto"/>
              </w:rPr>
              <w:t>RSR</w:t>
            </w:r>
          </w:p>
        </w:tc>
        <w:tc>
          <w:tcPr>
            <w:tcW w:w="940" w:type="dxa"/>
            <w:vAlign w:val="bottom"/>
            <w:vMerge w:val="restart"/>
          </w:tcPr>
          <w:p>
            <w:pPr>
              <w:jc w:val="center"/>
              <w:spacing w:after="0"/>
              <w:rPr>
                <w:sz w:val="20"/>
                <w:szCs w:val="20"/>
                <w:color w:val="auto"/>
              </w:rPr>
            </w:pPr>
            <w:r>
              <w:rPr>
                <w:rFonts w:ascii="Arial" w:cs="Arial" w:eastAsia="Arial" w:hAnsi="Arial"/>
                <w:sz w:val="14"/>
                <w:szCs w:val="14"/>
                <w:color w:val="auto"/>
                <w:w w:val="99"/>
              </w:rPr>
              <w:t>2/13/2018</w:t>
            </w:r>
          </w:p>
        </w:tc>
        <w:tc>
          <w:tcPr>
            <w:tcW w:w="8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60" w:type="dxa"/>
            <w:vAlign w:val="bottom"/>
          </w:tcPr>
          <w:p>
            <w:pPr>
              <w:spacing w:after="0"/>
              <w:rPr>
                <w:sz w:val="7"/>
                <w:szCs w:val="7"/>
                <w:color w:val="auto"/>
              </w:rPr>
            </w:pPr>
          </w:p>
        </w:tc>
        <w:tc>
          <w:tcPr>
            <w:tcW w:w="8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920" w:type="dxa"/>
            <w:vAlign w:val="bottom"/>
            <w:vMerge w:val="restart"/>
          </w:tcPr>
          <w:p>
            <w:pPr>
              <w:jc w:val="center"/>
              <w:spacing w:after="0"/>
              <w:rPr>
                <w:sz w:val="20"/>
                <w:szCs w:val="20"/>
                <w:color w:val="auto"/>
              </w:rPr>
            </w:pPr>
            <w:r>
              <w:rPr>
                <w:rFonts w:ascii="Arial" w:cs="Arial" w:eastAsia="Arial" w:hAnsi="Arial"/>
                <w:sz w:val="14"/>
                <w:szCs w:val="14"/>
                <w:color w:val="auto"/>
              </w:rPr>
              <w:t>3,161</w:t>
            </w:r>
          </w:p>
        </w:tc>
        <w:tc>
          <w:tcPr>
            <w:tcW w:w="900" w:type="dxa"/>
            <w:vAlign w:val="bottom"/>
            <w:vMerge w:val="restart"/>
          </w:tcPr>
          <w:p>
            <w:pPr>
              <w:jc w:val="center"/>
              <w:spacing w:after="0"/>
              <w:rPr>
                <w:sz w:val="20"/>
                <w:szCs w:val="20"/>
                <w:color w:val="auto"/>
              </w:rPr>
            </w:pPr>
            <w:r>
              <w:rPr>
                <w:rFonts w:ascii="Arial" w:cs="Arial" w:eastAsia="Arial" w:hAnsi="Arial"/>
                <w:sz w:val="14"/>
                <w:szCs w:val="14"/>
                <w:color w:val="auto"/>
                <w:w w:val="99"/>
              </w:rPr>
              <w:t>1,049,870</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8"/>
        </w:trPr>
        <w:tc>
          <w:tcPr>
            <w:tcW w:w="1960" w:type="dxa"/>
            <w:vAlign w:val="bottom"/>
          </w:tcPr>
          <w:p>
            <w:pPr>
              <w:spacing w:after="0"/>
              <w:rPr>
                <w:sz w:val="11"/>
                <w:szCs w:val="11"/>
                <w:color w:val="auto"/>
              </w:rPr>
            </w:pPr>
          </w:p>
        </w:tc>
        <w:tc>
          <w:tcPr>
            <w:tcW w:w="114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8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7"/>
        </w:trPr>
        <w:tc>
          <w:tcPr>
            <w:tcW w:w="19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920" w:type="dxa"/>
            <w:vAlign w:val="bottom"/>
          </w:tcPr>
          <w:p>
            <w:pPr>
              <w:spacing w:after="0"/>
              <w:rPr>
                <w:sz w:val="3"/>
                <w:szCs w:val="3"/>
                <w:color w:val="auto"/>
              </w:rPr>
            </w:pPr>
          </w:p>
        </w:tc>
        <w:tc>
          <w:tcPr>
            <w:tcW w:w="90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6"/>
        </w:trPr>
        <w:tc>
          <w:tcPr>
            <w:tcW w:w="1960" w:type="dxa"/>
            <w:vAlign w:val="bottom"/>
          </w:tcPr>
          <w:p>
            <w:pPr>
              <w:spacing w:after="0"/>
              <w:rPr>
                <w:sz w:val="22"/>
                <w:szCs w:val="22"/>
                <w:color w:val="auto"/>
              </w:rPr>
            </w:pPr>
          </w:p>
        </w:tc>
        <w:tc>
          <w:tcPr>
            <w:tcW w:w="1140" w:type="dxa"/>
            <w:vAlign w:val="bottom"/>
            <w:tcBorders>
              <w:bottom w:val="single" w:sz="8" w:color="D1DDE6"/>
            </w:tcBorders>
            <w:shd w:val="clear" w:color="auto" w:fill="D1DDE6"/>
          </w:tcPr>
          <w:p>
            <w:pPr>
              <w:ind w:left="20"/>
              <w:spacing w:after="0"/>
              <w:rPr>
                <w:sz w:val="20"/>
                <w:szCs w:val="20"/>
                <w:color w:val="auto"/>
              </w:rPr>
            </w:pPr>
            <w:r>
              <w:rPr>
                <w:rFonts w:ascii="Arial" w:cs="Arial" w:eastAsia="Arial" w:hAnsi="Arial"/>
                <w:sz w:val="14"/>
                <w:szCs w:val="14"/>
                <w:color w:val="auto"/>
              </w:rPr>
              <w:t>RSR (6)</w:t>
            </w:r>
          </w:p>
        </w:tc>
        <w:tc>
          <w:tcPr>
            <w:tcW w:w="940" w:type="dxa"/>
            <w:vAlign w:val="bottom"/>
            <w:tcBorders>
              <w:bottom w:val="single" w:sz="8" w:color="D1DDE6"/>
            </w:tcBorders>
            <w:shd w:val="clear" w:color="auto" w:fill="D1DDE6"/>
          </w:tcPr>
          <w:p>
            <w:pPr>
              <w:jc w:val="center"/>
              <w:spacing w:after="0"/>
              <w:rPr>
                <w:sz w:val="20"/>
                <w:szCs w:val="20"/>
                <w:color w:val="auto"/>
              </w:rPr>
            </w:pPr>
            <w:r>
              <w:rPr>
                <w:rFonts w:ascii="Arial" w:cs="Arial" w:eastAsia="Arial" w:hAnsi="Arial"/>
                <w:sz w:val="14"/>
                <w:szCs w:val="14"/>
                <w:color w:val="auto"/>
                <w:w w:val="99"/>
              </w:rPr>
              <w:t>12/4/2018</w:t>
            </w:r>
          </w:p>
        </w:tc>
        <w:tc>
          <w:tcPr>
            <w:tcW w:w="820" w:type="dxa"/>
            <w:vAlign w:val="bottom"/>
            <w:tcBorders>
              <w:bottom w:val="single" w:sz="8" w:color="D1DDE6"/>
            </w:tcBorders>
            <w:shd w:val="clear" w:color="auto" w:fill="D1DDE6"/>
          </w:tcPr>
          <w:p>
            <w:pPr>
              <w:spacing w:after="0"/>
              <w:rPr>
                <w:sz w:val="22"/>
                <w:szCs w:val="22"/>
                <w:color w:val="auto"/>
              </w:rPr>
            </w:pPr>
          </w:p>
        </w:tc>
        <w:tc>
          <w:tcPr>
            <w:tcW w:w="1100" w:type="dxa"/>
            <w:vAlign w:val="bottom"/>
            <w:tcBorders>
              <w:bottom w:val="single" w:sz="8" w:color="D1DDE6"/>
            </w:tcBorders>
            <w:shd w:val="clear" w:color="auto" w:fill="D1DDE6"/>
          </w:tcPr>
          <w:p>
            <w:pPr>
              <w:spacing w:after="0"/>
              <w:rPr>
                <w:sz w:val="22"/>
                <w:szCs w:val="22"/>
                <w:color w:val="auto"/>
              </w:rPr>
            </w:pPr>
          </w:p>
        </w:tc>
        <w:tc>
          <w:tcPr>
            <w:tcW w:w="860" w:type="dxa"/>
            <w:vAlign w:val="bottom"/>
            <w:tcBorders>
              <w:bottom w:val="single" w:sz="8" w:color="D1DDE6"/>
            </w:tcBorders>
            <w:shd w:val="clear" w:color="auto" w:fill="D1DDE6"/>
          </w:tcPr>
          <w:p>
            <w:pPr>
              <w:spacing w:after="0"/>
              <w:rPr>
                <w:sz w:val="22"/>
                <w:szCs w:val="22"/>
                <w:color w:val="auto"/>
              </w:rPr>
            </w:pPr>
          </w:p>
        </w:tc>
        <w:tc>
          <w:tcPr>
            <w:tcW w:w="880" w:type="dxa"/>
            <w:vAlign w:val="bottom"/>
            <w:tcBorders>
              <w:bottom w:val="single" w:sz="8" w:color="D1DDE6"/>
            </w:tcBorders>
            <w:shd w:val="clear" w:color="auto" w:fill="D1DDE6"/>
          </w:tcPr>
          <w:p>
            <w:pPr>
              <w:spacing w:after="0"/>
              <w:rPr>
                <w:sz w:val="22"/>
                <w:szCs w:val="22"/>
                <w:color w:val="auto"/>
              </w:rPr>
            </w:pPr>
          </w:p>
        </w:tc>
        <w:tc>
          <w:tcPr>
            <w:tcW w:w="1100" w:type="dxa"/>
            <w:vAlign w:val="bottom"/>
            <w:tcBorders>
              <w:bottom w:val="single" w:sz="8" w:color="D1DDE6"/>
            </w:tcBorders>
            <w:shd w:val="clear" w:color="auto" w:fill="D1DDE6"/>
          </w:tcPr>
          <w:p>
            <w:pPr>
              <w:spacing w:after="0"/>
              <w:rPr>
                <w:sz w:val="22"/>
                <w:szCs w:val="22"/>
                <w:color w:val="auto"/>
              </w:rPr>
            </w:pPr>
          </w:p>
        </w:tc>
        <w:tc>
          <w:tcPr>
            <w:tcW w:w="800" w:type="dxa"/>
            <w:vAlign w:val="bottom"/>
            <w:tcBorders>
              <w:bottom w:val="single" w:sz="8" w:color="D1DDE6"/>
            </w:tcBorders>
            <w:shd w:val="clear" w:color="auto" w:fill="D1DDE6"/>
          </w:tcPr>
          <w:p>
            <w:pPr>
              <w:spacing w:after="0"/>
              <w:rPr>
                <w:sz w:val="22"/>
                <w:szCs w:val="22"/>
                <w:color w:val="auto"/>
              </w:rPr>
            </w:pPr>
          </w:p>
        </w:tc>
        <w:tc>
          <w:tcPr>
            <w:tcW w:w="920" w:type="dxa"/>
            <w:vAlign w:val="bottom"/>
            <w:tcBorders>
              <w:bottom w:val="single" w:sz="8" w:color="D1DDE6"/>
            </w:tcBorders>
            <w:shd w:val="clear" w:color="auto" w:fill="D1DDE6"/>
          </w:tcPr>
          <w:p>
            <w:pPr>
              <w:jc w:val="center"/>
              <w:spacing w:after="0"/>
              <w:rPr>
                <w:sz w:val="20"/>
                <w:szCs w:val="20"/>
                <w:color w:val="auto"/>
              </w:rPr>
            </w:pPr>
            <w:r>
              <w:rPr>
                <w:rFonts w:ascii="Arial" w:cs="Arial" w:eastAsia="Arial" w:hAnsi="Arial"/>
                <w:sz w:val="14"/>
                <w:szCs w:val="14"/>
                <w:color w:val="auto"/>
              </w:rPr>
              <w:t>1,655</w:t>
            </w:r>
          </w:p>
        </w:tc>
        <w:tc>
          <w:tcPr>
            <w:tcW w:w="900" w:type="dxa"/>
            <w:vAlign w:val="bottom"/>
            <w:tcBorders>
              <w:bottom w:val="single" w:sz="8" w:color="D1DDE6"/>
            </w:tcBorders>
            <w:shd w:val="clear" w:color="auto" w:fill="D1DDE6"/>
          </w:tcPr>
          <w:p>
            <w:pPr>
              <w:jc w:val="center"/>
              <w:spacing w:after="0"/>
              <w:rPr>
                <w:sz w:val="20"/>
                <w:szCs w:val="20"/>
                <w:color w:val="auto"/>
              </w:rPr>
            </w:pPr>
            <w:r>
              <w:rPr>
                <w:rFonts w:ascii="Arial" w:cs="Arial" w:eastAsia="Arial" w:hAnsi="Arial"/>
                <w:sz w:val="14"/>
                <w:szCs w:val="14"/>
                <w:color w:val="auto"/>
                <w:w w:val="98"/>
              </w:rPr>
              <w:t>400,088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2"/>
        </w:trPr>
        <w:tc>
          <w:tcPr>
            <w:tcW w:w="1960" w:type="dxa"/>
            <w:vAlign w:val="bottom"/>
            <w:tcBorders>
              <w:top w:val="single" w:sz="8" w:color="34657F"/>
            </w:tcBorders>
          </w:tcPr>
          <w:p>
            <w:pPr>
              <w:spacing w:after="0"/>
              <w:rPr>
                <w:sz w:val="18"/>
                <w:szCs w:val="18"/>
                <w:color w:val="auto"/>
              </w:rPr>
            </w:pPr>
          </w:p>
        </w:tc>
        <w:tc>
          <w:tcPr>
            <w:tcW w:w="1140" w:type="dxa"/>
            <w:vAlign w:val="bottom"/>
            <w:tcBorders>
              <w:top w:val="single" w:sz="8" w:color="34657F"/>
            </w:tcBorders>
          </w:tcPr>
          <w:p>
            <w:pPr>
              <w:ind w:left="20"/>
              <w:spacing w:after="0"/>
              <w:rPr>
                <w:sz w:val="20"/>
                <w:szCs w:val="20"/>
                <w:color w:val="auto"/>
              </w:rPr>
            </w:pPr>
            <w:r>
              <w:rPr>
                <w:rFonts w:ascii="Arial" w:cs="Arial" w:eastAsia="Arial" w:hAnsi="Arial"/>
                <w:sz w:val="14"/>
                <w:szCs w:val="14"/>
                <w:color w:val="auto"/>
              </w:rPr>
              <w:t>Incentive Plan</w:t>
            </w:r>
          </w:p>
        </w:tc>
        <w:tc>
          <w:tcPr>
            <w:tcW w:w="940" w:type="dxa"/>
            <w:vAlign w:val="bottom"/>
            <w:tcBorders>
              <w:top w:val="single" w:sz="8" w:color="34657F"/>
            </w:tcBorders>
          </w:tcPr>
          <w:p>
            <w:pPr>
              <w:spacing w:after="0"/>
              <w:rPr>
                <w:sz w:val="18"/>
                <w:szCs w:val="18"/>
                <w:color w:val="auto"/>
              </w:rPr>
            </w:pPr>
          </w:p>
        </w:tc>
        <w:tc>
          <w:tcPr>
            <w:tcW w:w="820" w:type="dxa"/>
            <w:vAlign w:val="bottom"/>
            <w:tcBorders>
              <w:top w:val="single" w:sz="8" w:color="34657F"/>
            </w:tcBorders>
          </w:tcPr>
          <w:p>
            <w:pPr>
              <w:jc w:val="center"/>
              <w:ind w:left="12"/>
              <w:spacing w:after="0"/>
              <w:rPr>
                <w:sz w:val="20"/>
                <w:szCs w:val="20"/>
                <w:color w:val="auto"/>
              </w:rPr>
            </w:pPr>
            <w:r>
              <w:rPr>
                <w:rFonts w:ascii="Arial" w:cs="Arial" w:eastAsia="Arial" w:hAnsi="Arial"/>
                <w:sz w:val="14"/>
                <w:szCs w:val="14"/>
                <w:color w:val="auto"/>
                <w:w w:val="99"/>
              </w:rPr>
              <w:t>—</w:t>
            </w:r>
          </w:p>
        </w:tc>
        <w:tc>
          <w:tcPr>
            <w:tcW w:w="1100" w:type="dxa"/>
            <w:vAlign w:val="bottom"/>
            <w:tcBorders>
              <w:top w:val="single" w:sz="8" w:color="34657F"/>
            </w:tcBorders>
          </w:tcPr>
          <w:p>
            <w:pPr>
              <w:jc w:val="center"/>
              <w:spacing w:after="0"/>
              <w:rPr>
                <w:sz w:val="20"/>
                <w:szCs w:val="20"/>
                <w:color w:val="auto"/>
              </w:rPr>
            </w:pPr>
            <w:r>
              <w:rPr>
                <w:rFonts w:ascii="Arial" w:cs="Arial" w:eastAsia="Arial" w:hAnsi="Arial"/>
                <w:sz w:val="14"/>
                <w:szCs w:val="14"/>
                <w:color w:val="auto"/>
                <w:w w:val="98"/>
              </w:rPr>
              <w:t>704,423</w:t>
            </w:r>
          </w:p>
        </w:tc>
        <w:tc>
          <w:tcPr>
            <w:tcW w:w="860" w:type="dxa"/>
            <w:vAlign w:val="bottom"/>
            <w:tcBorders>
              <w:top w:val="single" w:sz="8" w:color="34657F"/>
            </w:tcBorders>
          </w:tcPr>
          <w:p>
            <w:pPr>
              <w:jc w:val="center"/>
              <w:ind w:right="72"/>
              <w:spacing w:after="0"/>
              <w:rPr>
                <w:sz w:val="20"/>
                <w:szCs w:val="20"/>
                <w:color w:val="auto"/>
              </w:rPr>
            </w:pPr>
            <w:r>
              <w:rPr>
                <w:rFonts w:ascii="Arial" w:cs="Arial" w:eastAsia="Arial" w:hAnsi="Arial"/>
                <w:sz w:val="14"/>
                <w:szCs w:val="14"/>
                <w:color w:val="auto"/>
                <w:w w:val="96"/>
              </w:rPr>
              <w:t>1,408,846</w:t>
            </w:r>
          </w:p>
        </w:tc>
        <w:tc>
          <w:tcPr>
            <w:tcW w:w="880" w:type="dxa"/>
            <w:vAlign w:val="bottom"/>
            <w:tcBorders>
              <w:top w:val="single" w:sz="8" w:color="34657F"/>
            </w:tcBorders>
          </w:tcPr>
          <w:p>
            <w:pPr>
              <w:spacing w:after="0"/>
              <w:rPr>
                <w:sz w:val="18"/>
                <w:szCs w:val="18"/>
                <w:color w:val="auto"/>
              </w:rPr>
            </w:pPr>
          </w:p>
        </w:tc>
        <w:tc>
          <w:tcPr>
            <w:tcW w:w="1100" w:type="dxa"/>
            <w:vAlign w:val="bottom"/>
            <w:tcBorders>
              <w:top w:val="single" w:sz="8" w:color="34657F"/>
            </w:tcBorders>
          </w:tcPr>
          <w:p>
            <w:pPr>
              <w:spacing w:after="0"/>
              <w:rPr>
                <w:sz w:val="18"/>
                <w:szCs w:val="18"/>
                <w:color w:val="auto"/>
              </w:rPr>
            </w:pPr>
          </w:p>
        </w:tc>
        <w:tc>
          <w:tcPr>
            <w:tcW w:w="800" w:type="dxa"/>
            <w:vAlign w:val="bottom"/>
            <w:tcBorders>
              <w:top w:val="single" w:sz="8" w:color="34657F"/>
            </w:tcBorders>
          </w:tcPr>
          <w:p>
            <w:pPr>
              <w:spacing w:after="0"/>
              <w:rPr>
                <w:sz w:val="18"/>
                <w:szCs w:val="18"/>
                <w:color w:val="auto"/>
              </w:rPr>
            </w:pPr>
          </w:p>
        </w:tc>
        <w:tc>
          <w:tcPr>
            <w:tcW w:w="920" w:type="dxa"/>
            <w:vAlign w:val="bottom"/>
            <w:tcBorders>
              <w:top w:val="single" w:sz="8" w:color="34657F"/>
            </w:tcBorders>
          </w:tcPr>
          <w:p>
            <w:pPr>
              <w:spacing w:after="0"/>
              <w:rPr>
                <w:sz w:val="18"/>
                <w:szCs w:val="18"/>
                <w:color w:val="auto"/>
              </w:rPr>
            </w:pPr>
          </w:p>
        </w:tc>
        <w:tc>
          <w:tcPr>
            <w:tcW w:w="900" w:type="dxa"/>
            <w:vAlign w:val="bottom"/>
            <w:tcBorders>
              <w:top w:val="single" w:sz="8" w:color="34657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
        </w:trPr>
        <w:tc>
          <w:tcPr>
            <w:tcW w:w="19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920" w:type="dxa"/>
            <w:vAlign w:val="bottom"/>
          </w:tcPr>
          <w:p>
            <w:pPr>
              <w:spacing w:after="0"/>
              <w:rPr>
                <w:sz w:val="3"/>
                <w:szCs w:val="3"/>
                <w:color w:val="auto"/>
              </w:rPr>
            </w:pPr>
          </w:p>
        </w:tc>
        <w:tc>
          <w:tcPr>
            <w:tcW w:w="90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6"/>
        </w:trPr>
        <w:tc>
          <w:tcPr>
            <w:tcW w:w="1960" w:type="dxa"/>
            <w:vAlign w:val="bottom"/>
            <w:vMerge w:val="restart"/>
          </w:tcPr>
          <w:p>
            <w:pPr>
              <w:ind w:left="20"/>
              <w:spacing w:after="0"/>
              <w:rPr>
                <w:sz w:val="20"/>
                <w:szCs w:val="20"/>
                <w:color w:val="auto"/>
              </w:rPr>
            </w:pPr>
            <w:r>
              <w:rPr>
                <w:rFonts w:ascii="Arial" w:cs="Arial" w:eastAsia="Arial" w:hAnsi="Arial"/>
                <w:sz w:val="14"/>
                <w:szCs w:val="14"/>
                <w:color w:val="auto"/>
              </w:rPr>
              <w:t>Blake E. Larson</w:t>
            </w:r>
          </w:p>
        </w:tc>
        <w:tc>
          <w:tcPr>
            <w:tcW w:w="1140" w:type="dxa"/>
            <w:vAlign w:val="bottom"/>
            <w:tcBorders>
              <w:bottom w:val="single" w:sz="8" w:color="D1DDE6"/>
            </w:tcBorders>
            <w:shd w:val="clear" w:color="auto" w:fill="D1DDE6"/>
          </w:tcPr>
          <w:p>
            <w:pPr>
              <w:ind w:left="20"/>
              <w:spacing w:after="0"/>
              <w:rPr>
                <w:sz w:val="20"/>
                <w:szCs w:val="20"/>
                <w:color w:val="auto"/>
              </w:rPr>
            </w:pPr>
            <w:r>
              <w:rPr>
                <w:rFonts w:ascii="Arial" w:cs="Arial" w:eastAsia="Arial" w:hAnsi="Arial"/>
                <w:sz w:val="14"/>
                <w:szCs w:val="14"/>
                <w:color w:val="auto"/>
              </w:rPr>
              <w:t>RPSR</w:t>
            </w:r>
          </w:p>
        </w:tc>
        <w:tc>
          <w:tcPr>
            <w:tcW w:w="940" w:type="dxa"/>
            <w:vAlign w:val="bottom"/>
            <w:tcBorders>
              <w:bottom w:val="single" w:sz="8" w:color="D1DDE6"/>
            </w:tcBorders>
            <w:shd w:val="clear" w:color="auto" w:fill="D1DDE6"/>
          </w:tcPr>
          <w:p>
            <w:pPr>
              <w:jc w:val="center"/>
              <w:spacing w:after="0"/>
              <w:rPr>
                <w:sz w:val="20"/>
                <w:szCs w:val="20"/>
                <w:color w:val="auto"/>
              </w:rPr>
            </w:pPr>
            <w:r>
              <w:rPr>
                <w:rFonts w:ascii="Arial" w:cs="Arial" w:eastAsia="Arial" w:hAnsi="Arial"/>
                <w:sz w:val="14"/>
                <w:szCs w:val="14"/>
                <w:color w:val="auto"/>
                <w:w w:val="99"/>
              </w:rPr>
              <w:t>6/13/2018</w:t>
            </w:r>
          </w:p>
        </w:tc>
        <w:tc>
          <w:tcPr>
            <w:tcW w:w="820" w:type="dxa"/>
            <w:vAlign w:val="bottom"/>
            <w:tcBorders>
              <w:bottom w:val="single" w:sz="8" w:color="D1DDE6"/>
            </w:tcBorders>
            <w:shd w:val="clear" w:color="auto" w:fill="D1DDE6"/>
          </w:tcPr>
          <w:p>
            <w:pPr>
              <w:spacing w:after="0"/>
              <w:rPr>
                <w:sz w:val="20"/>
                <w:szCs w:val="20"/>
                <w:color w:val="auto"/>
              </w:rPr>
            </w:pPr>
          </w:p>
        </w:tc>
        <w:tc>
          <w:tcPr>
            <w:tcW w:w="1100" w:type="dxa"/>
            <w:vAlign w:val="bottom"/>
            <w:tcBorders>
              <w:bottom w:val="single" w:sz="8" w:color="D1DDE6"/>
            </w:tcBorders>
            <w:shd w:val="clear" w:color="auto" w:fill="D1DDE6"/>
          </w:tcPr>
          <w:p>
            <w:pPr>
              <w:spacing w:after="0"/>
              <w:rPr>
                <w:sz w:val="20"/>
                <w:szCs w:val="20"/>
                <w:color w:val="auto"/>
              </w:rPr>
            </w:pPr>
          </w:p>
        </w:tc>
        <w:tc>
          <w:tcPr>
            <w:tcW w:w="860" w:type="dxa"/>
            <w:vAlign w:val="bottom"/>
            <w:tcBorders>
              <w:bottom w:val="single" w:sz="8" w:color="D1DDE6"/>
            </w:tcBorders>
            <w:shd w:val="clear" w:color="auto" w:fill="D1DDE6"/>
          </w:tcPr>
          <w:p>
            <w:pPr>
              <w:spacing w:after="0"/>
              <w:rPr>
                <w:sz w:val="20"/>
                <w:szCs w:val="20"/>
                <w:color w:val="auto"/>
              </w:rPr>
            </w:pPr>
          </w:p>
        </w:tc>
        <w:tc>
          <w:tcPr>
            <w:tcW w:w="880" w:type="dxa"/>
            <w:vAlign w:val="bottom"/>
            <w:tcBorders>
              <w:bottom w:val="single" w:sz="8" w:color="D1DDE6"/>
            </w:tcBorders>
            <w:shd w:val="clear" w:color="auto" w:fill="D1DDE6"/>
          </w:tcPr>
          <w:p>
            <w:pPr>
              <w:jc w:val="center"/>
              <w:ind w:left="72"/>
              <w:spacing w:after="0"/>
              <w:rPr>
                <w:sz w:val="20"/>
                <w:szCs w:val="20"/>
                <w:color w:val="auto"/>
              </w:rPr>
            </w:pPr>
            <w:r>
              <w:rPr>
                <w:rFonts w:ascii="Arial" w:cs="Arial" w:eastAsia="Arial" w:hAnsi="Arial"/>
                <w:sz w:val="14"/>
                <w:szCs w:val="14"/>
                <w:color w:val="auto"/>
                <w:w w:val="99"/>
              </w:rPr>
              <w:t>—</w:t>
            </w:r>
          </w:p>
        </w:tc>
        <w:tc>
          <w:tcPr>
            <w:tcW w:w="1100" w:type="dxa"/>
            <w:vAlign w:val="bottom"/>
            <w:tcBorders>
              <w:bottom w:val="single" w:sz="8" w:color="D1DDE6"/>
            </w:tcBorders>
            <w:shd w:val="clear" w:color="auto" w:fill="D1DDE6"/>
          </w:tcPr>
          <w:p>
            <w:pPr>
              <w:jc w:val="center"/>
              <w:spacing w:after="0"/>
              <w:rPr>
                <w:sz w:val="20"/>
                <w:szCs w:val="20"/>
                <w:color w:val="auto"/>
              </w:rPr>
            </w:pPr>
            <w:r>
              <w:rPr>
                <w:rFonts w:ascii="Arial" w:cs="Arial" w:eastAsia="Arial" w:hAnsi="Arial"/>
                <w:sz w:val="14"/>
                <w:szCs w:val="14"/>
                <w:color w:val="auto"/>
              </w:rPr>
              <w:t>6,642</w:t>
            </w:r>
          </w:p>
        </w:tc>
        <w:tc>
          <w:tcPr>
            <w:tcW w:w="800" w:type="dxa"/>
            <w:vAlign w:val="bottom"/>
            <w:tcBorders>
              <w:bottom w:val="single" w:sz="8" w:color="D1DDE6"/>
            </w:tcBorders>
            <w:shd w:val="clear" w:color="auto" w:fill="D1DDE6"/>
          </w:tcPr>
          <w:p>
            <w:pPr>
              <w:jc w:val="center"/>
              <w:ind w:right="32"/>
              <w:spacing w:after="0"/>
              <w:rPr>
                <w:sz w:val="20"/>
                <w:szCs w:val="20"/>
                <w:color w:val="auto"/>
              </w:rPr>
            </w:pPr>
            <w:r>
              <w:rPr>
                <w:rFonts w:ascii="Arial" w:cs="Arial" w:eastAsia="Arial" w:hAnsi="Arial"/>
                <w:sz w:val="14"/>
                <w:szCs w:val="14"/>
                <w:color w:val="auto"/>
                <w:w w:val="96"/>
              </w:rPr>
              <w:t>9,963</w:t>
            </w:r>
          </w:p>
        </w:tc>
        <w:tc>
          <w:tcPr>
            <w:tcW w:w="920" w:type="dxa"/>
            <w:vAlign w:val="bottom"/>
            <w:tcBorders>
              <w:bottom w:val="single" w:sz="8" w:color="D1DDE6"/>
            </w:tcBorders>
            <w:shd w:val="clear" w:color="auto" w:fill="D1DDE6"/>
          </w:tcPr>
          <w:p>
            <w:pPr>
              <w:spacing w:after="0"/>
              <w:rPr>
                <w:sz w:val="20"/>
                <w:szCs w:val="20"/>
                <w:color w:val="auto"/>
              </w:rPr>
            </w:pPr>
          </w:p>
        </w:tc>
        <w:tc>
          <w:tcPr>
            <w:tcW w:w="900" w:type="dxa"/>
            <w:vAlign w:val="bottom"/>
            <w:tcBorders>
              <w:bottom w:val="single" w:sz="8" w:color="D1DDE6"/>
            </w:tcBorders>
            <w:shd w:val="clear" w:color="auto" w:fill="D1DDE6"/>
          </w:tcPr>
          <w:p>
            <w:pPr>
              <w:jc w:val="center"/>
              <w:spacing w:after="0"/>
              <w:rPr>
                <w:sz w:val="20"/>
                <w:szCs w:val="20"/>
                <w:color w:val="auto"/>
              </w:rPr>
            </w:pPr>
            <w:r>
              <w:rPr>
                <w:rFonts w:ascii="Arial" w:cs="Arial" w:eastAsia="Arial" w:hAnsi="Arial"/>
                <w:sz w:val="14"/>
                <w:szCs w:val="14"/>
                <w:color w:val="auto"/>
                <w:w w:val="99"/>
              </w:rPr>
              <w:t>2,100,049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1"/>
        </w:trPr>
        <w:tc>
          <w:tcPr>
            <w:tcW w:w="1960" w:type="dxa"/>
            <w:vAlign w:val="bottom"/>
            <w:vMerge w:val="continue"/>
          </w:tcPr>
          <w:p>
            <w:pPr>
              <w:spacing w:after="0"/>
              <w:rPr>
                <w:sz w:val="7"/>
                <w:szCs w:val="7"/>
                <w:color w:val="auto"/>
              </w:rPr>
            </w:pPr>
          </w:p>
        </w:tc>
        <w:tc>
          <w:tcPr>
            <w:tcW w:w="1140" w:type="dxa"/>
            <w:vAlign w:val="bottom"/>
            <w:vMerge w:val="restart"/>
          </w:tcPr>
          <w:p>
            <w:pPr>
              <w:ind w:left="20"/>
              <w:spacing w:after="0"/>
              <w:rPr>
                <w:sz w:val="20"/>
                <w:szCs w:val="20"/>
                <w:color w:val="auto"/>
              </w:rPr>
            </w:pPr>
            <w:r>
              <w:rPr>
                <w:rFonts w:ascii="Arial" w:cs="Arial" w:eastAsia="Arial" w:hAnsi="Arial"/>
                <w:sz w:val="14"/>
                <w:szCs w:val="14"/>
                <w:color w:val="auto"/>
              </w:rPr>
              <w:t>RSR</w:t>
            </w:r>
          </w:p>
        </w:tc>
        <w:tc>
          <w:tcPr>
            <w:tcW w:w="940" w:type="dxa"/>
            <w:vAlign w:val="bottom"/>
            <w:vMerge w:val="restart"/>
          </w:tcPr>
          <w:p>
            <w:pPr>
              <w:jc w:val="center"/>
              <w:spacing w:after="0"/>
              <w:rPr>
                <w:sz w:val="20"/>
                <w:szCs w:val="20"/>
                <w:color w:val="auto"/>
              </w:rPr>
            </w:pPr>
            <w:r>
              <w:rPr>
                <w:rFonts w:ascii="Arial" w:cs="Arial" w:eastAsia="Arial" w:hAnsi="Arial"/>
                <w:sz w:val="14"/>
                <w:szCs w:val="14"/>
                <w:color w:val="auto"/>
                <w:w w:val="99"/>
              </w:rPr>
              <w:t>6/13/2018</w:t>
            </w:r>
          </w:p>
        </w:tc>
        <w:tc>
          <w:tcPr>
            <w:tcW w:w="8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60" w:type="dxa"/>
            <w:vAlign w:val="bottom"/>
          </w:tcPr>
          <w:p>
            <w:pPr>
              <w:spacing w:after="0"/>
              <w:rPr>
                <w:sz w:val="7"/>
                <w:szCs w:val="7"/>
                <w:color w:val="auto"/>
              </w:rPr>
            </w:pPr>
          </w:p>
        </w:tc>
        <w:tc>
          <w:tcPr>
            <w:tcW w:w="8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920" w:type="dxa"/>
            <w:vAlign w:val="bottom"/>
            <w:vMerge w:val="restart"/>
          </w:tcPr>
          <w:p>
            <w:pPr>
              <w:jc w:val="center"/>
              <w:spacing w:after="0"/>
              <w:rPr>
                <w:sz w:val="20"/>
                <w:szCs w:val="20"/>
                <w:color w:val="auto"/>
              </w:rPr>
            </w:pPr>
            <w:r>
              <w:rPr>
                <w:rFonts w:ascii="Arial" w:cs="Arial" w:eastAsia="Arial" w:hAnsi="Arial"/>
                <w:sz w:val="14"/>
                <w:szCs w:val="14"/>
                <w:color w:val="auto"/>
              </w:rPr>
              <w:t>2,831</w:t>
            </w:r>
          </w:p>
        </w:tc>
        <w:tc>
          <w:tcPr>
            <w:tcW w:w="900" w:type="dxa"/>
            <w:vAlign w:val="bottom"/>
            <w:vMerge w:val="restart"/>
          </w:tcPr>
          <w:p>
            <w:pPr>
              <w:jc w:val="center"/>
              <w:spacing w:after="0"/>
              <w:rPr>
                <w:sz w:val="20"/>
                <w:szCs w:val="20"/>
                <w:color w:val="auto"/>
              </w:rPr>
            </w:pPr>
            <w:r>
              <w:rPr>
                <w:rFonts w:ascii="Arial" w:cs="Arial" w:eastAsia="Arial" w:hAnsi="Arial"/>
                <w:sz w:val="14"/>
                <w:szCs w:val="14"/>
                <w:color w:val="auto"/>
                <w:w w:val="98"/>
              </w:rPr>
              <w:t>899,938</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8"/>
        </w:trPr>
        <w:tc>
          <w:tcPr>
            <w:tcW w:w="1960" w:type="dxa"/>
            <w:vAlign w:val="bottom"/>
          </w:tcPr>
          <w:p>
            <w:pPr>
              <w:spacing w:after="0"/>
              <w:rPr>
                <w:sz w:val="11"/>
                <w:szCs w:val="11"/>
                <w:color w:val="auto"/>
              </w:rPr>
            </w:pPr>
          </w:p>
        </w:tc>
        <w:tc>
          <w:tcPr>
            <w:tcW w:w="114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8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7"/>
        </w:trPr>
        <w:tc>
          <w:tcPr>
            <w:tcW w:w="19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920" w:type="dxa"/>
            <w:vAlign w:val="bottom"/>
          </w:tcPr>
          <w:p>
            <w:pPr>
              <w:spacing w:after="0"/>
              <w:rPr>
                <w:sz w:val="3"/>
                <w:szCs w:val="3"/>
                <w:color w:val="auto"/>
              </w:rPr>
            </w:pPr>
          </w:p>
        </w:tc>
        <w:tc>
          <w:tcPr>
            <w:tcW w:w="90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6"/>
        </w:trPr>
        <w:tc>
          <w:tcPr>
            <w:tcW w:w="1960" w:type="dxa"/>
            <w:vAlign w:val="bottom"/>
          </w:tcPr>
          <w:p>
            <w:pPr>
              <w:spacing w:after="0"/>
              <w:rPr>
                <w:sz w:val="20"/>
                <w:szCs w:val="20"/>
                <w:color w:val="auto"/>
              </w:rPr>
            </w:pPr>
          </w:p>
        </w:tc>
        <w:tc>
          <w:tcPr>
            <w:tcW w:w="1140" w:type="dxa"/>
            <w:vAlign w:val="bottom"/>
            <w:tcBorders>
              <w:bottom w:val="single" w:sz="8" w:color="D1DDE6"/>
            </w:tcBorders>
            <w:shd w:val="clear" w:color="auto" w:fill="D1DDE6"/>
          </w:tcPr>
          <w:p>
            <w:pPr>
              <w:ind w:left="20"/>
              <w:spacing w:after="0"/>
              <w:rPr>
                <w:sz w:val="20"/>
                <w:szCs w:val="20"/>
                <w:color w:val="auto"/>
              </w:rPr>
            </w:pPr>
            <w:r>
              <w:rPr>
                <w:rFonts w:ascii="Arial" w:cs="Arial" w:eastAsia="Arial" w:hAnsi="Arial"/>
                <w:sz w:val="14"/>
                <w:szCs w:val="14"/>
                <w:color w:val="auto"/>
              </w:rPr>
              <w:t>RSR (7)</w:t>
            </w:r>
          </w:p>
        </w:tc>
        <w:tc>
          <w:tcPr>
            <w:tcW w:w="940" w:type="dxa"/>
            <w:vAlign w:val="bottom"/>
            <w:tcBorders>
              <w:bottom w:val="single" w:sz="8" w:color="D1DDE6"/>
            </w:tcBorders>
            <w:shd w:val="clear" w:color="auto" w:fill="D1DDE6"/>
          </w:tcPr>
          <w:p>
            <w:pPr>
              <w:jc w:val="center"/>
              <w:spacing w:after="0"/>
              <w:rPr>
                <w:sz w:val="20"/>
                <w:szCs w:val="20"/>
                <w:color w:val="auto"/>
              </w:rPr>
            </w:pPr>
            <w:r>
              <w:rPr>
                <w:rFonts w:ascii="Arial" w:cs="Arial" w:eastAsia="Arial" w:hAnsi="Arial"/>
                <w:sz w:val="14"/>
                <w:szCs w:val="14"/>
                <w:color w:val="auto"/>
                <w:w w:val="99"/>
              </w:rPr>
              <w:t>6/13/2018</w:t>
            </w:r>
          </w:p>
        </w:tc>
        <w:tc>
          <w:tcPr>
            <w:tcW w:w="820" w:type="dxa"/>
            <w:vAlign w:val="bottom"/>
            <w:tcBorders>
              <w:bottom w:val="single" w:sz="8" w:color="D1DDE6"/>
            </w:tcBorders>
            <w:shd w:val="clear" w:color="auto" w:fill="D1DDE6"/>
          </w:tcPr>
          <w:p>
            <w:pPr>
              <w:spacing w:after="0"/>
              <w:rPr>
                <w:sz w:val="20"/>
                <w:szCs w:val="20"/>
                <w:color w:val="auto"/>
              </w:rPr>
            </w:pPr>
          </w:p>
        </w:tc>
        <w:tc>
          <w:tcPr>
            <w:tcW w:w="1100" w:type="dxa"/>
            <w:vAlign w:val="bottom"/>
            <w:tcBorders>
              <w:bottom w:val="single" w:sz="8" w:color="D1DDE6"/>
            </w:tcBorders>
            <w:shd w:val="clear" w:color="auto" w:fill="D1DDE6"/>
          </w:tcPr>
          <w:p>
            <w:pPr>
              <w:spacing w:after="0"/>
              <w:rPr>
                <w:sz w:val="20"/>
                <w:szCs w:val="20"/>
                <w:color w:val="auto"/>
              </w:rPr>
            </w:pPr>
          </w:p>
        </w:tc>
        <w:tc>
          <w:tcPr>
            <w:tcW w:w="860" w:type="dxa"/>
            <w:vAlign w:val="bottom"/>
            <w:tcBorders>
              <w:bottom w:val="single" w:sz="8" w:color="D1DDE6"/>
            </w:tcBorders>
            <w:shd w:val="clear" w:color="auto" w:fill="D1DDE6"/>
          </w:tcPr>
          <w:p>
            <w:pPr>
              <w:spacing w:after="0"/>
              <w:rPr>
                <w:sz w:val="20"/>
                <w:szCs w:val="20"/>
                <w:color w:val="auto"/>
              </w:rPr>
            </w:pPr>
          </w:p>
        </w:tc>
        <w:tc>
          <w:tcPr>
            <w:tcW w:w="880" w:type="dxa"/>
            <w:vAlign w:val="bottom"/>
            <w:tcBorders>
              <w:bottom w:val="single" w:sz="8" w:color="D1DDE6"/>
            </w:tcBorders>
            <w:shd w:val="clear" w:color="auto" w:fill="D1DDE6"/>
          </w:tcPr>
          <w:p>
            <w:pPr>
              <w:spacing w:after="0"/>
              <w:rPr>
                <w:sz w:val="20"/>
                <w:szCs w:val="20"/>
                <w:color w:val="auto"/>
              </w:rPr>
            </w:pPr>
          </w:p>
        </w:tc>
        <w:tc>
          <w:tcPr>
            <w:tcW w:w="1100" w:type="dxa"/>
            <w:vAlign w:val="bottom"/>
            <w:tcBorders>
              <w:bottom w:val="single" w:sz="8" w:color="D1DDE6"/>
            </w:tcBorders>
            <w:shd w:val="clear" w:color="auto" w:fill="D1DDE6"/>
          </w:tcPr>
          <w:p>
            <w:pPr>
              <w:spacing w:after="0"/>
              <w:rPr>
                <w:sz w:val="20"/>
                <w:szCs w:val="20"/>
                <w:color w:val="auto"/>
              </w:rPr>
            </w:pPr>
          </w:p>
        </w:tc>
        <w:tc>
          <w:tcPr>
            <w:tcW w:w="800" w:type="dxa"/>
            <w:vAlign w:val="bottom"/>
            <w:tcBorders>
              <w:bottom w:val="single" w:sz="8" w:color="D1DDE6"/>
            </w:tcBorders>
            <w:shd w:val="clear" w:color="auto" w:fill="D1DDE6"/>
          </w:tcPr>
          <w:p>
            <w:pPr>
              <w:spacing w:after="0"/>
              <w:rPr>
                <w:sz w:val="20"/>
                <w:szCs w:val="20"/>
                <w:color w:val="auto"/>
              </w:rPr>
            </w:pPr>
          </w:p>
        </w:tc>
        <w:tc>
          <w:tcPr>
            <w:tcW w:w="920" w:type="dxa"/>
            <w:vAlign w:val="bottom"/>
            <w:tcBorders>
              <w:bottom w:val="single" w:sz="8" w:color="D1DDE6"/>
            </w:tcBorders>
            <w:shd w:val="clear" w:color="auto" w:fill="D1DDE6"/>
          </w:tcPr>
          <w:p>
            <w:pPr>
              <w:jc w:val="center"/>
              <w:spacing w:after="0"/>
              <w:rPr>
                <w:sz w:val="20"/>
                <w:szCs w:val="20"/>
                <w:color w:val="auto"/>
              </w:rPr>
            </w:pPr>
            <w:r>
              <w:rPr>
                <w:rFonts w:ascii="Arial" w:cs="Arial" w:eastAsia="Arial" w:hAnsi="Arial"/>
                <w:sz w:val="14"/>
                <w:szCs w:val="14"/>
                <w:color w:val="auto"/>
                <w:w w:val="93"/>
              </w:rPr>
              <w:t>11,010</w:t>
            </w:r>
          </w:p>
        </w:tc>
        <w:tc>
          <w:tcPr>
            <w:tcW w:w="900" w:type="dxa"/>
            <w:vAlign w:val="bottom"/>
            <w:tcBorders>
              <w:bottom w:val="single" w:sz="8" w:color="D1DDE6"/>
            </w:tcBorders>
            <w:shd w:val="clear" w:color="auto" w:fill="D1DDE6"/>
          </w:tcPr>
          <w:p>
            <w:pPr>
              <w:jc w:val="center"/>
              <w:spacing w:after="0"/>
              <w:rPr>
                <w:sz w:val="20"/>
                <w:szCs w:val="20"/>
                <w:color w:val="auto"/>
              </w:rPr>
            </w:pPr>
            <w:r>
              <w:rPr>
                <w:rFonts w:ascii="Arial" w:cs="Arial" w:eastAsia="Arial" w:hAnsi="Arial"/>
                <w:sz w:val="14"/>
                <w:szCs w:val="14"/>
                <w:color w:val="auto"/>
                <w:w w:val="99"/>
              </w:rPr>
              <w:t>3,499,936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960" w:type="dxa"/>
            <w:vAlign w:val="bottom"/>
            <w:shd w:val="clear" w:color="auto" w:fill="34657F"/>
          </w:tcPr>
          <w:p>
            <w:pPr>
              <w:spacing w:after="0" w:line="20" w:lineRule="exact"/>
              <w:rPr>
                <w:sz w:val="1"/>
                <w:szCs w:val="1"/>
                <w:color w:val="auto"/>
              </w:rPr>
            </w:pPr>
          </w:p>
        </w:tc>
        <w:tc>
          <w:tcPr>
            <w:tcW w:w="1140" w:type="dxa"/>
            <w:vAlign w:val="bottom"/>
            <w:shd w:val="clear" w:color="auto" w:fill="34657F"/>
          </w:tcPr>
          <w:p>
            <w:pPr>
              <w:spacing w:after="0" w:line="20" w:lineRule="exact"/>
              <w:rPr>
                <w:sz w:val="1"/>
                <w:szCs w:val="1"/>
                <w:color w:val="auto"/>
              </w:rPr>
            </w:pPr>
          </w:p>
        </w:tc>
        <w:tc>
          <w:tcPr>
            <w:tcW w:w="940" w:type="dxa"/>
            <w:vAlign w:val="bottom"/>
            <w:shd w:val="clear" w:color="auto" w:fill="34657F"/>
          </w:tcPr>
          <w:p>
            <w:pPr>
              <w:spacing w:after="0" w:line="20" w:lineRule="exact"/>
              <w:rPr>
                <w:sz w:val="1"/>
                <w:szCs w:val="1"/>
                <w:color w:val="auto"/>
              </w:rPr>
            </w:pPr>
          </w:p>
        </w:tc>
        <w:tc>
          <w:tcPr>
            <w:tcW w:w="820" w:type="dxa"/>
            <w:vAlign w:val="bottom"/>
            <w:shd w:val="clear" w:color="auto" w:fill="34657F"/>
          </w:tcPr>
          <w:p>
            <w:pPr>
              <w:spacing w:after="0" w:line="20" w:lineRule="exact"/>
              <w:rPr>
                <w:sz w:val="1"/>
                <w:szCs w:val="1"/>
                <w:color w:val="auto"/>
              </w:rPr>
            </w:pPr>
          </w:p>
        </w:tc>
        <w:tc>
          <w:tcPr>
            <w:tcW w:w="1100" w:type="dxa"/>
            <w:vAlign w:val="bottom"/>
            <w:shd w:val="clear" w:color="auto" w:fill="34657F"/>
          </w:tcPr>
          <w:p>
            <w:pPr>
              <w:spacing w:after="0" w:line="20" w:lineRule="exact"/>
              <w:rPr>
                <w:sz w:val="1"/>
                <w:szCs w:val="1"/>
                <w:color w:val="auto"/>
              </w:rPr>
            </w:pPr>
          </w:p>
        </w:tc>
        <w:tc>
          <w:tcPr>
            <w:tcW w:w="860" w:type="dxa"/>
            <w:vAlign w:val="bottom"/>
            <w:shd w:val="clear" w:color="auto" w:fill="34657F"/>
          </w:tcPr>
          <w:p>
            <w:pPr>
              <w:spacing w:after="0" w:line="20" w:lineRule="exact"/>
              <w:rPr>
                <w:sz w:val="1"/>
                <w:szCs w:val="1"/>
                <w:color w:val="auto"/>
              </w:rPr>
            </w:pPr>
          </w:p>
        </w:tc>
        <w:tc>
          <w:tcPr>
            <w:tcW w:w="880" w:type="dxa"/>
            <w:vAlign w:val="bottom"/>
            <w:shd w:val="clear" w:color="auto" w:fill="34657F"/>
          </w:tcPr>
          <w:p>
            <w:pPr>
              <w:spacing w:after="0" w:line="20" w:lineRule="exact"/>
              <w:rPr>
                <w:sz w:val="1"/>
                <w:szCs w:val="1"/>
                <w:color w:val="auto"/>
              </w:rPr>
            </w:pPr>
          </w:p>
        </w:tc>
        <w:tc>
          <w:tcPr>
            <w:tcW w:w="1100" w:type="dxa"/>
            <w:vAlign w:val="bottom"/>
            <w:shd w:val="clear" w:color="auto" w:fill="34657F"/>
          </w:tcPr>
          <w:p>
            <w:pPr>
              <w:spacing w:after="0" w:line="20" w:lineRule="exact"/>
              <w:rPr>
                <w:sz w:val="1"/>
                <w:szCs w:val="1"/>
                <w:color w:val="auto"/>
              </w:rPr>
            </w:pPr>
          </w:p>
        </w:tc>
        <w:tc>
          <w:tcPr>
            <w:tcW w:w="800" w:type="dxa"/>
            <w:vAlign w:val="bottom"/>
            <w:shd w:val="clear" w:color="auto" w:fill="34657F"/>
          </w:tcPr>
          <w:p>
            <w:pPr>
              <w:spacing w:after="0" w:line="20" w:lineRule="exact"/>
              <w:rPr>
                <w:sz w:val="1"/>
                <w:szCs w:val="1"/>
                <w:color w:val="auto"/>
              </w:rPr>
            </w:pPr>
          </w:p>
        </w:tc>
        <w:tc>
          <w:tcPr>
            <w:tcW w:w="920" w:type="dxa"/>
            <w:vAlign w:val="bottom"/>
            <w:shd w:val="clear" w:color="auto" w:fill="34657F"/>
          </w:tcPr>
          <w:p>
            <w:pPr>
              <w:spacing w:after="0" w:line="20" w:lineRule="exact"/>
              <w:rPr>
                <w:sz w:val="1"/>
                <w:szCs w:val="1"/>
                <w:color w:val="auto"/>
              </w:rPr>
            </w:pPr>
          </w:p>
        </w:tc>
        <w:tc>
          <w:tcPr>
            <w:tcW w:w="900" w:type="dxa"/>
            <w:vAlign w:val="bottom"/>
            <w:shd w:val="clear" w:color="auto" w:fill="34657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2557780</wp:posOffset>
            </wp:positionH>
            <wp:positionV relativeFrom="paragraph">
              <wp:posOffset>-3809365</wp:posOffset>
            </wp:positionV>
            <wp:extent cx="354139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3541395" cy="8255"/>
                    </a:xfrm>
                    <a:prstGeom prst="rect">
                      <a:avLst/>
                    </a:prstGeom>
                    <a:noFill/>
                  </pic:spPr>
                </pic:pic>
              </a:graphicData>
            </a:graphic>
          </wp:anchor>
        </w:drawing>
      </w:r>
    </w:p>
    <w:p>
      <w:pPr>
        <w:spacing w:after="0" w:line="56" w:lineRule="exact"/>
        <w:rPr>
          <w:sz w:val="20"/>
          <w:szCs w:val="20"/>
          <w:color w:val="auto"/>
        </w:rPr>
      </w:pPr>
    </w:p>
    <w:p>
      <w:pPr>
        <w:ind w:left="380" w:right="280" w:hanging="377"/>
        <w:spacing w:after="0" w:line="263" w:lineRule="auto"/>
        <w:tabs>
          <w:tab w:leader="none" w:pos="380" w:val="left"/>
        </w:tabs>
        <w:numPr>
          <w:ilvl w:val="0"/>
          <w:numId w:val="69"/>
        </w:numPr>
        <w:rPr>
          <w:rFonts w:ascii="Arial" w:cs="Arial" w:eastAsia="Arial" w:hAnsi="Arial"/>
          <w:sz w:val="17"/>
          <w:szCs w:val="17"/>
          <w:color w:val="auto"/>
        </w:rPr>
      </w:pPr>
      <w:r>
        <w:rPr>
          <w:rFonts w:ascii="Arial" w:cs="Arial" w:eastAsia="Arial" w:hAnsi="Arial"/>
          <w:sz w:val="17"/>
          <w:szCs w:val="17"/>
          <w:color w:val="auto"/>
        </w:rPr>
        <w:t>Represents the potential range of payouts under the Company's AIP, except for Mr. Larson whose range reflects the potential payout under the EOIP. Actual payouts are shown in the Summary Compensation Table column entitled "Non-Equity Incentive Plan Compensation" on page 53.</w:t>
      </w:r>
    </w:p>
    <w:p>
      <w:pPr>
        <w:spacing w:after="0" w:line="47" w:lineRule="exact"/>
        <w:rPr>
          <w:rFonts w:ascii="Arial" w:cs="Arial" w:eastAsia="Arial" w:hAnsi="Arial"/>
          <w:sz w:val="17"/>
          <w:szCs w:val="17"/>
          <w:color w:val="auto"/>
        </w:rPr>
      </w:pPr>
    </w:p>
    <w:p>
      <w:pPr>
        <w:ind w:left="380" w:right="440" w:hanging="377"/>
        <w:spacing w:after="0" w:line="277" w:lineRule="auto"/>
        <w:tabs>
          <w:tab w:leader="none" w:pos="380" w:val="left"/>
        </w:tabs>
        <w:numPr>
          <w:ilvl w:val="0"/>
          <w:numId w:val="69"/>
        </w:numPr>
        <w:rPr>
          <w:rFonts w:ascii="Arial" w:cs="Arial" w:eastAsia="Arial" w:hAnsi="Arial"/>
          <w:sz w:val="17"/>
          <w:szCs w:val="17"/>
          <w:color w:val="auto"/>
        </w:rPr>
      </w:pPr>
      <w:r>
        <w:rPr>
          <w:rFonts w:ascii="Arial" w:cs="Arial" w:eastAsia="Arial" w:hAnsi="Arial"/>
          <w:sz w:val="17"/>
          <w:szCs w:val="17"/>
          <w:color w:val="auto"/>
        </w:rPr>
        <w:t>These amounts relate to RPSRs granted in 2018 under the 2011 Plan. For additional details on our RPSRs, refer to "Key Components of Our Programs - Long-Term Incentive Compensation" on page 47.</w:t>
      </w:r>
    </w:p>
    <w:p>
      <w:pPr>
        <w:spacing w:after="0" w:line="35" w:lineRule="exact"/>
        <w:rPr>
          <w:rFonts w:ascii="Arial" w:cs="Arial" w:eastAsia="Arial" w:hAnsi="Arial"/>
          <w:sz w:val="17"/>
          <w:szCs w:val="17"/>
          <w:color w:val="auto"/>
        </w:rPr>
      </w:pPr>
    </w:p>
    <w:p>
      <w:pPr>
        <w:ind w:left="380" w:right="660" w:hanging="377"/>
        <w:spacing w:after="0" w:line="277" w:lineRule="auto"/>
        <w:tabs>
          <w:tab w:leader="none" w:pos="380" w:val="left"/>
        </w:tabs>
        <w:numPr>
          <w:ilvl w:val="0"/>
          <w:numId w:val="69"/>
        </w:numPr>
        <w:rPr>
          <w:rFonts w:ascii="Arial" w:cs="Arial" w:eastAsia="Arial" w:hAnsi="Arial"/>
          <w:sz w:val="17"/>
          <w:szCs w:val="17"/>
          <w:color w:val="auto"/>
        </w:rPr>
      </w:pPr>
      <w:r>
        <w:rPr>
          <w:rFonts w:ascii="Arial" w:cs="Arial" w:eastAsia="Arial" w:hAnsi="Arial"/>
          <w:sz w:val="17"/>
          <w:szCs w:val="17"/>
          <w:color w:val="auto"/>
        </w:rPr>
        <w:t>These amounts relate to RSRs granted in 2018 under the 2011 Plan. For additional details on our RSRs, refer to "Key Components of Our Programs - Long-Term Incentive Compensation" on page 47.</w:t>
      </w:r>
    </w:p>
    <w:p>
      <w:pPr>
        <w:spacing w:after="0" w:line="47" w:lineRule="exact"/>
        <w:rPr>
          <w:rFonts w:ascii="Arial" w:cs="Arial" w:eastAsia="Arial" w:hAnsi="Arial"/>
          <w:sz w:val="17"/>
          <w:szCs w:val="17"/>
          <w:color w:val="auto"/>
        </w:rPr>
      </w:pPr>
    </w:p>
    <w:p>
      <w:pPr>
        <w:ind w:left="380" w:hanging="377"/>
        <w:spacing w:after="0"/>
        <w:tabs>
          <w:tab w:leader="none" w:pos="380" w:val="left"/>
        </w:tabs>
        <w:numPr>
          <w:ilvl w:val="0"/>
          <w:numId w:val="69"/>
        </w:numPr>
        <w:rPr>
          <w:rFonts w:ascii="Arial" w:cs="Arial" w:eastAsia="Arial" w:hAnsi="Arial"/>
          <w:sz w:val="17"/>
          <w:szCs w:val="17"/>
          <w:color w:val="auto"/>
        </w:rPr>
      </w:pPr>
      <w:r>
        <w:rPr>
          <w:rFonts w:ascii="Arial" w:cs="Arial" w:eastAsia="Arial" w:hAnsi="Arial"/>
          <w:sz w:val="17"/>
          <w:szCs w:val="17"/>
          <w:color w:val="auto"/>
        </w:rPr>
        <w:t>The fair value of awards was computed in accordance with FASB ASC Topic 718.</w:t>
      </w:r>
    </w:p>
    <w:p>
      <w:pPr>
        <w:spacing w:after="0" w:line="86" w:lineRule="exact"/>
        <w:rPr>
          <w:rFonts w:ascii="Arial" w:cs="Arial" w:eastAsia="Arial" w:hAnsi="Arial"/>
          <w:sz w:val="17"/>
          <w:szCs w:val="17"/>
          <w:color w:val="auto"/>
        </w:rPr>
      </w:pPr>
    </w:p>
    <w:p>
      <w:pPr>
        <w:ind w:left="380" w:right="120" w:hanging="377"/>
        <w:spacing w:after="0" w:line="257" w:lineRule="auto"/>
        <w:tabs>
          <w:tab w:leader="none" w:pos="380" w:val="left"/>
        </w:tabs>
        <w:numPr>
          <w:ilvl w:val="0"/>
          <w:numId w:val="69"/>
        </w:numPr>
        <w:rPr>
          <w:rFonts w:ascii="Arial" w:cs="Arial" w:eastAsia="Arial" w:hAnsi="Arial"/>
          <w:sz w:val="17"/>
          <w:szCs w:val="17"/>
          <w:color w:val="auto"/>
        </w:rPr>
      </w:pPr>
      <w:r>
        <w:rPr>
          <w:rFonts w:ascii="Arial" w:cs="Arial" w:eastAsia="Arial" w:hAnsi="Arial"/>
          <w:sz w:val="17"/>
          <w:szCs w:val="17"/>
          <w:color w:val="auto"/>
        </w:rPr>
        <w:t>These amounts relate to the modification of RPSRs and RSRs that were granted in 2017 and 2018 to provide for vesting following retirement, subject to compliance with post-employment covenants and other requirements. In accordance with SEC rules, these are reported in the table as new grants of the awards. The grant date fair value reported reflects the incremental fair value of the modified award as of the modification date.</w:t>
      </w:r>
    </w:p>
    <w:p>
      <w:pPr>
        <w:spacing w:after="0" w:line="52" w:lineRule="exact"/>
        <w:rPr>
          <w:rFonts w:ascii="Arial" w:cs="Arial" w:eastAsia="Arial" w:hAnsi="Arial"/>
          <w:sz w:val="17"/>
          <w:szCs w:val="17"/>
          <w:color w:val="auto"/>
        </w:rPr>
      </w:pPr>
    </w:p>
    <w:p>
      <w:pPr>
        <w:ind w:left="380" w:right="200" w:hanging="377"/>
        <w:spacing w:after="0" w:line="264" w:lineRule="auto"/>
        <w:tabs>
          <w:tab w:leader="none" w:pos="380" w:val="left"/>
        </w:tabs>
        <w:numPr>
          <w:ilvl w:val="0"/>
          <w:numId w:val="69"/>
        </w:numPr>
        <w:rPr>
          <w:rFonts w:ascii="Arial" w:cs="Arial" w:eastAsia="Arial" w:hAnsi="Arial"/>
          <w:sz w:val="17"/>
          <w:szCs w:val="17"/>
          <w:color w:val="auto"/>
        </w:rPr>
      </w:pPr>
      <w:r>
        <w:rPr>
          <w:rFonts w:ascii="Arial" w:cs="Arial" w:eastAsia="Arial" w:hAnsi="Arial"/>
          <w:sz w:val="17"/>
          <w:szCs w:val="17"/>
          <w:color w:val="auto"/>
        </w:rPr>
        <w:t>In recognition of Mr. Caylor's increased responsibilities as Corporate Vice President and President, Mission Systems, Mr. Caylor was granted a one-time RSR award, which will vest three years from the date of grant. Mr. Caylor must remain employed through the vesting period to earn the award, although full vesting will result if his employment terminates earlier due to death, disability or a change in control qualifying termination.</w:t>
      </w:r>
    </w:p>
    <w:p>
      <w:pPr>
        <w:spacing w:after="0" w:line="58" w:lineRule="exact"/>
        <w:rPr>
          <w:rFonts w:ascii="Arial" w:cs="Arial" w:eastAsia="Arial" w:hAnsi="Arial"/>
          <w:sz w:val="17"/>
          <w:szCs w:val="17"/>
          <w:color w:val="auto"/>
        </w:rPr>
      </w:pPr>
    </w:p>
    <w:p>
      <w:pPr>
        <w:ind w:left="380" w:right="20" w:hanging="377"/>
        <w:spacing w:after="0" w:line="254" w:lineRule="auto"/>
        <w:tabs>
          <w:tab w:leader="none" w:pos="380" w:val="left"/>
        </w:tabs>
        <w:numPr>
          <w:ilvl w:val="0"/>
          <w:numId w:val="69"/>
        </w:numPr>
        <w:rPr>
          <w:rFonts w:ascii="Arial" w:cs="Arial" w:eastAsia="Arial" w:hAnsi="Arial"/>
          <w:sz w:val="17"/>
          <w:szCs w:val="17"/>
          <w:color w:val="auto"/>
        </w:rPr>
      </w:pPr>
      <w:r>
        <w:rPr>
          <w:rFonts w:ascii="Arial" w:cs="Arial" w:eastAsia="Arial" w:hAnsi="Arial"/>
          <w:sz w:val="17"/>
          <w:szCs w:val="17"/>
          <w:color w:val="auto"/>
        </w:rPr>
        <w:t>In recognition of the value forfeited by waiving any rights to further compensation and benefits under the legacy Orbital ATK Income Security Plans and the Merger Agreement retention grant, Mr. Larson was granted a sign-on RSR award in June 2018. Half of the RSR award vested on December 31, 2018 and the other half will vest on December 31, 2019. Mr. Larson must remain employed through the vesting period to earn the award, although full vesting will result if his employment terminates earlier due to death, disability, involuntary termination other than for cause or a change in control qualifying termination.</w:t>
      </w:r>
    </w:p>
    <w:p>
      <w:pPr>
        <w:sectPr>
          <w:pgSz w:w="11900" w:h="16838" w:orient="portrait"/>
          <w:cols w:equalWidth="0" w:num="1">
            <w:col w:w="11440"/>
          </w:cols>
          <w:pgMar w:left="240" w:top="671" w:right="219" w:bottom="1440" w:gutter="0" w:footer="0" w:header="0"/>
        </w:sectPr>
      </w:pPr>
    </w:p>
    <w:p>
      <w:pPr>
        <w:spacing w:after="0" w:line="304" w:lineRule="exact"/>
        <w:rPr>
          <w:sz w:val="20"/>
          <w:szCs w:val="20"/>
          <w:color w:val="auto"/>
        </w:rPr>
      </w:pPr>
    </w:p>
    <w:p>
      <w:pPr>
        <w:ind w:left="5740"/>
        <w:spacing w:after="0"/>
        <w:rPr>
          <w:sz w:val="20"/>
          <w:szCs w:val="20"/>
          <w:color w:val="auto"/>
        </w:rPr>
      </w:pPr>
      <w:r>
        <w:rPr>
          <w:rFonts w:ascii="Arial" w:cs="Arial" w:eastAsia="Arial" w:hAnsi="Arial"/>
          <w:sz w:val="13"/>
          <w:szCs w:val="13"/>
          <w:color w:val="34657F"/>
        </w:rPr>
        <w:t xml:space="preserve">NOTICE OF 2019 ANNUAL MEETING OF SHAREHOLDERS AND PROXY STATEMENT </w:t>
      </w:r>
      <w:r>
        <w:rPr>
          <w:rFonts w:ascii="Arial" w:cs="Arial" w:eastAsia="Arial" w:hAnsi="Arial"/>
          <w:sz w:val="13"/>
          <w:szCs w:val="13"/>
          <w:color w:val="000000"/>
        </w:rPr>
        <w:t>I 55</w:t>
      </w:r>
    </w:p>
    <w:p>
      <w:pPr>
        <w:sectPr>
          <w:pgSz w:w="11900" w:h="16838" w:orient="portrait"/>
          <w:cols w:equalWidth="0" w:num="1">
            <w:col w:w="11440"/>
          </w:cols>
          <w:pgMar w:left="240" w:top="671" w:right="219" w:bottom="1440" w:gutter="0" w:footer="0" w:header="0"/>
          <w:type w:val="continuous"/>
        </w:sectPr>
      </w:pPr>
    </w:p>
    <w:bookmarkStart w:id="61" w:name="page62"/>
    <w:bookmarkEnd w:id="61"/>
    <w:p>
      <w:pPr>
        <w:ind w:left="20"/>
        <w:spacing w:after="0"/>
        <w:rPr>
          <w:sz w:val="20"/>
          <w:szCs w:val="20"/>
          <w:color w:val="auto"/>
        </w:rPr>
      </w:pPr>
      <w:r>
        <w:rPr>
          <w:rFonts w:ascii="Arial" w:cs="Arial" w:eastAsia="Arial" w:hAnsi="Arial"/>
          <w:sz w:val="21"/>
          <w:szCs w:val="21"/>
          <w:b w:val="1"/>
          <w:bCs w:val="1"/>
          <w:color w:val="FFFFFF"/>
        </w:rPr>
        <w:drawing>
          <wp:anchor simplePos="0" relativeHeight="251657728" behindDoc="1" locked="0" layoutInCell="0" allowOverlap="1">
            <wp:simplePos x="0" y="0"/>
            <wp:positionH relativeFrom="page">
              <wp:posOffset>154305</wp:posOffset>
            </wp:positionH>
            <wp:positionV relativeFrom="page">
              <wp:posOffset>365760</wp:posOffset>
            </wp:positionV>
            <wp:extent cx="7253605" cy="56197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53605" cy="561975"/>
                    </a:xfrm>
                    <a:prstGeom prst="rect">
                      <a:avLst/>
                    </a:prstGeom>
                    <a:noFill/>
                  </pic:spPr>
                </pic:pic>
              </a:graphicData>
            </a:graphic>
          </wp:anchor>
        </w:drawing>
        <w:t>COMPENSATION TABLES | OUTSTANDING EQUITY AWARDS TABLE</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Outstanding Equity Awards at 2018 Fiscal Year End</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4340" w:type="dxa"/>
            <w:vAlign w:val="bottom"/>
            <w:shd w:val="clear" w:color="auto" w:fill="34657F"/>
          </w:tcPr>
          <w:p>
            <w:pPr>
              <w:spacing w:after="0"/>
              <w:rPr>
                <w:sz w:val="12"/>
                <w:szCs w:val="12"/>
                <w:color w:val="auto"/>
              </w:rPr>
            </w:pPr>
          </w:p>
        </w:tc>
        <w:tc>
          <w:tcPr>
            <w:tcW w:w="960" w:type="dxa"/>
            <w:vAlign w:val="bottom"/>
            <w:shd w:val="clear" w:color="auto" w:fill="34657F"/>
          </w:tcPr>
          <w:p>
            <w:pPr>
              <w:spacing w:after="0"/>
              <w:rPr>
                <w:sz w:val="12"/>
                <w:szCs w:val="12"/>
                <w:color w:val="auto"/>
              </w:rPr>
            </w:pPr>
          </w:p>
        </w:tc>
        <w:tc>
          <w:tcPr>
            <w:tcW w:w="1500" w:type="dxa"/>
            <w:vAlign w:val="bottom"/>
            <w:shd w:val="clear" w:color="auto" w:fill="34657F"/>
          </w:tcPr>
          <w:p>
            <w:pPr>
              <w:spacing w:after="0"/>
              <w:rPr>
                <w:sz w:val="12"/>
                <w:szCs w:val="12"/>
                <w:color w:val="auto"/>
              </w:rPr>
            </w:pPr>
          </w:p>
        </w:tc>
        <w:tc>
          <w:tcPr>
            <w:tcW w:w="1660" w:type="dxa"/>
            <w:vAlign w:val="bottom"/>
            <w:shd w:val="clear" w:color="auto" w:fill="34657F"/>
          </w:tcPr>
          <w:p>
            <w:pPr>
              <w:spacing w:after="0"/>
              <w:rPr>
                <w:sz w:val="12"/>
                <w:szCs w:val="12"/>
                <w:color w:val="auto"/>
              </w:rPr>
            </w:pPr>
          </w:p>
        </w:tc>
        <w:tc>
          <w:tcPr>
            <w:tcW w:w="1520" w:type="dxa"/>
            <w:vAlign w:val="bottom"/>
            <w:shd w:val="clear" w:color="auto" w:fill="34657F"/>
          </w:tcPr>
          <w:p>
            <w:pPr>
              <w:jc w:val="center"/>
              <w:spacing w:after="0"/>
              <w:rPr>
                <w:sz w:val="20"/>
                <w:szCs w:val="20"/>
                <w:color w:val="auto"/>
              </w:rPr>
            </w:pPr>
            <w:r>
              <w:rPr>
                <w:rFonts w:ascii="Arial" w:cs="Arial" w:eastAsia="Arial" w:hAnsi="Arial"/>
                <w:sz w:val="12"/>
                <w:szCs w:val="12"/>
                <w:b w:val="1"/>
                <w:bCs w:val="1"/>
                <w:color w:val="FFFFFF"/>
                <w:w w:val="99"/>
              </w:rPr>
              <w:t>Equity Incentive Plan</w:t>
            </w:r>
          </w:p>
        </w:tc>
        <w:tc>
          <w:tcPr>
            <w:tcW w:w="1440" w:type="dxa"/>
            <w:vAlign w:val="bottom"/>
            <w:shd w:val="clear" w:color="auto" w:fill="34657F"/>
          </w:tcPr>
          <w:p>
            <w:pPr>
              <w:jc w:val="center"/>
              <w:ind w:left="15"/>
              <w:spacing w:after="0"/>
              <w:rPr>
                <w:sz w:val="20"/>
                <w:szCs w:val="20"/>
                <w:color w:val="auto"/>
              </w:rPr>
            </w:pPr>
            <w:r>
              <w:rPr>
                <w:rFonts w:ascii="Arial" w:cs="Arial" w:eastAsia="Arial" w:hAnsi="Arial"/>
                <w:sz w:val="12"/>
                <w:szCs w:val="12"/>
                <w:b w:val="1"/>
                <w:bCs w:val="1"/>
                <w:color w:val="FFFFFF"/>
                <w:w w:val="99"/>
              </w:rPr>
              <w:t>Equity Incentive Plan</w:t>
            </w:r>
          </w:p>
        </w:tc>
        <w:tc>
          <w:tcPr>
            <w:tcW w:w="20" w:type="dxa"/>
            <w:vAlign w:val="bottom"/>
            <w:shd w:val="clear" w:color="auto" w:fill="34657F"/>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4340" w:type="dxa"/>
            <w:vAlign w:val="bottom"/>
            <w:shd w:val="clear" w:color="auto" w:fill="34657F"/>
          </w:tcPr>
          <w:p>
            <w:pPr>
              <w:spacing w:after="0"/>
              <w:rPr>
                <w:sz w:val="11"/>
                <w:szCs w:val="11"/>
                <w:color w:val="auto"/>
              </w:rPr>
            </w:pPr>
          </w:p>
        </w:tc>
        <w:tc>
          <w:tcPr>
            <w:tcW w:w="960" w:type="dxa"/>
            <w:vAlign w:val="bottom"/>
            <w:shd w:val="clear" w:color="auto" w:fill="34657F"/>
          </w:tcPr>
          <w:p>
            <w:pPr>
              <w:spacing w:after="0"/>
              <w:rPr>
                <w:sz w:val="11"/>
                <w:szCs w:val="11"/>
                <w:color w:val="auto"/>
              </w:rPr>
            </w:pPr>
          </w:p>
        </w:tc>
        <w:tc>
          <w:tcPr>
            <w:tcW w:w="1500" w:type="dxa"/>
            <w:vAlign w:val="bottom"/>
            <w:shd w:val="clear" w:color="auto" w:fill="34657F"/>
          </w:tcPr>
          <w:p>
            <w:pPr>
              <w:spacing w:after="0"/>
              <w:rPr>
                <w:sz w:val="11"/>
                <w:szCs w:val="11"/>
                <w:color w:val="auto"/>
              </w:rPr>
            </w:pPr>
          </w:p>
        </w:tc>
        <w:tc>
          <w:tcPr>
            <w:tcW w:w="1660" w:type="dxa"/>
            <w:vAlign w:val="bottom"/>
            <w:shd w:val="clear" w:color="auto" w:fill="34657F"/>
          </w:tcPr>
          <w:p>
            <w:pPr>
              <w:spacing w:after="0"/>
              <w:rPr>
                <w:sz w:val="11"/>
                <w:szCs w:val="11"/>
                <w:color w:val="auto"/>
              </w:rPr>
            </w:pPr>
          </w:p>
        </w:tc>
        <w:tc>
          <w:tcPr>
            <w:tcW w:w="1520" w:type="dxa"/>
            <w:vAlign w:val="bottom"/>
            <w:shd w:val="clear" w:color="auto" w:fill="34657F"/>
          </w:tcPr>
          <w:p>
            <w:pPr>
              <w:jc w:val="center"/>
              <w:spacing w:after="0" w:line="128" w:lineRule="exact"/>
              <w:rPr>
                <w:sz w:val="20"/>
                <w:szCs w:val="20"/>
                <w:color w:val="auto"/>
              </w:rPr>
            </w:pPr>
            <w:r>
              <w:rPr>
                <w:rFonts w:ascii="Arial" w:cs="Arial" w:eastAsia="Arial" w:hAnsi="Arial"/>
                <w:sz w:val="12"/>
                <w:szCs w:val="12"/>
                <w:b w:val="1"/>
                <w:bCs w:val="1"/>
                <w:color w:val="FFFFFF"/>
              </w:rPr>
              <w:t>Awards: Number of</w:t>
            </w:r>
          </w:p>
        </w:tc>
        <w:tc>
          <w:tcPr>
            <w:tcW w:w="1440" w:type="dxa"/>
            <w:vAlign w:val="bottom"/>
            <w:shd w:val="clear" w:color="auto" w:fill="34657F"/>
          </w:tcPr>
          <w:p>
            <w:pPr>
              <w:jc w:val="center"/>
              <w:ind w:left="15"/>
              <w:spacing w:after="0" w:line="128" w:lineRule="exact"/>
              <w:rPr>
                <w:sz w:val="20"/>
                <w:szCs w:val="20"/>
                <w:color w:val="auto"/>
              </w:rPr>
            </w:pPr>
            <w:r>
              <w:rPr>
                <w:rFonts w:ascii="Arial" w:cs="Arial" w:eastAsia="Arial" w:hAnsi="Arial"/>
                <w:sz w:val="12"/>
                <w:szCs w:val="12"/>
                <w:b w:val="1"/>
                <w:bCs w:val="1"/>
                <w:color w:val="FFFFFF"/>
                <w:w w:val="99"/>
              </w:rPr>
              <w:t>Awards: Market or</w:t>
            </w:r>
          </w:p>
        </w:tc>
        <w:tc>
          <w:tcPr>
            <w:tcW w:w="20" w:type="dxa"/>
            <w:vAlign w:val="bottom"/>
            <w:shd w:val="clear" w:color="auto" w:fill="34657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4340" w:type="dxa"/>
            <w:vAlign w:val="bottom"/>
            <w:shd w:val="clear" w:color="auto" w:fill="34657F"/>
          </w:tcPr>
          <w:p>
            <w:pPr>
              <w:spacing w:after="0"/>
              <w:rPr>
                <w:sz w:val="11"/>
                <w:szCs w:val="11"/>
                <w:color w:val="auto"/>
              </w:rPr>
            </w:pPr>
          </w:p>
        </w:tc>
        <w:tc>
          <w:tcPr>
            <w:tcW w:w="960" w:type="dxa"/>
            <w:vAlign w:val="bottom"/>
            <w:shd w:val="clear" w:color="auto" w:fill="34657F"/>
          </w:tcPr>
          <w:p>
            <w:pPr>
              <w:spacing w:after="0"/>
              <w:rPr>
                <w:sz w:val="11"/>
                <w:szCs w:val="11"/>
                <w:color w:val="auto"/>
              </w:rPr>
            </w:pPr>
          </w:p>
        </w:tc>
        <w:tc>
          <w:tcPr>
            <w:tcW w:w="1500" w:type="dxa"/>
            <w:vAlign w:val="bottom"/>
            <w:shd w:val="clear" w:color="auto" w:fill="34657F"/>
          </w:tcPr>
          <w:p>
            <w:pPr>
              <w:spacing w:after="0"/>
              <w:rPr>
                <w:sz w:val="11"/>
                <w:szCs w:val="11"/>
                <w:color w:val="auto"/>
              </w:rPr>
            </w:pPr>
          </w:p>
        </w:tc>
        <w:tc>
          <w:tcPr>
            <w:tcW w:w="1660" w:type="dxa"/>
            <w:vAlign w:val="bottom"/>
            <w:shd w:val="clear" w:color="auto" w:fill="34657F"/>
          </w:tcPr>
          <w:p>
            <w:pPr>
              <w:spacing w:after="0"/>
              <w:rPr>
                <w:sz w:val="11"/>
                <w:szCs w:val="11"/>
                <w:color w:val="auto"/>
              </w:rPr>
            </w:pPr>
          </w:p>
        </w:tc>
        <w:tc>
          <w:tcPr>
            <w:tcW w:w="1520" w:type="dxa"/>
            <w:vAlign w:val="bottom"/>
            <w:shd w:val="clear" w:color="auto" w:fill="34657F"/>
          </w:tcPr>
          <w:p>
            <w:pPr>
              <w:jc w:val="center"/>
              <w:spacing w:after="0" w:line="128" w:lineRule="exact"/>
              <w:rPr>
                <w:sz w:val="20"/>
                <w:szCs w:val="20"/>
                <w:color w:val="auto"/>
              </w:rPr>
            </w:pPr>
            <w:r>
              <w:rPr>
                <w:rFonts w:ascii="Arial" w:cs="Arial" w:eastAsia="Arial" w:hAnsi="Arial"/>
                <w:sz w:val="12"/>
                <w:szCs w:val="12"/>
                <w:b w:val="1"/>
                <w:bCs w:val="1"/>
                <w:color w:val="FFFFFF"/>
              </w:rPr>
              <w:t>Unearned</w:t>
            </w:r>
          </w:p>
        </w:tc>
        <w:tc>
          <w:tcPr>
            <w:tcW w:w="1440" w:type="dxa"/>
            <w:vAlign w:val="bottom"/>
            <w:shd w:val="clear" w:color="auto" w:fill="34657F"/>
          </w:tcPr>
          <w:p>
            <w:pPr>
              <w:jc w:val="center"/>
              <w:ind w:left="35"/>
              <w:spacing w:after="0" w:line="128" w:lineRule="exact"/>
              <w:rPr>
                <w:sz w:val="20"/>
                <w:szCs w:val="20"/>
                <w:color w:val="auto"/>
              </w:rPr>
            </w:pPr>
            <w:r>
              <w:rPr>
                <w:rFonts w:ascii="Arial" w:cs="Arial" w:eastAsia="Arial" w:hAnsi="Arial"/>
                <w:sz w:val="12"/>
                <w:szCs w:val="12"/>
                <w:b w:val="1"/>
                <w:bCs w:val="1"/>
                <w:color w:val="FFFFFF"/>
                <w:w w:val="99"/>
              </w:rPr>
              <w:t>Payout Value of</w:t>
            </w:r>
          </w:p>
        </w:tc>
        <w:tc>
          <w:tcPr>
            <w:tcW w:w="20" w:type="dxa"/>
            <w:vAlign w:val="bottom"/>
            <w:shd w:val="clear" w:color="auto" w:fill="34657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4340" w:type="dxa"/>
            <w:vAlign w:val="bottom"/>
            <w:shd w:val="clear" w:color="auto" w:fill="34657F"/>
          </w:tcPr>
          <w:p>
            <w:pPr>
              <w:spacing w:after="0"/>
              <w:rPr>
                <w:sz w:val="11"/>
                <w:szCs w:val="11"/>
                <w:color w:val="auto"/>
              </w:rPr>
            </w:pPr>
          </w:p>
        </w:tc>
        <w:tc>
          <w:tcPr>
            <w:tcW w:w="960" w:type="dxa"/>
            <w:vAlign w:val="bottom"/>
            <w:shd w:val="clear" w:color="auto" w:fill="34657F"/>
          </w:tcPr>
          <w:p>
            <w:pPr>
              <w:spacing w:after="0"/>
              <w:rPr>
                <w:sz w:val="11"/>
                <w:szCs w:val="11"/>
                <w:color w:val="auto"/>
              </w:rPr>
            </w:pPr>
          </w:p>
        </w:tc>
        <w:tc>
          <w:tcPr>
            <w:tcW w:w="1500" w:type="dxa"/>
            <w:vAlign w:val="bottom"/>
            <w:shd w:val="clear" w:color="auto" w:fill="34657F"/>
          </w:tcPr>
          <w:p>
            <w:pPr>
              <w:spacing w:after="0"/>
              <w:rPr>
                <w:sz w:val="11"/>
                <w:szCs w:val="11"/>
                <w:color w:val="auto"/>
              </w:rPr>
            </w:pPr>
          </w:p>
        </w:tc>
        <w:tc>
          <w:tcPr>
            <w:tcW w:w="1660" w:type="dxa"/>
            <w:vAlign w:val="bottom"/>
            <w:shd w:val="clear" w:color="auto" w:fill="34657F"/>
          </w:tcPr>
          <w:p>
            <w:pPr>
              <w:spacing w:after="0"/>
              <w:rPr>
                <w:sz w:val="11"/>
                <w:szCs w:val="11"/>
                <w:color w:val="auto"/>
              </w:rPr>
            </w:pPr>
          </w:p>
        </w:tc>
        <w:tc>
          <w:tcPr>
            <w:tcW w:w="1520" w:type="dxa"/>
            <w:vAlign w:val="bottom"/>
            <w:shd w:val="clear" w:color="auto" w:fill="34657F"/>
          </w:tcPr>
          <w:p>
            <w:pPr>
              <w:jc w:val="center"/>
              <w:spacing w:after="0" w:line="128" w:lineRule="exact"/>
              <w:rPr>
                <w:sz w:val="20"/>
                <w:szCs w:val="20"/>
                <w:color w:val="auto"/>
              </w:rPr>
            </w:pPr>
            <w:r>
              <w:rPr>
                <w:rFonts w:ascii="Arial" w:cs="Arial" w:eastAsia="Arial" w:hAnsi="Arial"/>
                <w:sz w:val="12"/>
                <w:szCs w:val="12"/>
                <w:b w:val="1"/>
                <w:bCs w:val="1"/>
                <w:color w:val="FFFFFF"/>
              </w:rPr>
              <w:t>Shares,</w:t>
            </w:r>
          </w:p>
        </w:tc>
        <w:tc>
          <w:tcPr>
            <w:tcW w:w="1440" w:type="dxa"/>
            <w:vAlign w:val="bottom"/>
            <w:shd w:val="clear" w:color="auto" w:fill="34657F"/>
          </w:tcPr>
          <w:p>
            <w:pPr>
              <w:jc w:val="center"/>
              <w:ind w:left="35"/>
              <w:spacing w:after="0" w:line="128" w:lineRule="exact"/>
              <w:rPr>
                <w:sz w:val="20"/>
                <w:szCs w:val="20"/>
                <w:color w:val="auto"/>
              </w:rPr>
            </w:pPr>
            <w:r>
              <w:rPr>
                <w:rFonts w:ascii="Arial" w:cs="Arial" w:eastAsia="Arial" w:hAnsi="Arial"/>
                <w:sz w:val="12"/>
                <w:szCs w:val="12"/>
                <w:b w:val="1"/>
                <w:bCs w:val="1"/>
                <w:color w:val="FFFFFF"/>
                <w:w w:val="99"/>
              </w:rPr>
              <w:t>Unearned Shares,</w:t>
            </w:r>
          </w:p>
        </w:tc>
        <w:tc>
          <w:tcPr>
            <w:tcW w:w="20" w:type="dxa"/>
            <w:vAlign w:val="bottom"/>
            <w:shd w:val="clear" w:color="auto" w:fill="34657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4340" w:type="dxa"/>
            <w:vAlign w:val="bottom"/>
            <w:shd w:val="clear" w:color="auto" w:fill="34657F"/>
          </w:tcPr>
          <w:p>
            <w:pPr>
              <w:spacing w:after="0"/>
              <w:rPr>
                <w:sz w:val="11"/>
                <w:szCs w:val="11"/>
                <w:color w:val="auto"/>
              </w:rPr>
            </w:pPr>
          </w:p>
        </w:tc>
        <w:tc>
          <w:tcPr>
            <w:tcW w:w="960" w:type="dxa"/>
            <w:vAlign w:val="bottom"/>
            <w:shd w:val="clear" w:color="auto" w:fill="34657F"/>
          </w:tcPr>
          <w:p>
            <w:pPr>
              <w:spacing w:after="0"/>
              <w:rPr>
                <w:sz w:val="11"/>
                <w:szCs w:val="11"/>
                <w:color w:val="auto"/>
              </w:rPr>
            </w:pPr>
          </w:p>
        </w:tc>
        <w:tc>
          <w:tcPr>
            <w:tcW w:w="1500" w:type="dxa"/>
            <w:vAlign w:val="bottom"/>
            <w:shd w:val="clear" w:color="auto" w:fill="34657F"/>
          </w:tcPr>
          <w:p>
            <w:pPr>
              <w:jc w:val="center"/>
              <w:spacing w:after="0" w:line="128" w:lineRule="exact"/>
              <w:rPr>
                <w:sz w:val="20"/>
                <w:szCs w:val="20"/>
                <w:color w:val="auto"/>
              </w:rPr>
            </w:pPr>
            <w:r>
              <w:rPr>
                <w:rFonts w:ascii="Arial" w:cs="Arial" w:eastAsia="Arial" w:hAnsi="Arial"/>
                <w:sz w:val="12"/>
                <w:szCs w:val="12"/>
                <w:b w:val="1"/>
                <w:bCs w:val="1"/>
                <w:color w:val="FFFFFF"/>
                <w:w w:val="99"/>
              </w:rPr>
              <w:t>Number of Shares or</w:t>
            </w:r>
          </w:p>
        </w:tc>
        <w:tc>
          <w:tcPr>
            <w:tcW w:w="1660" w:type="dxa"/>
            <w:vAlign w:val="bottom"/>
            <w:shd w:val="clear" w:color="auto" w:fill="34657F"/>
          </w:tcPr>
          <w:p>
            <w:pPr>
              <w:jc w:val="center"/>
              <w:spacing w:after="0" w:line="128" w:lineRule="exact"/>
              <w:rPr>
                <w:sz w:val="20"/>
                <w:szCs w:val="20"/>
                <w:color w:val="auto"/>
              </w:rPr>
            </w:pPr>
            <w:r>
              <w:rPr>
                <w:rFonts w:ascii="Arial" w:cs="Arial" w:eastAsia="Arial" w:hAnsi="Arial"/>
                <w:sz w:val="12"/>
                <w:szCs w:val="12"/>
                <w:b w:val="1"/>
                <w:bCs w:val="1"/>
                <w:color w:val="FFFFFF"/>
                <w:w w:val="98"/>
              </w:rPr>
              <w:t>Market Value of Shares</w:t>
            </w:r>
          </w:p>
        </w:tc>
        <w:tc>
          <w:tcPr>
            <w:tcW w:w="1520" w:type="dxa"/>
            <w:vAlign w:val="bottom"/>
            <w:shd w:val="clear" w:color="auto" w:fill="34657F"/>
          </w:tcPr>
          <w:p>
            <w:pPr>
              <w:jc w:val="center"/>
              <w:spacing w:after="0" w:line="128" w:lineRule="exact"/>
              <w:rPr>
                <w:sz w:val="20"/>
                <w:szCs w:val="20"/>
                <w:color w:val="auto"/>
              </w:rPr>
            </w:pPr>
            <w:r>
              <w:rPr>
                <w:rFonts w:ascii="Arial" w:cs="Arial" w:eastAsia="Arial" w:hAnsi="Arial"/>
                <w:sz w:val="12"/>
                <w:szCs w:val="12"/>
                <w:b w:val="1"/>
                <w:bCs w:val="1"/>
                <w:color w:val="FFFFFF"/>
                <w:w w:val="99"/>
              </w:rPr>
              <w:t>Units or Other</w:t>
            </w:r>
          </w:p>
        </w:tc>
        <w:tc>
          <w:tcPr>
            <w:tcW w:w="1440" w:type="dxa"/>
            <w:vAlign w:val="bottom"/>
            <w:shd w:val="clear" w:color="auto" w:fill="34657F"/>
          </w:tcPr>
          <w:p>
            <w:pPr>
              <w:jc w:val="center"/>
              <w:ind w:left="35"/>
              <w:spacing w:after="0" w:line="128" w:lineRule="exact"/>
              <w:rPr>
                <w:sz w:val="20"/>
                <w:szCs w:val="20"/>
                <w:color w:val="auto"/>
              </w:rPr>
            </w:pPr>
            <w:r>
              <w:rPr>
                <w:rFonts w:ascii="Arial" w:cs="Arial" w:eastAsia="Arial" w:hAnsi="Arial"/>
                <w:sz w:val="12"/>
                <w:szCs w:val="12"/>
                <w:b w:val="1"/>
                <w:bCs w:val="1"/>
                <w:color w:val="FFFFFF"/>
              </w:rPr>
              <w:t>Units or Other Rights</w:t>
            </w:r>
          </w:p>
        </w:tc>
        <w:tc>
          <w:tcPr>
            <w:tcW w:w="20" w:type="dxa"/>
            <w:vAlign w:val="bottom"/>
            <w:shd w:val="clear" w:color="auto" w:fill="34657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4340" w:type="dxa"/>
            <w:vAlign w:val="bottom"/>
            <w:shd w:val="clear" w:color="auto" w:fill="34657F"/>
          </w:tcPr>
          <w:p>
            <w:pPr>
              <w:spacing w:after="0"/>
              <w:rPr>
                <w:sz w:val="11"/>
                <w:szCs w:val="11"/>
                <w:color w:val="auto"/>
              </w:rPr>
            </w:pPr>
          </w:p>
        </w:tc>
        <w:tc>
          <w:tcPr>
            <w:tcW w:w="960" w:type="dxa"/>
            <w:vAlign w:val="bottom"/>
            <w:shd w:val="clear" w:color="auto" w:fill="34657F"/>
          </w:tcPr>
          <w:p>
            <w:pPr>
              <w:spacing w:after="0"/>
              <w:rPr>
                <w:sz w:val="11"/>
                <w:szCs w:val="11"/>
                <w:color w:val="auto"/>
              </w:rPr>
            </w:pPr>
          </w:p>
        </w:tc>
        <w:tc>
          <w:tcPr>
            <w:tcW w:w="1500" w:type="dxa"/>
            <w:vAlign w:val="bottom"/>
            <w:shd w:val="clear" w:color="auto" w:fill="34657F"/>
          </w:tcPr>
          <w:p>
            <w:pPr>
              <w:jc w:val="center"/>
              <w:spacing w:after="0" w:line="128" w:lineRule="exact"/>
              <w:rPr>
                <w:sz w:val="20"/>
                <w:szCs w:val="20"/>
                <w:color w:val="auto"/>
              </w:rPr>
            </w:pPr>
            <w:r>
              <w:rPr>
                <w:rFonts w:ascii="Arial" w:cs="Arial" w:eastAsia="Arial" w:hAnsi="Arial"/>
                <w:sz w:val="12"/>
                <w:szCs w:val="12"/>
                <w:b w:val="1"/>
                <w:bCs w:val="1"/>
                <w:color w:val="FFFFFF"/>
                <w:w w:val="98"/>
              </w:rPr>
              <w:t>Units of Stock that</w:t>
            </w:r>
          </w:p>
        </w:tc>
        <w:tc>
          <w:tcPr>
            <w:tcW w:w="1660" w:type="dxa"/>
            <w:vAlign w:val="bottom"/>
            <w:shd w:val="clear" w:color="auto" w:fill="34657F"/>
          </w:tcPr>
          <w:p>
            <w:pPr>
              <w:jc w:val="center"/>
              <w:spacing w:after="0" w:line="128" w:lineRule="exact"/>
              <w:rPr>
                <w:sz w:val="20"/>
                <w:szCs w:val="20"/>
                <w:color w:val="auto"/>
              </w:rPr>
            </w:pPr>
            <w:r>
              <w:rPr>
                <w:rFonts w:ascii="Arial" w:cs="Arial" w:eastAsia="Arial" w:hAnsi="Arial"/>
                <w:sz w:val="12"/>
                <w:szCs w:val="12"/>
                <w:b w:val="1"/>
                <w:bCs w:val="1"/>
                <w:color w:val="FFFFFF"/>
              </w:rPr>
              <w:t>or Units of Stock that</w:t>
            </w:r>
          </w:p>
        </w:tc>
        <w:tc>
          <w:tcPr>
            <w:tcW w:w="1520" w:type="dxa"/>
            <w:vAlign w:val="bottom"/>
            <w:shd w:val="clear" w:color="auto" w:fill="34657F"/>
          </w:tcPr>
          <w:p>
            <w:pPr>
              <w:jc w:val="center"/>
              <w:spacing w:after="0" w:line="128" w:lineRule="exact"/>
              <w:rPr>
                <w:sz w:val="20"/>
                <w:szCs w:val="20"/>
                <w:color w:val="auto"/>
              </w:rPr>
            </w:pPr>
            <w:r>
              <w:rPr>
                <w:rFonts w:ascii="Arial" w:cs="Arial" w:eastAsia="Arial" w:hAnsi="Arial"/>
                <w:sz w:val="12"/>
                <w:szCs w:val="12"/>
                <w:b w:val="1"/>
                <w:bCs w:val="1"/>
                <w:color w:val="FFFFFF"/>
              </w:rPr>
              <w:t>Rights that Have</w:t>
            </w:r>
          </w:p>
        </w:tc>
        <w:tc>
          <w:tcPr>
            <w:tcW w:w="1440" w:type="dxa"/>
            <w:vAlign w:val="bottom"/>
            <w:shd w:val="clear" w:color="auto" w:fill="34657F"/>
          </w:tcPr>
          <w:p>
            <w:pPr>
              <w:jc w:val="center"/>
              <w:ind w:left="35"/>
              <w:spacing w:after="0" w:line="128" w:lineRule="exact"/>
              <w:rPr>
                <w:sz w:val="20"/>
                <w:szCs w:val="20"/>
                <w:color w:val="auto"/>
              </w:rPr>
            </w:pPr>
            <w:r>
              <w:rPr>
                <w:rFonts w:ascii="Arial" w:cs="Arial" w:eastAsia="Arial" w:hAnsi="Arial"/>
                <w:sz w:val="12"/>
                <w:szCs w:val="12"/>
                <w:b w:val="1"/>
                <w:bCs w:val="1"/>
                <w:color w:val="FFFFFF"/>
                <w:w w:val="98"/>
              </w:rPr>
              <w:t>that Have Not Vested</w:t>
            </w:r>
          </w:p>
        </w:tc>
        <w:tc>
          <w:tcPr>
            <w:tcW w:w="20" w:type="dxa"/>
            <w:vAlign w:val="bottom"/>
            <w:shd w:val="clear" w:color="auto" w:fill="34657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4340" w:type="dxa"/>
            <w:vAlign w:val="bottom"/>
            <w:shd w:val="clear" w:color="auto" w:fill="34657F"/>
          </w:tcPr>
          <w:p>
            <w:pPr>
              <w:spacing w:after="0"/>
              <w:rPr>
                <w:sz w:val="11"/>
                <w:szCs w:val="11"/>
                <w:color w:val="auto"/>
              </w:rPr>
            </w:pPr>
          </w:p>
        </w:tc>
        <w:tc>
          <w:tcPr>
            <w:tcW w:w="960" w:type="dxa"/>
            <w:vAlign w:val="bottom"/>
            <w:shd w:val="clear" w:color="auto" w:fill="34657F"/>
          </w:tcPr>
          <w:p>
            <w:pPr>
              <w:spacing w:after="0"/>
              <w:rPr>
                <w:sz w:val="11"/>
                <w:szCs w:val="11"/>
                <w:color w:val="auto"/>
              </w:rPr>
            </w:pPr>
          </w:p>
        </w:tc>
        <w:tc>
          <w:tcPr>
            <w:tcW w:w="1500" w:type="dxa"/>
            <w:vAlign w:val="bottom"/>
            <w:shd w:val="clear" w:color="auto" w:fill="34657F"/>
          </w:tcPr>
          <w:p>
            <w:pPr>
              <w:jc w:val="center"/>
              <w:spacing w:after="0" w:line="128" w:lineRule="exact"/>
              <w:rPr>
                <w:sz w:val="20"/>
                <w:szCs w:val="20"/>
                <w:color w:val="auto"/>
              </w:rPr>
            </w:pPr>
            <w:r>
              <w:rPr>
                <w:rFonts w:ascii="Arial" w:cs="Arial" w:eastAsia="Arial" w:hAnsi="Arial"/>
                <w:sz w:val="12"/>
                <w:szCs w:val="12"/>
                <w:b w:val="1"/>
                <w:bCs w:val="1"/>
                <w:color w:val="FFFFFF"/>
                <w:w w:val="99"/>
              </w:rPr>
              <w:t>Have Not Vested (1)</w:t>
            </w:r>
          </w:p>
        </w:tc>
        <w:tc>
          <w:tcPr>
            <w:tcW w:w="1660" w:type="dxa"/>
            <w:vAlign w:val="bottom"/>
            <w:shd w:val="clear" w:color="auto" w:fill="34657F"/>
          </w:tcPr>
          <w:p>
            <w:pPr>
              <w:jc w:val="center"/>
              <w:spacing w:after="0" w:line="128" w:lineRule="exact"/>
              <w:rPr>
                <w:sz w:val="20"/>
                <w:szCs w:val="20"/>
                <w:color w:val="auto"/>
              </w:rPr>
            </w:pPr>
            <w:r>
              <w:rPr>
                <w:rFonts w:ascii="Arial" w:cs="Arial" w:eastAsia="Arial" w:hAnsi="Arial"/>
                <w:sz w:val="12"/>
                <w:szCs w:val="12"/>
                <w:b w:val="1"/>
                <w:bCs w:val="1"/>
                <w:color w:val="FFFFFF"/>
                <w:w w:val="97"/>
              </w:rPr>
              <w:t>Have Not Vested (2)</w:t>
            </w:r>
          </w:p>
        </w:tc>
        <w:tc>
          <w:tcPr>
            <w:tcW w:w="1520" w:type="dxa"/>
            <w:vAlign w:val="bottom"/>
            <w:shd w:val="clear" w:color="auto" w:fill="34657F"/>
          </w:tcPr>
          <w:p>
            <w:pPr>
              <w:jc w:val="center"/>
              <w:spacing w:after="0" w:line="128" w:lineRule="exact"/>
              <w:rPr>
                <w:sz w:val="20"/>
                <w:szCs w:val="20"/>
                <w:color w:val="auto"/>
              </w:rPr>
            </w:pPr>
            <w:r>
              <w:rPr>
                <w:rFonts w:ascii="Arial" w:cs="Arial" w:eastAsia="Arial" w:hAnsi="Arial"/>
                <w:sz w:val="12"/>
                <w:szCs w:val="12"/>
                <w:b w:val="1"/>
                <w:bCs w:val="1"/>
                <w:color w:val="FFFFFF"/>
                <w:w w:val="99"/>
              </w:rPr>
              <w:t>Not Vested (3)</w:t>
            </w:r>
          </w:p>
        </w:tc>
        <w:tc>
          <w:tcPr>
            <w:tcW w:w="1440" w:type="dxa"/>
            <w:vAlign w:val="bottom"/>
            <w:shd w:val="clear" w:color="auto" w:fill="34657F"/>
          </w:tcPr>
          <w:p>
            <w:pPr>
              <w:jc w:val="center"/>
              <w:ind w:left="35"/>
              <w:spacing w:after="0" w:line="128" w:lineRule="exact"/>
              <w:rPr>
                <w:sz w:val="20"/>
                <w:szCs w:val="20"/>
                <w:color w:val="auto"/>
              </w:rPr>
            </w:pPr>
            <w:r>
              <w:rPr>
                <w:rFonts w:ascii="Arial" w:cs="Arial" w:eastAsia="Arial" w:hAnsi="Arial"/>
                <w:sz w:val="12"/>
                <w:szCs w:val="12"/>
                <w:b w:val="1"/>
                <w:bCs w:val="1"/>
                <w:color w:val="FFFFFF"/>
                <w:w w:val="95"/>
              </w:rPr>
              <w:t>(2)</w:t>
            </w:r>
          </w:p>
        </w:tc>
        <w:tc>
          <w:tcPr>
            <w:tcW w:w="20" w:type="dxa"/>
            <w:vAlign w:val="bottom"/>
            <w:shd w:val="clear" w:color="auto" w:fill="34657F"/>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4340" w:type="dxa"/>
            <w:vAlign w:val="bottom"/>
            <w:tcBorders>
              <w:bottom w:val="single" w:sz="8" w:color="34657F"/>
            </w:tcBorders>
            <w:shd w:val="clear" w:color="auto" w:fill="34657F"/>
          </w:tcPr>
          <w:p>
            <w:pPr>
              <w:ind w:left="80"/>
              <w:spacing w:after="0"/>
              <w:rPr>
                <w:sz w:val="20"/>
                <w:szCs w:val="20"/>
                <w:color w:val="auto"/>
              </w:rPr>
            </w:pPr>
            <w:r>
              <w:rPr>
                <w:rFonts w:ascii="Arial" w:cs="Arial" w:eastAsia="Arial" w:hAnsi="Arial"/>
                <w:sz w:val="12"/>
                <w:szCs w:val="12"/>
                <w:b w:val="1"/>
                <w:bCs w:val="1"/>
                <w:color w:val="FFFFFF"/>
              </w:rPr>
              <w:t>Name</w:t>
            </w:r>
          </w:p>
        </w:tc>
        <w:tc>
          <w:tcPr>
            <w:tcW w:w="960" w:type="dxa"/>
            <w:vAlign w:val="bottom"/>
            <w:tcBorders>
              <w:bottom w:val="single" w:sz="8" w:color="34657F"/>
            </w:tcBorders>
            <w:shd w:val="clear" w:color="auto" w:fill="34657F"/>
          </w:tcPr>
          <w:p>
            <w:pPr>
              <w:ind w:left="220"/>
              <w:spacing w:after="0"/>
              <w:rPr>
                <w:sz w:val="20"/>
                <w:szCs w:val="20"/>
                <w:color w:val="auto"/>
              </w:rPr>
            </w:pPr>
            <w:r>
              <w:rPr>
                <w:rFonts w:ascii="Arial" w:cs="Arial" w:eastAsia="Arial" w:hAnsi="Arial"/>
                <w:sz w:val="12"/>
                <w:szCs w:val="12"/>
                <w:b w:val="1"/>
                <w:bCs w:val="1"/>
                <w:color w:val="FFFFFF"/>
              </w:rPr>
              <w:t>Grant Date</w:t>
            </w:r>
          </w:p>
        </w:tc>
        <w:tc>
          <w:tcPr>
            <w:tcW w:w="1500" w:type="dxa"/>
            <w:vAlign w:val="bottom"/>
            <w:tcBorders>
              <w:bottom w:val="single" w:sz="8" w:color="34657F"/>
            </w:tcBorders>
            <w:shd w:val="clear" w:color="auto" w:fill="34657F"/>
          </w:tcPr>
          <w:p>
            <w:pPr>
              <w:jc w:val="center"/>
              <w:spacing w:after="0"/>
              <w:rPr>
                <w:sz w:val="20"/>
                <w:szCs w:val="20"/>
                <w:color w:val="auto"/>
              </w:rPr>
            </w:pPr>
            <w:r>
              <w:rPr>
                <w:rFonts w:ascii="Arial" w:cs="Arial" w:eastAsia="Arial" w:hAnsi="Arial"/>
                <w:sz w:val="12"/>
                <w:szCs w:val="12"/>
                <w:b w:val="1"/>
                <w:bCs w:val="1"/>
                <w:color w:val="FFFFFF"/>
              </w:rPr>
              <w:t>(#)</w:t>
            </w:r>
          </w:p>
        </w:tc>
        <w:tc>
          <w:tcPr>
            <w:tcW w:w="1660" w:type="dxa"/>
            <w:vAlign w:val="bottom"/>
            <w:tcBorders>
              <w:bottom w:val="single" w:sz="8" w:color="34657F"/>
            </w:tcBorders>
            <w:shd w:val="clear" w:color="auto" w:fill="34657F"/>
          </w:tcPr>
          <w:p>
            <w:pPr>
              <w:jc w:val="center"/>
              <w:spacing w:after="0"/>
              <w:rPr>
                <w:sz w:val="20"/>
                <w:szCs w:val="20"/>
                <w:color w:val="auto"/>
              </w:rPr>
            </w:pPr>
            <w:r>
              <w:rPr>
                <w:rFonts w:ascii="Arial" w:cs="Arial" w:eastAsia="Arial" w:hAnsi="Arial"/>
                <w:sz w:val="12"/>
                <w:szCs w:val="12"/>
                <w:b w:val="1"/>
                <w:bCs w:val="1"/>
                <w:color w:val="FFFFFF"/>
                <w:w w:val="95"/>
              </w:rPr>
              <w:t>($)</w:t>
            </w:r>
          </w:p>
        </w:tc>
        <w:tc>
          <w:tcPr>
            <w:tcW w:w="1520" w:type="dxa"/>
            <w:vAlign w:val="bottom"/>
            <w:tcBorders>
              <w:bottom w:val="single" w:sz="8" w:color="34657F"/>
            </w:tcBorders>
            <w:shd w:val="clear" w:color="auto" w:fill="34657F"/>
          </w:tcPr>
          <w:p>
            <w:pPr>
              <w:jc w:val="center"/>
              <w:spacing w:after="0"/>
              <w:rPr>
                <w:sz w:val="20"/>
                <w:szCs w:val="20"/>
                <w:color w:val="auto"/>
              </w:rPr>
            </w:pPr>
            <w:r>
              <w:rPr>
                <w:rFonts w:ascii="Arial" w:cs="Arial" w:eastAsia="Arial" w:hAnsi="Arial"/>
                <w:sz w:val="12"/>
                <w:szCs w:val="12"/>
                <w:b w:val="1"/>
                <w:bCs w:val="1"/>
                <w:color w:val="FFFFFF"/>
              </w:rPr>
              <w:t>(#)</w:t>
            </w:r>
          </w:p>
        </w:tc>
        <w:tc>
          <w:tcPr>
            <w:tcW w:w="1440" w:type="dxa"/>
            <w:vAlign w:val="bottom"/>
            <w:tcBorders>
              <w:bottom w:val="single" w:sz="8" w:color="34657F"/>
            </w:tcBorders>
            <w:shd w:val="clear" w:color="auto" w:fill="34657F"/>
          </w:tcPr>
          <w:p>
            <w:pPr>
              <w:jc w:val="center"/>
              <w:ind w:left="35"/>
              <w:spacing w:after="0"/>
              <w:rPr>
                <w:sz w:val="20"/>
                <w:szCs w:val="20"/>
                <w:color w:val="auto"/>
              </w:rPr>
            </w:pPr>
            <w:r>
              <w:rPr>
                <w:rFonts w:ascii="Arial" w:cs="Arial" w:eastAsia="Arial" w:hAnsi="Arial"/>
                <w:sz w:val="12"/>
                <w:szCs w:val="12"/>
                <w:b w:val="1"/>
                <w:bCs w:val="1"/>
                <w:color w:val="FFFFFF"/>
                <w:w w:val="95"/>
              </w:rPr>
              <w:t>($)</w:t>
            </w:r>
          </w:p>
        </w:tc>
        <w:tc>
          <w:tcPr>
            <w:tcW w:w="20" w:type="dxa"/>
            <w:vAlign w:val="bottom"/>
            <w:tcBorders>
              <w:bottom w:val="single" w:sz="8" w:color="34657F"/>
            </w:tcBorders>
            <w:shd w:val="clear" w:color="auto" w:fill="34657F"/>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4340" w:type="dxa"/>
            <w:vAlign w:val="bottom"/>
          </w:tcPr>
          <w:p>
            <w:pPr>
              <w:spacing w:after="0"/>
              <w:rPr>
                <w:sz w:val="20"/>
                <w:szCs w:val="20"/>
                <w:color w:val="auto"/>
              </w:rPr>
            </w:pPr>
          </w:p>
        </w:tc>
        <w:tc>
          <w:tcPr>
            <w:tcW w:w="960" w:type="dxa"/>
            <w:vAlign w:val="bottom"/>
            <w:tcBorders>
              <w:bottom w:val="single" w:sz="8" w:color="D1DDE6"/>
            </w:tcBorders>
            <w:shd w:val="clear" w:color="auto" w:fill="D1DDE6"/>
          </w:tcPr>
          <w:p>
            <w:pPr>
              <w:ind w:left="220"/>
              <w:spacing w:after="0"/>
              <w:rPr>
                <w:sz w:val="20"/>
                <w:szCs w:val="20"/>
                <w:color w:val="auto"/>
              </w:rPr>
            </w:pPr>
            <w:r>
              <w:rPr>
                <w:rFonts w:ascii="Arial" w:cs="Arial" w:eastAsia="Arial" w:hAnsi="Arial"/>
                <w:sz w:val="14"/>
                <w:szCs w:val="14"/>
                <w:color w:val="auto"/>
              </w:rPr>
              <w:t>2/13/2018</w:t>
            </w:r>
          </w:p>
        </w:tc>
        <w:tc>
          <w:tcPr>
            <w:tcW w:w="1500" w:type="dxa"/>
            <w:vAlign w:val="bottom"/>
            <w:tcBorders>
              <w:bottom w:val="single" w:sz="8" w:color="D1DDE6"/>
            </w:tcBorders>
            <w:shd w:val="clear" w:color="auto" w:fill="D1DDE6"/>
          </w:tcPr>
          <w:p>
            <w:pPr>
              <w:jc w:val="center"/>
              <w:spacing w:after="0"/>
              <w:rPr>
                <w:sz w:val="20"/>
                <w:szCs w:val="20"/>
                <w:color w:val="auto"/>
              </w:rPr>
            </w:pPr>
            <w:r>
              <w:rPr>
                <w:rFonts w:ascii="Arial" w:cs="Arial" w:eastAsia="Arial" w:hAnsi="Arial"/>
                <w:sz w:val="14"/>
                <w:szCs w:val="14"/>
                <w:color w:val="auto"/>
                <w:w w:val="96"/>
              </w:rPr>
              <w:t>9,033</w:t>
            </w:r>
          </w:p>
        </w:tc>
        <w:tc>
          <w:tcPr>
            <w:tcW w:w="1660" w:type="dxa"/>
            <w:vAlign w:val="bottom"/>
            <w:tcBorders>
              <w:bottom w:val="single" w:sz="8" w:color="D1DDE6"/>
            </w:tcBorders>
            <w:shd w:val="clear" w:color="auto" w:fill="D1DDE6"/>
          </w:tcPr>
          <w:p>
            <w:pPr>
              <w:jc w:val="center"/>
              <w:spacing w:after="0"/>
              <w:rPr>
                <w:sz w:val="20"/>
                <w:szCs w:val="20"/>
                <w:color w:val="auto"/>
              </w:rPr>
            </w:pPr>
            <w:r>
              <w:rPr>
                <w:rFonts w:ascii="Arial" w:cs="Arial" w:eastAsia="Arial" w:hAnsi="Arial"/>
                <w:sz w:val="14"/>
                <w:szCs w:val="14"/>
                <w:color w:val="auto"/>
                <w:w w:val="99"/>
              </w:rPr>
              <w:t>2,212,182</w:t>
            </w:r>
          </w:p>
        </w:tc>
        <w:tc>
          <w:tcPr>
            <w:tcW w:w="1520" w:type="dxa"/>
            <w:vAlign w:val="bottom"/>
            <w:tcBorders>
              <w:bottom w:val="single" w:sz="8" w:color="D1DDE6"/>
            </w:tcBorders>
            <w:shd w:val="clear" w:color="auto" w:fill="D1DDE6"/>
          </w:tcPr>
          <w:p>
            <w:pPr>
              <w:jc w:val="center"/>
              <w:spacing w:after="0"/>
              <w:rPr>
                <w:sz w:val="20"/>
                <w:szCs w:val="20"/>
                <w:color w:val="auto"/>
              </w:rPr>
            </w:pPr>
            <w:r>
              <w:rPr>
                <w:rFonts w:ascii="Arial" w:cs="Arial" w:eastAsia="Arial" w:hAnsi="Arial"/>
                <w:sz w:val="14"/>
                <w:szCs w:val="14"/>
                <w:color w:val="auto"/>
                <w:w w:val="93"/>
              </w:rPr>
              <w:t>19,888</w:t>
            </w:r>
          </w:p>
        </w:tc>
        <w:tc>
          <w:tcPr>
            <w:tcW w:w="1440" w:type="dxa"/>
            <w:vAlign w:val="bottom"/>
            <w:tcBorders>
              <w:bottom w:val="single" w:sz="8" w:color="D1DDE6"/>
            </w:tcBorders>
            <w:shd w:val="clear" w:color="auto" w:fill="D1DDE6"/>
          </w:tcPr>
          <w:p>
            <w:pPr>
              <w:jc w:val="center"/>
              <w:ind w:left="15"/>
              <w:spacing w:after="0"/>
              <w:rPr>
                <w:sz w:val="20"/>
                <w:szCs w:val="20"/>
                <w:color w:val="auto"/>
              </w:rPr>
            </w:pPr>
            <w:r>
              <w:rPr>
                <w:rFonts w:ascii="Arial" w:cs="Arial" w:eastAsia="Arial" w:hAnsi="Arial"/>
                <w:sz w:val="14"/>
                <w:szCs w:val="14"/>
                <w:color w:val="auto"/>
                <w:w w:val="96"/>
              </w:rPr>
              <w:t>4,870,571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4340" w:type="dxa"/>
            <w:vAlign w:val="bottom"/>
          </w:tcPr>
          <w:p>
            <w:pPr>
              <w:ind w:left="20"/>
              <w:spacing w:after="0"/>
              <w:rPr>
                <w:sz w:val="20"/>
                <w:szCs w:val="20"/>
                <w:color w:val="auto"/>
              </w:rPr>
            </w:pPr>
            <w:r>
              <w:rPr>
                <w:rFonts w:ascii="Arial" w:cs="Arial" w:eastAsia="Arial" w:hAnsi="Arial"/>
                <w:sz w:val="14"/>
                <w:szCs w:val="14"/>
                <w:color w:val="auto"/>
              </w:rPr>
              <w:t>Wesley G. Bush</w:t>
            </w:r>
          </w:p>
        </w:tc>
        <w:tc>
          <w:tcPr>
            <w:tcW w:w="960" w:type="dxa"/>
            <w:vAlign w:val="bottom"/>
          </w:tcPr>
          <w:p>
            <w:pPr>
              <w:ind w:left="220"/>
              <w:spacing w:after="0"/>
              <w:rPr>
                <w:sz w:val="20"/>
                <w:szCs w:val="20"/>
                <w:color w:val="auto"/>
              </w:rPr>
            </w:pPr>
            <w:r>
              <w:rPr>
                <w:rFonts w:ascii="Arial" w:cs="Arial" w:eastAsia="Arial" w:hAnsi="Arial"/>
                <w:sz w:val="14"/>
                <w:szCs w:val="14"/>
                <w:color w:val="auto"/>
              </w:rPr>
              <w:t>2/17/2017</w:t>
            </w:r>
          </w:p>
        </w:tc>
        <w:tc>
          <w:tcPr>
            <w:tcW w:w="1500" w:type="dxa"/>
            <w:vAlign w:val="bottom"/>
          </w:tcPr>
          <w:p>
            <w:pPr>
              <w:jc w:val="center"/>
              <w:spacing w:after="0"/>
              <w:rPr>
                <w:sz w:val="20"/>
                <w:szCs w:val="20"/>
                <w:color w:val="auto"/>
              </w:rPr>
            </w:pPr>
            <w:r>
              <w:rPr>
                <w:rFonts w:ascii="Arial" w:cs="Arial" w:eastAsia="Arial" w:hAnsi="Arial"/>
                <w:sz w:val="14"/>
                <w:szCs w:val="14"/>
                <w:color w:val="auto"/>
                <w:w w:val="97"/>
              </w:rPr>
              <w:t>12,756</w:t>
            </w:r>
          </w:p>
        </w:tc>
        <w:tc>
          <w:tcPr>
            <w:tcW w:w="1660" w:type="dxa"/>
            <w:vAlign w:val="bottom"/>
          </w:tcPr>
          <w:p>
            <w:pPr>
              <w:jc w:val="center"/>
              <w:spacing w:after="0"/>
              <w:rPr>
                <w:sz w:val="20"/>
                <w:szCs w:val="20"/>
                <w:color w:val="auto"/>
              </w:rPr>
            </w:pPr>
            <w:r>
              <w:rPr>
                <w:rFonts w:ascii="Arial" w:cs="Arial" w:eastAsia="Arial" w:hAnsi="Arial"/>
                <w:sz w:val="14"/>
                <w:szCs w:val="14"/>
                <w:color w:val="auto"/>
                <w:w w:val="99"/>
              </w:rPr>
              <w:t>3,123,944</w:t>
            </w:r>
          </w:p>
        </w:tc>
        <w:tc>
          <w:tcPr>
            <w:tcW w:w="1520" w:type="dxa"/>
            <w:vAlign w:val="bottom"/>
          </w:tcPr>
          <w:p>
            <w:pPr>
              <w:jc w:val="center"/>
              <w:spacing w:after="0"/>
              <w:rPr>
                <w:sz w:val="20"/>
                <w:szCs w:val="20"/>
                <w:color w:val="auto"/>
              </w:rPr>
            </w:pPr>
            <w:r>
              <w:rPr>
                <w:rFonts w:ascii="Arial" w:cs="Arial" w:eastAsia="Arial" w:hAnsi="Arial"/>
                <w:sz w:val="14"/>
                <w:szCs w:val="14"/>
                <w:color w:val="auto"/>
                <w:w w:val="93"/>
              </w:rPr>
              <w:t>30,504</w:t>
            </w:r>
          </w:p>
        </w:tc>
        <w:tc>
          <w:tcPr>
            <w:tcW w:w="1440" w:type="dxa"/>
            <w:vAlign w:val="bottom"/>
          </w:tcPr>
          <w:p>
            <w:pPr>
              <w:jc w:val="center"/>
              <w:ind w:left="15"/>
              <w:spacing w:after="0"/>
              <w:rPr>
                <w:sz w:val="20"/>
                <w:szCs w:val="20"/>
                <w:color w:val="auto"/>
              </w:rPr>
            </w:pPr>
            <w:r>
              <w:rPr>
                <w:rFonts w:ascii="Arial" w:cs="Arial" w:eastAsia="Arial" w:hAnsi="Arial"/>
                <w:sz w:val="14"/>
                <w:szCs w:val="14"/>
                <w:color w:val="auto"/>
                <w:w w:val="96"/>
              </w:rPr>
              <w:t>7,470,430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43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4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6"/>
        </w:trPr>
        <w:tc>
          <w:tcPr>
            <w:tcW w:w="4340" w:type="dxa"/>
            <w:vAlign w:val="bottom"/>
          </w:tcPr>
          <w:p>
            <w:pPr>
              <w:spacing w:after="0"/>
              <w:rPr>
                <w:sz w:val="22"/>
                <w:szCs w:val="22"/>
                <w:color w:val="auto"/>
              </w:rPr>
            </w:pPr>
          </w:p>
        </w:tc>
        <w:tc>
          <w:tcPr>
            <w:tcW w:w="960" w:type="dxa"/>
            <w:vAlign w:val="bottom"/>
            <w:tcBorders>
              <w:bottom w:val="single" w:sz="8" w:color="D1DDE6"/>
            </w:tcBorders>
            <w:shd w:val="clear" w:color="auto" w:fill="D1DDE6"/>
          </w:tcPr>
          <w:p>
            <w:pPr>
              <w:ind w:left="220"/>
              <w:spacing w:after="0"/>
              <w:rPr>
                <w:sz w:val="20"/>
                <w:szCs w:val="20"/>
                <w:color w:val="auto"/>
              </w:rPr>
            </w:pPr>
            <w:r>
              <w:rPr>
                <w:rFonts w:ascii="Arial" w:cs="Arial" w:eastAsia="Arial" w:hAnsi="Arial"/>
                <w:sz w:val="14"/>
                <w:szCs w:val="14"/>
                <w:color w:val="auto"/>
              </w:rPr>
              <w:t>2/17/2016</w:t>
            </w:r>
          </w:p>
        </w:tc>
        <w:tc>
          <w:tcPr>
            <w:tcW w:w="1500" w:type="dxa"/>
            <w:vAlign w:val="bottom"/>
            <w:tcBorders>
              <w:bottom w:val="single" w:sz="8" w:color="D1DDE6"/>
            </w:tcBorders>
            <w:shd w:val="clear" w:color="auto" w:fill="D1DDE6"/>
          </w:tcPr>
          <w:p>
            <w:pPr>
              <w:jc w:val="center"/>
              <w:spacing w:after="0"/>
              <w:rPr>
                <w:sz w:val="20"/>
                <w:szCs w:val="20"/>
                <w:color w:val="auto"/>
              </w:rPr>
            </w:pPr>
            <w:r>
              <w:rPr>
                <w:rFonts w:ascii="Arial" w:cs="Arial" w:eastAsia="Arial" w:hAnsi="Arial"/>
                <w:sz w:val="14"/>
                <w:szCs w:val="14"/>
                <w:color w:val="auto"/>
                <w:w w:val="97"/>
              </w:rPr>
              <w:t>16,478</w:t>
            </w:r>
          </w:p>
        </w:tc>
        <w:tc>
          <w:tcPr>
            <w:tcW w:w="1660" w:type="dxa"/>
            <w:vAlign w:val="bottom"/>
            <w:tcBorders>
              <w:bottom w:val="single" w:sz="8" w:color="D1DDE6"/>
            </w:tcBorders>
            <w:shd w:val="clear" w:color="auto" w:fill="D1DDE6"/>
          </w:tcPr>
          <w:p>
            <w:pPr>
              <w:jc w:val="center"/>
              <w:spacing w:after="0"/>
              <w:rPr>
                <w:sz w:val="20"/>
                <w:szCs w:val="20"/>
                <w:color w:val="auto"/>
              </w:rPr>
            </w:pPr>
            <w:r>
              <w:rPr>
                <w:rFonts w:ascii="Arial" w:cs="Arial" w:eastAsia="Arial" w:hAnsi="Arial"/>
                <w:sz w:val="14"/>
                <w:szCs w:val="14"/>
                <w:color w:val="auto"/>
                <w:w w:val="99"/>
              </w:rPr>
              <w:t>4,035,462</w:t>
            </w:r>
          </w:p>
        </w:tc>
        <w:tc>
          <w:tcPr>
            <w:tcW w:w="1520" w:type="dxa"/>
            <w:vAlign w:val="bottom"/>
            <w:tcBorders>
              <w:bottom w:val="single" w:sz="8" w:color="D1DDE6"/>
            </w:tcBorders>
            <w:shd w:val="clear" w:color="auto" w:fill="D1DDE6"/>
          </w:tcPr>
          <w:p>
            <w:pPr>
              <w:jc w:val="center"/>
              <w:spacing w:after="0"/>
              <w:rPr>
                <w:sz w:val="20"/>
                <w:szCs w:val="20"/>
                <w:color w:val="auto"/>
              </w:rPr>
            </w:pPr>
            <w:r>
              <w:rPr>
                <w:rFonts w:ascii="Arial" w:cs="Arial" w:eastAsia="Arial" w:hAnsi="Arial"/>
                <w:sz w:val="14"/>
                <w:szCs w:val="14"/>
                <w:color w:val="auto"/>
                <w:w w:val="93"/>
              </w:rPr>
              <w:t>36,316</w:t>
            </w:r>
          </w:p>
        </w:tc>
        <w:tc>
          <w:tcPr>
            <w:tcW w:w="1440" w:type="dxa"/>
            <w:vAlign w:val="bottom"/>
            <w:tcBorders>
              <w:bottom w:val="single" w:sz="8" w:color="D1DDE6"/>
            </w:tcBorders>
            <w:shd w:val="clear" w:color="auto" w:fill="D1DDE6"/>
          </w:tcPr>
          <w:p>
            <w:pPr>
              <w:jc w:val="center"/>
              <w:ind w:left="15"/>
              <w:spacing w:after="0"/>
              <w:rPr>
                <w:sz w:val="20"/>
                <w:szCs w:val="20"/>
                <w:color w:val="auto"/>
              </w:rPr>
            </w:pPr>
            <w:r>
              <w:rPr>
                <w:rFonts w:ascii="Arial" w:cs="Arial" w:eastAsia="Arial" w:hAnsi="Arial"/>
                <w:sz w:val="14"/>
                <w:szCs w:val="14"/>
                <w:color w:val="auto"/>
                <w:w w:val="96"/>
              </w:rPr>
              <w:t>8,893,788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2"/>
        </w:trPr>
        <w:tc>
          <w:tcPr>
            <w:tcW w:w="4340" w:type="dxa"/>
            <w:vAlign w:val="bottom"/>
            <w:tcBorders>
              <w:top w:val="single" w:sz="8" w:color="34657F"/>
            </w:tcBorders>
          </w:tcPr>
          <w:p>
            <w:pPr>
              <w:spacing w:after="0"/>
              <w:rPr>
                <w:sz w:val="18"/>
                <w:szCs w:val="18"/>
                <w:color w:val="auto"/>
              </w:rPr>
            </w:pPr>
          </w:p>
        </w:tc>
        <w:tc>
          <w:tcPr>
            <w:tcW w:w="960" w:type="dxa"/>
            <w:vAlign w:val="bottom"/>
            <w:tcBorders>
              <w:top w:val="single" w:sz="8" w:color="34657F"/>
            </w:tcBorders>
          </w:tcPr>
          <w:p>
            <w:pPr>
              <w:ind w:left="220"/>
              <w:spacing w:after="0"/>
              <w:rPr>
                <w:sz w:val="20"/>
                <w:szCs w:val="20"/>
                <w:color w:val="auto"/>
              </w:rPr>
            </w:pPr>
            <w:r>
              <w:rPr>
                <w:rFonts w:ascii="Arial" w:cs="Arial" w:eastAsia="Arial" w:hAnsi="Arial"/>
                <w:sz w:val="14"/>
                <w:szCs w:val="14"/>
                <w:color w:val="auto"/>
              </w:rPr>
              <w:t>9/19/2018</w:t>
            </w:r>
          </w:p>
        </w:tc>
        <w:tc>
          <w:tcPr>
            <w:tcW w:w="1500" w:type="dxa"/>
            <w:vAlign w:val="bottom"/>
            <w:tcBorders>
              <w:top w:val="single" w:sz="8" w:color="34657F"/>
            </w:tcBorders>
          </w:tcPr>
          <w:p>
            <w:pPr>
              <w:jc w:val="center"/>
              <w:spacing w:after="0"/>
              <w:rPr>
                <w:sz w:val="20"/>
                <w:szCs w:val="20"/>
                <w:color w:val="auto"/>
              </w:rPr>
            </w:pPr>
            <w:r>
              <w:rPr>
                <w:rFonts w:ascii="Arial" w:cs="Arial" w:eastAsia="Arial" w:hAnsi="Arial"/>
                <w:sz w:val="14"/>
                <w:szCs w:val="14"/>
                <w:color w:val="auto"/>
                <w:w w:val="96"/>
              </w:rPr>
              <w:t>4,943</w:t>
            </w:r>
          </w:p>
        </w:tc>
        <w:tc>
          <w:tcPr>
            <w:tcW w:w="1660" w:type="dxa"/>
            <w:vAlign w:val="bottom"/>
            <w:tcBorders>
              <w:top w:val="single" w:sz="8" w:color="34657F"/>
            </w:tcBorders>
          </w:tcPr>
          <w:p>
            <w:pPr>
              <w:jc w:val="center"/>
              <w:spacing w:after="0"/>
              <w:rPr>
                <w:sz w:val="20"/>
                <w:szCs w:val="20"/>
                <w:color w:val="auto"/>
              </w:rPr>
            </w:pPr>
            <w:r>
              <w:rPr>
                <w:rFonts w:ascii="Arial" w:cs="Arial" w:eastAsia="Arial" w:hAnsi="Arial"/>
                <w:sz w:val="14"/>
                <w:szCs w:val="14"/>
                <w:color w:val="auto"/>
                <w:w w:val="99"/>
              </w:rPr>
              <w:t>1,210,541</w:t>
            </w:r>
          </w:p>
        </w:tc>
        <w:tc>
          <w:tcPr>
            <w:tcW w:w="1520" w:type="dxa"/>
            <w:vAlign w:val="bottom"/>
            <w:tcBorders>
              <w:top w:val="single" w:sz="8" w:color="34657F"/>
            </w:tcBorders>
          </w:tcPr>
          <w:p>
            <w:pPr>
              <w:jc w:val="center"/>
              <w:spacing w:after="0"/>
              <w:rPr>
                <w:sz w:val="20"/>
                <w:szCs w:val="20"/>
                <w:color w:val="auto"/>
              </w:rPr>
            </w:pPr>
            <w:r>
              <w:rPr>
                <w:rFonts w:ascii="Arial" w:cs="Arial" w:eastAsia="Arial" w:hAnsi="Arial"/>
                <w:sz w:val="14"/>
                <w:szCs w:val="14"/>
                <w:color w:val="auto"/>
                <w:w w:val="93"/>
              </w:rPr>
              <w:t>13,016</w:t>
            </w:r>
          </w:p>
        </w:tc>
        <w:tc>
          <w:tcPr>
            <w:tcW w:w="1440" w:type="dxa"/>
            <w:vAlign w:val="bottom"/>
            <w:tcBorders>
              <w:top w:val="single" w:sz="8" w:color="34657F"/>
            </w:tcBorders>
          </w:tcPr>
          <w:p>
            <w:pPr>
              <w:jc w:val="center"/>
              <w:ind w:left="15"/>
              <w:spacing w:after="0"/>
              <w:rPr>
                <w:sz w:val="20"/>
                <w:szCs w:val="20"/>
                <w:color w:val="auto"/>
              </w:rPr>
            </w:pPr>
            <w:r>
              <w:rPr>
                <w:rFonts w:ascii="Arial" w:cs="Arial" w:eastAsia="Arial" w:hAnsi="Arial"/>
                <w:sz w:val="14"/>
                <w:szCs w:val="14"/>
                <w:color w:val="auto"/>
                <w:w w:val="96"/>
              </w:rPr>
              <w:t>3,187,618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
        </w:trPr>
        <w:tc>
          <w:tcPr>
            <w:tcW w:w="43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4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6"/>
        </w:trPr>
        <w:tc>
          <w:tcPr>
            <w:tcW w:w="4340" w:type="dxa"/>
            <w:vAlign w:val="bottom"/>
            <w:vMerge w:val="restart"/>
          </w:tcPr>
          <w:p>
            <w:pPr>
              <w:ind w:left="20"/>
              <w:spacing w:after="0"/>
              <w:rPr>
                <w:sz w:val="20"/>
                <w:szCs w:val="20"/>
                <w:color w:val="auto"/>
              </w:rPr>
            </w:pPr>
            <w:r>
              <w:rPr>
                <w:rFonts w:ascii="Arial" w:cs="Arial" w:eastAsia="Arial" w:hAnsi="Arial"/>
                <w:sz w:val="14"/>
                <w:szCs w:val="14"/>
                <w:color w:val="auto"/>
              </w:rPr>
              <w:t>Kathy J. Warden</w:t>
            </w:r>
          </w:p>
        </w:tc>
        <w:tc>
          <w:tcPr>
            <w:tcW w:w="960" w:type="dxa"/>
            <w:vAlign w:val="bottom"/>
            <w:tcBorders>
              <w:bottom w:val="single" w:sz="8" w:color="D1DDE6"/>
            </w:tcBorders>
            <w:shd w:val="clear" w:color="auto" w:fill="D1DDE6"/>
          </w:tcPr>
          <w:p>
            <w:pPr>
              <w:ind w:left="220"/>
              <w:spacing w:after="0"/>
              <w:rPr>
                <w:sz w:val="20"/>
                <w:szCs w:val="20"/>
                <w:color w:val="auto"/>
              </w:rPr>
            </w:pPr>
            <w:r>
              <w:rPr>
                <w:rFonts w:ascii="Arial" w:cs="Arial" w:eastAsia="Arial" w:hAnsi="Arial"/>
                <w:sz w:val="14"/>
                <w:szCs w:val="14"/>
                <w:color w:val="auto"/>
              </w:rPr>
              <w:t>2/13/2018</w:t>
            </w:r>
          </w:p>
        </w:tc>
        <w:tc>
          <w:tcPr>
            <w:tcW w:w="1500" w:type="dxa"/>
            <w:vAlign w:val="bottom"/>
            <w:tcBorders>
              <w:bottom w:val="single" w:sz="8" w:color="D1DDE6"/>
            </w:tcBorders>
            <w:shd w:val="clear" w:color="auto" w:fill="D1DDE6"/>
          </w:tcPr>
          <w:p>
            <w:pPr>
              <w:jc w:val="center"/>
              <w:spacing w:after="0"/>
              <w:rPr>
                <w:sz w:val="20"/>
                <w:szCs w:val="20"/>
                <w:color w:val="auto"/>
              </w:rPr>
            </w:pPr>
            <w:r>
              <w:rPr>
                <w:rFonts w:ascii="Arial" w:cs="Arial" w:eastAsia="Arial" w:hAnsi="Arial"/>
                <w:sz w:val="14"/>
                <w:szCs w:val="14"/>
                <w:color w:val="auto"/>
                <w:w w:val="96"/>
              </w:rPr>
              <w:t>4,516</w:t>
            </w:r>
          </w:p>
        </w:tc>
        <w:tc>
          <w:tcPr>
            <w:tcW w:w="1660" w:type="dxa"/>
            <w:vAlign w:val="bottom"/>
            <w:tcBorders>
              <w:bottom w:val="single" w:sz="8" w:color="D1DDE6"/>
            </w:tcBorders>
            <w:shd w:val="clear" w:color="auto" w:fill="D1DDE6"/>
          </w:tcPr>
          <w:p>
            <w:pPr>
              <w:jc w:val="center"/>
              <w:spacing w:after="0"/>
              <w:rPr>
                <w:sz w:val="20"/>
                <w:szCs w:val="20"/>
                <w:color w:val="auto"/>
              </w:rPr>
            </w:pPr>
            <w:r>
              <w:rPr>
                <w:rFonts w:ascii="Arial" w:cs="Arial" w:eastAsia="Arial" w:hAnsi="Arial"/>
                <w:sz w:val="14"/>
                <w:szCs w:val="14"/>
                <w:color w:val="auto"/>
                <w:w w:val="99"/>
              </w:rPr>
              <w:t>1,105,968</w:t>
            </w:r>
          </w:p>
        </w:tc>
        <w:tc>
          <w:tcPr>
            <w:tcW w:w="1520" w:type="dxa"/>
            <w:vAlign w:val="bottom"/>
            <w:tcBorders>
              <w:bottom w:val="single" w:sz="8" w:color="D1DDE6"/>
            </w:tcBorders>
            <w:shd w:val="clear" w:color="auto" w:fill="D1DDE6"/>
          </w:tcPr>
          <w:p>
            <w:pPr>
              <w:jc w:val="center"/>
              <w:spacing w:after="0"/>
              <w:rPr>
                <w:sz w:val="20"/>
                <w:szCs w:val="20"/>
                <w:color w:val="auto"/>
              </w:rPr>
            </w:pPr>
            <w:r>
              <w:rPr>
                <w:rFonts w:ascii="Arial" w:cs="Arial" w:eastAsia="Arial" w:hAnsi="Arial"/>
                <w:sz w:val="14"/>
                <w:szCs w:val="14"/>
                <w:color w:val="auto"/>
              </w:rPr>
              <w:t>9,944</w:t>
            </w:r>
          </w:p>
        </w:tc>
        <w:tc>
          <w:tcPr>
            <w:tcW w:w="1440" w:type="dxa"/>
            <w:vAlign w:val="bottom"/>
            <w:tcBorders>
              <w:bottom w:val="single" w:sz="8" w:color="D1DDE6"/>
            </w:tcBorders>
            <w:shd w:val="clear" w:color="auto" w:fill="D1DDE6"/>
          </w:tcPr>
          <w:p>
            <w:pPr>
              <w:jc w:val="center"/>
              <w:ind w:left="15"/>
              <w:spacing w:after="0"/>
              <w:rPr>
                <w:sz w:val="20"/>
                <w:szCs w:val="20"/>
                <w:color w:val="auto"/>
              </w:rPr>
            </w:pPr>
            <w:r>
              <w:rPr>
                <w:rFonts w:ascii="Arial" w:cs="Arial" w:eastAsia="Arial" w:hAnsi="Arial"/>
                <w:sz w:val="14"/>
                <w:szCs w:val="14"/>
                <w:color w:val="auto"/>
                <w:w w:val="96"/>
              </w:rPr>
              <w:t>2,435,286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1"/>
        </w:trPr>
        <w:tc>
          <w:tcPr>
            <w:tcW w:w="4340" w:type="dxa"/>
            <w:vAlign w:val="bottom"/>
            <w:vMerge w:val="continue"/>
          </w:tcPr>
          <w:p>
            <w:pPr>
              <w:spacing w:after="0"/>
              <w:rPr>
                <w:sz w:val="7"/>
                <w:szCs w:val="7"/>
                <w:color w:val="auto"/>
              </w:rPr>
            </w:pPr>
          </w:p>
        </w:tc>
        <w:tc>
          <w:tcPr>
            <w:tcW w:w="960" w:type="dxa"/>
            <w:vAlign w:val="bottom"/>
            <w:vMerge w:val="restart"/>
          </w:tcPr>
          <w:p>
            <w:pPr>
              <w:ind w:left="220"/>
              <w:spacing w:after="0"/>
              <w:rPr>
                <w:sz w:val="20"/>
                <w:szCs w:val="20"/>
                <w:color w:val="auto"/>
              </w:rPr>
            </w:pPr>
            <w:r>
              <w:rPr>
                <w:rFonts w:ascii="Arial" w:cs="Arial" w:eastAsia="Arial" w:hAnsi="Arial"/>
                <w:sz w:val="14"/>
                <w:szCs w:val="14"/>
                <w:color w:val="auto"/>
              </w:rPr>
              <w:t>2/17/2017</w:t>
            </w:r>
          </w:p>
        </w:tc>
        <w:tc>
          <w:tcPr>
            <w:tcW w:w="1500" w:type="dxa"/>
            <w:vAlign w:val="bottom"/>
            <w:vMerge w:val="restart"/>
          </w:tcPr>
          <w:p>
            <w:pPr>
              <w:jc w:val="center"/>
              <w:spacing w:after="0"/>
              <w:rPr>
                <w:sz w:val="20"/>
                <w:szCs w:val="20"/>
                <w:color w:val="auto"/>
              </w:rPr>
            </w:pPr>
            <w:r>
              <w:rPr>
                <w:rFonts w:ascii="Arial" w:cs="Arial" w:eastAsia="Arial" w:hAnsi="Arial"/>
                <w:sz w:val="14"/>
                <w:szCs w:val="14"/>
                <w:color w:val="auto"/>
                <w:w w:val="96"/>
              </w:rPr>
              <w:t>4,465</w:t>
            </w:r>
          </w:p>
        </w:tc>
        <w:tc>
          <w:tcPr>
            <w:tcW w:w="1660" w:type="dxa"/>
            <w:vAlign w:val="bottom"/>
            <w:vMerge w:val="restart"/>
          </w:tcPr>
          <w:p>
            <w:pPr>
              <w:jc w:val="center"/>
              <w:spacing w:after="0"/>
              <w:rPr>
                <w:sz w:val="20"/>
                <w:szCs w:val="20"/>
                <w:color w:val="auto"/>
              </w:rPr>
            </w:pPr>
            <w:r>
              <w:rPr>
                <w:rFonts w:ascii="Arial" w:cs="Arial" w:eastAsia="Arial" w:hAnsi="Arial"/>
                <w:sz w:val="14"/>
                <w:szCs w:val="14"/>
                <w:color w:val="auto"/>
                <w:w w:val="99"/>
              </w:rPr>
              <w:t>1,093,479</w:t>
            </w:r>
          </w:p>
        </w:tc>
        <w:tc>
          <w:tcPr>
            <w:tcW w:w="1520" w:type="dxa"/>
            <w:vAlign w:val="bottom"/>
            <w:vMerge w:val="restart"/>
          </w:tcPr>
          <w:p>
            <w:pPr>
              <w:jc w:val="center"/>
              <w:spacing w:after="0"/>
              <w:rPr>
                <w:sz w:val="20"/>
                <w:szCs w:val="20"/>
                <w:color w:val="auto"/>
              </w:rPr>
            </w:pPr>
            <w:r>
              <w:rPr>
                <w:rFonts w:ascii="Arial" w:cs="Arial" w:eastAsia="Arial" w:hAnsi="Arial"/>
                <w:sz w:val="14"/>
                <w:szCs w:val="14"/>
                <w:color w:val="auto"/>
                <w:w w:val="93"/>
              </w:rPr>
              <w:t>10,676</w:t>
            </w:r>
          </w:p>
        </w:tc>
        <w:tc>
          <w:tcPr>
            <w:tcW w:w="1440" w:type="dxa"/>
            <w:vAlign w:val="bottom"/>
            <w:vMerge w:val="restart"/>
          </w:tcPr>
          <w:p>
            <w:pPr>
              <w:jc w:val="center"/>
              <w:ind w:left="15"/>
              <w:spacing w:after="0"/>
              <w:rPr>
                <w:sz w:val="20"/>
                <w:szCs w:val="20"/>
                <w:color w:val="auto"/>
              </w:rPr>
            </w:pPr>
            <w:r>
              <w:rPr>
                <w:rFonts w:ascii="Arial" w:cs="Arial" w:eastAsia="Arial" w:hAnsi="Arial"/>
                <w:sz w:val="14"/>
                <w:szCs w:val="14"/>
                <w:color w:val="auto"/>
                <w:w w:val="96"/>
              </w:rPr>
              <w:t>2,614,552</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8"/>
        </w:trPr>
        <w:tc>
          <w:tcPr>
            <w:tcW w:w="4340" w:type="dxa"/>
            <w:vAlign w:val="bottom"/>
          </w:tcPr>
          <w:p>
            <w:pPr>
              <w:spacing w:after="0"/>
              <w:rPr>
                <w:sz w:val="11"/>
                <w:szCs w:val="11"/>
                <w:color w:val="auto"/>
              </w:rPr>
            </w:pPr>
          </w:p>
        </w:tc>
        <w:tc>
          <w:tcPr>
            <w:tcW w:w="960" w:type="dxa"/>
            <w:vAlign w:val="bottom"/>
            <w:vMerge w:val="continue"/>
          </w:tcPr>
          <w:p>
            <w:pPr>
              <w:spacing w:after="0"/>
              <w:rPr>
                <w:sz w:val="11"/>
                <w:szCs w:val="11"/>
                <w:color w:val="auto"/>
              </w:rPr>
            </w:pPr>
          </w:p>
        </w:tc>
        <w:tc>
          <w:tcPr>
            <w:tcW w:w="1500" w:type="dxa"/>
            <w:vAlign w:val="bottom"/>
            <w:vMerge w:val="continue"/>
          </w:tcPr>
          <w:p>
            <w:pPr>
              <w:spacing w:after="0"/>
              <w:rPr>
                <w:sz w:val="11"/>
                <w:szCs w:val="11"/>
                <w:color w:val="auto"/>
              </w:rPr>
            </w:pPr>
          </w:p>
        </w:tc>
        <w:tc>
          <w:tcPr>
            <w:tcW w:w="1660" w:type="dxa"/>
            <w:vAlign w:val="bottom"/>
            <w:vMerge w:val="continue"/>
          </w:tcPr>
          <w:p>
            <w:pPr>
              <w:spacing w:after="0"/>
              <w:rPr>
                <w:sz w:val="11"/>
                <w:szCs w:val="11"/>
                <w:color w:val="auto"/>
              </w:rPr>
            </w:pPr>
          </w:p>
        </w:tc>
        <w:tc>
          <w:tcPr>
            <w:tcW w:w="152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7"/>
        </w:trPr>
        <w:tc>
          <w:tcPr>
            <w:tcW w:w="43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4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6"/>
        </w:trPr>
        <w:tc>
          <w:tcPr>
            <w:tcW w:w="4340" w:type="dxa"/>
            <w:vAlign w:val="bottom"/>
          </w:tcPr>
          <w:p>
            <w:pPr>
              <w:spacing w:after="0"/>
              <w:rPr>
                <w:sz w:val="22"/>
                <w:szCs w:val="22"/>
                <w:color w:val="auto"/>
              </w:rPr>
            </w:pPr>
          </w:p>
        </w:tc>
        <w:tc>
          <w:tcPr>
            <w:tcW w:w="960" w:type="dxa"/>
            <w:vAlign w:val="bottom"/>
            <w:tcBorders>
              <w:bottom w:val="single" w:sz="8" w:color="D1DDE6"/>
            </w:tcBorders>
            <w:shd w:val="clear" w:color="auto" w:fill="D1DDE6"/>
          </w:tcPr>
          <w:p>
            <w:pPr>
              <w:ind w:left="220"/>
              <w:spacing w:after="0"/>
              <w:rPr>
                <w:sz w:val="20"/>
                <w:szCs w:val="20"/>
                <w:color w:val="auto"/>
              </w:rPr>
            </w:pPr>
            <w:r>
              <w:rPr>
                <w:rFonts w:ascii="Arial" w:cs="Arial" w:eastAsia="Arial" w:hAnsi="Arial"/>
                <w:sz w:val="14"/>
                <w:szCs w:val="14"/>
                <w:color w:val="auto"/>
              </w:rPr>
              <w:t>2/17/2016</w:t>
            </w:r>
          </w:p>
        </w:tc>
        <w:tc>
          <w:tcPr>
            <w:tcW w:w="1500" w:type="dxa"/>
            <w:vAlign w:val="bottom"/>
            <w:tcBorders>
              <w:bottom w:val="single" w:sz="8" w:color="D1DDE6"/>
            </w:tcBorders>
            <w:shd w:val="clear" w:color="auto" w:fill="D1DDE6"/>
          </w:tcPr>
          <w:p>
            <w:pPr>
              <w:jc w:val="center"/>
              <w:spacing w:after="0"/>
              <w:rPr>
                <w:sz w:val="20"/>
                <w:szCs w:val="20"/>
                <w:color w:val="auto"/>
              </w:rPr>
            </w:pPr>
            <w:r>
              <w:rPr>
                <w:rFonts w:ascii="Arial" w:cs="Arial" w:eastAsia="Arial" w:hAnsi="Arial"/>
                <w:sz w:val="14"/>
                <w:szCs w:val="14"/>
                <w:color w:val="auto"/>
                <w:w w:val="96"/>
              </w:rPr>
              <w:t>5,767</w:t>
            </w:r>
          </w:p>
        </w:tc>
        <w:tc>
          <w:tcPr>
            <w:tcW w:w="1660" w:type="dxa"/>
            <w:vAlign w:val="bottom"/>
            <w:tcBorders>
              <w:bottom w:val="single" w:sz="8" w:color="D1DDE6"/>
            </w:tcBorders>
            <w:shd w:val="clear" w:color="auto" w:fill="D1DDE6"/>
          </w:tcPr>
          <w:p>
            <w:pPr>
              <w:jc w:val="center"/>
              <w:spacing w:after="0"/>
              <w:rPr>
                <w:sz w:val="20"/>
                <w:szCs w:val="20"/>
                <w:color w:val="auto"/>
              </w:rPr>
            </w:pPr>
            <w:r>
              <w:rPr>
                <w:rFonts w:ascii="Arial" w:cs="Arial" w:eastAsia="Arial" w:hAnsi="Arial"/>
                <w:sz w:val="14"/>
                <w:szCs w:val="14"/>
                <w:color w:val="auto"/>
                <w:w w:val="99"/>
              </w:rPr>
              <w:t>1,412,338</w:t>
            </w:r>
          </w:p>
        </w:tc>
        <w:tc>
          <w:tcPr>
            <w:tcW w:w="1520" w:type="dxa"/>
            <w:vAlign w:val="bottom"/>
            <w:tcBorders>
              <w:bottom w:val="single" w:sz="8" w:color="D1DDE6"/>
            </w:tcBorders>
            <w:shd w:val="clear" w:color="auto" w:fill="D1DDE6"/>
          </w:tcPr>
          <w:p>
            <w:pPr>
              <w:jc w:val="center"/>
              <w:spacing w:after="0"/>
              <w:rPr>
                <w:sz w:val="20"/>
                <w:szCs w:val="20"/>
                <w:color w:val="auto"/>
              </w:rPr>
            </w:pPr>
            <w:r>
              <w:rPr>
                <w:rFonts w:ascii="Arial" w:cs="Arial" w:eastAsia="Arial" w:hAnsi="Arial"/>
                <w:sz w:val="14"/>
                <w:szCs w:val="14"/>
                <w:color w:val="auto"/>
                <w:w w:val="93"/>
              </w:rPr>
              <w:t>12,710</w:t>
            </w:r>
          </w:p>
        </w:tc>
        <w:tc>
          <w:tcPr>
            <w:tcW w:w="1440" w:type="dxa"/>
            <w:vAlign w:val="bottom"/>
            <w:tcBorders>
              <w:bottom w:val="single" w:sz="8" w:color="D1DDE6"/>
            </w:tcBorders>
            <w:shd w:val="clear" w:color="auto" w:fill="D1DDE6"/>
          </w:tcPr>
          <w:p>
            <w:pPr>
              <w:jc w:val="center"/>
              <w:ind w:left="15"/>
              <w:spacing w:after="0"/>
              <w:rPr>
                <w:sz w:val="20"/>
                <w:szCs w:val="20"/>
                <w:color w:val="auto"/>
              </w:rPr>
            </w:pPr>
            <w:r>
              <w:rPr>
                <w:rFonts w:ascii="Arial" w:cs="Arial" w:eastAsia="Arial" w:hAnsi="Arial"/>
                <w:sz w:val="14"/>
                <w:szCs w:val="14"/>
                <w:color w:val="auto"/>
                <w:w w:val="96"/>
              </w:rPr>
              <w:t>3,112,679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2"/>
        </w:trPr>
        <w:tc>
          <w:tcPr>
            <w:tcW w:w="4340" w:type="dxa"/>
            <w:vAlign w:val="bottom"/>
            <w:tcBorders>
              <w:top w:val="single" w:sz="8" w:color="34657F"/>
            </w:tcBorders>
          </w:tcPr>
          <w:p>
            <w:pPr>
              <w:spacing w:after="0"/>
              <w:rPr>
                <w:sz w:val="18"/>
                <w:szCs w:val="18"/>
                <w:color w:val="auto"/>
              </w:rPr>
            </w:pPr>
          </w:p>
        </w:tc>
        <w:tc>
          <w:tcPr>
            <w:tcW w:w="960" w:type="dxa"/>
            <w:vAlign w:val="bottom"/>
            <w:tcBorders>
              <w:top w:val="single" w:sz="8" w:color="34657F"/>
            </w:tcBorders>
          </w:tcPr>
          <w:p>
            <w:pPr>
              <w:ind w:left="220"/>
              <w:spacing w:after="0"/>
              <w:rPr>
                <w:sz w:val="20"/>
                <w:szCs w:val="20"/>
                <w:color w:val="auto"/>
              </w:rPr>
            </w:pPr>
            <w:r>
              <w:rPr>
                <w:rFonts w:ascii="Arial" w:cs="Arial" w:eastAsia="Arial" w:hAnsi="Arial"/>
                <w:sz w:val="14"/>
                <w:szCs w:val="14"/>
                <w:color w:val="auto"/>
              </w:rPr>
              <w:t>2/13/2018</w:t>
            </w:r>
          </w:p>
        </w:tc>
        <w:tc>
          <w:tcPr>
            <w:tcW w:w="1500" w:type="dxa"/>
            <w:vAlign w:val="bottom"/>
            <w:tcBorders>
              <w:top w:val="single" w:sz="8" w:color="34657F"/>
            </w:tcBorders>
          </w:tcPr>
          <w:p>
            <w:pPr>
              <w:jc w:val="center"/>
              <w:spacing w:after="0"/>
              <w:rPr>
                <w:sz w:val="20"/>
                <w:szCs w:val="20"/>
                <w:color w:val="auto"/>
              </w:rPr>
            </w:pPr>
            <w:r>
              <w:rPr>
                <w:rFonts w:ascii="Arial" w:cs="Arial" w:eastAsia="Arial" w:hAnsi="Arial"/>
                <w:sz w:val="14"/>
                <w:szCs w:val="14"/>
                <w:color w:val="auto"/>
                <w:w w:val="96"/>
              </w:rPr>
              <w:t>3,161</w:t>
            </w:r>
          </w:p>
        </w:tc>
        <w:tc>
          <w:tcPr>
            <w:tcW w:w="1660" w:type="dxa"/>
            <w:vAlign w:val="bottom"/>
            <w:tcBorders>
              <w:top w:val="single" w:sz="8" w:color="34657F"/>
            </w:tcBorders>
          </w:tcPr>
          <w:p>
            <w:pPr>
              <w:jc w:val="center"/>
              <w:spacing w:after="0"/>
              <w:rPr>
                <w:sz w:val="20"/>
                <w:szCs w:val="20"/>
                <w:color w:val="auto"/>
              </w:rPr>
            </w:pPr>
            <w:r>
              <w:rPr>
                <w:rFonts w:ascii="Arial" w:cs="Arial" w:eastAsia="Arial" w:hAnsi="Arial"/>
                <w:sz w:val="14"/>
                <w:szCs w:val="14"/>
                <w:color w:val="auto"/>
                <w:w w:val="98"/>
              </w:rPr>
              <w:t>774,129</w:t>
            </w:r>
          </w:p>
        </w:tc>
        <w:tc>
          <w:tcPr>
            <w:tcW w:w="1520" w:type="dxa"/>
            <w:vAlign w:val="bottom"/>
            <w:tcBorders>
              <w:top w:val="single" w:sz="8" w:color="34657F"/>
            </w:tcBorders>
          </w:tcPr>
          <w:p>
            <w:pPr>
              <w:jc w:val="center"/>
              <w:spacing w:after="0"/>
              <w:rPr>
                <w:sz w:val="20"/>
                <w:szCs w:val="20"/>
                <w:color w:val="auto"/>
              </w:rPr>
            </w:pPr>
            <w:r>
              <w:rPr>
                <w:rFonts w:ascii="Arial" w:cs="Arial" w:eastAsia="Arial" w:hAnsi="Arial"/>
                <w:sz w:val="14"/>
                <w:szCs w:val="14"/>
                <w:color w:val="auto"/>
              </w:rPr>
              <w:t>6,961</w:t>
            </w:r>
          </w:p>
        </w:tc>
        <w:tc>
          <w:tcPr>
            <w:tcW w:w="1440" w:type="dxa"/>
            <w:vAlign w:val="bottom"/>
            <w:tcBorders>
              <w:top w:val="single" w:sz="8" w:color="34657F"/>
            </w:tcBorders>
          </w:tcPr>
          <w:p>
            <w:pPr>
              <w:jc w:val="center"/>
              <w:ind w:left="15"/>
              <w:spacing w:after="0"/>
              <w:rPr>
                <w:sz w:val="20"/>
                <w:szCs w:val="20"/>
                <w:color w:val="auto"/>
              </w:rPr>
            </w:pPr>
            <w:r>
              <w:rPr>
                <w:rFonts w:ascii="Arial" w:cs="Arial" w:eastAsia="Arial" w:hAnsi="Arial"/>
                <w:sz w:val="14"/>
                <w:szCs w:val="14"/>
                <w:color w:val="auto"/>
                <w:w w:val="96"/>
              </w:rPr>
              <w:t>1,704,749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
        </w:trPr>
        <w:tc>
          <w:tcPr>
            <w:tcW w:w="43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4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6"/>
        </w:trPr>
        <w:tc>
          <w:tcPr>
            <w:tcW w:w="4340" w:type="dxa"/>
            <w:vAlign w:val="bottom"/>
          </w:tcPr>
          <w:p>
            <w:pPr>
              <w:ind w:left="20"/>
              <w:spacing w:after="0"/>
              <w:rPr>
                <w:sz w:val="20"/>
                <w:szCs w:val="20"/>
                <w:color w:val="auto"/>
              </w:rPr>
            </w:pPr>
            <w:r>
              <w:rPr>
                <w:rFonts w:ascii="Arial" w:cs="Arial" w:eastAsia="Arial" w:hAnsi="Arial"/>
                <w:sz w:val="14"/>
                <w:szCs w:val="14"/>
                <w:color w:val="auto"/>
              </w:rPr>
              <w:t>Kenneth L. Bedingfield</w:t>
            </w:r>
          </w:p>
        </w:tc>
        <w:tc>
          <w:tcPr>
            <w:tcW w:w="960" w:type="dxa"/>
            <w:vAlign w:val="bottom"/>
            <w:tcBorders>
              <w:bottom w:val="single" w:sz="8" w:color="D1DDE6"/>
            </w:tcBorders>
            <w:shd w:val="clear" w:color="auto" w:fill="D1DDE6"/>
          </w:tcPr>
          <w:p>
            <w:pPr>
              <w:ind w:left="220"/>
              <w:spacing w:after="0"/>
              <w:rPr>
                <w:sz w:val="20"/>
                <w:szCs w:val="20"/>
                <w:color w:val="auto"/>
              </w:rPr>
            </w:pPr>
            <w:r>
              <w:rPr>
                <w:rFonts w:ascii="Arial" w:cs="Arial" w:eastAsia="Arial" w:hAnsi="Arial"/>
                <w:sz w:val="14"/>
                <w:szCs w:val="14"/>
                <w:color w:val="auto"/>
              </w:rPr>
              <w:t>2/17/2017</w:t>
            </w:r>
          </w:p>
        </w:tc>
        <w:tc>
          <w:tcPr>
            <w:tcW w:w="1500" w:type="dxa"/>
            <w:vAlign w:val="bottom"/>
            <w:tcBorders>
              <w:bottom w:val="single" w:sz="8" w:color="D1DDE6"/>
            </w:tcBorders>
            <w:shd w:val="clear" w:color="auto" w:fill="D1DDE6"/>
          </w:tcPr>
          <w:p>
            <w:pPr>
              <w:jc w:val="center"/>
              <w:spacing w:after="0"/>
              <w:rPr>
                <w:sz w:val="20"/>
                <w:szCs w:val="20"/>
                <w:color w:val="auto"/>
              </w:rPr>
            </w:pPr>
            <w:r>
              <w:rPr>
                <w:rFonts w:ascii="Arial" w:cs="Arial" w:eastAsia="Arial" w:hAnsi="Arial"/>
                <w:sz w:val="14"/>
                <w:szCs w:val="14"/>
                <w:color w:val="auto"/>
                <w:w w:val="96"/>
              </w:rPr>
              <w:t>4,146</w:t>
            </w:r>
          </w:p>
        </w:tc>
        <w:tc>
          <w:tcPr>
            <w:tcW w:w="1660" w:type="dxa"/>
            <w:vAlign w:val="bottom"/>
            <w:tcBorders>
              <w:bottom w:val="single" w:sz="8" w:color="D1DDE6"/>
            </w:tcBorders>
            <w:shd w:val="clear" w:color="auto" w:fill="D1DDE6"/>
          </w:tcPr>
          <w:p>
            <w:pPr>
              <w:jc w:val="center"/>
              <w:spacing w:after="0"/>
              <w:rPr>
                <w:sz w:val="20"/>
                <w:szCs w:val="20"/>
                <w:color w:val="auto"/>
              </w:rPr>
            </w:pPr>
            <w:r>
              <w:rPr>
                <w:rFonts w:ascii="Arial" w:cs="Arial" w:eastAsia="Arial" w:hAnsi="Arial"/>
                <w:sz w:val="14"/>
                <w:szCs w:val="14"/>
                <w:color w:val="auto"/>
                <w:w w:val="99"/>
              </w:rPr>
              <w:t>1,015,355</w:t>
            </w:r>
          </w:p>
        </w:tc>
        <w:tc>
          <w:tcPr>
            <w:tcW w:w="1520" w:type="dxa"/>
            <w:vAlign w:val="bottom"/>
            <w:tcBorders>
              <w:bottom w:val="single" w:sz="8" w:color="D1DDE6"/>
            </w:tcBorders>
            <w:shd w:val="clear" w:color="auto" w:fill="D1DDE6"/>
          </w:tcPr>
          <w:p>
            <w:pPr>
              <w:jc w:val="center"/>
              <w:spacing w:after="0"/>
              <w:rPr>
                <w:sz w:val="20"/>
                <w:szCs w:val="20"/>
                <w:color w:val="auto"/>
              </w:rPr>
            </w:pPr>
            <w:r>
              <w:rPr>
                <w:rFonts w:ascii="Arial" w:cs="Arial" w:eastAsia="Arial" w:hAnsi="Arial"/>
                <w:sz w:val="14"/>
                <w:szCs w:val="14"/>
                <w:color w:val="auto"/>
              </w:rPr>
              <w:t>9,914</w:t>
            </w:r>
          </w:p>
        </w:tc>
        <w:tc>
          <w:tcPr>
            <w:tcW w:w="1440" w:type="dxa"/>
            <w:vAlign w:val="bottom"/>
            <w:tcBorders>
              <w:bottom w:val="single" w:sz="8" w:color="D1DDE6"/>
            </w:tcBorders>
            <w:shd w:val="clear" w:color="auto" w:fill="D1DDE6"/>
          </w:tcPr>
          <w:p>
            <w:pPr>
              <w:jc w:val="center"/>
              <w:ind w:left="15"/>
              <w:spacing w:after="0"/>
              <w:rPr>
                <w:sz w:val="20"/>
                <w:szCs w:val="20"/>
                <w:color w:val="auto"/>
              </w:rPr>
            </w:pPr>
            <w:r>
              <w:rPr>
                <w:rFonts w:ascii="Arial" w:cs="Arial" w:eastAsia="Arial" w:hAnsi="Arial"/>
                <w:sz w:val="14"/>
                <w:szCs w:val="14"/>
                <w:color w:val="auto"/>
                <w:w w:val="96"/>
              </w:rPr>
              <w:t>2,427,939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4340" w:type="dxa"/>
            <w:vAlign w:val="bottom"/>
          </w:tcPr>
          <w:p>
            <w:pPr>
              <w:spacing w:after="0"/>
              <w:rPr>
                <w:sz w:val="19"/>
                <w:szCs w:val="19"/>
                <w:color w:val="auto"/>
              </w:rPr>
            </w:pPr>
          </w:p>
        </w:tc>
        <w:tc>
          <w:tcPr>
            <w:tcW w:w="960" w:type="dxa"/>
            <w:vAlign w:val="bottom"/>
          </w:tcPr>
          <w:p>
            <w:pPr>
              <w:ind w:left="220"/>
              <w:spacing w:after="0"/>
              <w:rPr>
                <w:sz w:val="20"/>
                <w:szCs w:val="20"/>
                <w:color w:val="auto"/>
              </w:rPr>
            </w:pPr>
            <w:r>
              <w:rPr>
                <w:rFonts w:ascii="Arial" w:cs="Arial" w:eastAsia="Arial" w:hAnsi="Arial"/>
                <w:sz w:val="14"/>
                <w:szCs w:val="14"/>
                <w:color w:val="auto"/>
              </w:rPr>
              <w:t>2/17/2016</w:t>
            </w:r>
          </w:p>
        </w:tc>
        <w:tc>
          <w:tcPr>
            <w:tcW w:w="1500" w:type="dxa"/>
            <w:vAlign w:val="bottom"/>
          </w:tcPr>
          <w:p>
            <w:pPr>
              <w:jc w:val="center"/>
              <w:spacing w:after="0"/>
              <w:rPr>
                <w:sz w:val="20"/>
                <w:szCs w:val="20"/>
                <w:color w:val="auto"/>
              </w:rPr>
            </w:pPr>
            <w:r>
              <w:rPr>
                <w:rFonts w:ascii="Arial" w:cs="Arial" w:eastAsia="Arial" w:hAnsi="Arial"/>
                <w:sz w:val="14"/>
                <w:szCs w:val="14"/>
                <w:color w:val="auto"/>
                <w:w w:val="96"/>
              </w:rPr>
              <w:t>4,943</w:t>
            </w:r>
          </w:p>
        </w:tc>
        <w:tc>
          <w:tcPr>
            <w:tcW w:w="1660" w:type="dxa"/>
            <w:vAlign w:val="bottom"/>
          </w:tcPr>
          <w:p>
            <w:pPr>
              <w:jc w:val="center"/>
              <w:spacing w:after="0"/>
              <w:rPr>
                <w:sz w:val="20"/>
                <w:szCs w:val="20"/>
                <w:color w:val="auto"/>
              </w:rPr>
            </w:pPr>
            <w:r>
              <w:rPr>
                <w:rFonts w:ascii="Arial" w:cs="Arial" w:eastAsia="Arial" w:hAnsi="Arial"/>
                <w:sz w:val="14"/>
                <w:szCs w:val="14"/>
                <w:color w:val="auto"/>
                <w:w w:val="99"/>
              </w:rPr>
              <w:t>1,210,541</w:t>
            </w:r>
          </w:p>
        </w:tc>
        <w:tc>
          <w:tcPr>
            <w:tcW w:w="1520" w:type="dxa"/>
            <w:vAlign w:val="bottom"/>
          </w:tcPr>
          <w:p>
            <w:pPr>
              <w:jc w:val="center"/>
              <w:spacing w:after="0"/>
              <w:rPr>
                <w:sz w:val="20"/>
                <w:szCs w:val="20"/>
                <w:color w:val="auto"/>
              </w:rPr>
            </w:pPr>
            <w:r>
              <w:rPr>
                <w:rFonts w:ascii="Arial" w:cs="Arial" w:eastAsia="Arial" w:hAnsi="Arial"/>
                <w:sz w:val="14"/>
                <w:szCs w:val="14"/>
                <w:color w:val="auto"/>
                <w:w w:val="93"/>
              </w:rPr>
              <w:t>10,895</w:t>
            </w:r>
          </w:p>
        </w:tc>
        <w:tc>
          <w:tcPr>
            <w:tcW w:w="1440" w:type="dxa"/>
            <w:vAlign w:val="bottom"/>
          </w:tcPr>
          <w:p>
            <w:pPr>
              <w:jc w:val="center"/>
              <w:ind w:left="15"/>
              <w:spacing w:after="0"/>
              <w:rPr>
                <w:sz w:val="20"/>
                <w:szCs w:val="20"/>
                <w:color w:val="auto"/>
              </w:rPr>
            </w:pPr>
            <w:r>
              <w:rPr>
                <w:rFonts w:ascii="Arial" w:cs="Arial" w:eastAsia="Arial" w:hAnsi="Arial"/>
                <w:sz w:val="14"/>
                <w:szCs w:val="14"/>
                <w:color w:val="auto"/>
                <w:w w:val="96"/>
              </w:rPr>
              <w:t>2,668,186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4340" w:type="dxa"/>
            <w:vAlign w:val="bottom"/>
            <w:tcBorders>
              <w:bottom w:val="single" w:sz="8" w:color="34657F"/>
            </w:tcBorders>
          </w:tcPr>
          <w:p>
            <w:pPr>
              <w:spacing w:after="0"/>
              <w:rPr>
                <w:sz w:val="3"/>
                <w:szCs w:val="3"/>
                <w:color w:val="auto"/>
              </w:rPr>
            </w:pPr>
          </w:p>
        </w:tc>
        <w:tc>
          <w:tcPr>
            <w:tcW w:w="960" w:type="dxa"/>
            <w:vAlign w:val="bottom"/>
            <w:tcBorders>
              <w:bottom w:val="single" w:sz="8" w:color="34657F"/>
            </w:tcBorders>
          </w:tcPr>
          <w:p>
            <w:pPr>
              <w:spacing w:after="0"/>
              <w:rPr>
                <w:sz w:val="3"/>
                <w:szCs w:val="3"/>
                <w:color w:val="auto"/>
              </w:rPr>
            </w:pPr>
          </w:p>
        </w:tc>
        <w:tc>
          <w:tcPr>
            <w:tcW w:w="1500" w:type="dxa"/>
            <w:vAlign w:val="bottom"/>
            <w:tcBorders>
              <w:bottom w:val="single" w:sz="8" w:color="34657F"/>
            </w:tcBorders>
          </w:tcPr>
          <w:p>
            <w:pPr>
              <w:spacing w:after="0"/>
              <w:rPr>
                <w:sz w:val="3"/>
                <w:szCs w:val="3"/>
                <w:color w:val="auto"/>
              </w:rPr>
            </w:pPr>
          </w:p>
        </w:tc>
        <w:tc>
          <w:tcPr>
            <w:tcW w:w="1660" w:type="dxa"/>
            <w:vAlign w:val="bottom"/>
            <w:tcBorders>
              <w:bottom w:val="single" w:sz="8" w:color="34657F"/>
            </w:tcBorders>
          </w:tcPr>
          <w:p>
            <w:pPr>
              <w:spacing w:after="0"/>
              <w:rPr>
                <w:sz w:val="3"/>
                <w:szCs w:val="3"/>
                <w:color w:val="auto"/>
              </w:rPr>
            </w:pPr>
          </w:p>
        </w:tc>
        <w:tc>
          <w:tcPr>
            <w:tcW w:w="1520" w:type="dxa"/>
            <w:vAlign w:val="bottom"/>
            <w:tcBorders>
              <w:bottom w:val="single" w:sz="8" w:color="34657F"/>
            </w:tcBorders>
          </w:tcPr>
          <w:p>
            <w:pPr>
              <w:spacing w:after="0"/>
              <w:rPr>
                <w:sz w:val="3"/>
                <w:szCs w:val="3"/>
                <w:color w:val="auto"/>
              </w:rPr>
            </w:pPr>
          </w:p>
        </w:tc>
        <w:tc>
          <w:tcPr>
            <w:tcW w:w="1440" w:type="dxa"/>
            <w:vAlign w:val="bottom"/>
            <w:tcBorders>
              <w:bottom w:val="single" w:sz="8" w:color="34657F"/>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9"/>
        </w:trPr>
        <w:tc>
          <w:tcPr>
            <w:tcW w:w="4340" w:type="dxa"/>
            <w:vAlign w:val="bottom"/>
          </w:tcPr>
          <w:p>
            <w:pPr>
              <w:spacing w:after="0"/>
              <w:rPr>
                <w:sz w:val="19"/>
                <w:szCs w:val="19"/>
                <w:color w:val="auto"/>
              </w:rPr>
            </w:pPr>
          </w:p>
        </w:tc>
        <w:tc>
          <w:tcPr>
            <w:tcW w:w="960" w:type="dxa"/>
            <w:vAlign w:val="bottom"/>
            <w:tcBorders>
              <w:bottom w:val="single" w:sz="8" w:color="D1DDE6"/>
            </w:tcBorders>
            <w:shd w:val="clear" w:color="auto" w:fill="D1DDE6"/>
          </w:tcPr>
          <w:p>
            <w:pPr>
              <w:ind w:left="220"/>
              <w:spacing w:after="0"/>
              <w:rPr>
                <w:sz w:val="20"/>
                <w:szCs w:val="20"/>
                <w:color w:val="auto"/>
              </w:rPr>
            </w:pPr>
            <w:r>
              <w:rPr>
                <w:rFonts w:ascii="Arial" w:cs="Arial" w:eastAsia="Arial" w:hAnsi="Arial"/>
                <w:sz w:val="14"/>
                <w:szCs w:val="14"/>
                <w:color w:val="auto"/>
              </w:rPr>
              <w:t>12/4/2018</w:t>
            </w:r>
          </w:p>
        </w:tc>
        <w:tc>
          <w:tcPr>
            <w:tcW w:w="1500" w:type="dxa"/>
            <w:vAlign w:val="bottom"/>
            <w:tcBorders>
              <w:bottom w:val="single" w:sz="8" w:color="D1DDE6"/>
            </w:tcBorders>
            <w:shd w:val="clear" w:color="auto" w:fill="D1DDE6"/>
          </w:tcPr>
          <w:p>
            <w:pPr>
              <w:jc w:val="center"/>
              <w:spacing w:after="0"/>
              <w:rPr>
                <w:sz w:val="20"/>
                <w:szCs w:val="20"/>
                <w:color w:val="auto"/>
              </w:rPr>
            </w:pPr>
            <w:r>
              <w:rPr>
                <w:rFonts w:ascii="Arial" w:cs="Arial" w:eastAsia="Arial" w:hAnsi="Arial"/>
                <w:sz w:val="14"/>
                <w:szCs w:val="14"/>
                <w:color w:val="auto"/>
                <w:w w:val="96"/>
              </w:rPr>
              <w:t>1,655</w:t>
            </w:r>
          </w:p>
        </w:tc>
        <w:tc>
          <w:tcPr>
            <w:tcW w:w="1660" w:type="dxa"/>
            <w:vAlign w:val="bottom"/>
            <w:tcBorders>
              <w:bottom w:val="single" w:sz="8" w:color="D1DDE6"/>
            </w:tcBorders>
            <w:shd w:val="clear" w:color="auto" w:fill="D1DDE6"/>
          </w:tcPr>
          <w:p>
            <w:pPr>
              <w:jc w:val="center"/>
              <w:spacing w:after="0"/>
              <w:rPr>
                <w:sz w:val="20"/>
                <w:szCs w:val="20"/>
                <w:color w:val="auto"/>
              </w:rPr>
            </w:pPr>
            <w:r>
              <w:rPr>
                <w:rFonts w:ascii="Arial" w:cs="Arial" w:eastAsia="Arial" w:hAnsi="Arial"/>
                <w:sz w:val="14"/>
                <w:szCs w:val="14"/>
                <w:color w:val="auto"/>
                <w:w w:val="98"/>
              </w:rPr>
              <w:t>405,310</w:t>
            </w:r>
          </w:p>
        </w:tc>
        <w:tc>
          <w:tcPr>
            <w:tcW w:w="1520" w:type="dxa"/>
            <w:vAlign w:val="bottom"/>
            <w:tcBorders>
              <w:bottom w:val="single" w:sz="8" w:color="D1DDE6"/>
            </w:tcBorders>
            <w:shd w:val="clear" w:color="auto" w:fill="D1DDE6"/>
          </w:tcPr>
          <w:p>
            <w:pPr>
              <w:jc w:val="center"/>
              <w:spacing w:after="0"/>
              <w:rPr>
                <w:sz w:val="20"/>
                <w:szCs w:val="20"/>
                <w:color w:val="auto"/>
              </w:rPr>
            </w:pPr>
            <w:r>
              <w:rPr>
                <w:rFonts w:ascii="Arial" w:cs="Arial" w:eastAsia="Arial" w:hAnsi="Arial"/>
                <w:sz w:val="14"/>
                <w:szCs w:val="14"/>
                <w:color w:val="auto"/>
                <w:w w:val="85"/>
              </w:rPr>
              <w:t>—</w:t>
            </w:r>
          </w:p>
        </w:tc>
        <w:tc>
          <w:tcPr>
            <w:tcW w:w="1440" w:type="dxa"/>
            <w:vAlign w:val="bottom"/>
            <w:tcBorders>
              <w:bottom w:val="single" w:sz="8" w:color="D1DDE6"/>
            </w:tcBorders>
            <w:shd w:val="clear" w:color="auto" w:fill="D1DDE6"/>
          </w:tcPr>
          <w:p>
            <w:pPr>
              <w:jc w:val="center"/>
              <w:ind w:left="35"/>
              <w:spacing w:after="0"/>
              <w:rPr>
                <w:sz w:val="20"/>
                <w:szCs w:val="20"/>
                <w:color w:val="auto"/>
              </w:rPr>
            </w:pPr>
            <w:r>
              <w:rPr>
                <w:rFonts w:ascii="Arial" w:cs="Arial" w:eastAsia="Arial" w:hAnsi="Arial"/>
                <w:sz w:val="14"/>
                <w:szCs w:val="14"/>
                <w:color w:val="auto"/>
                <w:w w:val="99"/>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340" w:type="dxa"/>
            <w:vAlign w:val="bottom"/>
            <w:vMerge w:val="restart"/>
          </w:tcPr>
          <w:p>
            <w:pPr>
              <w:ind w:left="20"/>
              <w:spacing w:after="0"/>
              <w:rPr>
                <w:sz w:val="20"/>
                <w:szCs w:val="20"/>
                <w:color w:val="auto"/>
              </w:rPr>
            </w:pPr>
            <w:r>
              <w:rPr>
                <w:rFonts w:ascii="Arial" w:cs="Arial" w:eastAsia="Arial" w:hAnsi="Arial"/>
                <w:sz w:val="14"/>
                <w:szCs w:val="14"/>
                <w:color w:val="auto"/>
              </w:rPr>
              <w:t>Mark A. Caylor</w:t>
            </w:r>
          </w:p>
        </w:tc>
        <w:tc>
          <w:tcPr>
            <w:tcW w:w="960" w:type="dxa"/>
            <w:vAlign w:val="bottom"/>
          </w:tcPr>
          <w:p>
            <w:pPr>
              <w:ind w:left="220"/>
              <w:spacing w:after="0"/>
              <w:rPr>
                <w:sz w:val="20"/>
                <w:szCs w:val="20"/>
                <w:color w:val="auto"/>
              </w:rPr>
            </w:pPr>
            <w:r>
              <w:rPr>
                <w:rFonts w:ascii="Arial" w:cs="Arial" w:eastAsia="Arial" w:hAnsi="Arial"/>
                <w:sz w:val="14"/>
                <w:szCs w:val="14"/>
                <w:color w:val="auto"/>
              </w:rPr>
              <w:t>2/13/2018</w:t>
            </w:r>
          </w:p>
        </w:tc>
        <w:tc>
          <w:tcPr>
            <w:tcW w:w="1500" w:type="dxa"/>
            <w:vAlign w:val="bottom"/>
          </w:tcPr>
          <w:p>
            <w:pPr>
              <w:jc w:val="center"/>
              <w:spacing w:after="0"/>
              <w:rPr>
                <w:sz w:val="20"/>
                <w:szCs w:val="20"/>
                <w:color w:val="auto"/>
              </w:rPr>
            </w:pPr>
            <w:r>
              <w:rPr>
                <w:rFonts w:ascii="Arial" w:cs="Arial" w:eastAsia="Arial" w:hAnsi="Arial"/>
                <w:sz w:val="14"/>
                <w:szCs w:val="14"/>
                <w:color w:val="auto"/>
                <w:w w:val="96"/>
              </w:rPr>
              <w:t>3,161</w:t>
            </w:r>
          </w:p>
        </w:tc>
        <w:tc>
          <w:tcPr>
            <w:tcW w:w="1660" w:type="dxa"/>
            <w:vAlign w:val="bottom"/>
          </w:tcPr>
          <w:p>
            <w:pPr>
              <w:jc w:val="center"/>
              <w:spacing w:after="0"/>
              <w:rPr>
                <w:sz w:val="20"/>
                <w:szCs w:val="20"/>
                <w:color w:val="auto"/>
              </w:rPr>
            </w:pPr>
            <w:r>
              <w:rPr>
                <w:rFonts w:ascii="Arial" w:cs="Arial" w:eastAsia="Arial" w:hAnsi="Arial"/>
                <w:sz w:val="14"/>
                <w:szCs w:val="14"/>
                <w:color w:val="auto"/>
                <w:w w:val="98"/>
              </w:rPr>
              <w:t>774,129</w:t>
            </w:r>
          </w:p>
        </w:tc>
        <w:tc>
          <w:tcPr>
            <w:tcW w:w="1520" w:type="dxa"/>
            <w:vAlign w:val="bottom"/>
          </w:tcPr>
          <w:p>
            <w:pPr>
              <w:jc w:val="center"/>
              <w:spacing w:after="0"/>
              <w:rPr>
                <w:sz w:val="20"/>
                <w:szCs w:val="20"/>
                <w:color w:val="auto"/>
              </w:rPr>
            </w:pPr>
            <w:r>
              <w:rPr>
                <w:rFonts w:ascii="Arial" w:cs="Arial" w:eastAsia="Arial" w:hAnsi="Arial"/>
                <w:sz w:val="14"/>
                <w:szCs w:val="14"/>
                <w:color w:val="auto"/>
              </w:rPr>
              <w:t>6,961</w:t>
            </w:r>
          </w:p>
        </w:tc>
        <w:tc>
          <w:tcPr>
            <w:tcW w:w="1440" w:type="dxa"/>
            <w:vAlign w:val="bottom"/>
          </w:tcPr>
          <w:p>
            <w:pPr>
              <w:jc w:val="center"/>
              <w:ind w:left="15"/>
              <w:spacing w:after="0"/>
              <w:rPr>
                <w:sz w:val="20"/>
                <w:szCs w:val="20"/>
                <w:color w:val="auto"/>
              </w:rPr>
            </w:pPr>
            <w:r>
              <w:rPr>
                <w:rFonts w:ascii="Arial" w:cs="Arial" w:eastAsia="Arial" w:hAnsi="Arial"/>
                <w:sz w:val="14"/>
                <w:szCs w:val="14"/>
                <w:color w:val="auto"/>
                <w:w w:val="96"/>
              </w:rPr>
              <w:t>1,704,749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434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4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91"/>
        </w:trPr>
        <w:tc>
          <w:tcPr>
            <w:tcW w:w="4340" w:type="dxa"/>
            <w:vAlign w:val="bottom"/>
            <w:vMerge w:val="continue"/>
          </w:tcPr>
          <w:p>
            <w:pPr>
              <w:spacing w:after="0"/>
              <w:rPr>
                <w:sz w:val="7"/>
                <w:szCs w:val="7"/>
                <w:color w:val="auto"/>
              </w:rPr>
            </w:pPr>
          </w:p>
        </w:tc>
        <w:tc>
          <w:tcPr>
            <w:tcW w:w="960" w:type="dxa"/>
            <w:vAlign w:val="bottom"/>
            <w:vMerge w:val="restart"/>
            <w:shd w:val="clear" w:color="auto" w:fill="D1DDE6"/>
          </w:tcPr>
          <w:p>
            <w:pPr>
              <w:ind w:left="220"/>
              <w:spacing w:after="0"/>
              <w:rPr>
                <w:sz w:val="20"/>
                <w:szCs w:val="20"/>
                <w:color w:val="auto"/>
              </w:rPr>
            </w:pPr>
            <w:r>
              <w:rPr>
                <w:rFonts w:ascii="Arial" w:cs="Arial" w:eastAsia="Arial" w:hAnsi="Arial"/>
                <w:sz w:val="14"/>
                <w:szCs w:val="14"/>
                <w:color w:val="auto"/>
              </w:rPr>
              <w:t>2/17/2017</w:t>
            </w:r>
          </w:p>
        </w:tc>
        <w:tc>
          <w:tcPr>
            <w:tcW w:w="1500" w:type="dxa"/>
            <w:vAlign w:val="bottom"/>
            <w:vMerge w:val="restart"/>
            <w:shd w:val="clear" w:color="auto" w:fill="D1DDE6"/>
          </w:tcPr>
          <w:p>
            <w:pPr>
              <w:jc w:val="center"/>
              <w:spacing w:after="0"/>
              <w:rPr>
                <w:sz w:val="20"/>
                <w:szCs w:val="20"/>
                <w:color w:val="auto"/>
              </w:rPr>
            </w:pPr>
            <w:r>
              <w:rPr>
                <w:rFonts w:ascii="Arial" w:cs="Arial" w:eastAsia="Arial" w:hAnsi="Arial"/>
                <w:sz w:val="14"/>
                <w:szCs w:val="14"/>
                <w:color w:val="auto"/>
                <w:w w:val="96"/>
              </w:rPr>
              <w:t>3,189</w:t>
            </w:r>
          </w:p>
        </w:tc>
        <w:tc>
          <w:tcPr>
            <w:tcW w:w="1660" w:type="dxa"/>
            <w:vAlign w:val="bottom"/>
            <w:vMerge w:val="restart"/>
            <w:shd w:val="clear" w:color="auto" w:fill="D1DDE6"/>
          </w:tcPr>
          <w:p>
            <w:pPr>
              <w:jc w:val="center"/>
              <w:spacing w:after="0"/>
              <w:rPr>
                <w:sz w:val="20"/>
                <w:szCs w:val="20"/>
                <w:color w:val="auto"/>
              </w:rPr>
            </w:pPr>
            <w:r>
              <w:rPr>
                <w:rFonts w:ascii="Arial" w:cs="Arial" w:eastAsia="Arial" w:hAnsi="Arial"/>
                <w:sz w:val="14"/>
                <w:szCs w:val="14"/>
                <w:color w:val="auto"/>
                <w:w w:val="98"/>
              </w:rPr>
              <w:t>780,986</w:t>
            </w:r>
          </w:p>
        </w:tc>
        <w:tc>
          <w:tcPr>
            <w:tcW w:w="1520" w:type="dxa"/>
            <w:vAlign w:val="bottom"/>
            <w:vMerge w:val="restart"/>
            <w:shd w:val="clear" w:color="auto" w:fill="D1DDE6"/>
          </w:tcPr>
          <w:p>
            <w:pPr>
              <w:jc w:val="center"/>
              <w:spacing w:after="0"/>
              <w:rPr>
                <w:sz w:val="20"/>
                <w:szCs w:val="20"/>
                <w:color w:val="auto"/>
              </w:rPr>
            </w:pPr>
            <w:r>
              <w:rPr>
                <w:rFonts w:ascii="Arial" w:cs="Arial" w:eastAsia="Arial" w:hAnsi="Arial"/>
                <w:sz w:val="14"/>
                <w:szCs w:val="14"/>
                <w:color w:val="auto"/>
              </w:rPr>
              <w:t>7,626</w:t>
            </w:r>
          </w:p>
        </w:tc>
        <w:tc>
          <w:tcPr>
            <w:tcW w:w="1440" w:type="dxa"/>
            <w:vAlign w:val="bottom"/>
            <w:vMerge w:val="restart"/>
            <w:shd w:val="clear" w:color="auto" w:fill="D1DDE6"/>
          </w:tcPr>
          <w:p>
            <w:pPr>
              <w:jc w:val="center"/>
              <w:ind w:left="15"/>
              <w:spacing w:after="0"/>
              <w:rPr>
                <w:sz w:val="20"/>
                <w:szCs w:val="20"/>
                <w:color w:val="auto"/>
              </w:rPr>
            </w:pPr>
            <w:r>
              <w:rPr>
                <w:rFonts w:ascii="Arial" w:cs="Arial" w:eastAsia="Arial" w:hAnsi="Arial"/>
                <w:sz w:val="14"/>
                <w:szCs w:val="14"/>
                <w:color w:val="auto"/>
                <w:w w:val="96"/>
              </w:rPr>
              <w:t>1,867,607</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0"/>
        </w:trPr>
        <w:tc>
          <w:tcPr>
            <w:tcW w:w="4340" w:type="dxa"/>
            <w:vAlign w:val="bottom"/>
          </w:tcPr>
          <w:p>
            <w:pPr>
              <w:spacing w:after="0"/>
              <w:rPr>
                <w:sz w:val="12"/>
                <w:szCs w:val="12"/>
                <w:color w:val="auto"/>
              </w:rPr>
            </w:pPr>
          </w:p>
        </w:tc>
        <w:tc>
          <w:tcPr>
            <w:tcW w:w="960" w:type="dxa"/>
            <w:vAlign w:val="bottom"/>
            <w:tcBorders>
              <w:bottom w:val="single" w:sz="8" w:color="D1DDE6"/>
            </w:tcBorders>
            <w:vMerge w:val="continue"/>
            <w:shd w:val="clear" w:color="auto" w:fill="D1DDE6"/>
          </w:tcPr>
          <w:p>
            <w:pPr>
              <w:spacing w:after="0"/>
              <w:rPr>
                <w:sz w:val="12"/>
                <w:szCs w:val="12"/>
                <w:color w:val="auto"/>
              </w:rPr>
            </w:pPr>
          </w:p>
        </w:tc>
        <w:tc>
          <w:tcPr>
            <w:tcW w:w="1500" w:type="dxa"/>
            <w:vAlign w:val="bottom"/>
            <w:tcBorders>
              <w:bottom w:val="single" w:sz="8" w:color="D1DDE6"/>
            </w:tcBorders>
            <w:vMerge w:val="continue"/>
            <w:shd w:val="clear" w:color="auto" w:fill="D1DDE6"/>
          </w:tcPr>
          <w:p>
            <w:pPr>
              <w:spacing w:after="0"/>
              <w:rPr>
                <w:sz w:val="12"/>
                <w:szCs w:val="12"/>
                <w:color w:val="auto"/>
              </w:rPr>
            </w:pPr>
          </w:p>
        </w:tc>
        <w:tc>
          <w:tcPr>
            <w:tcW w:w="1660" w:type="dxa"/>
            <w:vAlign w:val="bottom"/>
            <w:tcBorders>
              <w:bottom w:val="single" w:sz="8" w:color="D1DDE6"/>
            </w:tcBorders>
            <w:vMerge w:val="continue"/>
            <w:shd w:val="clear" w:color="auto" w:fill="D1DDE6"/>
          </w:tcPr>
          <w:p>
            <w:pPr>
              <w:spacing w:after="0"/>
              <w:rPr>
                <w:sz w:val="12"/>
                <w:szCs w:val="12"/>
                <w:color w:val="auto"/>
              </w:rPr>
            </w:pPr>
          </w:p>
        </w:tc>
        <w:tc>
          <w:tcPr>
            <w:tcW w:w="1520" w:type="dxa"/>
            <w:vAlign w:val="bottom"/>
            <w:tcBorders>
              <w:bottom w:val="single" w:sz="8" w:color="D1DDE6"/>
            </w:tcBorders>
            <w:vMerge w:val="continue"/>
            <w:shd w:val="clear" w:color="auto" w:fill="D1DDE6"/>
          </w:tcPr>
          <w:p>
            <w:pPr>
              <w:spacing w:after="0"/>
              <w:rPr>
                <w:sz w:val="12"/>
                <w:szCs w:val="12"/>
                <w:color w:val="auto"/>
              </w:rPr>
            </w:pPr>
          </w:p>
        </w:tc>
        <w:tc>
          <w:tcPr>
            <w:tcW w:w="1440" w:type="dxa"/>
            <w:vAlign w:val="bottom"/>
            <w:tcBorders>
              <w:bottom w:val="single" w:sz="8" w:color="D1DDE6"/>
            </w:tcBorders>
            <w:vMerge w:val="continue"/>
            <w:shd w:val="clear" w:color="auto" w:fill="D1DDE6"/>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9"/>
        </w:trPr>
        <w:tc>
          <w:tcPr>
            <w:tcW w:w="4340" w:type="dxa"/>
            <w:vAlign w:val="bottom"/>
          </w:tcPr>
          <w:p>
            <w:pPr>
              <w:spacing w:after="0"/>
              <w:rPr>
                <w:sz w:val="19"/>
                <w:szCs w:val="19"/>
                <w:color w:val="auto"/>
              </w:rPr>
            </w:pPr>
          </w:p>
        </w:tc>
        <w:tc>
          <w:tcPr>
            <w:tcW w:w="960" w:type="dxa"/>
            <w:vAlign w:val="bottom"/>
          </w:tcPr>
          <w:p>
            <w:pPr>
              <w:ind w:left="220"/>
              <w:spacing w:after="0"/>
              <w:rPr>
                <w:sz w:val="20"/>
                <w:szCs w:val="20"/>
                <w:color w:val="auto"/>
              </w:rPr>
            </w:pPr>
            <w:r>
              <w:rPr>
                <w:rFonts w:ascii="Arial" w:cs="Arial" w:eastAsia="Arial" w:hAnsi="Arial"/>
                <w:sz w:val="14"/>
                <w:szCs w:val="14"/>
                <w:color w:val="auto"/>
              </w:rPr>
              <w:t>2/17/2016</w:t>
            </w:r>
          </w:p>
        </w:tc>
        <w:tc>
          <w:tcPr>
            <w:tcW w:w="1500" w:type="dxa"/>
            <w:vAlign w:val="bottom"/>
          </w:tcPr>
          <w:p>
            <w:pPr>
              <w:jc w:val="center"/>
              <w:spacing w:after="0"/>
              <w:rPr>
                <w:sz w:val="20"/>
                <w:szCs w:val="20"/>
                <w:color w:val="auto"/>
              </w:rPr>
            </w:pPr>
            <w:r>
              <w:rPr>
                <w:rFonts w:ascii="Arial" w:cs="Arial" w:eastAsia="Arial" w:hAnsi="Arial"/>
                <w:sz w:val="14"/>
                <w:szCs w:val="14"/>
                <w:color w:val="auto"/>
                <w:w w:val="96"/>
              </w:rPr>
              <w:t>4,120</w:t>
            </w:r>
          </w:p>
        </w:tc>
        <w:tc>
          <w:tcPr>
            <w:tcW w:w="1660" w:type="dxa"/>
            <w:vAlign w:val="bottom"/>
          </w:tcPr>
          <w:p>
            <w:pPr>
              <w:jc w:val="center"/>
              <w:spacing w:after="0"/>
              <w:rPr>
                <w:sz w:val="20"/>
                <w:szCs w:val="20"/>
                <w:color w:val="auto"/>
              </w:rPr>
            </w:pPr>
            <w:r>
              <w:rPr>
                <w:rFonts w:ascii="Arial" w:cs="Arial" w:eastAsia="Arial" w:hAnsi="Arial"/>
                <w:sz w:val="14"/>
                <w:szCs w:val="14"/>
                <w:color w:val="auto"/>
                <w:w w:val="99"/>
              </w:rPr>
              <w:t>1,008,988</w:t>
            </w:r>
          </w:p>
        </w:tc>
        <w:tc>
          <w:tcPr>
            <w:tcW w:w="1520" w:type="dxa"/>
            <w:vAlign w:val="bottom"/>
          </w:tcPr>
          <w:p>
            <w:pPr>
              <w:jc w:val="center"/>
              <w:spacing w:after="0"/>
              <w:rPr>
                <w:sz w:val="20"/>
                <w:szCs w:val="20"/>
                <w:color w:val="auto"/>
              </w:rPr>
            </w:pPr>
            <w:r>
              <w:rPr>
                <w:rFonts w:ascii="Arial" w:cs="Arial" w:eastAsia="Arial" w:hAnsi="Arial"/>
                <w:sz w:val="14"/>
                <w:szCs w:val="14"/>
                <w:color w:val="auto"/>
              </w:rPr>
              <w:t>9,079</w:t>
            </w:r>
          </w:p>
        </w:tc>
        <w:tc>
          <w:tcPr>
            <w:tcW w:w="1440" w:type="dxa"/>
            <w:vAlign w:val="bottom"/>
          </w:tcPr>
          <w:p>
            <w:pPr>
              <w:jc w:val="center"/>
              <w:ind w:left="15"/>
              <w:spacing w:after="0"/>
              <w:rPr>
                <w:sz w:val="20"/>
                <w:szCs w:val="20"/>
                <w:color w:val="auto"/>
              </w:rPr>
            </w:pPr>
            <w:r>
              <w:rPr>
                <w:rFonts w:ascii="Arial" w:cs="Arial" w:eastAsia="Arial" w:hAnsi="Arial"/>
                <w:sz w:val="14"/>
                <w:szCs w:val="14"/>
                <w:color w:val="auto"/>
                <w:w w:val="96"/>
              </w:rPr>
              <w:t>2,223,447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4340" w:type="dxa"/>
            <w:vAlign w:val="bottom"/>
            <w:tcBorders>
              <w:bottom w:val="single" w:sz="8" w:color="34657F"/>
            </w:tcBorders>
          </w:tcPr>
          <w:p>
            <w:pPr>
              <w:spacing w:after="0"/>
              <w:rPr>
                <w:sz w:val="3"/>
                <w:szCs w:val="3"/>
                <w:color w:val="auto"/>
              </w:rPr>
            </w:pPr>
          </w:p>
        </w:tc>
        <w:tc>
          <w:tcPr>
            <w:tcW w:w="960" w:type="dxa"/>
            <w:vAlign w:val="bottom"/>
            <w:tcBorders>
              <w:bottom w:val="single" w:sz="8" w:color="34657F"/>
            </w:tcBorders>
          </w:tcPr>
          <w:p>
            <w:pPr>
              <w:spacing w:after="0"/>
              <w:rPr>
                <w:sz w:val="3"/>
                <w:szCs w:val="3"/>
                <w:color w:val="auto"/>
              </w:rPr>
            </w:pPr>
          </w:p>
        </w:tc>
        <w:tc>
          <w:tcPr>
            <w:tcW w:w="1500" w:type="dxa"/>
            <w:vAlign w:val="bottom"/>
            <w:tcBorders>
              <w:bottom w:val="single" w:sz="8" w:color="34657F"/>
            </w:tcBorders>
          </w:tcPr>
          <w:p>
            <w:pPr>
              <w:spacing w:after="0"/>
              <w:rPr>
                <w:sz w:val="3"/>
                <w:szCs w:val="3"/>
                <w:color w:val="auto"/>
              </w:rPr>
            </w:pPr>
          </w:p>
        </w:tc>
        <w:tc>
          <w:tcPr>
            <w:tcW w:w="1660" w:type="dxa"/>
            <w:vAlign w:val="bottom"/>
            <w:tcBorders>
              <w:bottom w:val="single" w:sz="8" w:color="34657F"/>
            </w:tcBorders>
          </w:tcPr>
          <w:p>
            <w:pPr>
              <w:spacing w:after="0"/>
              <w:rPr>
                <w:sz w:val="3"/>
                <w:szCs w:val="3"/>
                <w:color w:val="auto"/>
              </w:rPr>
            </w:pPr>
          </w:p>
        </w:tc>
        <w:tc>
          <w:tcPr>
            <w:tcW w:w="1520" w:type="dxa"/>
            <w:vAlign w:val="bottom"/>
            <w:tcBorders>
              <w:bottom w:val="single" w:sz="8" w:color="34657F"/>
            </w:tcBorders>
          </w:tcPr>
          <w:p>
            <w:pPr>
              <w:spacing w:after="0"/>
              <w:rPr>
                <w:sz w:val="3"/>
                <w:szCs w:val="3"/>
                <w:color w:val="auto"/>
              </w:rPr>
            </w:pPr>
          </w:p>
        </w:tc>
        <w:tc>
          <w:tcPr>
            <w:tcW w:w="1440" w:type="dxa"/>
            <w:vAlign w:val="bottom"/>
            <w:tcBorders>
              <w:bottom w:val="single" w:sz="8" w:color="34657F"/>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9"/>
        </w:trPr>
        <w:tc>
          <w:tcPr>
            <w:tcW w:w="4340" w:type="dxa"/>
            <w:vAlign w:val="bottom"/>
          </w:tcPr>
          <w:p>
            <w:pPr>
              <w:ind w:left="20"/>
              <w:spacing w:after="0"/>
              <w:rPr>
                <w:sz w:val="20"/>
                <w:szCs w:val="20"/>
                <w:color w:val="auto"/>
              </w:rPr>
            </w:pPr>
            <w:r>
              <w:rPr>
                <w:rFonts w:ascii="Arial" w:cs="Arial" w:eastAsia="Arial" w:hAnsi="Arial"/>
                <w:sz w:val="14"/>
                <w:szCs w:val="14"/>
                <w:color w:val="auto"/>
              </w:rPr>
              <w:t>Blake E. Larson</w:t>
            </w:r>
          </w:p>
        </w:tc>
        <w:tc>
          <w:tcPr>
            <w:tcW w:w="960" w:type="dxa"/>
            <w:vAlign w:val="bottom"/>
            <w:tcBorders>
              <w:bottom w:val="single" w:sz="8" w:color="D1DDE6"/>
            </w:tcBorders>
            <w:shd w:val="clear" w:color="auto" w:fill="D1DDE6"/>
          </w:tcPr>
          <w:p>
            <w:pPr>
              <w:ind w:left="220"/>
              <w:spacing w:after="0"/>
              <w:rPr>
                <w:sz w:val="20"/>
                <w:szCs w:val="20"/>
                <w:color w:val="auto"/>
              </w:rPr>
            </w:pPr>
            <w:r>
              <w:rPr>
                <w:rFonts w:ascii="Arial" w:cs="Arial" w:eastAsia="Arial" w:hAnsi="Arial"/>
                <w:sz w:val="14"/>
                <w:szCs w:val="14"/>
                <w:color w:val="auto"/>
              </w:rPr>
              <w:t>6/13/2018</w:t>
            </w:r>
          </w:p>
        </w:tc>
        <w:tc>
          <w:tcPr>
            <w:tcW w:w="1500" w:type="dxa"/>
            <w:vAlign w:val="bottom"/>
            <w:tcBorders>
              <w:bottom w:val="single" w:sz="8" w:color="D1DDE6"/>
            </w:tcBorders>
            <w:shd w:val="clear" w:color="auto" w:fill="D1DDE6"/>
          </w:tcPr>
          <w:p>
            <w:pPr>
              <w:jc w:val="center"/>
              <w:spacing w:after="0"/>
              <w:rPr>
                <w:sz w:val="20"/>
                <w:szCs w:val="20"/>
                <w:color w:val="auto"/>
              </w:rPr>
            </w:pPr>
            <w:r>
              <w:rPr>
                <w:rFonts w:ascii="Arial" w:cs="Arial" w:eastAsia="Arial" w:hAnsi="Arial"/>
                <w:sz w:val="14"/>
                <w:szCs w:val="14"/>
                <w:color w:val="auto"/>
                <w:w w:val="96"/>
              </w:rPr>
              <w:t>8,336</w:t>
            </w:r>
          </w:p>
        </w:tc>
        <w:tc>
          <w:tcPr>
            <w:tcW w:w="1660" w:type="dxa"/>
            <w:vAlign w:val="bottom"/>
            <w:tcBorders>
              <w:bottom w:val="single" w:sz="8" w:color="D1DDE6"/>
            </w:tcBorders>
            <w:shd w:val="clear" w:color="auto" w:fill="D1DDE6"/>
          </w:tcPr>
          <w:p>
            <w:pPr>
              <w:jc w:val="center"/>
              <w:spacing w:after="0"/>
              <w:rPr>
                <w:sz w:val="20"/>
                <w:szCs w:val="20"/>
                <w:color w:val="auto"/>
              </w:rPr>
            </w:pPr>
            <w:r>
              <w:rPr>
                <w:rFonts w:ascii="Arial" w:cs="Arial" w:eastAsia="Arial" w:hAnsi="Arial"/>
                <w:sz w:val="14"/>
                <w:szCs w:val="14"/>
                <w:color w:val="auto"/>
                <w:w w:val="99"/>
              </w:rPr>
              <w:t>2,041,486</w:t>
            </w:r>
          </w:p>
        </w:tc>
        <w:tc>
          <w:tcPr>
            <w:tcW w:w="1520" w:type="dxa"/>
            <w:vAlign w:val="bottom"/>
            <w:tcBorders>
              <w:bottom w:val="single" w:sz="8" w:color="D1DDE6"/>
            </w:tcBorders>
            <w:shd w:val="clear" w:color="auto" w:fill="D1DDE6"/>
          </w:tcPr>
          <w:p>
            <w:pPr>
              <w:jc w:val="center"/>
              <w:spacing w:after="0"/>
              <w:rPr>
                <w:sz w:val="20"/>
                <w:szCs w:val="20"/>
                <w:color w:val="auto"/>
              </w:rPr>
            </w:pPr>
            <w:r>
              <w:rPr>
                <w:rFonts w:ascii="Arial" w:cs="Arial" w:eastAsia="Arial" w:hAnsi="Arial"/>
                <w:sz w:val="14"/>
                <w:szCs w:val="14"/>
                <w:color w:val="auto"/>
              </w:rPr>
              <w:t>6,642</w:t>
            </w:r>
          </w:p>
        </w:tc>
        <w:tc>
          <w:tcPr>
            <w:tcW w:w="1440" w:type="dxa"/>
            <w:vAlign w:val="bottom"/>
            <w:tcBorders>
              <w:bottom w:val="single" w:sz="8" w:color="D1DDE6"/>
            </w:tcBorders>
            <w:shd w:val="clear" w:color="auto" w:fill="D1DDE6"/>
          </w:tcPr>
          <w:p>
            <w:pPr>
              <w:jc w:val="center"/>
              <w:ind w:left="15"/>
              <w:spacing w:after="0"/>
              <w:rPr>
                <w:sz w:val="20"/>
                <w:szCs w:val="20"/>
                <w:color w:val="auto"/>
              </w:rPr>
            </w:pPr>
            <w:r>
              <w:rPr>
                <w:rFonts w:ascii="Arial" w:cs="Arial" w:eastAsia="Arial" w:hAnsi="Arial"/>
                <w:sz w:val="14"/>
                <w:szCs w:val="14"/>
                <w:color w:val="auto"/>
                <w:w w:val="96"/>
              </w:rPr>
              <w:t>1,626,626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40" w:type="dxa"/>
            <w:vAlign w:val="bottom"/>
            <w:shd w:val="clear" w:color="auto" w:fill="34657F"/>
          </w:tcPr>
          <w:p>
            <w:pPr>
              <w:spacing w:after="0" w:line="20" w:lineRule="exact"/>
              <w:rPr>
                <w:sz w:val="1"/>
                <w:szCs w:val="1"/>
                <w:color w:val="auto"/>
              </w:rPr>
            </w:pPr>
          </w:p>
        </w:tc>
        <w:tc>
          <w:tcPr>
            <w:tcW w:w="960" w:type="dxa"/>
            <w:vAlign w:val="bottom"/>
            <w:shd w:val="clear" w:color="auto" w:fill="34657F"/>
          </w:tcPr>
          <w:p>
            <w:pPr>
              <w:spacing w:after="0" w:line="20" w:lineRule="exact"/>
              <w:rPr>
                <w:sz w:val="1"/>
                <w:szCs w:val="1"/>
                <w:color w:val="auto"/>
              </w:rPr>
            </w:pPr>
          </w:p>
        </w:tc>
        <w:tc>
          <w:tcPr>
            <w:tcW w:w="1500" w:type="dxa"/>
            <w:vAlign w:val="bottom"/>
            <w:shd w:val="clear" w:color="auto" w:fill="34657F"/>
          </w:tcPr>
          <w:p>
            <w:pPr>
              <w:spacing w:after="0" w:line="20" w:lineRule="exact"/>
              <w:rPr>
                <w:sz w:val="1"/>
                <w:szCs w:val="1"/>
                <w:color w:val="auto"/>
              </w:rPr>
            </w:pPr>
          </w:p>
        </w:tc>
        <w:tc>
          <w:tcPr>
            <w:tcW w:w="1660" w:type="dxa"/>
            <w:vAlign w:val="bottom"/>
            <w:shd w:val="clear" w:color="auto" w:fill="34657F"/>
          </w:tcPr>
          <w:p>
            <w:pPr>
              <w:spacing w:after="0" w:line="20" w:lineRule="exact"/>
              <w:rPr>
                <w:sz w:val="1"/>
                <w:szCs w:val="1"/>
                <w:color w:val="auto"/>
              </w:rPr>
            </w:pPr>
          </w:p>
        </w:tc>
        <w:tc>
          <w:tcPr>
            <w:tcW w:w="1520" w:type="dxa"/>
            <w:vAlign w:val="bottom"/>
            <w:shd w:val="clear" w:color="auto" w:fill="34657F"/>
          </w:tcPr>
          <w:p>
            <w:pPr>
              <w:spacing w:after="0" w:line="20" w:lineRule="exact"/>
              <w:rPr>
                <w:sz w:val="1"/>
                <w:szCs w:val="1"/>
                <w:color w:val="auto"/>
              </w:rPr>
            </w:pPr>
          </w:p>
        </w:tc>
        <w:tc>
          <w:tcPr>
            <w:tcW w:w="1440" w:type="dxa"/>
            <w:vAlign w:val="bottom"/>
            <w:shd w:val="clear" w:color="auto" w:fill="34657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4" w:lineRule="exact"/>
        <w:rPr>
          <w:sz w:val="20"/>
          <w:szCs w:val="20"/>
          <w:color w:val="auto"/>
        </w:rPr>
      </w:pPr>
    </w:p>
    <w:p>
      <w:pPr>
        <w:ind w:left="380" w:right="80" w:hanging="377"/>
        <w:spacing w:after="0" w:line="264" w:lineRule="auto"/>
        <w:tabs>
          <w:tab w:leader="none" w:pos="380" w:val="left"/>
        </w:tabs>
        <w:numPr>
          <w:ilvl w:val="0"/>
          <w:numId w:val="70"/>
        </w:numPr>
        <w:rPr>
          <w:rFonts w:ascii="Arial" w:cs="Arial" w:eastAsia="Arial" w:hAnsi="Arial"/>
          <w:sz w:val="17"/>
          <w:szCs w:val="17"/>
          <w:color w:val="auto"/>
        </w:rPr>
      </w:pPr>
      <w:r>
        <w:rPr>
          <w:rFonts w:ascii="Arial" w:cs="Arial" w:eastAsia="Arial" w:hAnsi="Arial"/>
          <w:sz w:val="17"/>
          <w:szCs w:val="17"/>
          <w:color w:val="auto"/>
        </w:rPr>
        <w:t>Outstanding RSRs generally vest three years from date of grant. Mr. Larson's June 13, 2018 RSR grants are comprised of an annual grant (2,831 shares) and a sign-on grant (11,010 shares). Half of Mr. Larson's 2018 sign-on grant vested on December 31, 2018 and the other half will vest on December 31, 2019.</w:t>
      </w:r>
    </w:p>
    <w:p>
      <w:pPr>
        <w:spacing w:after="0" w:line="47" w:lineRule="exact"/>
        <w:rPr>
          <w:rFonts w:ascii="Arial" w:cs="Arial" w:eastAsia="Arial" w:hAnsi="Arial"/>
          <w:sz w:val="17"/>
          <w:szCs w:val="17"/>
          <w:color w:val="auto"/>
        </w:rPr>
      </w:pPr>
    </w:p>
    <w:p>
      <w:pPr>
        <w:ind w:left="380" w:hanging="377"/>
        <w:spacing w:after="0"/>
        <w:tabs>
          <w:tab w:leader="none" w:pos="380" w:val="left"/>
        </w:tabs>
        <w:numPr>
          <w:ilvl w:val="0"/>
          <w:numId w:val="70"/>
        </w:numPr>
        <w:rPr>
          <w:rFonts w:ascii="Arial" w:cs="Arial" w:eastAsia="Arial" w:hAnsi="Arial"/>
          <w:sz w:val="17"/>
          <w:szCs w:val="17"/>
          <w:color w:val="auto"/>
        </w:rPr>
      </w:pPr>
      <w:r>
        <w:rPr>
          <w:rFonts w:ascii="Arial" w:cs="Arial" w:eastAsia="Arial" w:hAnsi="Arial"/>
          <w:sz w:val="17"/>
          <w:szCs w:val="17"/>
          <w:color w:val="auto"/>
        </w:rPr>
        <w:t>The value listed is based on the closing price of the Company's stock of $244.90 on December 31, 2018, the last trading day of the year.</w:t>
      </w:r>
    </w:p>
    <w:p>
      <w:pPr>
        <w:spacing w:after="0" w:line="86" w:lineRule="exact"/>
        <w:rPr>
          <w:rFonts w:ascii="Arial" w:cs="Arial" w:eastAsia="Arial" w:hAnsi="Arial"/>
          <w:sz w:val="17"/>
          <w:szCs w:val="17"/>
          <w:color w:val="auto"/>
        </w:rPr>
      </w:pPr>
    </w:p>
    <w:p>
      <w:pPr>
        <w:ind w:left="380" w:right="320" w:hanging="377"/>
        <w:spacing w:after="0" w:line="258" w:lineRule="auto"/>
        <w:tabs>
          <w:tab w:leader="none" w:pos="380" w:val="left"/>
        </w:tabs>
        <w:numPr>
          <w:ilvl w:val="0"/>
          <w:numId w:val="70"/>
        </w:numPr>
        <w:rPr>
          <w:rFonts w:ascii="Arial" w:cs="Arial" w:eastAsia="Arial" w:hAnsi="Arial"/>
          <w:sz w:val="17"/>
          <w:szCs w:val="17"/>
          <w:color w:val="auto"/>
        </w:rPr>
      </w:pPr>
      <w:r>
        <w:rPr>
          <w:rFonts w:ascii="Arial" w:cs="Arial" w:eastAsia="Arial" w:hAnsi="Arial"/>
          <w:sz w:val="17"/>
          <w:szCs w:val="17"/>
          <w:color w:val="auto"/>
        </w:rPr>
        <w:t>Outstanding RPSRs granted in 2018, 2017 and 2016 generally vest based on performance for the three-year performance period ending on December 31, 2020, 2019 and 2018, respectively. All RPSR grants are subject to the Compensation Committee's approval of the performance-based earnout percentage applicable to the grant following the end of the performance period. Amounts presented assume target level performance. The 2016 RPSRs were distributed in February 2019 upon the Compensation Committee's approval. The actual number of shares distributed to the NEOs in February 2019 as a result of the vesting RPSRs was as follows:</w:t>
      </w:r>
    </w:p>
    <w:p>
      <w:pPr>
        <w:spacing w:after="0" w:line="116" w:lineRule="exact"/>
        <w:rPr>
          <w:sz w:val="20"/>
          <w:szCs w:val="20"/>
          <w:color w:val="auto"/>
        </w:rPr>
      </w:pPr>
    </w:p>
    <w:tbl>
      <w:tblPr>
        <w:tblLayout w:type="fixed"/>
        <w:tblInd w:w="380" w:type="dxa"/>
        <w:tblCellMar>
          <w:top w:w="0" w:type="dxa"/>
          <w:left w:w="0" w:type="dxa"/>
          <w:bottom w:w="0" w:type="dxa"/>
          <w:right w:w="0" w:type="dxa"/>
        </w:tblCellMar>
      </w:tblPr>
      <w:tr>
        <w:trPr>
          <w:trHeight w:val="181"/>
        </w:trPr>
        <w:tc>
          <w:tcPr>
            <w:tcW w:w="3780" w:type="dxa"/>
            <w:vAlign w:val="bottom"/>
            <w:shd w:val="clear" w:color="auto" w:fill="34657F"/>
          </w:tcPr>
          <w:p>
            <w:pPr>
              <w:spacing w:after="0"/>
              <w:rPr>
                <w:sz w:val="15"/>
                <w:szCs w:val="15"/>
                <w:color w:val="auto"/>
              </w:rPr>
            </w:pPr>
          </w:p>
        </w:tc>
        <w:tc>
          <w:tcPr>
            <w:tcW w:w="3780" w:type="dxa"/>
            <w:vAlign w:val="bottom"/>
            <w:shd w:val="clear" w:color="auto" w:fill="34657F"/>
          </w:tcPr>
          <w:p>
            <w:pPr>
              <w:ind w:left="1040"/>
              <w:spacing w:after="0"/>
              <w:rPr>
                <w:sz w:val="20"/>
                <w:szCs w:val="20"/>
                <w:color w:val="auto"/>
              </w:rPr>
            </w:pPr>
            <w:r>
              <w:rPr>
                <w:rFonts w:ascii="Arial" w:cs="Arial" w:eastAsia="Arial" w:hAnsi="Arial"/>
                <w:sz w:val="14"/>
                <w:szCs w:val="14"/>
                <w:b w:val="1"/>
                <w:bCs w:val="1"/>
                <w:color w:val="FFFFFF"/>
              </w:rPr>
              <w:t>Actual Shares Distributed</w:t>
            </w:r>
          </w:p>
        </w:tc>
        <w:tc>
          <w:tcPr>
            <w:tcW w:w="20" w:type="dxa"/>
            <w:vAlign w:val="bottom"/>
            <w:shd w:val="clear" w:color="auto" w:fill="34657F"/>
          </w:tcPr>
          <w:p>
            <w:pPr>
              <w:spacing w:after="0"/>
              <w:rPr>
                <w:sz w:val="15"/>
                <w:szCs w:val="15"/>
                <w:color w:val="auto"/>
              </w:rPr>
            </w:pPr>
          </w:p>
        </w:tc>
      </w:tr>
      <w:tr>
        <w:trPr>
          <w:trHeight w:val="184"/>
        </w:trPr>
        <w:tc>
          <w:tcPr>
            <w:tcW w:w="3780" w:type="dxa"/>
            <w:vAlign w:val="bottom"/>
            <w:tcBorders>
              <w:bottom w:val="single" w:sz="8" w:color="34657F"/>
            </w:tcBorders>
            <w:shd w:val="clear" w:color="auto" w:fill="34657F"/>
          </w:tcPr>
          <w:p>
            <w:pPr>
              <w:ind w:left="40"/>
              <w:spacing w:after="0"/>
              <w:rPr>
                <w:sz w:val="20"/>
                <w:szCs w:val="20"/>
                <w:color w:val="auto"/>
              </w:rPr>
            </w:pPr>
            <w:r>
              <w:rPr>
                <w:rFonts w:ascii="Arial" w:cs="Arial" w:eastAsia="Arial" w:hAnsi="Arial"/>
                <w:sz w:val="14"/>
                <w:szCs w:val="14"/>
                <w:b w:val="1"/>
                <w:bCs w:val="1"/>
                <w:color w:val="FFFFFF"/>
              </w:rPr>
              <w:t>Name</w:t>
            </w:r>
          </w:p>
        </w:tc>
        <w:tc>
          <w:tcPr>
            <w:tcW w:w="3780" w:type="dxa"/>
            <w:vAlign w:val="bottom"/>
            <w:tcBorders>
              <w:bottom w:val="single" w:sz="8" w:color="34657F"/>
            </w:tcBorders>
            <w:shd w:val="clear" w:color="auto" w:fill="34657F"/>
          </w:tcPr>
          <w:p>
            <w:pPr>
              <w:jc w:val="center"/>
              <w:spacing w:after="0"/>
              <w:rPr>
                <w:sz w:val="20"/>
                <w:szCs w:val="20"/>
                <w:color w:val="auto"/>
              </w:rPr>
            </w:pPr>
            <w:r>
              <w:rPr>
                <w:rFonts w:ascii="Arial" w:cs="Arial" w:eastAsia="Arial" w:hAnsi="Arial"/>
                <w:sz w:val="14"/>
                <w:szCs w:val="14"/>
                <w:b w:val="1"/>
                <w:bCs w:val="1"/>
                <w:color w:val="FFFFFF"/>
                <w:w w:val="93"/>
              </w:rPr>
              <w:t>(#)</w:t>
            </w:r>
          </w:p>
        </w:tc>
        <w:tc>
          <w:tcPr>
            <w:tcW w:w="20" w:type="dxa"/>
            <w:vAlign w:val="bottom"/>
            <w:tcBorders>
              <w:bottom w:val="single" w:sz="8" w:color="34657F"/>
            </w:tcBorders>
            <w:shd w:val="clear" w:color="auto" w:fill="34657F"/>
          </w:tcPr>
          <w:p>
            <w:pPr>
              <w:spacing w:after="0"/>
              <w:rPr>
                <w:sz w:val="15"/>
                <w:szCs w:val="15"/>
                <w:color w:val="auto"/>
              </w:rPr>
            </w:pPr>
          </w:p>
        </w:tc>
      </w:tr>
      <w:tr>
        <w:trPr>
          <w:trHeight w:val="205"/>
        </w:trPr>
        <w:tc>
          <w:tcPr>
            <w:tcW w:w="3780" w:type="dxa"/>
            <w:vAlign w:val="bottom"/>
            <w:shd w:val="clear" w:color="auto" w:fill="D1DDE6"/>
          </w:tcPr>
          <w:p>
            <w:pPr>
              <w:ind w:left="40"/>
              <w:spacing w:after="0"/>
              <w:rPr>
                <w:sz w:val="20"/>
                <w:szCs w:val="20"/>
                <w:color w:val="auto"/>
              </w:rPr>
            </w:pPr>
            <w:r>
              <w:rPr>
                <w:rFonts w:ascii="Arial" w:cs="Arial" w:eastAsia="Arial" w:hAnsi="Arial"/>
                <w:sz w:val="14"/>
                <w:szCs w:val="14"/>
                <w:color w:val="auto"/>
              </w:rPr>
              <w:t>Mr. Bush</w:t>
            </w:r>
          </w:p>
        </w:tc>
        <w:tc>
          <w:tcPr>
            <w:tcW w:w="3780" w:type="dxa"/>
            <w:vAlign w:val="bottom"/>
            <w:shd w:val="clear" w:color="auto" w:fill="D1DDE6"/>
          </w:tcPr>
          <w:p>
            <w:pPr>
              <w:jc w:val="center"/>
              <w:spacing w:after="0"/>
              <w:rPr>
                <w:sz w:val="20"/>
                <w:szCs w:val="20"/>
                <w:color w:val="auto"/>
              </w:rPr>
            </w:pPr>
            <w:r>
              <w:rPr>
                <w:rFonts w:ascii="Arial" w:cs="Arial" w:eastAsia="Arial" w:hAnsi="Arial"/>
                <w:sz w:val="14"/>
                <w:szCs w:val="14"/>
                <w:color w:val="auto"/>
                <w:w w:val="97"/>
              </w:rPr>
              <w:t>41,763</w:t>
            </w:r>
          </w:p>
        </w:tc>
        <w:tc>
          <w:tcPr>
            <w:tcW w:w="20" w:type="dxa"/>
            <w:vAlign w:val="bottom"/>
          </w:tcPr>
          <w:p>
            <w:pPr>
              <w:spacing w:after="0"/>
              <w:rPr>
                <w:sz w:val="17"/>
                <w:szCs w:val="17"/>
                <w:color w:val="auto"/>
              </w:rPr>
            </w:pPr>
          </w:p>
        </w:tc>
      </w:tr>
      <w:tr>
        <w:trPr>
          <w:trHeight w:val="199"/>
        </w:trPr>
        <w:tc>
          <w:tcPr>
            <w:tcW w:w="3780" w:type="dxa"/>
            <w:vAlign w:val="bottom"/>
          </w:tcPr>
          <w:p>
            <w:pPr>
              <w:ind w:left="40"/>
              <w:spacing w:after="0"/>
              <w:rPr>
                <w:sz w:val="20"/>
                <w:szCs w:val="20"/>
                <w:color w:val="auto"/>
              </w:rPr>
            </w:pPr>
            <w:r>
              <w:rPr>
                <w:rFonts w:ascii="Arial" w:cs="Arial" w:eastAsia="Arial" w:hAnsi="Arial"/>
                <w:sz w:val="14"/>
                <w:szCs w:val="14"/>
                <w:color w:val="auto"/>
              </w:rPr>
              <w:t>Ms. Warden</w:t>
            </w:r>
          </w:p>
        </w:tc>
        <w:tc>
          <w:tcPr>
            <w:tcW w:w="3780" w:type="dxa"/>
            <w:vAlign w:val="bottom"/>
          </w:tcPr>
          <w:p>
            <w:pPr>
              <w:jc w:val="center"/>
              <w:spacing w:after="0"/>
              <w:rPr>
                <w:sz w:val="20"/>
                <w:szCs w:val="20"/>
                <w:color w:val="auto"/>
              </w:rPr>
            </w:pPr>
            <w:r>
              <w:rPr>
                <w:rFonts w:ascii="Arial" w:cs="Arial" w:eastAsia="Arial" w:hAnsi="Arial"/>
                <w:sz w:val="14"/>
                <w:szCs w:val="14"/>
                <w:color w:val="auto"/>
                <w:w w:val="97"/>
              </w:rPr>
              <w:t>14,617</w:t>
            </w:r>
          </w:p>
        </w:tc>
        <w:tc>
          <w:tcPr>
            <w:tcW w:w="20" w:type="dxa"/>
            <w:vAlign w:val="bottom"/>
          </w:tcPr>
          <w:p>
            <w:pPr>
              <w:spacing w:after="0"/>
              <w:rPr>
                <w:sz w:val="17"/>
                <w:szCs w:val="17"/>
                <w:color w:val="auto"/>
              </w:rPr>
            </w:pPr>
          </w:p>
        </w:tc>
      </w:tr>
      <w:tr>
        <w:trPr>
          <w:trHeight w:val="191"/>
        </w:trPr>
        <w:tc>
          <w:tcPr>
            <w:tcW w:w="3780" w:type="dxa"/>
            <w:vAlign w:val="bottom"/>
            <w:tcBorders>
              <w:bottom w:val="single" w:sz="8" w:color="D1DDE6"/>
            </w:tcBorders>
            <w:shd w:val="clear" w:color="auto" w:fill="D1DDE6"/>
          </w:tcPr>
          <w:p>
            <w:pPr>
              <w:ind w:left="40"/>
              <w:spacing w:after="0"/>
              <w:rPr>
                <w:sz w:val="20"/>
                <w:szCs w:val="20"/>
                <w:color w:val="auto"/>
              </w:rPr>
            </w:pPr>
            <w:r>
              <w:rPr>
                <w:rFonts w:ascii="Arial" w:cs="Arial" w:eastAsia="Arial" w:hAnsi="Arial"/>
                <w:sz w:val="14"/>
                <w:szCs w:val="14"/>
                <w:color w:val="auto"/>
                <w:highlight w:val="lightGray"/>
              </w:rPr>
              <w:t>Mr. Bedingfield</w:t>
            </w:r>
          </w:p>
        </w:tc>
        <w:tc>
          <w:tcPr>
            <w:tcW w:w="3780" w:type="dxa"/>
            <w:vAlign w:val="bottom"/>
            <w:tcBorders>
              <w:bottom w:val="single" w:sz="8" w:color="D1DDE6"/>
            </w:tcBorders>
            <w:shd w:val="clear" w:color="auto" w:fill="D1DDE6"/>
          </w:tcPr>
          <w:p>
            <w:pPr>
              <w:jc w:val="center"/>
              <w:spacing w:after="0"/>
              <w:rPr>
                <w:sz w:val="20"/>
                <w:szCs w:val="20"/>
                <w:color w:val="auto"/>
              </w:rPr>
            </w:pPr>
            <w:r>
              <w:rPr>
                <w:rFonts w:ascii="Arial" w:cs="Arial" w:eastAsia="Arial" w:hAnsi="Arial"/>
                <w:sz w:val="14"/>
                <w:szCs w:val="14"/>
                <w:color w:val="auto"/>
                <w:w w:val="97"/>
              </w:rPr>
              <w:t>12,529</w:t>
            </w:r>
          </w:p>
        </w:tc>
        <w:tc>
          <w:tcPr>
            <w:tcW w:w="20" w:type="dxa"/>
            <w:vAlign w:val="bottom"/>
          </w:tcPr>
          <w:p>
            <w:pPr>
              <w:spacing w:after="0"/>
              <w:rPr>
                <w:sz w:val="16"/>
                <w:szCs w:val="16"/>
                <w:color w:val="auto"/>
              </w:rPr>
            </w:pPr>
          </w:p>
        </w:tc>
      </w:tr>
      <w:tr>
        <w:trPr>
          <w:trHeight w:val="199"/>
        </w:trPr>
        <w:tc>
          <w:tcPr>
            <w:tcW w:w="3780" w:type="dxa"/>
            <w:vAlign w:val="bottom"/>
            <w:tcBorders>
              <w:bottom w:val="single" w:sz="8" w:color="34657F"/>
            </w:tcBorders>
          </w:tcPr>
          <w:p>
            <w:pPr>
              <w:ind w:left="40"/>
              <w:spacing w:after="0"/>
              <w:rPr>
                <w:sz w:val="20"/>
                <w:szCs w:val="20"/>
                <w:color w:val="auto"/>
              </w:rPr>
            </w:pPr>
            <w:r>
              <w:rPr>
                <w:rFonts w:ascii="Arial" w:cs="Arial" w:eastAsia="Arial" w:hAnsi="Arial"/>
                <w:sz w:val="14"/>
                <w:szCs w:val="14"/>
                <w:color w:val="auto"/>
              </w:rPr>
              <w:t>Mr. Caylor</w:t>
            </w:r>
          </w:p>
        </w:tc>
        <w:tc>
          <w:tcPr>
            <w:tcW w:w="3780" w:type="dxa"/>
            <w:vAlign w:val="bottom"/>
            <w:tcBorders>
              <w:bottom w:val="single" w:sz="8" w:color="34657F"/>
            </w:tcBorders>
          </w:tcPr>
          <w:p>
            <w:pPr>
              <w:jc w:val="center"/>
              <w:spacing w:after="0"/>
              <w:rPr>
                <w:sz w:val="20"/>
                <w:szCs w:val="20"/>
                <w:color w:val="auto"/>
              </w:rPr>
            </w:pPr>
            <w:r>
              <w:rPr>
                <w:rFonts w:ascii="Arial" w:cs="Arial" w:eastAsia="Arial" w:hAnsi="Arial"/>
                <w:sz w:val="14"/>
                <w:szCs w:val="14"/>
                <w:color w:val="auto"/>
                <w:w w:val="97"/>
              </w:rPr>
              <w:t>10,441</w:t>
            </w:r>
          </w:p>
        </w:tc>
        <w:tc>
          <w:tcPr>
            <w:tcW w:w="20" w:type="dxa"/>
            <w:vAlign w:val="bottom"/>
          </w:tcPr>
          <w:p>
            <w:pPr>
              <w:spacing w:after="0"/>
              <w:rPr>
                <w:sz w:val="17"/>
                <w:szCs w:val="17"/>
                <w:color w:val="auto"/>
              </w:rPr>
            </w:pPr>
          </w:p>
        </w:tc>
      </w:tr>
    </w:tbl>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56 </w:t>
      </w:r>
      <w:r>
        <w:rPr>
          <w:rFonts w:ascii="Arial" w:cs="Arial" w:eastAsia="Arial" w:hAnsi="Arial"/>
          <w:sz w:val="13"/>
          <w:szCs w:val="13"/>
          <w:color w:val="auto"/>
        </w:rPr>
        <w:t>I</w:t>
      </w:r>
      <w:r>
        <w:rPr>
          <w:rFonts w:ascii="Arial" w:cs="Arial" w:eastAsia="Arial" w:hAnsi="Arial"/>
          <w:sz w:val="17"/>
          <w:szCs w:val="17"/>
          <w:color w:val="auto"/>
        </w:rPr>
        <w:t xml:space="preserve"> </w:t>
      </w:r>
      <w:r>
        <w:rPr>
          <w:rFonts w:ascii="Arial" w:cs="Arial" w:eastAsia="Arial" w:hAnsi="Arial"/>
          <w:sz w:val="13"/>
          <w:szCs w:val="13"/>
          <w:color w:val="34657F"/>
        </w:rPr>
        <w:t>NOTICE OF 2019 ANNUAL MEETING OF SHAREHOLDERS AND PROXY STATEMENT</w:t>
      </w:r>
    </w:p>
    <w:p>
      <w:pPr>
        <w:sectPr>
          <w:pgSz w:w="11900" w:h="16838" w:orient="portrait"/>
          <w:cols w:equalWidth="0" w:num="1">
            <w:col w:w="11440"/>
          </w:cols>
          <w:pgMar w:left="240" w:top="671" w:right="219" w:bottom="1440" w:gutter="0" w:footer="0" w:header="0"/>
        </w:sectPr>
      </w:pPr>
    </w:p>
    <w:bookmarkStart w:id="62" w:name="page63"/>
    <w:bookmarkEnd w:id="62"/>
    <w:p>
      <w:pPr>
        <w:ind w:left="20"/>
        <w:spacing w:after="0"/>
        <w:rPr>
          <w:sz w:val="20"/>
          <w:szCs w:val="20"/>
          <w:color w:val="auto"/>
        </w:rPr>
      </w:pPr>
      <w:r>
        <w:rPr>
          <w:rFonts w:ascii="Arial" w:cs="Arial" w:eastAsia="Arial" w:hAnsi="Arial"/>
          <w:sz w:val="21"/>
          <w:szCs w:val="21"/>
          <w:b w:val="1"/>
          <w:bCs w:val="1"/>
          <w:color w:val="FFFFFF"/>
          <w:shd w:val="clear" w:color="auto" w:fill="34657F"/>
        </w:rPr>
        <w:drawing>
          <wp:anchor simplePos="0" relativeHeight="251657728" behindDoc="1" locked="0" layoutInCell="0" allowOverlap="1">
            <wp:simplePos x="0" y="0"/>
            <wp:positionH relativeFrom="page">
              <wp:posOffset>154305</wp:posOffset>
            </wp:positionH>
            <wp:positionV relativeFrom="page">
              <wp:posOffset>365760</wp:posOffset>
            </wp:positionV>
            <wp:extent cx="7253605" cy="56197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53605" cy="561975"/>
                    </a:xfrm>
                    <a:prstGeom prst="rect">
                      <a:avLst/>
                    </a:prstGeom>
                    <a:noFill/>
                  </pic:spPr>
                </pic:pic>
              </a:graphicData>
            </a:graphic>
          </wp:anchor>
        </w:drawing>
        <w:t>COMPENSATION TABLES | S</w:t>
      </w:r>
      <w:r>
        <w:rPr>
          <w:rFonts w:ascii="Arial" w:cs="Arial" w:eastAsia="Arial" w:hAnsi="Arial"/>
          <w:sz w:val="17"/>
          <w:szCs w:val="17"/>
          <w:b w:val="1"/>
          <w:bCs w:val="1"/>
          <w:color w:val="FFFFFF"/>
          <w:shd w:val="clear" w:color="auto" w:fill="34657F"/>
        </w:rPr>
        <w:t>TOCK</w:t>
      </w:r>
      <w:r>
        <w:rPr>
          <w:rFonts w:ascii="Arial" w:cs="Arial" w:eastAsia="Arial" w:hAnsi="Arial"/>
          <w:sz w:val="21"/>
          <w:szCs w:val="21"/>
          <w:b w:val="1"/>
          <w:bCs w:val="1"/>
          <w:color w:val="FFFFFF"/>
          <w:shd w:val="clear" w:color="auto" w:fill="34657F"/>
        </w:rPr>
        <w:t xml:space="preserve"> V</w:t>
      </w:r>
      <w:r>
        <w:rPr>
          <w:rFonts w:ascii="Arial" w:cs="Arial" w:eastAsia="Arial" w:hAnsi="Arial"/>
          <w:sz w:val="17"/>
          <w:szCs w:val="17"/>
          <w:b w:val="1"/>
          <w:bCs w:val="1"/>
          <w:color w:val="FFFFFF"/>
          <w:shd w:val="clear" w:color="auto" w:fill="34657F"/>
        </w:rPr>
        <w:t>ESTED</w:t>
      </w:r>
      <w:r>
        <w:rPr>
          <w:rFonts w:ascii="Arial" w:cs="Arial" w:eastAsia="Arial" w:hAnsi="Arial"/>
          <w:sz w:val="21"/>
          <w:szCs w:val="21"/>
          <w:b w:val="1"/>
          <w:bCs w:val="1"/>
          <w:color w:val="FFFFFF"/>
          <w:shd w:val="clear" w:color="auto" w:fill="34657F"/>
        </w:rPr>
        <w:t xml:space="preserve"> T</w:t>
      </w:r>
      <w:r>
        <w:rPr>
          <w:rFonts w:ascii="Arial" w:cs="Arial" w:eastAsia="Arial" w:hAnsi="Arial"/>
          <w:sz w:val="17"/>
          <w:szCs w:val="17"/>
          <w:b w:val="1"/>
          <w:bCs w:val="1"/>
          <w:color w:val="FFFFFF"/>
          <w:shd w:val="clear" w:color="auto" w:fill="34657F"/>
        </w:rPr>
        <w:t>ABLE</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2018 Stock Vested</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6400" w:type="dxa"/>
            <w:vAlign w:val="bottom"/>
            <w:shd w:val="clear" w:color="auto" w:fill="34657F"/>
          </w:tcPr>
          <w:p>
            <w:pPr>
              <w:spacing w:after="0"/>
              <w:rPr>
                <w:sz w:val="22"/>
                <w:szCs w:val="22"/>
                <w:color w:val="auto"/>
              </w:rPr>
            </w:pPr>
          </w:p>
        </w:tc>
        <w:tc>
          <w:tcPr>
            <w:tcW w:w="5020" w:type="dxa"/>
            <w:vAlign w:val="bottom"/>
            <w:gridSpan w:val="2"/>
            <w:shd w:val="clear" w:color="auto" w:fill="34657F"/>
          </w:tcPr>
          <w:p>
            <w:pPr>
              <w:ind w:left="1920"/>
              <w:spacing w:after="0"/>
              <w:rPr>
                <w:sz w:val="20"/>
                <w:szCs w:val="20"/>
                <w:color w:val="auto"/>
              </w:rPr>
            </w:pPr>
            <w:r>
              <w:rPr>
                <w:rFonts w:ascii="Arial" w:cs="Arial" w:eastAsia="Arial" w:hAnsi="Arial"/>
                <w:sz w:val="14"/>
                <w:szCs w:val="14"/>
                <w:b w:val="1"/>
                <w:bCs w:val="1"/>
                <w:color w:val="FFFFFF"/>
              </w:rPr>
              <w:t>Stock Awards (1) (2)</w:t>
            </w:r>
          </w:p>
        </w:tc>
        <w:tc>
          <w:tcPr>
            <w:tcW w:w="20" w:type="dxa"/>
            <w:vAlign w:val="bottom"/>
            <w:shd w:val="clear" w:color="auto" w:fill="34657F"/>
          </w:tcPr>
          <w:p>
            <w:pPr>
              <w:spacing w:after="0"/>
              <w:rPr>
                <w:sz w:val="22"/>
                <w:szCs w:val="22"/>
                <w:color w:val="auto"/>
              </w:rPr>
            </w:pPr>
          </w:p>
        </w:tc>
      </w:tr>
      <w:tr>
        <w:trPr>
          <w:trHeight w:val="192"/>
        </w:trPr>
        <w:tc>
          <w:tcPr>
            <w:tcW w:w="6400" w:type="dxa"/>
            <w:vAlign w:val="bottom"/>
            <w:shd w:val="clear" w:color="auto" w:fill="34657F"/>
          </w:tcPr>
          <w:p>
            <w:pPr>
              <w:spacing w:after="0"/>
              <w:rPr>
                <w:sz w:val="16"/>
                <w:szCs w:val="16"/>
                <w:color w:val="auto"/>
              </w:rPr>
            </w:pPr>
          </w:p>
        </w:tc>
        <w:tc>
          <w:tcPr>
            <w:tcW w:w="2600" w:type="dxa"/>
            <w:vAlign w:val="bottom"/>
            <w:shd w:val="clear" w:color="auto" w:fill="34657F"/>
          </w:tcPr>
          <w:p>
            <w:pPr>
              <w:jc w:val="center"/>
              <w:spacing w:after="0"/>
              <w:rPr>
                <w:sz w:val="20"/>
                <w:szCs w:val="20"/>
                <w:color w:val="auto"/>
              </w:rPr>
            </w:pPr>
            <w:r>
              <w:rPr>
                <w:rFonts w:ascii="Arial" w:cs="Arial" w:eastAsia="Arial" w:hAnsi="Arial"/>
                <w:sz w:val="14"/>
                <w:szCs w:val="14"/>
                <w:b w:val="1"/>
                <w:bCs w:val="1"/>
                <w:color w:val="FFFFFF"/>
                <w:w w:val="97"/>
              </w:rPr>
              <w:t>Number of Shares Acquired</w:t>
            </w:r>
          </w:p>
        </w:tc>
        <w:tc>
          <w:tcPr>
            <w:tcW w:w="2420" w:type="dxa"/>
            <w:vAlign w:val="bottom"/>
            <w:shd w:val="clear" w:color="auto" w:fill="34657F"/>
          </w:tcPr>
          <w:p>
            <w:pPr>
              <w:spacing w:after="0"/>
              <w:rPr>
                <w:sz w:val="16"/>
                <w:szCs w:val="16"/>
                <w:color w:val="auto"/>
              </w:rPr>
            </w:pPr>
          </w:p>
        </w:tc>
        <w:tc>
          <w:tcPr>
            <w:tcW w:w="20" w:type="dxa"/>
            <w:vAlign w:val="bottom"/>
            <w:shd w:val="clear" w:color="auto" w:fill="34657F"/>
          </w:tcPr>
          <w:p>
            <w:pPr>
              <w:spacing w:after="0"/>
              <w:rPr>
                <w:sz w:val="16"/>
                <w:szCs w:val="16"/>
                <w:color w:val="auto"/>
              </w:rPr>
            </w:pPr>
          </w:p>
        </w:tc>
      </w:tr>
      <w:tr>
        <w:trPr>
          <w:trHeight w:val="154"/>
        </w:trPr>
        <w:tc>
          <w:tcPr>
            <w:tcW w:w="6400" w:type="dxa"/>
            <w:vAlign w:val="bottom"/>
            <w:shd w:val="clear" w:color="auto" w:fill="34657F"/>
          </w:tcPr>
          <w:p>
            <w:pPr>
              <w:spacing w:after="0"/>
              <w:rPr>
                <w:sz w:val="13"/>
                <w:szCs w:val="13"/>
                <w:color w:val="auto"/>
              </w:rPr>
            </w:pPr>
          </w:p>
        </w:tc>
        <w:tc>
          <w:tcPr>
            <w:tcW w:w="2600" w:type="dxa"/>
            <w:vAlign w:val="bottom"/>
            <w:shd w:val="clear" w:color="auto" w:fill="34657F"/>
          </w:tcPr>
          <w:p>
            <w:pPr>
              <w:jc w:val="center"/>
              <w:spacing w:after="0" w:line="154" w:lineRule="exact"/>
              <w:rPr>
                <w:sz w:val="20"/>
                <w:szCs w:val="20"/>
                <w:color w:val="auto"/>
              </w:rPr>
            </w:pPr>
            <w:r>
              <w:rPr>
                <w:rFonts w:ascii="Arial" w:cs="Arial" w:eastAsia="Arial" w:hAnsi="Arial"/>
                <w:sz w:val="14"/>
                <w:szCs w:val="14"/>
                <w:b w:val="1"/>
                <w:bCs w:val="1"/>
                <w:color w:val="FFFFFF"/>
                <w:w w:val="94"/>
              </w:rPr>
              <w:t>on Vesting</w:t>
            </w:r>
          </w:p>
        </w:tc>
        <w:tc>
          <w:tcPr>
            <w:tcW w:w="2420" w:type="dxa"/>
            <w:vAlign w:val="bottom"/>
            <w:shd w:val="clear" w:color="auto" w:fill="34657F"/>
          </w:tcPr>
          <w:p>
            <w:pPr>
              <w:ind w:left="380"/>
              <w:spacing w:after="0" w:line="154" w:lineRule="exact"/>
              <w:rPr>
                <w:sz w:val="20"/>
                <w:szCs w:val="20"/>
                <w:color w:val="auto"/>
              </w:rPr>
            </w:pPr>
            <w:r>
              <w:rPr>
                <w:rFonts w:ascii="Arial" w:cs="Arial" w:eastAsia="Arial" w:hAnsi="Arial"/>
                <w:sz w:val="14"/>
                <w:szCs w:val="14"/>
                <w:b w:val="1"/>
                <w:bCs w:val="1"/>
                <w:color w:val="FFFFFF"/>
              </w:rPr>
              <w:t>Value Realized on Vesting</w:t>
            </w:r>
          </w:p>
        </w:tc>
        <w:tc>
          <w:tcPr>
            <w:tcW w:w="20" w:type="dxa"/>
            <w:vAlign w:val="bottom"/>
            <w:shd w:val="clear" w:color="auto" w:fill="34657F"/>
          </w:tcPr>
          <w:p>
            <w:pPr>
              <w:spacing w:after="0"/>
              <w:rPr>
                <w:sz w:val="13"/>
                <w:szCs w:val="13"/>
                <w:color w:val="auto"/>
              </w:rPr>
            </w:pPr>
          </w:p>
        </w:tc>
      </w:tr>
      <w:tr>
        <w:trPr>
          <w:trHeight w:val="184"/>
        </w:trPr>
        <w:tc>
          <w:tcPr>
            <w:tcW w:w="6400" w:type="dxa"/>
            <w:vAlign w:val="bottom"/>
            <w:tcBorders>
              <w:bottom w:val="single" w:sz="8" w:color="34657F"/>
            </w:tcBorders>
            <w:shd w:val="clear" w:color="auto" w:fill="34657F"/>
          </w:tcPr>
          <w:p>
            <w:pPr>
              <w:ind w:left="40"/>
              <w:spacing w:after="0"/>
              <w:rPr>
                <w:sz w:val="20"/>
                <w:szCs w:val="20"/>
                <w:color w:val="auto"/>
              </w:rPr>
            </w:pPr>
            <w:r>
              <w:rPr>
                <w:rFonts w:ascii="Arial" w:cs="Arial" w:eastAsia="Arial" w:hAnsi="Arial"/>
                <w:sz w:val="14"/>
                <w:szCs w:val="14"/>
                <w:b w:val="1"/>
                <w:bCs w:val="1"/>
                <w:color w:val="FFFFFF"/>
              </w:rPr>
              <w:t>Name</w:t>
            </w:r>
          </w:p>
        </w:tc>
        <w:tc>
          <w:tcPr>
            <w:tcW w:w="2600" w:type="dxa"/>
            <w:vAlign w:val="bottom"/>
            <w:tcBorders>
              <w:bottom w:val="single" w:sz="8" w:color="34657F"/>
            </w:tcBorders>
            <w:shd w:val="clear" w:color="auto" w:fill="34657F"/>
          </w:tcPr>
          <w:p>
            <w:pPr>
              <w:jc w:val="center"/>
              <w:spacing w:after="0"/>
              <w:rPr>
                <w:sz w:val="20"/>
                <w:szCs w:val="20"/>
                <w:color w:val="auto"/>
              </w:rPr>
            </w:pPr>
            <w:r>
              <w:rPr>
                <w:rFonts w:ascii="Arial" w:cs="Arial" w:eastAsia="Arial" w:hAnsi="Arial"/>
                <w:sz w:val="14"/>
                <w:szCs w:val="14"/>
                <w:b w:val="1"/>
                <w:bCs w:val="1"/>
                <w:color w:val="FFFFFF"/>
                <w:w w:val="93"/>
              </w:rPr>
              <w:t>(#)</w:t>
            </w:r>
          </w:p>
        </w:tc>
        <w:tc>
          <w:tcPr>
            <w:tcW w:w="2420" w:type="dxa"/>
            <w:vAlign w:val="bottom"/>
            <w:tcBorders>
              <w:bottom w:val="single" w:sz="8" w:color="34657F"/>
            </w:tcBorders>
            <w:shd w:val="clear" w:color="auto" w:fill="34657F"/>
          </w:tcPr>
          <w:p>
            <w:pPr>
              <w:jc w:val="center"/>
              <w:spacing w:after="0"/>
              <w:rPr>
                <w:sz w:val="20"/>
                <w:szCs w:val="20"/>
                <w:color w:val="auto"/>
              </w:rPr>
            </w:pPr>
            <w:r>
              <w:rPr>
                <w:rFonts w:ascii="Arial" w:cs="Arial" w:eastAsia="Arial" w:hAnsi="Arial"/>
                <w:sz w:val="14"/>
                <w:szCs w:val="14"/>
                <w:b w:val="1"/>
                <w:bCs w:val="1"/>
                <w:color w:val="FFFFFF"/>
              </w:rPr>
              <w:t>($)</w:t>
            </w:r>
          </w:p>
        </w:tc>
        <w:tc>
          <w:tcPr>
            <w:tcW w:w="20" w:type="dxa"/>
            <w:vAlign w:val="bottom"/>
            <w:tcBorders>
              <w:bottom w:val="single" w:sz="8" w:color="34657F"/>
            </w:tcBorders>
            <w:shd w:val="clear" w:color="auto" w:fill="34657F"/>
          </w:tcPr>
          <w:p>
            <w:pPr>
              <w:spacing w:after="0"/>
              <w:rPr>
                <w:sz w:val="15"/>
                <w:szCs w:val="15"/>
                <w:color w:val="auto"/>
              </w:rPr>
            </w:pPr>
          </w:p>
        </w:tc>
      </w:tr>
      <w:tr>
        <w:trPr>
          <w:trHeight w:val="236"/>
        </w:trPr>
        <w:tc>
          <w:tcPr>
            <w:tcW w:w="6400" w:type="dxa"/>
            <w:vAlign w:val="bottom"/>
            <w:tcBorders>
              <w:bottom w:val="single" w:sz="8" w:color="D1DDE6"/>
            </w:tcBorders>
            <w:shd w:val="clear" w:color="auto" w:fill="D1DDE6"/>
          </w:tcPr>
          <w:p>
            <w:pPr>
              <w:ind w:left="20"/>
              <w:spacing w:after="0"/>
              <w:rPr>
                <w:sz w:val="20"/>
                <w:szCs w:val="20"/>
                <w:color w:val="auto"/>
              </w:rPr>
            </w:pPr>
            <w:r>
              <w:rPr>
                <w:rFonts w:ascii="Arial" w:cs="Arial" w:eastAsia="Arial" w:hAnsi="Arial"/>
                <w:sz w:val="14"/>
                <w:szCs w:val="14"/>
                <w:color w:val="auto"/>
                <w:highlight w:val="lightGray"/>
              </w:rPr>
              <w:t>Wesley G. Bush</w:t>
            </w:r>
          </w:p>
        </w:tc>
        <w:tc>
          <w:tcPr>
            <w:tcW w:w="2600" w:type="dxa"/>
            <w:vAlign w:val="bottom"/>
            <w:tcBorders>
              <w:bottom w:val="single" w:sz="8" w:color="D1DDE6"/>
            </w:tcBorders>
            <w:shd w:val="clear" w:color="auto" w:fill="D1DDE6"/>
          </w:tcPr>
          <w:p>
            <w:pPr>
              <w:jc w:val="center"/>
              <w:spacing w:after="0"/>
              <w:rPr>
                <w:sz w:val="20"/>
                <w:szCs w:val="20"/>
                <w:color w:val="auto"/>
              </w:rPr>
            </w:pPr>
            <w:r>
              <w:rPr>
                <w:rFonts w:ascii="Arial" w:cs="Arial" w:eastAsia="Arial" w:hAnsi="Arial"/>
                <w:sz w:val="14"/>
                <w:szCs w:val="14"/>
                <w:color w:val="auto"/>
                <w:w w:val="93"/>
              </w:rPr>
              <w:t>78,466</w:t>
            </w:r>
          </w:p>
        </w:tc>
        <w:tc>
          <w:tcPr>
            <w:tcW w:w="2420" w:type="dxa"/>
            <w:vAlign w:val="bottom"/>
            <w:tcBorders>
              <w:bottom w:val="single" w:sz="8" w:color="D1DDE6"/>
            </w:tcBorders>
            <w:shd w:val="clear" w:color="auto" w:fill="D1DDE6"/>
          </w:tcPr>
          <w:p>
            <w:pPr>
              <w:jc w:val="center"/>
              <w:spacing w:after="0"/>
              <w:rPr>
                <w:sz w:val="20"/>
                <w:szCs w:val="20"/>
                <w:color w:val="auto"/>
              </w:rPr>
            </w:pPr>
            <w:r>
              <w:rPr>
                <w:rFonts w:ascii="Arial" w:cs="Arial" w:eastAsia="Arial" w:hAnsi="Arial"/>
                <w:sz w:val="14"/>
                <w:szCs w:val="14"/>
                <w:color w:val="auto"/>
                <w:w w:val="96"/>
              </w:rPr>
              <w:t>27,059,129</w:t>
            </w:r>
          </w:p>
        </w:tc>
        <w:tc>
          <w:tcPr>
            <w:tcW w:w="20" w:type="dxa"/>
            <w:vAlign w:val="bottom"/>
          </w:tcPr>
          <w:p>
            <w:pPr>
              <w:spacing w:after="0"/>
              <w:rPr>
                <w:sz w:val="20"/>
                <w:szCs w:val="20"/>
                <w:color w:val="auto"/>
              </w:rPr>
            </w:pPr>
          </w:p>
        </w:tc>
      </w:tr>
      <w:tr>
        <w:trPr>
          <w:trHeight w:val="219"/>
        </w:trPr>
        <w:tc>
          <w:tcPr>
            <w:tcW w:w="6400" w:type="dxa"/>
            <w:vAlign w:val="bottom"/>
          </w:tcPr>
          <w:p>
            <w:pPr>
              <w:ind w:left="20"/>
              <w:spacing w:after="0"/>
              <w:rPr>
                <w:sz w:val="20"/>
                <w:szCs w:val="20"/>
                <w:color w:val="auto"/>
              </w:rPr>
            </w:pPr>
            <w:r>
              <w:rPr>
                <w:rFonts w:ascii="Arial" w:cs="Arial" w:eastAsia="Arial" w:hAnsi="Arial"/>
                <w:sz w:val="14"/>
                <w:szCs w:val="14"/>
                <w:color w:val="auto"/>
              </w:rPr>
              <w:t>Kathy J. Warden</w:t>
            </w:r>
          </w:p>
        </w:tc>
        <w:tc>
          <w:tcPr>
            <w:tcW w:w="2600" w:type="dxa"/>
            <w:vAlign w:val="bottom"/>
          </w:tcPr>
          <w:p>
            <w:pPr>
              <w:jc w:val="center"/>
              <w:spacing w:after="0"/>
              <w:rPr>
                <w:sz w:val="20"/>
                <w:szCs w:val="20"/>
                <w:color w:val="auto"/>
              </w:rPr>
            </w:pPr>
            <w:r>
              <w:rPr>
                <w:rFonts w:ascii="Arial" w:cs="Arial" w:eastAsia="Arial" w:hAnsi="Arial"/>
                <w:sz w:val="14"/>
                <w:szCs w:val="14"/>
                <w:color w:val="auto"/>
                <w:w w:val="93"/>
              </w:rPr>
              <w:t>24,893</w:t>
            </w:r>
          </w:p>
        </w:tc>
        <w:tc>
          <w:tcPr>
            <w:tcW w:w="2420" w:type="dxa"/>
            <w:vAlign w:val="bottom"/>
          </w:tcPr>
          <w:p>
            <w:pPr>
              <w:jc w:val="center"/>
              <w:spacing w:after="0"/>
              <w:rPr>
                <w:sz w:val="20"/>
                <w:szCs w:val="20"/>
                <w:color w:val="auto"/>
              </w:rPr>
            </w:pPr>
            <w:r>
              <w:rPr>
                <w:rFonts w:ascii="Arial" w:cs="Arial" w:eastAsia="Arial" w:hAnsi="Arial"/>
                <w:sz w:val="14"/>
                <w:szCs w:val="14"/>
                <w:color w:val="auto"/>
                <w:w w:val="99"/>
              </w:rPr>
              <w:t>8,588,938</w:t>
            </w:r>
          </w:p>
        </w:tc>
        <w:tc>
          <w:tcPr>
            <w:tcW w:w="20" w:type="dxa"/>
            <w:vAlign w:val="bottom"/>
          </w:tcPr>
          <w:p>
            <w:pPr>
              <w:spacing w:after="0"/>
              <w:rPr>
                <w:sz w:val="19"/>
                <w:szCs w:val="19"/>
                <w:color w:val="auto"/>
              </w:rPr>
            </w:pPr>
          </w:p>
        </w:tc>
      </w:tr>
      <w:tr>
        <w:trPr>
          <w:trHeight w:val="37"/>
        </w:trPr>
        <w:tc>
          <w:tcPr>
            <w:tcW w:w="6400" w:type="dxa"/>
            <w:vAlign w:val="bottom"/>
          </w:tcPr>
          <w:p>
            <w:pPr>
              <w:spacing w:after="0"/>
              <w:rPr>
                <w:sz w:val="3"/>
                <w:szCs w:val="3"/>
                <w:color w:val="auto"/>
              </w:rPr>
            </w:pPr>
          </w:p>
        </w:tc>
        <w:tc>
          <w:tcPr>
            <w:tcW w:w="2600" w:type="dxa"/>
            <w:vAlign w:val="bottom"/>
          </w:tcPr>
          <w:p>
            <w:pPr>
              <w:spacing w:after="0"/>
              <w:rPr>
                <w:sz w:val="3"/>
                <w:szCs w:val="3"/>
                <w:color w:val="auto"/>
              </w:rPr>
            </w:pPr>
          </w:p>
        </w:tc>
        <w:tc>
          <w:tcPr>
            <w:tcW w:w="242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236"/>
        </w:trPr>
        <w:tc>
          <w:tcPr>
            <w:tcW w:w="6400" w:type="dxa"/>
            <w:vAlign w:val="bottom"/>
            <w:tcBorders>
              <w:bottom w:val="single" w:sz="8" w:color="D1DDE6"/>
            </w:tcBorders>
            <w:shd w:val="clear" w:color="auto" w:fill="D1DDE6"/>
          </w:tcPr>
          <w:p>
            <w:pPr>
              <w:ind w:left="20"/>
              <w:spacing w:after="0"/>
              <w:rPr>
                <w:sz w:val="20"/>
                <w:szCs w:val="20"/>
                <w:color w:val="auto"/>
              </w:rPr>
            </w:pPr>
            <w:r>
              <w:rPr>
                <w:rFonts w:ascii="Arial" w:cs="Arial" w:eastAsia="Arial" w:hAnsi="Arial"/>
                <w:sz w:val="14"/>
                <w:szCs w:val="14"/>
                <w:color w:val="auto"/>
              </w:rPr>
              <w:t>Kenneth L. Bedingfield</w:t>
            </w:r>
          </w:p>
        </w:tc>
        <w:tc>
          <w:tcPr>
            <w:tcW w:w="2600" w:type="dxa"/>
            <w:vAlign w:val="bottom"/>
            <w:tcBorders>
              <w:bottom w:val="single" w:sz="8" w:color="D1DDE6"/>
            </w:tcBorders>
            <w:shd w:val="clear" w:color="auto" w:fill="D1DDE6"/>
          </w:tcPr>
          <w:p>
            <w:pPr>
              <w:jc w:val="center"/>
              <w:spacing w:after="0"/>
              <w:rPr>
                <w:sz w:val="20"/>
                <w:szCs w:val="20"/>
                <w:color w:val="auto"/>
              </w:rPr>
            </w:pPr>
            <w:r>
              <w:rPr>
                <w:rFonts w:ascii="Arial" w:cs="Arial" w:eastAsia="Arial" w:hAnsi="Arial"/>
                <w:sz w:val="14"/>
                <w:szCs w:val="14"/>
                <w:color w:val="auto"/>
                <w:w w:val="93"/>
              </w:rPr>
              <w:t>23,338</w:t>
            </w:r>
          </w:p>
        </w:tc>
        <w:tc>
          <w:tcPr>
            <w:tcW w:w="2420" w:type="dxa"/>
            <w:vAlign w:val="bottom"/>
            <w:tcBorders>
              <w:bottom w:val="single" w:sz="8" w:color="D1DDE6"/>
            </w:tcBorders>
            <w:shd w:val="clear" w:color="auto" w:fill="D1DDE6"/>
          </w:tcPr>
          <w:p>
            <w:pPr>
              <w:jc w:val="center"/>
              <w:spacing w:after="0"/>
              <w:rPr>
                <w:sz w:val="20"/>
                <w:szCs w:val="20"/>
                <w:color w:val="auto"/>
              </w:rPr>
            </w:pPr>
            <w:r>
              <w:rPr>
                <w:rFonts w:ascii="Arial" w:cs="Arial" w:eastAsia="Arial" w:hAnsi="Arial"/>
                <w:sz w:val="14"/>
                <w:szCs w:val="14"/>
                <w:color w:val="auto"/>
                <w:w w:val="99"/>
              </w:rPr>
              <w:t>8,052,238</w:t>
            </w:r>
          </w:p>
        </w:tc>
        <w:tc>
          <w:tcPr>
            <w:tcW w:w="20" w:type="dxa"/>
            <w:vAlign w:val="bottom"/>
          </w:tcPr>
          <w:p>
            <w:pPr>
              <w:spacing w:after="0"/>
              <w:rPr>
                <w:sz w:val="20"/>
                <w:szCs w:val="20"/>
                <w:color w:val="auto"/>
              </w:rPr>
            </w:pPr>
          </w:p>
        </w:tc>
      </w:tr>
      <w:tr>
        <w:trPr>
          <w:trHeight w:val="219"/>
        </w:trPr>
        <w:tc>
          <w:tcPr>
            <w:tcW w:w="6400" w:type="dxa"/>
            <w:vAlign w:val="bottom"/>
          </w:tcPr>
          <w:p>
            <w:pPr>
              <w:ind w:left="20"/>
              <w:spacing w:after="0"/>
              <w:rPr>
                <w:sz w:val="20"/>
                <w:szCs w:val="20"/>
                <w:color w:val="auto"/>
              </w:rPr>
            </w:pPr>
            <w:r>
              <w:rPr>
                <w:rFonts w:ascii="Arial" w:cs="Arial" w:eastAsia="Arial" w:hAnsi="Arial"/>
                <w:sz w:val="14"/>
                <w:szCs w:val="14"/>
                <w:color w:val="auto"/>
              </w:rPr>
              <w:t>Mark A. Caylor</w:t>
            </w:r>
          </w:p>
        </w:tc>
        <w:tc>
          <w:tcPr>
            <w:tcW w:w="2600" w:type="dxa"/>
            <w:vAlign w:val="bottom"/>
          </w:tcPr>
          <w:p>
            <w:pPr>
              <w:jc w:val="center"/>
              <w:spacing w:after="0"/>
              <w:rPr>
                <w:sz w:val="20"/>
                <w:szCs w:val="20"/>
                <w:color w:val="auto"/>
              </w:rPr>
            </w:pPr>
            <w:r>
              <w:rPr>
                <w:rFonts w:ascii="Arial" w:cs="Arial" w:eastAsia="Arial" w:hAnsi="Arial"/>
                <w:sz w:val="14"/>
                <w:szCs w:val="14"/>
                <w:color w:val="auto"/>
                <w:w w:val="93"/>
              </w:rPr>
              <w:t>13,614</w:t>
            </w:r>
          </w:p>
        </w:tc>
        <w:tc>
          <w:tcPr>
            <w:tcW w:w="2420" w:type="dxa"/>
            <w:vAlign w:val="bottom"/>
          </w:tcPr>
          <w:p>
            <w:pPr>
              <w:jc w:val="center"/>
              <w:spacing w:after="0"/>
              <w:rPr>
                <w:sz w:val="20"/>
                <w:szCs w:val="20"/>
                <w:color w:val="auto"/>
              </w:rPr>
            </w:pPr>
            <w:r>
              <w:rPr>
                <w:rFonts w:ascii="Arial" w:cs="Arial" w:eastAsia="Arial" w:hAnsi="Arial"/>
                <w:sz w:val="14"/>
                <w:szCs w:val="14"/>
                <w:color w:val="auto"/>
                <w:w w:val="99"/>
              </w:rPr>
              <w:t>4,697,123</w:t>
            </w:r>
          </w:p>
        </w:tc>
        <w:tc>
          <w:tcPr>
            <w:tcW w:w="20" w:type="dxa"/>
            <w:vAlign w:val="bottom"/>
          </w:tcPr>
          <w:p>
            <w:pPr>
              <w:spacing w:after="0"/>
              <w:rPr>
                <w:sz w:val="19"/>
                <w:szCs w:val="19"/>
                <w:color w:val="auto"/>
              </w:rPr>
            </w:pPr>
          </w:p>
        </w:tc>
      </w:tr>
      <w:tr>
        <w:trPr>
          <w:trHeight w:val="37"/>
        </w:trPr>
        <w:tc>
          <w:tcPr>
            <w:tcW w:w="6400" w:type="dxa"/>
            <w:vAlign w:val="bottom"/>
          </w:tcPr>
          <w:p>
            <w:pPr>
              <w:spacing w:after="0"/>
              <w:rPr>
                <w:sz w:val="3"/>
                <w:szCs w:val="3"/>
                <w:color w:val="auto"/>
              </w:rPr>
            </w:pPr>
          </w:p>
        </w:tc>
        <w:tc>
          <w:tcPr>
            <w:tcW w:w="2600" w:type="dxa"/>
            <w:vAlign w:val="bottom"/>
          </w:tcPr>
          <w:p>
            <w:pPr>
              <w:spacing w:after="0"/>
              <w:rPr>
                <w:sz w:val="3"/>
                <w:szCs w:val="3"/>
                <w:color w:val="auto"/>
              </w:rPr>
            </w:pPr>
          </w:p>
        </w:tc>
        <w:tc>
          <w:tcPr>
            <w:tcW w:w="242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236"/>
        </w:trPr>
        <w:tc>
          <w:tcPr>
            <w:tcW w:w="6400" w:type="dxa"/>
            <w:vAlign w:val="bottom"/>
            <w:tcBorders>
              <w:bottom w:val="single" w:sz="8" w:color="D1DDE6"/>
            </w:tcBorders>
            <w:shd w:val="clear" w:color="auto" w:fill="D1DDE6"/>
          </w:tcPr>
          <w:p>
            <w:pPr>
              <w:ind w:left="20"/>
              <w:spacing w:after="0"/>
              <w:rPr>
                <w:sz w:val="20"/>
                <w:szCs w:val="20"/>
                <w:color w:val="auto"/>
              </w:rPr>
            </w:pPr>
            <w:r>
              <w:rPr>
                <w:rFonts w:ascii="Arial" w:cs="Arial" w:eastAsia="Arial" w:hAnsi="Arial"/>
                <w:sz w:val="14"/>
                <w:szCs w:val="14"/>
                <w:color w:val="auto"/>
                <w:highlight w:val="lightGray"/>
              </w:rPr>
              <w:t>Blake E. Larson</w:t>
            </w:r>
          </w:p>
        </w:tc>
        <w:tc>
          <w:tcPr>
            <w:tcW w:w="2600" w:type="dxa"/>
            <w:vAlign w:val="bottom"/>
            <w:tcBorders>
              <w:bottom w:val="single" w:sz="8" w:color="D1DDE6"/>
            </w:tcBorders>
            <w:shd w:val="clear" w:color="auto" w:fill="D1DDE6"/>
          </w:tcPr>
          <w:p>
            <w:pPr>
              <w:jc w:val="center"/>
              <w:spacing w:after="0"/>
              <w:rPr>
                <w:sz w:val="20"/>
                <w:szCs w:val="20"/>
                <w:color w:val="auto"/>
              </w:rPr>
            </w:pPr>
            <w:r>
              <w:rPr>
                <w:rFonts w:ascii="Arial" w:cs="Arial" w:eastAsia="Arial" w:hAnsi="Arial"/>
                <w:sz w:val="14"/>
                <w:szCs w:val="14"/>
                <w:color w:val="auto"/>
              </w:rPr>
              <w:t>5,505</w:t>
            </w:r>
          </w:p>
        </w:tc>
        <w:tc>
          <w:tcPr>
            <w:tcW w:w="2420" w:type="dxa"/>
            <w:vAlign w:val="bottom"/>
            <w:tcBorders>
              <w:bottom w:val="single" w:sz="8" w:color="D1DDE6"/>
            </w:tcBorders>
            <w:shd w:val="clear" w:color="auto" w:fill="D1DDE6"/>
          </w:tcPr>
          <w:p>
            <w:pPr>
              <w:jc w:val="center"/>
              <w:spacing w:after="0"/>
              <w:rPr>
                <w:sz w:val="20"/>
                <w:szCs w:val="20"/>
                <w:color w:val="auto"/>
              </w:rPr>
            </w:pPr>
            <w:r>
              <w:rPr>
                <w:rFonts w:ascii="Arial" w:cs="Arial" w:eastAsia="Arial" w:hAnsi="Arial"/>
                <w:sz w:val="14"/>
                <w:szCs w:val="14"/>
                <w:color w:val="auto"/>
                <w:w w:val="99"/>
              </w:rPr>
              <w:t>1,348,175</w:t>
            </w:r>
          </w:p>
        </w:tc>
        <w:tc>
          <w:tcPr>
            <w:tcW w:w="20" w:type="dxa"/>
            <w:vAlign w:val="bottom"/>
          </w:tcPr>
          <w:p>
            <w:pPr>
              <w:spacing w:after="0"/>
              <w:rPr>
                <w:sz w:val="20"/>
                <w:szCs w:val="20"/>
                <w:color w:val="auto"/>
              </w:rPr>
            </w:pPr>
          </w:p>
        </w:tc>
      </w:tr>
      <w:tr>
        <w:trPr>
          <w:trHeight w:val="20"/>
        </w:trPr>
        <w:tc>
          <w:tcPr>
            <w:tcW w:w="6400" w:type="dxa"/>
            <w:vAlign w:val="bottom"/>
            <w:shd w:val="clear" w:color="auto" w:fill="34657F"/>
          </w:tcPr>
          <w:p>
            <w:pPr>
              <w:spacing w:after="0" w:line="20" w:lineRule="exact"/>
              <w:rPr>
                <w:sz w:val="1"/>
                <w:szCs w:val="1"/>
                <w:color w:val="auto"/>
              </w:rPr>
            </w:pPr>
          </w:p>
        </w:tc>
        <w:tc>
          <w:tcPr>
            <w:tcW w:w="2600" w:type="dxa"/>
            <w:vAlign w:val="bottom"/>
            <w:shd w:val="clear" w:color="auto" w:fill="34657F"/>
          </w:tcPr>
          <w:p>
            <w:pPr>
              <w:spacing w:after="0" w:line="20" w:lineRule="exact"/>
              <w:rPr>
                <w:sz w:val="1"/>
                <w:szCs w:val="1"/>
                <w:color w:val="auto"/>
              </w:rPr>
            </w:pPr>
          </w:p>
        </w:tc>
        <w:tc>
          <w:tcPr>
            <w:tcW w:w="2420" w:type="dxa"/>
            <w:vAlign w:val="bottom"/>
            <w:shd w:val="clear" w:color="auto" w:fill="34657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4137025</wp:posOffset>
            </wp:positionH>
            <wp:positionV relativeFrom="paragraph">
              <wp:posOffset>-1163320</wp:posOffset>
            </wp:positionV>
            <wp:extent cx="312610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3126105" cy="8255"/>
                    </a:xfrm>
                    <a:prstGeom prst="rect">
                      <a:avLst/>
                    </a:prstGeom>
                    <a:noFill/>
                  </pic:spPr>
                </pic:pic>
              </a:graphicData>
            </a:graphic>
          </wp:anchor>
        </w:drawing>
      </w:r>
    </w:p>
    <w:p>
      <w:pPr>
        <w:spacing w:after="0" w:line="56" w:lineRule="exact"/>
        <w:rPr>
          <w:sz w:val="20"/>
          <w:szCs w:val="20"/>
          <w:color w:val="auto"/>
        </w:rPr>
      </w:pPr>
    </w:p>
    <w:p>
      <w:pPr>
        <w:ind w:left="380" w:right="680" w:hanging="377"/>
        <w:spacing w:after="0" w:line="263" w:lineRule="auto"/>
        <w:tabs>
          <w:tab w:leader="none" w:pos="380" w:val="left"/>
        </w:tabs>
        <w:numPr>
          <w:ilvl w:val="0"/>
          <w:numId w:val="71"/>
        </w:numPr>
        <w:rPr>
          <w:rFonts w:ascii="Arial" w:cs="Arial" w:eastAsia="Arial" w:hAnsi="Arial"/>
          <w:sz w:val="17"/>
          <w:szCs w:val="17"/>
          <w:color w:val="auto"/>
        </w:rPr>
      </w:pPr>
      <w:r>
        <w:rPr>
          <w:rFonts w:ascii="Arial" w:cs="Arial" w:eastAsia="Arial" w:hAnsi="Arial"/>
          <w:sz w:val="17"/>
          <w:szCs w:val="17"/>
          <w:color w:val="auto"/>
        </w:rPr>
        <w:t>Number of shares and amounts reflected in the table are reported on an aggregate basis and do not reflect shares sold or withheld to pay withholding taxes.</w:t>
      </w:r>
    </w:p>
    <w:p>
      <w:pPr>
        <w:spacing w:after="0" w:line="47" w:lineRule="exact"/>
        <w:rPr>
          <w:rFonts w:ascii="Arial" w:cs="Arial" w:eastAsia="Arial" w:hAnsi="Arial"/>
          <w:sz w:val="17"/>
          <w:szCs w:val="17"/>
          <w:color w:val="auto"/>
        </w:rPr>
      </w:pPr>
    </w:p>
    <w:p>
      <w:pPr>
        <w:ind w:left="380" w:right="180" w:hanging="377"/>
        <w:spacing w:after="0" w:line="264" w:lineRule="auto"/>
        <w:tabs>
          <w:tab w:leader="none" w:pos="380" w:val="left"/>
        </w:tabs>
        <w:numPr>
          <w:ilvl w:val="0"/>
          <w:numId w:val="71"/>
        </w:numPr>
        <w:rPr>
          <w:rFonts w:ascii="Arial" w:cs="Arial" w:eastAsia="Arial" w:hAnsi="Arial"/>
          <w:sz w:val="17"/>
          <w:szCs w:val="17"/>
          <w:color w:val="auto"/>
        </w:rPr>
      </w:pPr>
      <w:r>
        <w:rPr>
          <w:rFonts w:ascii="Arial" w:cs="Arial" w:eastAsia="Arial" w:hAnsi="Arial"/>
          <w:sz w:val="17"/>
          <w:szCs w:val="17"/>
          <w:color w:val="auto"/>
        </w:rPr>
        <w:t>Consists of RPSRs granted in 2015 and RSRs granted in 2015 and 2018. The 2015 RPSRs vested based on the three-year performance period which ended on December 31, 2017 and were distributed in February 2018. The 2015 RSRs vested three years from the date of grant. Half of Mr. Larson's 2018 sign-on RSR grant vested on December 31, 2018 and was distributed in January 2019.</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5740"/>
        <w:spacing w:after="0"/>
        <w:rPr>
          <w:sz w:val="20"/>
          <w:szCs w:val="20"/>
          <w:color w:val="auto"/>
        </w:rPr>
      </w:pPr>
      <w:r>
        <w:rPr>
          <w:rFonts w:ascii="Arial" w:cs="Arial" w:eastAsia="Arial" w:hAnsi="Arial"/>
          <w:sz w:val="13"/>
          <w:szCs w:val="13"/>
          <w:color w:val="34657F"/>
        </w:rPr>
        <w:t xml:space="preserve">NOTICE OF 2019 ANNUAL MEETING OF SHAREHOLDERS AND PROXY STATEMENT </w:t>
      </w:r>
      <w:r>
        <w:rPr>
          <w:rFonts w:ascii="Arial" w:cs="Arial" w:eastAsia="Arial" w:hAnsi="Arial"/>
          <w:sz w:val="13"/>
          <w:szCs w:val="13"/>
          <w:color w:val="000000"/>
        </w:rPr>
        <w:t>I 57</w:t>
      </w:r>
    </w:p>
    <w:p>
      <w:pPr>
        <w:sectPr>
          <w:pgSz w:w="11900" w:h="16838" w:orient="portrait"/>
          <w:cols w:equalWidth="0" w:num="1">
            <w:col w:w="11440"/>
          </w:cols>
          <w:pgMar w:left="240" w:top="671" w:right="219" w:bottom="1440" w:gutter="0" w:footer="0" w:header="0"/>
        </w:sectPr>
      </w:pPr>
    </w:p>
    <w:bookmarkStart w:id="63" w:name="page64"/>
    <w:bookmarkEnd w:id="63"/>
    <w:p>
      <w:pPr>
        <w:ind w:left="20"/>
        <w:spacing w:after="0"/>
        <w:rPr>
          <w:sz w:val="20"/>
          <w:szCs w:val="20"/>
          <w:color w:val="auto"/>
        </w:rPr>
      </w:pPr>
      <w:r>
        <w:rPr>
          <w:rFonts w:ascii="Arial" w:cs="Arial" w:eastAsia="Arial" w:hAnsi="Arial"/>
          <w:sz w:val="21"/>
          <w:szCs w:val="21"/>
          <w:b w:val="1"/>
          <w:bCs w:val="1"/>
          <w:color w:val="FFFFFF"/>
        </w:rPr>
        <w:drawing>
          <wp:anchor simplePos="0" relativeHeight="251657728" behindDoc="1" locked="0" layoutInCell="0" allowOverlap="1">
            <wp:simplePos x="0" y="0"/>
            <wp:positionH relativeFrom="page">
              <wp:posOffset>154305</wp:posOffset>
            </wp:positionH>
            <wp:positionV relativeFrom="page">
              <wp:posOffset>365760</wp:posOffset>
            </wp:positionV>
            <wp:extent cx="7253605" cy="56197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53605" cy="561975"/>
                    </a:xfrm>
                    <a:prstGeom prst="rect">
                      <a:avLst/>
                    </a:prstGeom>
                    <a:noFill/>
                  </pic:spPr>
                </pic:pic>
              </a:graphicData>
            </a:graphic>
          </wp:anchor>
        </w:drawing>
        <w:t>COMPENSATION TABLES | P</w:t>
      </w:r>
      <w:r>
        <w:rPr>
          <w:rFonts w:ascii="Arial" w:cs="Arial" w:eastAsia="Arial" w:hAnsi="Arial"/>
          <w:sz w:val="17"/>
          <w:szCs w:val="17"/>
          <w:b w:val="1"/>
          <w:bCs w:val="1"/>
          <w:color w:val="FFFFFF"/>
        </w:rPr>
        <w:t>ENSION</w:t>
      </w:r>
      <w:r>
        <w:rPr>
          <w:rFonts w:ascii="Arial" w:cs="Arial" w:eastAsia="Arial" w:hAnsi="Arial"/>
          <w:sz w:val="21"/>
          <w:szCs w:val="21"/>
          <w:b w:val="1"/>
          <w:bCs w:val="1"/>
          <w:color w:val="FFFFFF"/>
        </w:rPr>
        <w:t xml:space="preserve"> B</w:t>
      </w:r>
      <w:r>
        <w:rPr>
          <w:rFonts w:ascii="Arial" w:cs="Arial" w:eastAsia="Arial" w:hAnsi="Arial"/>
          <w:sz w:val="17"/>
          <w:szCs w:val="17"/>
          <w:b w:val="1"/>
          <w:bCs w:val="1"/>
          <w:color w:val="FFFFFF"/>
        </w:rPr>
        <w:t>ENEFITS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20"/>
        <w:spacing w:after="0"/>
        <w:rPr>
          <w:sz w:val="20"/>
          <w:szCs w:val="20"/>
          <w:color w:val="auto"/>
        </w:rPr>
      </w:pPr>
      <w:r>
        <w:rPr>
          <w:rFonts w:ascii="Arial" w:cs="Arial" w:eastAsia="Arial" w:hAnsi="Arial"/>
          <w:sz w:val="24"/>
          <w:szCs w:val="24"/>
          <w:b w:val="1"/>
          <w:bCs w:val="1"/>
          <w:color w:val="auto"/>
        </w:rPr>
        <w:t>2018 Pension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38100</wp:posOffset>
            </wp:positionV>
            <wp:extent cx="7253605" cy="1651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pacing w:after="0" w:line="116" w:lineRule="exact"/>
        <w:rPr>
          <w:sz w:val="20"/>
          <w:szCs w:val="20"/>
          <w:color w:val="auto"/>
        </w:rPr>
      </w:pPr>
    </w:p>
    <w:p>
      <w:pPr>
        <w:ind w:right="40"/>
        <w:spacing w:after="0" w:line="255" w:lineRule="auto"/>
        <w:rPr>
          <w:sz w:val="20"/>
          <w:szCs w:val="20"/>
          <w:color w:val="auto"/>
        </w:rPr>
      </w:pPr>
      <w:r>
        <w:rPr>
          <w:rFonts w:ascii="Arial" w:cs="Arial" w:eastAsia="Arial" w:hAnsi="Arial"/>
          <w:sz w:val="17"/>
          <w:szCs w:val="17"/>
          <w:color w:val="auto"/>
        </w:rPr>
        <w:t>The following table provides information about the pension plans in which the NEOs participate (described in more detail on the following pages), including the present value of each NEO's accumulated benefits as of December 31, 2018, calculated pursuant to SEC specifications for this table. Our policy generally limits an executive's total benefit under these plans to be no more than 60% of final average pay. Mr. Bush has voluntarily elected to limit his OSERP benefit to no more than 50% of final average pay.</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640" w:type="dxa"/>
            <w:vAlign w:val="bottom"/>
            <w:shd w:val="clear" w:color="auto" w:fill="34657F"/>
          </w:tcPr>
          <w:p>
            <w:pPr>
              <w:spacing w:after="0"/>
              <w:rPr>
                <w:sz w:val="15"/>
                <w:szCs w:val="15"/>
                <w:color w:val="auto"/>
              </w:rPr>
            </w:pPr>
          </w:p>
        </w:tc>
        <w:tc>
          <w:tcPr>
            <w:tcW w:w="1880" w:type="dxa"/>
            <w:vAlign w:val="bottom"/>
            <w:shd w:val="clear" w:color="auto" w:fill="34657F"/>
          </w:tcPr>
          <w:p>
            <w:pPr>
              <w:spacing w:after="0"/>
              <w:rPr>
                <w:sz w:val="15"/>
                <w:szCs w:val="15"/>
                <w:color w:val="auto"/>
              </w:rPr>
            </w:pPr>
          </w:p>
        </w:tc>
        <w:tc>
          <w:tcPr>
            <w:tcW w:w="2720" w:type="dxa"/>
            <w:vAlign w:val="bottom"/>
            <w:shd w:val="clear" w:color="auto" w:fill="34657F"/>
          </w:tcPr>
          <w:p>
            <w:pPr>
              <w:spacing w:after="0"/>
              <w:rPr>
                <w:sz w:val="15"/>
                <w:szCs w:val="15"/>
                <w:color w:val="auto"/>
              </w:rPr>
            </w:pPr>
          </w:p>
        </w:tc>
        <w:tc>
          <w:tcPr>
            <w:tcW w:w="2100" w:type="dxa"/>
            <w:vAlign w:val="bottom"/>
            <w:shd w:val="clear" w:color="auto" w:fill="34657F"/>
          </w:tcPr>
          <w:p>
            <w:pPr>
              <w:jc w:val="center"/>
              <w:ind w:right="172"/>
              <w:spacing w:after="0"/>
              <w:rPr>
                <w:sz w:val="20"/>
                <w:szCs w:val="20"/>
                <w:color w:val="auto"/>
              </w:rPr>
            </w:pPr>
            <w:r>
              <w:rPr>
                <w:rFonts w:ascii="Arial" w:cs="Arial" w:eastAsia="Arial" w:hAnsi="Arial"/>
                <w:sz w:val="14"/>
                <w:szCs w:val="14"/>
                <w:b w:val="1"/>
                <w:bCs w:val="1"/>
                <w:color w:val="FFFFFF"/>
                <w:w w:val="96"/>
              </w:rPr>
              <w:t>Present Value of</w:t>
            </w:r>
          </w:p>
        </w:tc>
        <w:tc>
          <w:tcPr>
            <w:tcW w:w="2080" w:type="dxa"/>
            <w:vAlign w:val="bottom"/>
            <w:shd w:val="clear" w:color="auto" w:fill="34657F"/>
          </w:tcPr>
          <w:p>
            <w:pPr>
              <w:jc w:val="center"/>
              <w:ind w:right="12"/>
              <w:spacing w:after="0"/>
              <w:rPr>
                <w:sz w:val="20"/>
                <w:szCs w:val="20"/>
                <w:color w:val="auto"/>
              </w:rPr>
            </w:pPr>
            <w:r>
              <w:rPr>
                <w:rFonts w:ascii="Arial" w:cs="Arial" w:eastAsia="Arial" w:hAnsi="Arial"/>
                <w:sz w:val="14"/>
                <w:szCs w:val="14"/>
                <w:b w:val="1"/>
                <w:bCs w:val="1"/>
                <w:color w:val="FFFFFF"/>
                <w:w w:val="96"/>
              </w:rPr>
              <w:t>Payments</w:t>
            </w:r>
          </w:p>
        </w:tc>
        <w:tc>
          <w:tcPr>
            <w:tcW w:w="20" w:type="dxa"/>
            <w:vAlign w:val="bottom"/>
            <w:shd w:val="clear" w:color="auto" w:fill="34657F"/>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2640" w:type="dxa"/>
            <w:vAlign w:val="bottom"/>
            <w:shd w:val="clear" w:color="auto" w:fill="34657F"/>
          </w:tcPr>
          <w:p>
            <w:pPr>
              <w:spacing w:after="0"/>
              <w:rPr>
                <w:sz w:val="13"/>
                <w:szCs w:val="13"/>
                <w:color w:val="auto"/>
              </w:rPr>
            </w:pPr>
          </w:p>
        </w:tc>
        <w:tc>
          <w:tcPr>
            <w:tcW w:w="1880" w:type="dxa"/>
            <w:vAlign w:val="bottom"/>
            <w:shd w:val="clear" w:color="auto" w:fill="34657F"/>
          </w:tcPr>
          <w:p>
            <w:pPr>
              <w:spacing w:after="0"/>
              <w:rPr>
                <w:sz w:val="13"/>
                <w:szCs w:val="13"/>
                <w:color w:val="auto"/>
              </w:rPr>
            </w:pPr>
          </w:p>
        </w:tc>
        <w:tc>
          <w:tcPr>
            <w:tcW w:w="2720" w:type="dxa"/>
            <w:vAlign w:val="bottom"/>
            <w:shd w:val="clear" w:color="auto" w:fill="34657F"/>
          </w:tcPr>
          <w:p>
            <w:pPr>
              <w:jc w:val="center"/>
              <w:ind w:left="192"/>
              <w:spacing w:after="0" w:line="154" w:lineRule="exact"/>
              <w:rPr>
                <w:sz w:val="20"/>
                <w:szCs w:val="20"/>
                <w:color w:val="auto"/>
              </w:rPr>
            </w:pPr>
            <w:r>
              <w:rPr>
                <w:rFonts w:ascii="Arial" w:cs="Arial" w:eastAsia="Arial" w:hAnsi="Arial"/>
                <w:sz w:val="14"/>
                <w:szCs w:val="14"/>
                <w:b w:val="1"/>
                <w:bCs w:val="1"/>
                <w:color w:val="FFFFFF"/>
                <w:w w:val="96"/>
              </w:rPr>
              <w:t>Number of Years Credited</w:t>
            </w:r>
          </w:p>
        </w:tc>
        <w:tc>
          <w:tcPr>
            <w:tcW w:w="2100" w:type="dxa"/>
            <w:vAlign w:val="bottom"/>
            <w:shd w:val="clear" w:color="auto" w:fill="34657F"/>
          </w:tcPr>
          <w:p>
            <w:pPr>
              <w:jc w:val="center"/>
              <w:ind w:right="172"/>
              <w:spacing w:after="0" w:line="154" w:lineRule="exact"/>
              <w:rPr>
                <w:sz w:val="20"/>
                <w:szCs w:val="20"/>
                <w:color w:val="auto"/>
              </w:rPr>
            </w:pPr>
            <w:r>
              <w:rPr>
                <w:rFonts w:ascii="Arial" w:cs="Arial" w:eastAsia="Arial" w:hAnsi="Arial"/>
                <w:sz w:val="14"/>
                <w:szCs w:val="14"/>
                <w:b w:val="1"/>
                <w:bCs w:val="1"/>
                <w:color w:val="FFFFFF"/>
                <w:w w:val="97"/>
              </w:rPr>
              <w:t>Accumulated</w:t>
            </w:r>
          </w:p>
        </w:tc>
        <w:tc>
          <w:tcPr>
            <w:tcW w:w="2080" w:type="dxa"/>
            <w:vAlign w:val="bottom"/>
            <w:shd w:val="clear" w:color="auto" w:fill="34657F"/>
          </w:tcPr>
          <w:p>
            <w:pPr>
              <w:jc w:val="center"/>
              <w:ind w:right="12"/>
              <w:spacing w:after="0" w:line="154" w:lineRule="exact"/>
              <w:rPr>
                <w:sz w:val="20"/>
                <w:szCs w:val="20"/>
                <w:color w:val="auto"/>
              </w:rPr>
            </w:pPr>
            <w:r>
              <w:rPr>
                <w:rFonts w:ascii="Arial" w:cs="Arial" w:eastAsia="Arial" w:hAnsi="Arial"/>
                <w:sz w:val="14"/>
                <w:szCs w:val="14"/>
                <w:b w:val="1"/>
                <w:bCs w:val="1"/>
                <w:color w:val="FFFFFF"/>
                <w:w w:val="97"/>
              </w:rPr>
              <w:t>During Last</w:t>
            </w:r>
          </w:p>
        </w:tc>
        <w:tc>
          <w:tcPr>
            <w:tcW w:w="20" w:type="dxa"/>
            <w:vAlign w:val="bottom"/>
            <w:shd w:val="clear" w:color="auto" w:fill="34657F"/>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640" w:type="dxa"/>
            <w:vAlign w:val="bottom"/>
            <w:shd w:val="clear" w:color="auto" w:fill="34657F"/>
          </w:tcPr>
          <w:p>
            <w:pPr>
              <w:spacing w:after="0"/>
              <w:rPr>
                <w:sz w:val="13"/>
                <w:szCs w:val="13"/>
                <w:color w:val="auto"/>
              </w:rPr>
            </w:pPr>
          </w:p>
        </w:tc>
        <w:tc>
          <w:tcPr>
            <w:tcW w:w="1880" w:type="dxa"/>
            <w:vAlign w:val="bottom"/>
            <w:shd w:val="clear" w:color="auto" w:fill="34657F"/>
          </w:tcPr>
          <w:p>
            <w:pPr>
              <w:spacing w:after="0"/>
              <w:rPr>
                <w:sz w:val="13"/>
                <w:szCs w:val="13"/>
                <w:color w:val="auto"/>
              </w:rPr>
            </w:pPr>
          </w:p>
        </w:tc>
        <w:tc>
          <w:tcPr>
            <w:tcW w:w="2720" w:type="dxa"/>
            <w:vAlign w:val="bottom"/>
            <w:shd w:val="clear" w:color="auto" w:fill="34657F"/>
          </w:tcPr>
          <w:p>
            <w:pPr>
              <w:jc w:val="center"/>
              <w:ind w:left="192"/>
              <w:spacing w:after="0" w:line="154" w:lineRule="exact"/>
              <w:rPr>
                <w:sz w:val="20"/>
                <w:szCs w:val="20"/>
                <w:color w:val="auto"/>
              </w:rPr>
            </w:pPr>
            <w:r>
              <w:rPr>
                <w:rFonts w:ascii="Arial" w:cs="Arial" w:eastAsia="Arial" w:hAnsi="Arial"/>
                <w:sz w:val="14"/>
                <w:szCs w:val="14"/>
                <w:b w:val="1"/>
                <w:bCs w:val="1"/>
                <w:color w:val="FFFFFF"/>
                <w:w w:val="98"/>
              </w:rPr>
              <w:t>Service (2)</w:t>
            </w:r>
          </w:p>
        </w:tc>
        <w:tc>
          <w:tcPr>
            <w:tcW w:w="2100" w:type="dxa"/>
            <w:vAlign w:val="bottom"/>
            <w:shd w:val="clear" w:color="auto" w:fill="34657F"/>
          </w:tcPr>
          <w:p>
            <w:pPr>
              <w:jc w:val="center"/>
              <w:ind w:right="172"/>
              <w:spacing w:after="0" w:line="154" w:lineRule="exact"/>
              <w:rPr>
                <w:sz w:val="20"/>
                <w:szCs w:val="20"/>
                <w:color w:val="auto"/>
              </w:rPr>
            </w:pPr>
            <w:r>
              <w:rPr>
                <w:rFonts w:ascii="Arial" w:cs="Arial" w:eastAsia="Arial" w:hAnsi="Arial"/>
                <w:sz w:val="14"/>
                <w:szCs w:val="14"/>
                <w:b w:val="1"/>
                <w:bCs w:val="1"/>
                <w:color w:val="FFFFFF"/>
                <w:w w:val="96"/>
              </w:rPr>
              <w:t>Benefit (3)</w:t>
            </w:r>
          </w:p>
        </w:tc>
        <w:tc>
          <w:tcPr>
            <w:tcW w:w="2080" w:type="dxa"/>
            <w:vAlign w:val="bottom"/>
            <w:shd w:val="clear" w:color="auto" w:fill="34657F"/>
          </w:tcPr>
          <w:p>
            <w:pPr>
              <w:jc w:val="center"/>
              <w:ind w:right="12"/>
              <w:spacing w:after="0" w:line="154" w:lineRule="exact"/>
              <w:rPr>
                <w:sz w:val="20"/>
                <w:szCs w:val="20"/>
                <w:color w:val="auto"/>
              </w:rPr>
            </w:pPr>
            <w:r>
              <w:rPr>
                <w:rFonts w:ascii="Arial" w:cs="Arial" w:eastAsia="Arial" w:hAnsi="Arial"/>
                <w:sz w:val="14"/>
                <w:szCs w:val="14"/>
                <w:b w:val="1"/>
                <w:bCs w:val="1"/>
                <w:color w:val="FFFFFF"/>
                <w:w w:val="97"/>
              </w:rPr>
              <w:t>Fiscal Year</w:t>
            </w:r>
          </w:p>
        </w:tc>
        <w:tc>
          <w:tcPr>
            <w:tcW w:w="20" w:type="dxa"/>
            <w:vAlign w:val="bottom"/>
            <w:shd w:val="clear" w:color="auto" w:fill="34657F"/>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2640" w:type="dxa"/>
            <w:vAlign w:val="bottom"/>
            <w:tcBorders>
              <w:bottom w:val="single" w:sz="8" w:color="34657F"/>
            </w:tcBorders>
            <w:shd w:val="clear" w:color="auto" w:fill="34657F"/>
          </w:tcPr>
          <w:p>
            <w:pPr>
              <w:ind w:left="40"/>
              <w:spacing w:after="0"/>
              <w:rPr>
                <w:sz w:val="20"/>
                <w:szCs w:val="20"/>
                <w:color w:val="auto"/>
              </w:rPr>
            </w:pPr>
            <w:r>
              <w:rPr>
                <w:rFonts w:ascii="Arial" w:cs="Arial" w:eastAsia="Arial" w:hAnsi="Arial"/>
                <w:sz w:val="14"/>
                <w:szCs w:val="14"/>
                <w:b w:val="1"/>
                <w:bCs w:val="1"/>
                <w:color w:val="FFFFFF"/>
              </w:rPr>
              <w:t>Name (1)</w:t>
            </w:r>
          </w:p>
        </w:tc>
        <w:tc>
          <w:tcPr>
            <w:tcW w:w="1880" w:type="dxa"/>
            <w:vAlign w:val="bottom"/>
            <w:tcBorders>
              <w:bottom w:val="single" w:sz="8" w:color="34657F"/>
            </w:tcBorders>
            <w:shd w:val="clear" w:color="auto" w:fill="34657F"/>
          </w:tcPr>
          <w:p>
            <w:pPr>
              <w:ind w:left="20"/>
              <w:spacing w:after="0"/>
              <w:rPr>
                <w:sz w:val="20"/>
                <w:szCs w:val="20"/>
                <w:color w:val="auto"/>
              </w:rPr>
            </w:pPr>
            <w:r>
              <w:rPr>
                <w:rFonts w:ascii="Arial" w:cs="Arial" w:eastAsia="Arial" w:hAnsi="Arial"/>
                <w:sz w:val="14"/>
                <w:szCs w:val="14"/>
                <w:b w:val="1"/>
                <w:bCs w:val="1"/>
                <w:color w:val="FFFFFF"/>
              </w:rPr>
              <w:t>Plan Name</w:t>
            </w:r>
          </w:p>
        </w:tc>
        <w:tc>
          <w:tcPr>
            <w:tcW w:w="2720" w:type="dxa"/>
            <w:vAlign w:val="bottom"/>
            <w:tcBorders>
              <w:bottom w:val="single" w:sz="8" w:color="34657F"/>
            </w:tcBorders>
            <w:shd w:val="clear" w:color="auto" w:fill="34657F"/>
          </w:tcPr>
          <w:p>
            <w:pPr>
              <w:jc w:val="center"/>
              <w:ind w:left="192"/>
              <w:spacing w:after="0"/>
              <w:rPr>
                <w:sz w:val="20"/>
                <w:szCs w:val="20"/>
                <w:color w:val="auto"/>
              </w:rPr>
            </w:pPr>
            <w:r>
              <w:rPr>
                <w:rFonts w:ascii="Arial" w:cs="Arial" w:eastAsia="Arial" w:hAnsi="Arial"/>
                <w:sz w:val="14"/>
                <w:szCs w:val="14"/>
                <w:b w:val="1"/>
                <w:bCs w:val="1"/>
                <w:color w:val="FFFFFF"/>
              </w:rPr>
              <w:t>(#)</w:t>
            </w:r>
          </w:p>
        </w:tc>
        <w:tc>
          <w:tcPr>
            <w:tcW w:w="2100" w:type="dxa"/>
            <w:vAlign w:val="bottom"/>
            <w:tcBorders>
              <w:bottom w:val="single" w:sz="8" w:color="34657F"/>
            </w:tcBorders>
            <w:shd w:val="clear" w:color="auto" w:fill="34657F"/>
          </w:tcPr>
          <w:p>
            <w:pPr>
              <w:jc w:val="center"/>
              <w:ind w:right="152"/>
              <w:spacing w:after="0"/>
              <w:rPr>
                <w:sz w:val="20"/>
                <w:szCs w:val="20"/>
                <w:color w:val="auto"/>
              </w:rPr>
            </w:pPr>
            <w:r>
              <w:rPr>
                <w:rFonts w:ascii="Arial" w:cs="Arial" w:eastAsia="Arial" w:hAnsi="Arial"/>
                <w:sz w:val="14"/>
                <w:szCs w:val="14"/>
                <w:b w:val="1"/>
                <w:bCs w:val="1"/>
                <w:color w:val="FFFFFF"/>
                <w:w w:val="93"/>
              </w:rPr>
              <w:t>($)</w:t>
            </w:r>
          </w:p>
        </w:tc>
        <w:tc>
          <w:tcPr>
            <w:tcW w:w="2080" w:type="dxa"/>
            <w:vAlign w:val="bottom"/>
            <w:tcBorders>
              <w:bottom w:val="single" w:sz="8" w:color="34657F"/>
            </w:tcBorders>
            <w:shd w:val="clear" w:color="auto" w:fill="34657F"/>
          </w:tcPr>
          <w:p>
            <w:pPr>
              <w:jc w:val="center"/>
              <w:ind w:right="12"/>
              <w:spacing w:after="0"/>
              <w:rPr>
                <w:sz w:val="20"/>
                <w:szCs w:val="20"/>
                <w:color w:val="auto"/>
              </w:rPr>
            </w:pPr>
            <w:r>
              <w:rPr>
                <w:rFonts w:ascii="Arial" w:cs="Arial" w:eastAsia="Arial" w:hAnsi="Arial"/>
                <w:sz w:val="14"/>
                <w:szCs w:val="14"/>
                <w:b w:val="1"/>
                <w:bCs w:val="1"/>
                <w:color w:val="FFFFFF"/>
                <w:w w:val="93"/>
              </w:rPr>
              <w:t>($)</w:t>
            </w:r>
          </w:p>
        </w:tc>
        <w:tc>
          <w:tcPr>
            <w:tcW w:w="20" w:type="dxa"/>
            <w:vAlign w:val="bottom"/>
            <w:tcBorders>
              <w:bottom w:val="single" w:sz="8" w:color="34657F"/>
            </w:tcBorders>
            <w:shd w:val="clear" w:color="auto" w:fill="34657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640" w:type="dxa"/>
            <w:vAlign w:val="bottom"/>
          </w:tcPr>
          <w:p>
            <w:pPr>
              <w:spacing w:after="0"/>
              <w:rPr>
                <w:sz w:val="17"/>
                <w:szCs w:val="17"/>
                <w:color w:val="auto"/>
              </w:rPr>
            </w:pPr>
          </w:p>
        </w:tc>
        <w:tc>
          <w:tcPr>
            <w:tcW w:w="1880" w:type="dxa"/>
            <w:vAlign w:val="bottom"/>
            <w:shd w:val="clear" w:color="auto" w:fill="D1DDE6"/>
          </w:tcPr>
          <w:p>
            <w:pPr>
              <w:ind w:left="20"/>
              <w:spacing w:after="0"/>
              <w:rPr>
                <w:sz w:val="20"/>
                <w:szCs w:val="20"/>
                <w:color w:val="auto"/>
              </w:rPr>
            </w:pPr>
            <w:r>
              <w:rPr>
                <w:rFonts w:ascii="Arial" w:cs="Arial" w:eastAsia="Arial" w:hAnsi="Arial"/>
                <w:sz w:val="14"/>
                <w:szCs w:val="14"/>
                <w:color w:val="auto"/>
              </w:rPr>
              <w:t>Pension Plan</w:t>
            </w:r>
          </w:p>
        </w:tc>
        <w:tc>
          <w:tcPr>
            <w:tcW w:w="2720" w:type="dxa"/>
            <w:vAlign w:val="bottom"/>
            <w:shd w:val="clear" w:color="auto" w:fill="D1DDE6"/>
          </w:tcPr>
          <w:p>
            <w:pPr>
              <w:jc w:val="center"/>
              <w:ind w:left="192"/>
              <w:spacing w:after="0"/>
              <w:rPr>
                <w:sz w:val="20"/>
                <w:szCs w:val="20"/>
                <w:color w:val="auto"/>
              </w:rPr>
            </w:pPr>
            <w:r>
              <w:rPr>
                <w:rFonts w:ascii="Arial" w:cs="Arial" w:eastAsia="Arial" w:hAnsi="Arial"/>
                <w:sz w:val="14"/>
                <w:szCs w:val="14"/>
                <w:color w:val="auto"/>
                <w:w w:val="96"/>
              </w:rPr>
              <w:t>16.00</w:t>
            </w:r>
          </w:p>
        </w:tc>
        <w:tc>
          <w:tcPr>
            <w:tcW w:w="2100" w:type="dxa"/>
            <w:vAlign w:val="bottom"/>
            <w:shd w:val="clear" w:color="auto" w:fill="D1DDE6"/>
          </w:tcPr>
          <w:p>
            <w:pPr>
              <w:jc w:val="center"/>
              <w:ind w:right="172"/>
              <w:spacing w:after="0"/>
              <w:rPr>
                <w:sz w:val="20"/>
                <w:szCs w:val="20"/>
                <w:color w:val="auto"/>
              </w:rPr>
            </w:pPr>
            <w:r>
              <w:rPr>
                <w:rFonts w:ascii="Arial" w:cs="Arial" w:eastAsia="Arial" w:hAnsi="Arial"/>
                <w:sz w:val="14"/>
                <w:szCs w:val="14"/>
                <w:color w:val="auto"/>
                <w:w w:val="98"/>
              </w:rPr>
              <w:t>808,518</w:t>
            </w:r>
          </w:p>
        </w:tc>
        <w:tc>
          <w:tcPr>
            <w:tcW w:w="2080" w:type="dxa"/>
            <w:vAlign w:val="bottom"/>
            <w:shd w:val="clear" w:color="auto" w:fill="D1DDE6"/>
          </w:tcPr>
          <w:p>
            <w:pPr>
              <w:jc w:val="center"/>
              <w:spacing w:after="0"/>
              <w:rPr>
                <w:sz w:val="20"/>
                <w:szCs w:val="20"/>
                <w:color w:val="auto"/>
              </w:rPr>
            </w:pPr>
            <w:r>
              <w:rPr>
                <w:rFonts w:ascii="Arial" w:cs="Arial" w:eastAsia="Arial" w:hAnsi="Arial"/>
                <w:sz w:val="14"/>
                <w:szCs w:val="14"/>
                <w:color w:val="auto"/>
                <w:w w:val="99"/>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640" w:type="dxa"/>
            <w:vAlign w:val="bottom"/>
          </w:tcPr>
          <w:p>
            <w:pPr>
              <w:spacing w:after="0"/>
              <w:rPr>
                <w:sz w:val="17"/>
                <w:szCs w:val="17"/>
                <w:color w:val="auto"/>
              </w:rPr>
            </w:pPr>
          </w:p>
        </w:tc>
        <w:tc>
          <w:tcPr>
            <w:tcW w:w="1880" w:type="dxa"/>
            <w:vAlign w:val="bottom"/>
          </w:tcPr>
          <w:p>
            <w:pPr>
              <w:ind w:left="20"/>
              <w:spacing w:after="0"/>
              <w:rPr>
                <w:sz w:val="20"/>
                <w:szCs w:val="20"/>
                <w:color w:val="auto"/>
              </w:rPr>
            </w:pPr>
            <w:r>
              <w:rPr>
                <w:rFonts w:ascii="Arial" w:cs="Arial" w:eastAsia="Arial" w:hAnsi="Arial"/>
                <w:sz w:val="14"/>
                <w:szCs w:val="14"/>
                <w:color w:val="auto"/>
              </w:rPr>
              <w:t>S&amp;MS Pension Plan</w:t>
            </w:r>
          </w:p>
        </w:tc>
        <w:tc>
          <w:tcPr>
            <w:tcW w:w="2720" w:type="dxa"/>
            <w:vAlign w:val="bottom"/>
          </w:tcPr>
          <w:p>
            <w:pPr>
              <w:jc w:val="center"/>
              <w:ind w:left="192"/>
              <w:spacing w:after="0"/>
              <w:rPr>
                <w:sz w:val="20"/>
                <w:szCs w:val="20"/>
                <w:color w:val="auto"/>
              </w:rPr>
            </w:pPr>
            <w:r>
              <w:rPr>
                <w:rFonts w:ascii="Arial" w:cs="Arial" w:eastAsia="Arial" w:hAnsi="Arial"/>
                <w:sz w:val="14"/>
                <w:szCs w:val="14"/>
                <w:color w:val="auto"/>
                <w:w w:val="96"/>
              </w:rPr>
              <w:t>15.67</w:t>
            </w:r>
          </w:p>
        </w:tc>
        <w:tc>
          <w:tcPr>
            <w:tcW w:w="2100" w:type="dxa"/>
            <w:vAlign w:val="bottom"/>
          </w:tcPr>
          <w:p>
            <w:pPr>
              <w:jc w:val="center"/>
              <w:ind w:right="172"/>
              <w:spacing w:after="0"/>
              <w:rPr>
                <w:sz w:val="20"/>
                <w:szCs w:val="20"/>
                <w:color w:val="auto"/>
              </w:rPr>
            </w:pPr>
            <w:r>
              <w:rPr>
                <w:rFonts w:ascii="Arial" w:cs="Arial" w:eastAsia="Arial" w:hAnsi="Arial"/>
                <w:sz w:val="14"/>
                <w:szCs w:val="14"/>
                <w:color w:val="auto"/>
                <w:w w:val="98"/>
              </w:rPr>
              <w:t>701,314</w:t>
            </w:r>
          </w:p>
        </w:tc>
        <w:tc>
          <w:tcPr>
            <w:tcW w:w="20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640" w:type="dxa"/>
            <w:vAlign w:val="bottom"/>
          </w:tcPr>
          <w:p>
            <w:pPr>
              <w:ind w:left="20"/>
              <w:spacing w:after="0"/>
              <w:rPr>
                <w:sz w:val="20"/>
                <w:szCs w:val="20"/>
                <w:color w:val="auto"/>
              </w:rPr>
            </w:pPr>
            <w:r>
              <w:rPr>
                <w:rFonts w:ascii="Arial" w:cs="Arial" w:eastAsia="Arial" w:hAnsi="Arial"/>
                <w:sz w:val="14"/>
                <w:szCs w:val="14"/>
                <w:color w:val="auto"/>
              </w:rPr>
              <w:t>Wesley G. Bush</w:t>
            </w:r>
          </w:p>
        </w:tc>
        <w:tc>
          <w:tcPr>
            <w:tcW w:w="1880" w:type="dxa"/>
            <w:vAlign w:val="bottom"/>
            <w:shd w:val="clear" w:color="auto" w:fill="D1DDE6"/>
          </w:tcPr>
          <w:p>
            <w:pPr>
              <w:ind w:left="20"/>
              <w:spacing w:after="0"/>
              <w:rPr>
                <w:sz w:val="20"/>
                <w:szCs w:val="20"/>
                <w:color w:val="auto"/>
              </w:rPr>
            </w:pPr>
            <w:r>
              <w:rPr>
                <w:rFonts w:ascii="Arial" w:cs="Arial" w:eastAsia="Arial" w:hAnsi="Arial"/>
                <w:sz w:val="14"/>
                <w:szCs w:val="14"/>
                <w:color w:val="auto"/>
              </w:rPr>
              <w:t>ERISA 2</w:t>
            </w:r>
          </w:p>
        </w:tc>
        <w:tc>
          <w:tcPr>
            <w:tcW w:w="2720" w:type="dxa"/>
            <w:vAlign w:val="bottom"/>
            <w:shd w:val="clear" w:color="auto" w:fill="D1DDE6"/>
          </w:tcPr>
          <w:p>
            <w:pPr>
              <w:jc w:val="center"/>
              <w:ind w:left="192"/>
              <w:spacing w:after="0"/>
              <w:rPr>
                <w:sz w:val="20"/>
                <w:szCs w:val="20"/>
                <w:color w:val="auto"/>
              </w:rPr>
            </w:pPr>
            <w:r>
              <w:rPr>
                <w:rFonts w:ascii="Arial" w:cs="Arial" w:eastAsia="Arial" w:hAnsi="Arial"/>
                <w:sz w:val="14"/>
                <w:szCs w:val="14"/>
                <w:color w:val="auto"/>
                <w:w w:val="96"/>
              </w:rPr>
              <w:t>16.00</w:t>
            </w:r>
          </w:p>
        </w:tc>
        <w:tc>
          <w:tcPr>
            <w:tcW w:w="2100" w:type="dxa"/>
            <w:vAlign w:val="bottom"/>
            <w:shd w:val="clear" w:color="auto" w:fill="D1DDE6"/>
          </w:tcPr>
          <w:p>
            <w:pPr>
              <w:jc w:val="center"/>
              <w:ind w:right="152"/>
              <w:spacing w:after="0"/>
              <w:rPr>
                <w:sz w:val="20"/>
                <w:szCs w:val="20"/>
                <w:color w:val="auto"/>
              </w:rPr>
            </w:pPr>
            <w:r>
              <w:rPr>
                <w:rFonts w:ascii="Arial" w:cs="Arial" w:eastAsia="Arial" w:hAnsi="Arial"/>
                <w:sz w:val="14"/>
                <w:szCs w:val="14"/>
                <w:color w:val="auto"/>
                <w:w w:val="96"/>
              </w:rPr>
              <w:t>14,662,902</w:t>
            </w:r>
          </w:p>
        </w:tc>
        <w:tc>
          <w:tcPr>
            <w:tcW w:w="2080" w:type="dxa"/>
            <w:vAlign w:val="bottom"/>
            <w:shd w:val="clear" w:color="auto" w:fill="D1DDE6"/>
          </w:tcPr>
          <w:p>
            <w:pPr>
              <w:jc w:val="center"/>
              <w:spacing w:after="0"/>
              <w:rPr>
                <w:sz w:val="20"/>
                <w:szCs w:val="20"/>
                <w:color w:val="auto"/>
              </w:rPr>
            </w:pPr>
            <w:r>
              <w:rPr>
                <w:rFonts w:ascii="Arial" w:cs="Arial" w:eastAsia="Arial" w:hAnsi="Arial"/>
                <w:sz w:val="14"/>
                <w:szCs w:val="14"/>
                <w:color w:val="auto"/>
                <w:w w:val="99"/>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640" w:type="dxa"/>
            <w:vAlign w:val="bottom"/>
          </w:tcPr>
          <w:p>
            <w:pPr>
              <w:spacing w:after="0"/>
              <w:rPr>
                <w:sz w:val="17"/>
                <w:szCs w:val="17"/>
                <w:color w:val="auto"/>
              </w:rPr>
            </w:pPr>
          </w:p>
        </w:tc>
        <w:tc>
          <w:tcPr>
            <w:tcW w:w="1880" w:type="dxa"/>
            <w:vAlign w:val="bottom"/>
          </w:tcPr>
          <w:p>
            <w:pPr>
              <w:ind w:left="20"/>
              <w:spacing w:after="0"/>
              <w:rPr>
                <w:sz w:val="20"/>
                <w:szCs w:val="20"/>
                <w:color w:val="auto"/>
              </w:rPr>
            </w:pPr>
            <w:r>
              <w:rPr>
                <w:rFonts w:ascii="Arial" w:cs="Arial" w:eastAsia="Arial" w:hAnsi="Arial"/>
                <w:sz w:val="14"/>
                <w:szCs w:val="14"/>
                <w:color w:val="auto"/>
              </w:rPr>
              <w:t>SRIP</w:t>
            </w:r>
          </w:p>
        </w:tc>
        <w:tc>
          <w:tcPr>
            <w:tcW w:w="2720" w:type="dxa"/>
            <w:vAlign w:val="bottom"/>
          </w:tcPr>
          <w:p>
            <w:pPr>
              <w:jc w:val="center"/>
              <w:ind w:left="192"/>
              <w:spacing w:after="0"/>
              <w:rPr>
                <w:sz w:val="20"/>
                <w:szCs w:val="20"/>
                <w:color w:val="auto"/>
              </w:rPr>
            </w:pPr>
            <w:r>
              <w:rPr>
                <w:rFonts w:ascii="Arial" w:cs="Arial" w:eastAsia="Arial" w:hAnsi="Arial"/>
                <w:sz w:val="14"/>
                <w:szCs w:val="14"/>
                <w:color w:val="auto"/>
                <w:w w:val="96"/>
              </w:rPr>
              <w:t>15.67</w:t>
            </w:r>
          </w:p>
        </w:tc>
        <w:tc>
          <w:tcPr>
            <w:tcW w:w="2100" w:type="dxa"/>
            <w:vAlign w:val="bottom"/>
          </w:tcPr>
          <w:p>
            <w:pPr>
              <w:jc w:val="center"/>
              <w:ind w:right="152"/>
              <w:spacing w:after="0"/>
              <w:rPr>
                <w:sz w:val="20"/>
                <w:szCs w:val="20"/>
                <w:color w:val="auto"/>
              </w:rPr>
            </w:pPr>
            <w:r>
              <w:rPr>
                <w:rFonts w:ascii="Arial" w:cs="Arial" w:eastAsia="Arial" w:hAnsi="Arial"/>
                <w:sz w:val="14"/>
                <w:szCs w:val="14"/>
                <w:color w:val="auto"/>
                <w:w w:val="96"/>
              </w:rPr>
              <w:t>13,314,297</w:t>
            </w:r>
          </w:p>
        </w:tc>
        <w:tc>
          <w:tcPr>
            <w:tcW w:w="20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640" w:type="dxa"/>
            <w:vAlign w:val="bottom"/>
            <w:tcBorders>
              <w:bottom w:val="single" w:sz="8" w:color="34657F"/>
            </w:tcBorders>
          </w:tcPr>
          <w:p>
            <w:pPr>
              <w:spacing w:after="0"/>
              <w:rPr>
                <w:sz w:val="17"/>
                <w:szCs w:val="17"/>
                <w:color w:val="auto"/>
              </w:rPr>
            </w:pPr>
          </w:p>
        </w:tc>
        <w:tc>
          <w:tcPr>
            <w:tcW w:w="1880" w:type="dxa"/>
            <w:vAlign w:val="bottom"/>
            <w:tcBorders>
              <w:bottom w:val="single" w:sz="8" w:color="34657F"/>
            </w:tcBorders>
            <w:shd w:val="clear" w:color="auto" w:fill="D1DDE6"/>
          </w:tcPr>
          <w:p>
            <w:pPr>
              <w:ind w:left="20"/>
              <w:spacing w:after="0"/>
              <w:rPr>
                <w:sz w:val="20"/>
                <w:szCs w:val="20"/>
                <w:color w:val="auto"/>
              </w:rPr>
            </w:pPr>
            <w:r>
              <w:rPr>
                <w:rFonts w:ascii="Arial" w:cs="Arial" w:eastAsia="Arial" w:hAnsi="Arial"/>
                <w:sz w:val="14"/>
                <w:szCs w:val="14"/>
                <w:color w:val="auto"/>
              </w:rPr>
              <w:t>OSERP</w:t>
            </w:r>
          </w:p>
        </w:tc>
        <w:tc>
          <w:tcPr>
            <w:tcW w:w="2720" w:type="dxa"/>
            <w:vAlign w:val="bottom"/>
            <w:tcBorders>
              <w:bottom w:val="single" w:sz="8" w:color="34657F"/>
            </w:tcBorders>
            <w:shd w:val="clear" w:color="auto" w:fill="D1DDE6"/>
          </w:tcPr>
          <w:p>
            <w:pPr>
              <w:jc w:val="center"/>
              <w:ind w:left="192"/>
              <w:spacing w:after="0"/>
              <w:rPr>
                <w:sz w:val="20"/>
                <w:szCs w:val="20"/>
                <w:color w:val="auto"/>
              </w:rPr>
            </w:pPr>
            <w:r>
              <w:rPr>
                <w:rFonts w:ascii="Arial" w:cs="Arial" w:eastAsia="Arial" w:hAnsi="Arial"/>
                <w:sz w:val="14"/>
                <w:szCs w:val="14"/>
                <w:color w:val="auto"/>
                <w:w w:val="96"/>
              </w:rPr>
              <w:t>27.67</w:t>
            </w:r>
          </w:p>
        </w:tc>
        <w:tc>
          <w:tcPr>
            <w:tcW w:w="2100" w:type="dxa"/>
            <w:vAlign w:val="bottom"/>
            <w:tcBorders>
              <w:bottom w:val="single" w:sz="8" w:color="34657F"/>
            </w:tcBorders>
            <w:shd w:val="clear" w:color="auto" w:fill="D1DDE6"/>
          </w:tcPr>
          <w:p>
            <w:pPr>
              <w:jc w:val="center"/>
              <w:ind w:right="152"/>
              <w:spacing w:after="0"/>
              <w:rPr>
                <w:sz w:val="20"/>
                <w:szCs w:val="20"/>
                <w:color w:val="auto"/>
              </w:rPr>
            </w:pPr>
            <w:r>
              <w:rPr>
                <w:rFonts w:ascii="Arial" w:cs="Arial" w:eastAsia="Arial" w:hAnsi="Arial"/>
                <w:sz w:val="14"/>
                <w:szCs w:val="14"/>
                <w:color w:val="auto"/>
                <w:w w:val="96"/>
              </w:rPr>
              <w:t>7,152,879</w:t>
            </w:r>
          </w:p>
        </w:tc>
        <w:tc>
          <w:tcPr>
            <w:tcW w:w="2080" w:type="dxa"/>
            <w:vAlign w:val="bottom"/>
            <w:tcBorders>
              <w:bottom w:val="single" w:sz="8" w:color="34657F"/>
            </w:tcBorders>
            <w:shd w:val="clear" w:color="auto" w:fill="D1DDE6"/>
          </w:tcPr>
          <w:p>
            <w:pPr>
              <w:jc w:val="center"/>
              <w:spacing w:after="0"/>
              <w:rPr>
                <w:sz w:val="20"/>
                <w:szCs w:val="20"/>
                <w:color w:val="auto"/>
              </w:rPr>
            </w:pPr>
            <w:r>
              <w:rPr>
                <w:rFonts w:ascii="Arial" w:cs="Arial" w:eastAsia="Arial" w:hAnsi="Arial"/>
                <w:sz w:val="14"/>
                <w:szCs w:val="14"/>
                <w:color w:val="auto"/>
                <w:w w:val="99"/>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640" w:type="dxa"/>
            <w:vAlign w:val="bottom"/>
            <w:tcBorders>
              <w:bottom w:val="single" w:sz="8" w:color="34657F"/>
            </w:tcBorders>
          </w:tcPr>
          <w:p>
            <w:pPr>
              <w:ind w:left="20"/>
              <w:spacing w:after="0"/>
              <w:rPr>
                <w:sz w:val="20"/>
                <w:szCs w:val="20"/>
                <w:color w:val="auto"/>
              </w:rPr>
            </w:pPr>
            <w:r>
              <w:rPr>
                <w:rFonts w:ascii="Arial" w:cs="Arial" w:eastAsia="Arial" w:hAnsi="Arial"/>
                <w:sz w:val="14"/>
                <w:szCs w:val="14"/>
                <w:color w:val="auto"/>
              </w:rPr>
              <w:t>Kathy J. Warden</w:t>
            </w:r>
          </w:p>
        </w:tc>
        <w:tc>
          <w:tcPr>
            <w:tcW w:w="1880" w:type="dxa"/>
            <w:vAlign w:val="bottom"/>
            <w:tcBorders>
              <w:bottom w:val="single" w:sz="8" w:color="34657F"/>
            </w:tcBorders>
          </w:tcPr>
          <w:p>
            <w:pPr>
              <w:ind w:left="20"/>
              <w:spacing w:after="0"/>
              <w:rPr>
                <w:sz w:val="20"/>
                <w:szCs w:val="20"/>
                <w:color w:val="auto"/>
              </w:rPr>
            </w:pPr>
            <w:r>
              <w:rPr>
                <w:rFonts w:ascii="Arial" w:cs="Arial" w:eastAsia="Arial" w:hAnsi="Arial"/>
                <w:sz w:val="14"/>
                <w:szCs w:val="14"/>
                <w:color w:val="auto"/>
              </w:rPr>
              <w:t>OSERP II</w:t>
            </w:r>
          </w:p>
        </w:tc>
        <w:tc>
          <w:tcPr>
            <w:tcW w:w="2720" w:type="dxa"/>
            <w:vAlign w:val="bottom"/>
            <w:tcBorders>
              <w:bottom w:val="single" w:sz="8" w:color="34657F"/>
            </w:tcBorders>
          </w:tcPr>
          <w:p>
            <w:pPr>
              <w:jc w:val="center"/>
              <w:ind w:left="192"/>
              <w:spacing w:after="0"/>
              <w:rPr>
                <w:sz w:val="20"/>
                <w:szCs w:val="20"/>
                <w:color w:val="auto"/>
              </w:rPr>
            </w:pPr>
            <w:r>
              <w:rPr>
                <w:rFonts w:ascii="Arial" w:cs="Arial" w:eastAsia="Arial" w:hAnsi="Arial"/>
                <w:sz w:val="14"/>
                <w:szCs w:val="14"/>
                <w:color w:val="auto"/>
                <w:w w:val="96"/>
              </w:rPr>
              <w:t>10.33</w:t>
            </w:r>
          </w:p>
        </w:tc>
        <w:tc>
          <w:tcPr>
            <w:tcW w:w="2100" w:type="dxa"/>
            <w:vAlign w:val="bottom"/>
            <w:tcBorders>
              <w:bottom w:val="single" w:sz="8" w:color="34657F"/>
            </w:tcBorders>
          </w:tcPr>
          <w:p>
            <w:pPr>
              <w:jc w:val="center"/>
              <w:ind w:right="152"/>
              <w:spacing w:after="0"/>
              <w:rPr>
                <w:sz w:val="20"/>
                <w:szCs w:val="20"/>
                <w:color w:val="auto"/>
              </w:rPr>
            </w:pPr>
            <w:r>
              <w:rPr>
                <w:rFonts w:ascii="Arial" w:cs="Arial" w:eastAsia="Arial" w:hAnsi="Arial"/>
                <w:sz w:val="14"/>
                <w:szCs w:val="14"/>
                <w:color w:val="auto"/>
                <w:w w:val="96"/>
              </w:rPr>
              <w:t>1,428,136</w:t>
            </w:r>
          </w:p>
        </w:tc>
        <w:tc>
          <w:tcPr>
            <w:tcW w:w="2080" w:type="dxa"/>
            <w:vAlign w:val="bottom"/>
            <w:tcBorders>
              <w:bottom w:val="single" w:sz="8" w:color="34657F"/>
            </w:tcBorders>
          </w:tcPr>
          <w:p>
            <w:pPr>
              <w:jc w:val="center"/>
              <w:spacing w:after="0"/>
              <w:rPr>
                <w:sz w:val="20"/>
                <w:szCs w:val="20"/>
                <w:color w:val="auto"/>
              </w:rPr>
            </w:pPr>
            <w:r>
              <w:rPr>
                <w:rFonts w:ascii="Arial" w:cs="Arial" w:eastAsia="Arial" w:hAnsi="Arial"/>
                <w:sz w:val="14"/>
                <w:szCs w:val="14"/>
                <w:color w:val="auto"/>
                <w:w w:val="99"/>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640" w:type="dxa"/>
            <w:vAlign w:val="bottom"/>
          </w:tcPr>
          <w:p>
            <w:pPr>
              <w:spacing w:after="0"/>
              <w:rPr>
                <w:sz w:val="17"/>
                <w:szCs w:val="17"/>
                <w:color w:val="auto"/>
              </w:rPr>
            </w:pPr>
          </w:p>
        </w:tc>
        <w:tc>
          <w:tcPr>
            <w:tcW w:w="1880" w:type="dxa"/>
            <w:vAlign w:val="bottom"/>
            <w:shd w:val="clear" w:color="auto" w:fill="D1DDE6"/>
          </w:tcPr>
          <w:p>
            <w:pPr>
              <w:ind w:left="20"/>
              <w:spacing w:after="0"/>
              <w:rPr>
                <w:sz w:val="20"/>
                <w:szCs w:val="20"/>
                <w:color w:val="auto"/>
              </w:rPr>
            </w:pPr>
            <w:r>
              <w:rPr>
                <w:rFonts w:ascii="Arial" w:cs="Arial" w:eastAsia="Arial" w:hAnsi="Arial"/>
                <w:sz w:val="14"/>
                <w:szCs w:val="14"/>
                <w:color w:val="auto"/>
              </w:rPr>
              <w:t>S&amp;MS Pension Plan</w:t>
            </w:r>
          </w:p>
        </w:tc>
        <w:tc>
          <w:tcPr>
            <w:tcW w:w="2720" w:type="dxa"/>
            <w:vAlign w:val="bottom"/>
            <w:shd w:val="clear" w:color="auto" w:fill="D1DDE6"/>
          </w:tcPr>
          <w:p>
            <w:pPr>
              <w:jc w:val="center"/>
              <w:ind w:left="192"/>
              <w:spacing w:after="0"/>
              <w:rPr>
                <w:sz w:val="20"/>
                <w:szCs w:val="20"/>
                <w:color w:val="auto"/>
              </w:rPr>
            </w:pPr>
            <w:r>
              <w:rPr>
                <w:rFonts w:ascii="Arial" w:cs="Arial" w:eastAsia="Arial" w:hAnsi="Arial"/>
                <w:sz w:val="14"/>
                <w:szCs w:val="14"/>
                <w:color w:val="auto"/>
                <w:w w:val="96"/>
              </w:rPr>
              <w:t>16.50</w:t>
            </w:r>
          </w:p>
        </w:tc>
        <w:tc>
          <w:tcPr>
            <w:tcW w:w="2100" w:type="dxa"/>
            <w:vAlign w:val="bottom"/>
            <w:shd w:val="clear" w:color="auto" w:fill="D1DDE6"/>
          </w:tcPr>
          <w:p>
            <w:pPr>
              <w:jc w:val="center"/>
              <w:ind w:right="172"/>
              <w:spacing w:after="0"/>
              <w:rPr>
                <w:sz w:val="20"/>
                <w:szCs w:val="20"/>
                <w:color w:val="auto"/>
              </w:rPr>
            </w:pPr>
            <w:r>
              <w:rPr>
                <w:rFonts w:ascii="Arial" w:cs="Arial" w:eastAsia="Arial" w:hAnsi="Arial"/>
                <w:sz w:val="14"/>
                <w:szCs w:val="14"/>
                <w:color w:val="auto"/>
                <w:w w:val="98"/>
              </w:rPr>
              <w:t>537,181</w:t>
            </w:r>
          </w:p>
        </w:tc>
        <w:tc>
          <w:tcPr>
            <w:tcW w:w="2080" w:type="dxa"/>
            <w:vAlign w:val="bottom"/>
            <w:shd w:val="clear" w:color="auto" w:fill="D1DDE6"/>
          </w:tcPr>
          <w:p>
            <w:pPr>
              <w:jc w:val="center"/>
              <w:spacing w:after="0"/>
              <w:rPr>
                <w:sz w:val="20"/>
                <w:szCs w:val="20"/>
                <w:color w:val="auto"/>
              </w:rPr>
            </w:pPr>
            <w:r>
              <w:rPr>
                <w:rFonts w:ascii="Arial" w:cs="Arial" w:eastAsia="Arial" w:hAnsi="Arial"/>
                <w:sz w:val="14"/>
                <w:szCs w:val="14"/>
                <w:color w:val="auto"/>
                <w:w w:val="99"/>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640" w:type="dxa"/>
            <w:vAlign w:val="bottom"/>
          </w:tcPr>
          <w:p>
            <w:pPr>
              <w:ind w:left="20"/>
              <w:spacing w:after="0"/>
              <w:rPr>
                <w:sz w:val="20"/>
                <w:szCs w:val="20"/>
                <w:color w:val="auto"/>
              </w:rPr>
            </w:pPr>
            <w:r>
              <w:rPr>
                <w:rFonts w:ascii="Arial" w:cs="Arial" w:eastAsia="Arial" w:hAnsi="Arial"/>
                <w:sz w:val="14"/>
                <w:szCs w:val="14"/>
                <w:color w:val="auto"/>
              </w:rPr>
              <w:t>Mark A. Caylor</w:t>
            </w:r>
          </w:p>
        </w:tc>
        <w:tc>
          <w:tcPr>
            <w:tcW w:w="1880" w:type="dxa"/>
            <w:vAlign w:val="bottom"/>
          </w:tcPr>
          <w:p>
            <w:pPr>
              <w:ind w:left="20"/>
              <w:spacing w:after="0"/>
              <w:rPr>
                <w:sz w:val="20"/>
                <w:szCs w:val="20"/>
                <w:color w:val="auto"/>
              </w:rPr>
            </w:pPr>
            <w:r>
              <w:rPr>
                <w:rFonts w:ascii="Arial" w:cs="Arial" w:eastAsia="Arial" w:hAnsi="Arial"/>
                <w:sz w:val="14"/>
                <w:szCs w:val="14"/>
                <w:color w:val="auto"/>
              </w:rPr>
              <w:t>SRIP</w:t>
            </w:r>
          </w:p>
        </w:tc>
        <w:tc>
          <w:tcPr>
            <w:tcW w:w="2720" w:type="dxa"/>
            <w:vAlign w:val="bottom"/>
          </w:tcPr>
          <w:p>
            <w:pPr>
              <w:jc w:val="center"/>
              <w:ind w:left="192"/>
              <w:spacing w:after="0"/>
              <w:rPr>
                <w:sz w:val="20"/>
                <w:szCs w:val="20"/>
                <w:color w:val="auto"/>
              </w:rPr>
            </w:pPr>
            <w:r>
              <w:rPr>
                <w:rFonts w:ascii="Arial" w:cs="Arial" w:eastAsia="Arial" w:hAnsi="Arial"/>
                <w:sz w:val="14"/>
                <w:szCs w:val="14"/>
                <w:color w:val="auto"/>
                <w:w w:val="96"/>
              </w:rPr>
              <w:t>16.50</w:t>
            </w:r>
          </w:p>
        </w:tc>
        <w:tc>
          <w:tcPr>
            <w:tcW w:w="2100" w:type="dxa"/>
            <w:vAlign w:val="bottom"/>
          </w:tcPr>
          <w:p>
            <w:pPr>
              <w:jc w:val="center"/>
              <w:ind w:right="152"/>
              <w:spacing w:after="0"/>
              <w:rPr>
                <w:sz w:val="20"/>
                <w:szCs w:val="20"/>
                <w:color w:val="auto"/>
              </w:rPr>
            </w:pPr>
            <w:r>
              <w:rPr>
                <w:rFonts w:ascii="Arial" w:cs="Arial" w:eastAsia="Arial" w:hAnsi="Arial"/>
                <w:sz w:val="14"/>
                <w:szCs w:val="14"/>
                <w:color w:val="auto"/>
                <w:w w:val="96"/>
              </w:rPr>
              <w:t>1,102,868</w:t>
            </w:r>
          </w:p>
        </w:tc>
        <w:tc>
          <w:tcPr>
            <w:tcW w:w="20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640" w:type="dxa"/>
            <w:vAlign w:val="bottom"/>
            <w:tcBorders>
              <w:bottom w:val="single" w:sz="8" w:color="34657F"/>
            </w:tcBorders>
          </w:tcPr>
          <w:p>
            <w:pPr>
              <w:spacing w:after="0"/>
              <w:rPr>
                <w:sz w:val="17"/>
                <w:szCs w:val="17"/>
                <w:color w:val="auto"/>
              </w:rPr>
            </w:pPr>
          </w:p>
        </w:tc>
        <w:tc>
          <w:tcPr>
            <w:tcW w:w="1880" w:type="dxa"/>
            <w:vAlign w:val="bottom"/>
            <w:tcBorders>
              <w:bottom w:val="single" w:sz="8" w:color="34657F"/>
            </w:tcBorders>
            <w:shd w:val="clear" w:color="auto" w:fill="D1DDE6"/>
          </w:tcPr>
          <w:p>
            <w:pPr>
              <w:ind w:left="20"/>
              <w:spacing w:after="0"/>
              <w:rPr>
                <w:sz w:val="20"/>
                <w:szCs w:val="20"/>
                <w:color w:val="auto"/>
              </w:rPr>
            </w:pPr>
            <w:r>
              <w:rPr>
                <w:rFonts w:ascii="Arial" w:cs="Arial" w:eastAsia="Arial" w:hAnsi="Arial"/>
                <w:sz w:val="14"/>
                <w:szCs w:val="14"/>
                <w:color w:val="auto"/>
              </w:rPr>
              <w:t>OSERP</w:t>
            </w:r>
          </w:p>
        </w:tc>
        <w:tc>
          <w:tcPr>
            <w:tcW w:w="2720" w:type="dxa"/>
            <w:vAlign w:val="bottom"/>
            <w:tcBorders>
              <w:bottom w:val="single" w:sz="8" w:color="34657F"/>
            </w:tcBorders>
            <w:shd w:val="clear" w:color="auto" w:fill="D1DDE6"/>
          </w:tcPr>
          <w:p>
            <w:pPr>
              <w:jc w:val="center"/>
              <w:ind w:left="192"/>
              <w:spacing w:after="0"/>
              <w:rPr>
                <w:sz w:val="20"/>
                <w:szCs w:val="20"/>
                <w:color w:val="auto"/>
              </w:rPr>
            </w:pPr>
            <w:r>
              <w:rPr>
                <w:rFonts w:ascii="Arial" w:cs="Arial" w:eastAsia="Arial" w:hAnsi="Arial"/>
                <w:sz w:val="14"/>
                <w:szCs w:val="14"/>
                <w:color w:val="auto"/>
                <w:w w:val="96"/>
              </w:rPr>
              <w:t>12.50</w:t>
            </w:r>
          </w:p>
        </w:tc>
        <w:tc>
          <w:tcPr>
            <w:tcW w:w="2100" w:type="dxa"/>
            <w:vAlign w:val="bottom"/>
            <w:tcBorders>
              <w:bottom w:val="single" w:sz="8" w:color="34657F"/>
            </w:tcBorders>
            <w:shd w:val="clear" w:color="auto" w:fill="D1DDE6"/>
          </w:tcPr>
          <w:p>
            <w:pPr>
              <w:jc w:val="center"/>
              <w:ind w:right="172"/>
              <w:spacing w:after="0"/>
              <w:rPr>
                <w:sz w:val="20"/>
                <w:szCs w:val="20"/>
                <w:color w:val="auto"/>
              </w:rPr>
            </w:pPr>
            <w:r>
              <w:rPr>
                <w:rFonts w:ascii="Arial" w:cs="Arial" w:eastAsia="Arial" w:hAnsi="Arial"/>
                <w:sz w:val="14"/>
                <w:szCs w:val="14"/>
                <w:color w:val="auto"/>
                <w:w w:val="98"/>
              </w:rPr>
              <w:t>896,172</w:t>
            </w:r>
          </w:p>
        </w:tc>
        <w:tc>
          <w:tcPr>
            <w:tcW w:w="2080" w:type="dxa"/>
            <w:vAlign w:val="bottom"/>
            <w:tcBorders>
              <w:bottom w:val="single" w:sz="8" w:color="34657F"/>
            </w:tcBorders>
            <w:shd w:val="clear" w:color="auto" w:fill="D1DDE6"/>
          </w:tcPr>
          <w:p>
            <w:pPr>
              <w:jc w:val="center"/>
              <w:spacing w:after="0"/>
              <w:rPr>
                <w:sz w:val="20"/>
                <w:szCs w:val="20"/>
                <w:color w:val="auto"/>
              </w:rPr>
            </w:pPr>
            <w:r>
              <w:rPr>
                <w:rFonts w:ascii="Arial" w:cs="Arial" w:eastAsia="Arial" w:hAnsi="Arial"/>
                <w:sz w:val="14"/>
                <w:szCs w:val="14"/>
                <w:color w:val="auto"/>
                <w:w w:val="99"/>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640" w:type="dxa"/>
            <w:vAlign w:val="bottom"/>
            <w:vMerge w:val="restart"/>
          </w:tcPr>
          <w:p>
            <w:pPr>
              <w:ind w:left="20"/>
              <w:spacing w:after="0"/>
              <w:rPr>
                <w:sz w:val="20"/>
                <w:szCs w:val="20"/>
                <w:color w:val="auto"/>
              </w:rPr>
            </w:pPr>
            <w:r>
              <w:rPr>
                <w:rFonts w:ascii="Arial" w:cs="Arial" w:eastAsia="Arial" w:hAnsi="Arial"/>
                <w:sz w:val="14"/>
                <w:szCs w:val="14"/>
                <w:color w:val="auto"/>
              </w:rPr>
              <w:t>Blake E. Larson</w:t>
            </w:r>
          </w:p>
        </w:tc>
        <w:tc>
          <w:tcPr>
            <w:tcW w:w="1880" w:type="dxa"/>
            <w:vAlign w:val="bottom"/>
          </w:tcPr>
          <w:p>
            <w:pPr>
              <w:ind w:left="20"/>
              <w:spacing w:after="0"/>
              <w:rPr>
                <w:sz w:val="20"/>
                <w:szCs w:val="20"/>
                <w:color w:val="auto"/>
              </w:rPr>
            </w:pPr>
            <w:r>
              <w:rPr>
                <w:rFonts w:ascii="Arial" w:cs="Arial" w:eastAsia="Arial" w:hAnsi="Arial"/>
                <w:sz w:val="14"/>
                <w:szCs w:val="14"/>
                <w:color w:val="auto"/>
              </w:rPr>
              <w:t>OATK P&amp;R Plan</w:t>
            </w:r>
          </w:p>
        </w:tc>
        <w:tc>
          <w:tcPr>
            <w:tcW w:w="2720" w:type="dxa"/>
            <w:vAlign w:val="bottom"/>
          </w:tcPr>
          <w:p>
            <w:pPr>
              <w:jc w:val="center"/>
              <w:ind w:left="192"/>
              <w:spacing w:after="0"/>
              <w:rPr>
                <w:sz w:val="20"/>
                <w:szCs w:val="20"/>
                <w:color w:val="auto"/>
              </w:rPr>
            </w:pPr>
            <w:r>
              <w:rPr>
                <w:rFonts w:ascii="Arial" w:cs="Arial" w:eastAsia="Arial" w:hAnsi="Arial"/>
                <w:sz w:val="14"/>
                <w:szCs w:val="14"/>
                <w:color w:val="auto"/>
                <w:w w:val="96"/>
              </w:rPr>
              <w:t>37.50</w:t>
            </w:r>
          </w:p>
        </w:tc>
        <w:tc>
          <w:tcPr>
            <w:tcW w:w="2100" w:type="dxa"/>
            <w:vAlign w:val="bottom"/>
          </w:tcPr>
          <w:p>
            <w:pPr>
              <w:jc w:val="center"/>
              <w:ind w:right="172"/>
              <w:spacing w:after="0"/>
              <w:rPr>
                <w:sz w:val="20"/>
                <w:szCs w:val="20"/>
                <w:color w:val="auto"/>
              </w:rPr>
            </w:pPr>
            <w:r>
              <w:rPr>
                <w:rFonts w:ascii="Arial" w:cs="Arial" w:eastAsia="Arial" w:hAnsi="Arial"/>
                <w:sz w:val="14"/>
                <w:szCs w:val="14"/>
                <w:color w:val="auto"/>
                <w:w w:val="98"/>
              </w:rPr>
              <w:t>691,978</w:t>
            </w:r>
          </w:p>
        </w:tc>
        <w:tc>
          <w:tcPr>
            <w:tcW w:w="20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7"/>
        </w:trPr>
        <w:tc>
          <w:tcPr>
            <w:tcW w:w="2640" w:type="dxa"/>
            <w:vAlign w:val="bottom"/>
            <w:vMerge w:val="continue"/>
          </w:tcPr>
          <w:p>
            <w:pPr>
              <w:spacing w:after="0"/>
              <w:rPr>
                <w:sz w:val="8"/>
                <w:szCs w:val="8"/>
                <w:color w:val="auto"/>
              </w:rPr>
            </w:pPr>
          </w:p>
        </w:tc>
        <w:tc>
          <w:tcPr>
            <w:tcW w:w="1880" w:type="dxa"/>
            <w:vAlign w:val="bottom"/>
            <w:vMerge w:val="restart"/>
            <w:shd w:val="clear" w:color="auto" w:fill="D1DDE6"/>
          </w:tcPr>
          <w:p>
            <w:pPr>
              <w:ind w:left="20"/>
              <w:spacing w:after="0"/>
              <w:rPr>
                <w:sz w:val="20"/>
                <w:szCs w:val="20"/>
                <w:color w:val="auto"/>
              </w:rPr>
            </w:pPr>
            <w:r>
              <w:rPr>
                <w:rFonts w:ascii="Arial" w:cs="Arial" w:eastAsia="Arial" w:hAnsi="Arial"/>
                <w:sz w:val="14"/>
                <w:szCs w:val="14"/>
                <w:color w:val="auto"/>
              </w:rPr>
              <w:t>OATK DB SERP</w:t>
            </w:r>
          </w:p>
        </w:tc>
        <w:tc>
          <w:tcPr>
            <w:tcW w:w="2720" w:type="dxa"/>
            <w:vAlign w:val="bottom"/>
            <w:vMerge w:val="restart"/>
            <w:shd w:val="clear" w:color="auto" w:fill="D1DDE6"/>
          </w:tcPr>
          <w:p>
            <w:pPr>
              <w:jc w:val="center"/>
              <w:ind w:left="192"/>
              <w:spacing w:after="0"/>
              <w:rPr>
                <w:sz w:val="20"/>
                <w:szCs w:val="20"/>
                <w:color w:val="auto"/>
              </w:rPr>
            </w:pPr>
            <w:r>
              <w:rPr>
                <w:rFonts w:ascii="Arial" w:cs="Arial" w:eastAsia="Arial" w:hAnsi="Arial"/>
                <w:sz w:val="14"/>
                <w:szCs w:val="14"/>
                <w:color w:val="auto"/>
                <w:w w:val="96"/>
              </w:rPr>
              <w:t>37.50</w:t>
            </w:r>
          </w:p>
        </w:tc>
        <w:tc>
          <w:tcPr>
            <w:tcW w:w="2100" w:type="dxa"/>
            <w:vAlign w:val="bottom"/>
            <w:vMerge w:val="restart"/>
            <w:shd w:val="clear" w:color="auto" w:fill="D1DDE6"/>
          </w:tcPr>
          <w:p>
            <w:pPr>
              <w:jc w:val="center"/>
              <w:ind w:right="152"/>
              <w:spacing w:after="0"/>
              <w:rPr>
                <w:sz w:val="20"/>
                <w:szCs w:val="20"/>
                <w:color w:val="auto"/>
              </w:rPr>
            </w:pPr>
            <w:r>
              <w:rPr>
                <w:rFonts w:ascii="Arial" w:cs="Arial" w:eastAsia="Arial" w:hAnsi="Arial"/>
                <w:sz w:val="14"/>
                <w:szCs w:val="14"/>
                <w:color w:val="auto"/>
                <w:w w:val="96"/>
              </w:rPr>
              <w:t>2,831,663</w:t>
            </w:r>
          </w:p>
        </w:tc>
        <w:tc>
          <w:tcPr>
            <w:tcW w:w="2080" w:type="dxa"/>
            <w:vAlign w:val="bottom"/>
            <w:vMerge w:val="restart"/>
            <w:shd w:val="clear" w:color="auto" w:fill="D1DDE6"/>
          </w:tcPr>
          <w:p>
            <w:pPr>
              <w:jc w:val="center"/>
              <w:spacing w:after="0"/>
              <w:rPr>
                <w:sz w:val="20"/>
                <w:szCs w:val="20"/>
                <w:color w:val="auto"/>
              </w:rPr>
            </w:pPr>
            <w:r>
              <w:rPr>
                <w:rFonts w:ascii="Arial" w:cs="Arial" w:eastAsia="Arial" w:hAnsi="Arial"/>
                <w:sz w:val="14"/>
                <w:szCs w:val="14"/>
                <w:color w:val="auto"/>
                <w:w w:val="99"/>
              </w:rPr>
              <w:t>—</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2640" w:type="dxa"/>
            <w:vAlign w:val="bottom"/>
            <w:tcBorders>
              <w:bottom w:val="single" w:sz="8" w:color="34657F"/>
            </w:tcBorders>
          </w:tcPr>
          <w:p>
            <w:pPr>
              <w:spacing w:after="0"/>
              <w:rPr>
                <w:sz w:val="9"/>
                <w:szCs w:val="9"/>
                <w:color w:val="auto"/>
              </w:rPr>
            </w:pPr>
          </w:p>
        </w:tc>
        <w:tc>
          <w:tcPr>
            <w:tcW w:w="1880" w:type="dxa"/>
            <w:vAlign w:val="bottom"/>
            <w:tcBorders>
              <w:bottom w:val="single" w:sz="8" w:color="34657F"/>
            </w:tcBorders>
            <w:vMerge w:val="continue"/>
            <w:shd w:val="clear" w:color="auto" w:fill="D1DDE6"/>
          </w:tcPr>
          <w:p>
            <w:pPr>
              <w:spacing w:after="0"/>
              <w:rPr>
                <w:sz w:val="9"/>
                <w:szCs w:val="9"/>
                <w:color w:val="auto"/>
              </w:rPr>
            </w:pPr>
          </w:p>
        </w:tc>
        <w:tc>
          <w:tcPr>
            <w:tcW w:w="2720" w:type="dxa"/>
            <w:vAlign w:val="bottom"/>
            <w:tcBorders>
              <w:bottom w:val="single" w:sz="8" w:color="34657F"/>
            </w:tcBorders>
            <w:vMerge w:val="continue"/>
            <w:shd w:val="clear" w:color="auto" w:fill="D1DDE6"/>
          </w:tcPr>
          <w:p>
            <w:pPr>
              <w:spacing w:after="0"/>
              <w:rPr>
                <w:sz w:val="9"/>
                <w:szCs w:val="9"/>
                <w:color w:val="auto"/>
              </w:rPr>
            </w:pPr>
          </w:p>
        </w:tc>
        <w:tc>
          <w:tcPr>
            <w:tcW w:w="2100" w:type="dxa"/>
            <w:vAlign w:val="bottom"/>
            <w:tcBorders>
              <w:bottom w:val="single" w:sz="8" w:color="34657F"/>
            </w:tcBorders>
            <w:vMerge w:val="continue"/>
            <w:shd w:val="clear" w:color="auto" w:fill="D1DDE6"/>
          </w:tcPr>
          <w:p>
            <w:pPr>
              <w:spacing w:after="0"/>
              <w:rPr>
                <w:sz w:val="9"/>
                <w:szCs w:val="9"/>
                <w:color w:val="auto"/>
              </w:rPr>
            </w:pPr>
          </w:p>
        </w:tc>
        <w:tc>
          <w:tcPr>
            <w:tcW w:w="2080" w:type="dxa"/>
            <w:vAlign w:val="bottom"/>
            <w:tcBorders>
              <w:bottom w:val="single" w:sz="8" w:color="34657F"/>
            </w:tcBorders>
            <w:vMerge w:val="continue"/>
            <w:shd w:val="clear" w:color="auto" w:fill="D1DDE6"/>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380" w:right="140" w:hanging="377"/>
        <w:spacing w:after="0" w:line="263" w:lineRule="auto"/>
        <w:tabs>
          <w:tab w:leader="none" w:pos="380" w:val="left"/>
        </w:tabs>
        <w:numPr>
          <w:ilvl w:val="0"/>
          <w:numId w:val="72"/>
        </w:numPr>
        <w:rPr>
          <w:rFonts w:ascii="Arial" w:cs="Arial" w:eastAsia="Arial" w:hAnsi="Arial"/>
          <w:sz w:val="17"/>
          <w:szCs w:val="17"/>
          <w:color w:val="auto"/>
        </w:rPr>
      </w:pPr>
      <w:r>
        <w:rPr>
          <w:rFonts w:ascii="Arial" w:cs="Arial" w:eastAsia="Arial" w:hAnsi="Arial"/>
          <w:sz w:val="17"/>
          <w:szCs w:val="17"/>
          <w:color w:val="auto"/>
        </w:rPr>
        <w:t>Mr. Bedingfield was hired after the Company's defined benefit pension plans were closed to new entrants, and as a result he does not participate in any defined benefit pension plans.</w:t>
      </w:r>
    </w:p>
    <w:p>
      <w:pPr>
        <w:spacing w:after="0" w:line="47" w:lineRule="exact"/>
        <w:rPr>
          <w:rFonts w:ascii="Arial" w:cs="Arial" w:eastAsia="Arial" w:hAnsi="Arial"/>
          <w:sz w:val="17"/>
          <w:szCs w:val="17"/>
          <w:color w:val="auto"/>
        </w:rPr>
      </w:pPr>
    </w:p>
    <w:p>
      <w:pPr>
        <w:ind w:left="380" w:right="460" w:hanging="377"/>
        <w:spacing w:after="0" w:line="264" w:lineRule="auto"/>
        <w:tabs>
          <w:tab w:leader="none" w:pos="380" w:val="left"/>
        </w:tabs>
        <w:numPr>
          <w:ilvl w:val="0"/>
          <w:numId w:val="72"/>
        </w:numPr>
        <w:rPr>
          <w:rFonts w:ascii="Arial" w:cs="Arial" w:eastAsia="Arial" w:hAnsi="Arial"/>
          <w:sz w:val="17"/>
          <w:szCs w:val="17"/>
          <w:color w:val="auto"/>
        </w:rPr>
      </w:pPr>
      <w:r>
        <w:rPr>
          <w:rFonts w:ascii="Arial" w:cs="Arial" w:eastAsia="Arial" w:hAnsi="Arial"/>
          <w:sz w:val="17"/>
          <w:szCs w:val="17"/>
          <w:color w:val="auto"/>
        </w:rPr>
        <w:t>Credited service under OSERP for Mr. Bush and Mr. Caylor is less than actual service because credited service under this plan stopped as of December 31, 2014. In addition, Mr. Bush's credited service under his other plans is less because of his transfers among those plans due to Company acquisitions. Each NEO's actual service is as follows: Mr. Bush: 31.67; Ms. Warden: 10.33; Mr. Caylor: 16.5; Mr. Larson: 37.5.</w:t>
      </w:r>
    </w:p>
    <w:p>
      <w:pPr>
        <w:spacing w:after="0" w:line="58" w:lineRule="exact"/>
        <w:rPr>
          <w:rFonts w:ascii="Arial" w:cs="Arial" w:eastAsia="Arial" w:hAnsi="Arial"/>
          <w:sz w:val="17"/>
          <w:szCs w:val="17"/>
          <w:color w:val="auto"/>
        </w:rPr>
      </w:pPr>
    </w:p>
    <w:p>
      <w:pPr>
        <w:ind w:left="380" w:hanging="377"/>
        <w:spacing w:after="0"/>
        <w:tabs>
          <w:tab w:leader="none" w:pos="380" w:val="left"/>
        </w:tabs>
        <w:numPr>
          <w:ilvl w:val="0"/>
          <w:numId w:val="72"/>
        </w:numPr>
        <w:rPr>
          <w:rFonts w:ascii="Arial" w:cs="Arial" w:eastAsia="Arial" w:hAnsi="Arial"/>
          <w:sz w:val="17"/>
          <w:szCs w:val="17"/>
          <w:color w:val="auto"/>
        </w:rPr>
      </w:pPr>
      <w:r>
        <w:rPr>
          <w:rFonts w:ascii="Arial" w:cs="Arial" w:eastAsia="Arial" w:hAnsi="Arial"/>
          <w:sz w:val="17"/>
          <w:szCs w:val="17"/>
          <w:color w:val="auto"/>
        </w:rPr>
        <w:t>Amounts are calculated using the following assumptions:</w:t>
      </w:r>
    </w:p>
    <w:p>
      <w:pPr>
        <w:spacing w:after="0" w:line="75" w:lineRule="exact"/>
        <w:rPr>
          <w:rFonts w:ascii="Arial" w:cs="Arial" w:eastAsia="Arial" w:hAnsi="Arial"/>
          <w:sz w:val="17"/>
          <w:szCs w:val="17"/>
          <w:color w:val="auto"/>
        </w:rPr>
      </w:pPr>
    </w:p>
    <w:p>
      <w:pPr>
        <w:ind w:left="700" w:hanging="313"/>
        <w:spacing w:after="0"/>
        <w:tabs>
          <w:tab w:leader="none" w:pos="700" w:val="left"/>
        </w:tabs>
        <w:numPr>
          <w:ilvl w:val="1"/>
          <w:numId w:val="72"/>
        </w:numPr>
        <w:rPr>
          <w:rFonts w:ascii="Arial" w:cs="Arial" w:eastAsia="Arial" w:hAnsi="Arial"/>
          <w:sz w:val="21"/>
          <w:szCs w:val="21"/>
          <w:color w:val="34657F"/>
        </w:rPr>
      </w:pPr>
      <w:r>
        <w:rPr>
          <w:rFonts w:ascii="Arial" w:cs="Arial" w:eastAsia="Arial" w:hAnsi="Arial"/>
          <w:sz w:val="17"/>
          <w:szCs w:val="17"/>
          <w:color w:val="auto"/>
        </w:rPr>
        <w:t>The NEO retires on the earliest date he/she could receive an unreduced benefit under each plan;</w:t>
      </w:r>
    </w:p>
    <w:p>
      <w:pPr>
        <w:spacing w:after="0" w:line="79" w:lineRule="exact"/>
        <w:rPr>
          <w:rFonts w:ascii="Arial" w:cs="Arial" w:eastAsia="Arial" w:hAnsi="Arial"/>
          <w:sz w:val="21"/>
          <w:szCs w:val="21"/>
          <w:color w:val="34657F"/>
        </w:rPr>
      </w:pPr>
    </w:p>
    <w:p>
      <w:pPr>
        <w:ind w:left="700" w:hanging="313"/>
        <w:spacing w:after="0"/>
        <w:tabs>
          <w:tab w:leader="none" w:pos="700" w:val="left"/>
        </w:tabs>
        <w:numPr>
          <w:ilvl w:val="1"/>
          <w:numId w:val="72"/>
        </w:numPr>
        <w:rPr>
          <w:rFonts w:ascii="Arial" w:cs="Arial" w:eastAsia="Arial" w:hAnsi="Arial"/>
          <w:sz w:val="21"/>
          <w:szCs w:val="21"/>
          <w:color w:val="34657F"/>
        </w:rPr>
      </w:pPr>
      <w:r>
        <w:rPr>
          <w:rFonts w:ascii="Arial" w:cs="Arial" w:eastAsia="Arial" w:hAnsi="Arial"/>
          <w:sz w:val="17"/>
          <w:szCs w:val="17"/>
          <w:color w:val="auto"/>
        </w:rPr>
        <w:t>The form of payment is a single life annuity except for Mr. Larson whose OATK DB SERP benefit is paid as a lump sum; and</w:t>
      </w:r>
    </w:p>
    <w:p>
      <w:pPr>
        <w:spacing w:after="0" w:line="115" w:lineRule="exact"/>
        <w:rPr>
          <w:rFonts w:ascii="Arial" w:cs="Arial" w:eastAsia="Arial" w:hAnsi="Arial"/>
          <w:sz w:val="21"/>
          <w:szCs w:val="21"/>
          <w:color w:val="34657F"/>
        </w:rPr>
      </w:pPr>
    </w:p>
    <w:p>
      <w:pPr>
        <w:ind w:left="700" w:right="60" w:hanging="313"/>
        <w:spacing w:after="0" w:line="285" w:lineRule="auto"/>
        <w:tabs>
          <w:tab w:leader="none" w:pos="700" w:val="left"/>
        </w:tabs>
        <w:numPr>
          <w:ilvl w:val="1"/>
          <w:numId w:val="72"/>
        </w:numPr>
        <w:rPr>
          <w:rFonts w:ascii="Arial" w:cs="Arial" w:eastAsia="Arial" w:hAnsi="Arial"/>
          <w:sz w:val="21"/>
          <w:szCs w:val="21"/>
          <w:color w:val="34657F"/>
        </w:rPr>
      </w:pPr>
      <w:r>
        <w:rPr>
          <w:rFonts w:ascii="Arial" w:cs="Arial" w:eastAsia="Arial" w:hAnsi="Arial"/>
          <w:sz w:val="17"/>
          <w:szCs w:val="17"/>
          <w:color w:val="auto"/>
        </w:rPr>
        <w:t>The discount rate is 4.30% for the Pension Plan, 4.33% for the S&amp;MS Pension Plan and 4.31% for all other plans. The mortality tables are the RP-2014 annuitant mortality tables adjusted for actual experience and projected generationally with an adjusted version of Scale MP-2018 for the OATK P&amp;R Plan and RP-2006 annuitant mortality tables projected generationally with an adjusted version of Scale MP-2018 for all other plans except the OATK DB SERP which uses no mortality. These are the same assumptions used for the valuation of benefits in the Company's financial statements.</w:t>
      </w:r>
    </w:p>
    <w:p>
      <w:pPr>
        <w:spacing w:after="0" w:line="285"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58 </w:t>
      </w:r>
      <w:r>
        <w:rPr>
          <w:rFonts w:ascii="Arial" w:cs="Arial" w:eastAsia="Arial" w:hAnsi="Arial"/>
          <w:sz w:val="13"/>
          <w:szCs w:val="13"/>
          <w:color w:val="auto"/>
        </w:rPr>
        <w:t>I</w:t>
      </w:r>
      <w:r>
        <w:rPr>
          <w:rFonts w:ascii="Arial" w:cs="Arial" w:eastAsia="Arial" w:hAnsi="Arial"/>
          <w:sz w:val="17"/>
          <w:szCs w:val="17"/>
          <w:color w:val="auto"/>
        </w:rPr>
        <w:t xml:space="preserve"> </w:t>
      </w:r>
      <w:r>
        <w:rPr>
          <w:rFonts w:ascii="Arial" w:cs="Arial" w:eastAsia="Arial" w:hAnsi="Arial"/>
          <w:sz w:val="13"/>
          <w:szCs w:val="13"/>
          <w:color w:val="34657F"/>
        </w:rPr>
        <w:t>NOTICE OF 2019 ANNUAL MEETING OF SHAREHOLDERS AND PROXY STATEMENT</w:t>
      </w:r>
    </w:p>
    <w:p>
      <w:pPr>
        <w:sectPr>
          <w:pgSz w:w="11900" w:h="16838" w:orient="portrait"/>
          <w:cols w:equalWidth="0" w:num="1">
            <w:col w:w="11440"/>
          </w:cols>
          <w:pgMar w:left="240" w:top="671" w:right="219" w:bottom="1440" w:gutter="0" w:footer="0" w:header="0"/>
        </w:sectPr>
      </w:pPr>
    </w:p>
    <w:bookmarkStart w:id="64" w:name="page65"/>
    <w:bookmarkEnd w:id="64"/>
    <w:p>
      <w:pPr>
        <w:ind w:left="20"/>
        <w:spacing w:after="0"/>
        <w:rPr>
          <w:sz w:val="20"/>
          <w:szCs w:val="20"/>
          <w:color w:val="auto"/>
        </w:rPr>
      </w:pPr>
      <w:r>
        <w:rPr>
          <w:rFonts w:ascii="Arial" w:cs="Arial" w:eastAsia="Arial" w:hAnsi="Arial"/>
          <w:sz w:val="21"/>
          <w:szCs w:val="21"/>
          <w:b w:val="1"/>
          <w:bCs w:val="1"/>
          <w:color w:val="FFFFFF"/>
        </w:rPr>
        <w:drawing>
          <wp:anchor simplePos="0" relativeHeight="251657728" behindDoc="1" locked="0" layoutInCell="0" allowOverlap="1">
            <wp:simplePos x="0" y="0"/>
            <wp:positionH relativeFrom="page">
              <wp:posOffset>154305</wp:posOffset>
            </wp:positionH>
            <wp:positionV relativeFrom="page">
              <wp:posOffset>365760</wp:posOffset>
            </wp:positionV>
            <wp:extent cx="7253605" cy="56197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53605" cy="561975"/>
                    </a:xfrm>
                    <a:prstGeom prst="rect">
                      <a:avLst/>
                    </a:prstGeom>
                    <a:noFill/>
                  </pic:spPr>
                </pic:pic>
              </a:graphicData>
            </a:graphic>
          </wp:anchor>
        </w:drawing>
        <w:t>COMPENSATION TABLES | P</w:t>
      </w:r>
      <w:r>
        <w:rPr>
          <w:rFonts w:ascii="Arial" w:cs="Arial" w:eastAsia="Arial" w:hAnsi="Arial"/>
          <w:sz w:val="17"/>
          <w:szCs w:val="17"/>
          <w:b w:val="1"/>
          <w:bCs w:val="1"/>
          <w:color w:val="FFFFFF"/>
        </w:rPr>
        <w:t>ENSION</w:t>
      </w:r>
      <w:r>
        <w:rPr>
          <w:rFonts w:ascii="Arial" w:cs="Arial" w:eastAsia="Arial" w:hAnsi="Arial"/>
          <w:sz w:val="21"/>
          <w:szCs w:val="21"/>
          <w:b w:val="1"/>
          <w:bCs w:val="1"/>
          <w:color w:val="FFFFFF"/>
        </w:rPr>
        <w:t xml:space="preserve"> B</w:t>
      </w:r>
      <w:r>
        <w:rPr>
          <w:rFonts w:ascii="Arial" w:cs="Arial" w:eastAsia="Arial" w:hAnsi="Arial"/>
          <w:sz w:val="17"/>
          <w:szCs w:val="17"/>
          <w:b w:val="1"/>
          <w:bCs w:val="1"/>
          <w:color w:val="FFFFFF"/>
        </w:rPr>
        <w:t>ENEFITS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20"/>
        <w:spacing w:after="0"/>
        <w:rPr>
          <w:sz w:val="20"/>
          <w:szCs w:val="20"/>
          <w:color w:val="auto"/>
        </w:rPr>
      </w:pPr>
      <w:r>
        <w:rPr>
          <w:rFonts w:ascii="Arial" w:cs="Arial" w:eastAsia="Arial" w:hAnsi="Arial"/>
          <w:sz w:val="24"/>
          <w:szCs w:val="24"/>
          <w:b w:val="1"/>
          <w:bCs w:val="1"/>
          <w:color w:val="auto"/>
        </w:rPr>
        <w:t>Pension Plans and Descriptions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38100</wp:posOffset>
            </wp:positionV>
            <wp:extent cx="7253605" cy="1651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pacing w:after="0" w:line="142" w:lineRule="exact"/>
        <w:rPr>
          <w:sz w:val="20"/>
          <w:szCs w:val="20"/>
          <w:color w:val="auto"/>
        </w:rPr>
      </w:pPr>
    </w:p>
    <w:p>
      <w:pPr>
        <w:ind w:right="220"/>
        <w:spacing w:after="0" w:line="255" w:lineRule="auto"/>
        <w:rPr>
          <w:sz w:val="20"/>
          <w:szCs w:val="20"/>
          <w:color w:val="auto"/>
        </w:rPr>
      </w:pPr>
      <w:r>
        <w:rPr>
          <w:rFonts w:ascii="Arial" w:cs="Arial" w:eastAsia="Arial" w:hAnsi="Arial"/>
          <w:sz w:val="17"/>
          <w:szCs w:val="17"/>
          <w:color w:val="auto"/>
        </w:rPr>
        <w:t>Most of the pension plans were closed to new hires in 2008. Prior to that time, the Company consolidated the pension plan provisions from diverse Heritage Formulas to a Cash Balance Formula. Over time, the Company also transitioned officers, including NEOs, from SERPs to a deferred compensation plan, called the Officers Retirement Account Contribution Plan. In addition, all final average pay formulas were frozen as of December 31, 2014.</w:t>
      </w:r>
    </w:p>
    <w:p>
      <w:pPr>
        <w:spacing w:after="0" w:line="67" w:lineRule="exact"/>
        <w:rPr>
          <w:sz w:val="20"/>
          <w:szCs w:val="20"/>
          <w:color w:val="auto"/>
        </w:rPr>
      </w:pPr>
    </w:p>
    <w:p>
      <w:pPr>
        <w:jc w:val="both"/>
        <w:ind w:right="100"/>
        <w:spacing w:after="0" w:line="257" w:lineRule="auto"/>
        <w:rPr>
          <w:sz w:val="20"/>
          <w:szCs w:val="20"/>
          <w:color w:val="auto"/>
        </w:rPr>
      </w:pPr>
      <w:r>
        <w:rPr>
          <w:rFonts w:ascii="Arial" w:cs="Arial" w:eastAsia="Arial" w:hAnsi="Arial"/>
          <w:sz w:val="17"/>
          <w:szCs w:val="17"/>
          <w:color w:val="auto"/>
        </w:rPr>
        <w:t>Due to the acquisition of Orbital ATK and the inclusion of Mr. Larson as an NEO, this summary includes information relating to the Orbital ATK plans in which Mr. Larson participates. These plans were closed to new hires in 2006. They also transitioned to a Cash Balance Formula and the portion of Mr. Larson's benefit that is based on a final average pay formula was frozen on June 30, 2013.</w:t>
      </w:r>
    </w:p>
    <w:p>
      <w:pPr>
        <w:spacing w:after="0" w:line="64" w:lineRule="exact"/>
        <w:rPr>
          <w:sz w:val="20"/>
          <w:szCs w:val="20"/>
          <w:color w:val="auto"/>
        </w:rPr>
      </w:pPr>
    </w:p>
    <w:p>
      <w:pPr>
        <w:spacing w:after="0"/>
        <w:rPr>
          <w:sz w:val="20"/>
          <w:szCs w:val="20"/>
          <w:color w:val="auto"/>
        </w:rPr>
      </w:pPr>
      <w:r>
        <w:rPr>
          <w:rFonts w:ascii="Arial" w:cs="Arial" w:eastAsia="Arial" w:hAnsi="Arial"/>
          <w:sz w:val="17"/>
          <w:szCs w:val="17"/>
          <w:color w:val="auto"/>
        </w:rPr>
        <w:t>The pension plans in which NEOs participate are listed below in alphabetical order.</w:t>
      </w:r>
    </w:p>
    <w:p>
      <w:pPr>
        <w:spacing w:after="0" w:line="92" w:lineRule="exact"/>
        <w:rPr>
          <w:sz w:val="20"/>
          <w:szCs w:val="20"/>
          <w:color w:val="auto"/>
        </w:rPr>
      </w:pPr>
    </w:p>
    <w:p>
      <w:pPr>
        <w:ind w:left="320" w:right="200" w:hanging="317"/>
        <w:spacing w:after="0" w:line="278" w:lineRule="auto"/>
        <w:tabs>
          <w:tab w:leader="none" w:pos="320" w:val="left"/>
        </w:tabs>
        <w:numPr>
          <w:ilvl w:val="0"/>
          <w:numId w:val="73"/>
        </w:numPr>
        <w:rPr>
          <w:rFonts w:ascii="Arial" w:cs="Arial" w:eastAsia="Arial" w:hAnsi="Arial"/>
          <w:sz w:val="21"/>
          <w:szCs w:val="21"/>
          <w:color w:val="34657F"/>
        </w:rPr>
      </w:pPr>
      <w:r>
        <w:rPr>
          <w:rFonts w:ascii="Arial" w:cs="Arial" w:eastAsia="Arial" w:hAnsi="Arial"/>
          <w:sz w:val="17"/>
          <w:szCs w:val="17"/>
          <w:b w:val="1"/>
          <w:bCs w:val="1"/>
          <w:color w:val="auto"/>
        </w:rPr>
        <w:t xml:space="preserve">ERISA 2 </w:t>
      </w:r>
      <w:r>
        <w:rPr>
          <w:rFonts w:ascii="Arial" w:cs="Arial" w:eastAsia="Arial" w:hAnsi="Arial"/>
          <w:sz w:val="17"/>
          <w:szCs w:val="17"/>
          <w:color w:val="auto"/>
        </w:rPr>
        <w:t>is the ERISA Supplemental Program 2. This plan makes participants whole for benefits they lose under the Pension Plan due to certain</w:t>
      </w:r>
      <w:r>
        <w:rPr>
          <w:rFonts w:ascii="Arial" w:cs="Arial" w:eastAsia="Arial" w:hAnsi="Arial"/>
          <w:sz w:val="17"/>
          <w:szCs w:val="17"/>
          <w:b w:val="1"/>
          <w:bCs w:val="1"/>
          <w:color w:val="auto"/>
        </w:rPr>
        <w:t xml:space="preserve"> </w:t>
      </w:r>
      <w:r>
        <w:rPr>
          <w:rFonts w:ascii="Arial" w:cs="Arial" w:eastAsia="Arial" w:hAnsi="Arial"/>
          <w:sz w:val="17"/>
          <w:szCs w:val="17"/>
          <w:color w:val="auto"/>
        </w:rPr>
        <w:t>Internal Revenue Code limits.</w:t>
      </w:r>
    </w:p>
    <w:p>
      <w:pPr>
        <w:spacing w:after="0" w:line="57" w:lineRule="exact"/>
        <w:rPr>
          <w:rFonts w:ascii="Arial" w:cs="Arial" w:eastAsia="Arial" w:hAnsi="Arial"/>
          <w:sz w:val="21"/>
          <w:szCs w:val="21"/>
          <w:color w:val="34657F"/>
        </w:rPr>
      </w:pPr>
    </w:p>
    <w:p>
      <w:pPr>
        <w:ind w:left="320" w:right="80" w:hanging="317"/>
        <w:spacing w:after="0" w:line="283" w:lineRule="auto"/>
        <w:tabs>
          <w:tab w:leader="none" w:pos="320" w:val="left"/>
        </w:tabs>
        <w:numPr>
          <w:ilvl w:val="0"/>
          <w:numId w:val="73"/>
        </w:numPr>
        <w:rPr>
          <w:rFonts w:ascii="Arial" w:cs="Arial" w:eastAsia="Arial" w:hAnsi="Arial"/>
          <w:sz w:val="21"/>
          <w:szCs w:val="21"/>
          <w:color w:val="34657F"/>
        </w:rPr>
      </w:pPr>
      <w:r>
        <w:rPr>
          <w:rFonts w:ascii="Arial" w:cs="Arial" w:eastAsia="Arial" w:hAnsi="Arial"/>
          <w:sz w:val="17"/>
          <w:szCs w:val="17"/>
          <w:b w:val="1"/>
          <w:bCs w:val="1"/>
          <w:color w:val="auto"/>
        </w:rPr>
        <w:t xml:space="preserve">OATK DB SERP </w:t>
      </w:r>
      <w:r>
        <w:rPr>
          <w:rFonts w:ascii="Arial" w:cs="Arial" w:eastAsia="Arial" w:hAnsi="Arial"/>
          <w:sz w:val="17"/>
          <w:szCs w:val="17"/>
          <w:color w:val="auto"/>
        </w:rPr>
        <w:t>is the Orbital ATK Defined Benefit Supplemental Executive Retirement Plan. This plan provides a supplement pension benefit for</w:t>
      </w:r>
      <w:r>
        <w:rPr>
          <w:rFonts w:ascii="Arial" w:cs="Arial" w:eastAsia="Arial" w:hAnsi="Arial"/>
          <w:sz w:val="17"/>
          <w:szCs w:val="17"/>
          <w:b w:val="1"/>
          <w:bCs w:val="1"/>
          <w:color w:val="auto"/>
        </w:rPr>
        <w:t xml:space="preserve"> </w:t>
      </w:r>
      <w:r>
        <w:rPr>
          <w:rFonts w:ascii="Arial" w:cs="Arial" w:eastAsia="Arial" w:hAnsi="Arial"/>
          <w:sz w:val="17"/>
          <w:szCs w:val="17"/>
          <w:color w:val="auto"/>
        </w:rPr>
        <w:t>certain heritage Orbital ATK executives. In addition, the plan makes participants whole for benefits they lose under the Orbital ATK P&amp;R Plan due to certain Internal Revenue Code limits.</w:t>
      </w:r>
    </w:p>
    <w:p>
      <w:pPr>
        <w:spacing w:after="0" w:line="61" w:lineRule="exact"/>
        <w:rPr>
          <w:rFonts w:ascii="Arial" w:cs="Arial" w:eastAsia="Arial" w:hAnsi="Arial"/>
          <w:sz w:val="21"/>
          <w:szCs w:val="21"/>
          <w:color w:val="34657F"/>
        </w:rPr>
      </w:pPr>
    </w:p>
    <w:p>
      <w:pPr>
        <w:ind w:left="320" w:right="320" w:hanging="317"/>
        <w:spacing w:after="0" w:line="278" w:lineRule="auto"/>
        <w:tabs>
          <w:tab w:leader="none" w:pos="320" w:val="left"/>
        </w:tabs>
        <w:numPr>
          <w:ilvl w:val="0"/>
          <w:numId w:val="73"/>
        </w:numPr>
        <w:rPr>
          <w:rFonts w:ascii="Arial" w:cs="Arial" w:eastAsia="Arial" w:hAnsi="Arial"/>
          <w:sz w:val="21"/>
          <w:szCs w:val="21"/>
          <w:color w:val="34657F"/>
        </w:rPr>
      </w:pPr>
      <w:r>
        <w:rPr>
          <w:rFonts w:ascii="Arial" w:cs="Arial" w:eastAsia="Arial" w:hAnsi="Arial"/>
          <w:sz w:val="17"/>
          <w:szCs w:val="17"/>
          <w:b w:val="1"/>
          <w:bCs w:val="1"/>
          <w:color w:val="auto"/>
        </w:rPr>
        <w:t xml:space="preserve">OATK P&amp;R Plan </w:t>
      </w:r>
      <w:r>
        <w:rPr>
          <w:rFonts w:ascii="Arial" w:cs="Arial" w:eastAsia="Arial" w:hAnsi="Arial"/>
          <w:sz w:val="17"/>
          <w:szCs w:val="17"/>
          <w:color w:val="auto"/>
        </w:rPr>
        <w:t>is the Orbital ATK Pension and Retirement Plan. This is a tax qualified pension plan covering a broad base of heritage Orbital</w:t>
      </w:r>
      <w:r>
        <w:rPr>
          <w:rFonts w:ascii="Arial" w:cs="Arial" w:eastAsia="Arial" w:hAnsi="Arial"/>
          <w:sz w:val="17"/>
          <w:szCs w:val="17"/>
          <w:b w:val="1"/>
          <w:bCs w:val="1"/>
          <w:color w:val="auto"/>
        </w:rPr>
        <w:t xml:space="preserve"> </w:t>
      </w:r>
      <w:r>
        <w:rPr>
          <w:rFonts w:ascii="Arial" w:cs="Arial" w:eastAsia="Arial" w:hAnsi="Arial"/>
          <w:sz w:val="17"/>
          <w:szCs w:val="17"/>
          <w:color w:val="auto"/>
        </w:rPr>
        <w:t>ATK employees.</w:t>
      </w:r>
    </w:p>
    <w:p>
      <w:pPr>
        <w:spacing w:after="0" w:line="59" w:lineRule="exact"/>
        <w:rPr>
          <w:rFonts w:ascii="Arial" w:cs="Arial" w:eastAsia="Arial" w:hAnsi="Arial"/>
          <w:sz w:val="21"/>
          <w:szCs w:val="21"/>
          <w:color w:val="34657F"/>
        </w:rPr>
      </w:pPr>
    </w:p>
    <w:p>
      <w:pPr>
        <w:ind w:left="320" w:right="440" w:hanging="317"/>
        <w:spacing w:after="0" w:line="291" w:lineRule="auto"/>
        <w:tabs>
          <w:tab w:leader="none" w:pos="320" w:val="left"/>
        </w:tabs>
        <w:numPr>
          <w:ilvl w:val="0"/>
          <w:numId w:val="73"/>
        </w:numPr>
        <w:rPr>
          <w:rFonts w:ascii="Arial" w:cs="Arial" w:eastAsia="Arial" w:hAnsi="Arial"/>
          <w:sz w:val="21"/>
          <w:szCs w:val="21"/>
          <w:color w:val="34657F"/>
        </w:rPr>
      </w:pPr>
      <w:r>
        <w:rPr>
          <w:rFonts w:ascii="Arial" w:cs="Arial" w:eastAsia="Arial" w:hAnsi="Arial"/>
          <w:sz w:val="17"/>
          <w:szCs w:val="17"/>
          <w:b w:val="1"/>
          <w:bCs w:val="1"/>
          <w:color w:val="auto"/>
        </w:rPr>
        <w:t xml:space="preserve">OSERP </w:t>
      </w:r>
      <w:r>
        <w:rPr>
          <w:rFonts w:ascii="Arial" w:cs="Arial" w:eastAsia="Arial" w:hAnsi="Arial"/>
          <w:sz w:val="17"/>
          <w:szCs w:val="17"/>
          <w:color w:val="auto"/>
        </w:rPr>
        <w:t>is the</w:t>
      </w:r>
      <w:r>
        <w:rPr>
          <w:rFonts w:ascii="Arial" w:cs="Arial" w:eastAsia="Arial" w:hAnsi="Arial"/>
          <w:sz w:val="17"/>
          <w:szCs w:val="17"/>
          <w:b w:val="1"/>
          <w:bCs w:val="1"/>
          <w:color w:val="auto"/>
        </w:rPr>
        <w:t xml:space="preserve"> </w:t>
      </w:r>
      <w:r>
        <w:rPr>
          <w:rFonts w:ascii="Arial" w:cs="Arial" w:eastAsia="Arial" w:hAnsi="Arial"/>
          <w:sz w:val="20"/>
          <w:szCs w:val="20"/>
          <w:color w:val="auto"/>
        </w:rPr>
        <w:t>Officers Supplemental Executive Retirement Program</w:t>
      </w:r>
      <w:r>
        <w:rPr>
          <w:rFonts w:ascii="Arial" w:cs="Arial" w:eastAsia="Arial" w:hAnsi="Arial"/>
          <w:sz w:val="17"/>
          <w:szCs w:val="17"/>
          <w:color w:val="auto"/>
        </w:rPr>
        <w:t>. This plan provides a supplemental pension benefit for certain</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officers.</w:t>
      </w:r>
    </w:p>
    <w:p>
      <w:pPr>
        <w:spacing w:after="0" w:line="47" w:lineRule="exact"/>
        <w:rPr>
          <w:rFonts w:ascii="Arial" w:cs="Arial" w:eastAsia="Arial" w:hAnsi="Arial"/>
          <w:sz w:val="21"/>
          <w:szCs w:val="21"/>
          <w:color w:val="34657F"/>
        </w:rPr>
      </w:pPr>
    </w:p>
    <w:p>
      <w:pPr>
        <w:ind w:left="320" w:right="440" w:hanging="317"/>
        <w:spacing w:after="0" w:line="291" w:lineRule="auto"/>
        <w:tabs>
          <w:tab w:leader="none" w:pos="320" w:val="left"/>
        </w:tabs>
        <w:numPr>
          <w:ilvl w:val="0"/>
          <w:numId w:val="73"/>
        </w:numPr>
        <w:rPr>
          <w:rFonts w:ascii="Arial" w:cs="Arial" w:eastAsia="Arial" w:hAnsi="Arial"/>
          <w:sz w:val="21"/>
          <w:szCs w:val="21"/>
          <w:color w:val="34657F"/>
        </w:rPr>
      </w:pPr>
      <w:r>
        <w:rPr>
          <w:rFonts w:ascii="Arial" w:cs="Arial" w:eastAsia="Arial" w:hAnsi="Arial"/>
          <w:sz w:val="17"/>
          <w:szCs w:val="17"/>
          <w:b w:val="1"/>
          <w:bCs w:val="1"/>
          <w:color w:val="auto"/>
        </w:rPr>
        <w:t xml:space="preserve">OSERP II </w:t>
      </w:r>
      <w:r>
        <w:rPr>
          <w:rFonts w:ascii="Arial" w:cs="Arial" w:eastAsia="Arial" w:hAnsi="Arial"/>
          <w:sz w:val="17"/>
          <w:szCs w:val="17"/>
          <w:color w:val="auto"/>
        </w:rPr>
        <w:t>is the</w:t>
      </w:r>
      <w:r>
        <w:rPr>
          <w:rFonts w:ascii="Arial" w:cs="Arial" w:eastAsia="Arial" w:hAnsi="Arial"/>
          <w:sz w:val="17"/>
          <w:szCs w:val="17"/>
          <w:b w:val="1"/>
          <w:bCs w:val="1"/>
          <w:color w:val="auto"/>
        </w:rPr>
        <w:t xml:space="preserve"> </w:t>
      </w:r>
      <w:r>
        <w:rPr>
          <w:rFonts w:ascii="Arial" w:cs="Arial" w:eastAsia="Arial" w:hAnsi="Arial"/>
          <w:sz w:val="20"/>
          <w:szCs w:val="20"/>
          <w:color w:val="auto"/>
        </w:rPr>
        <w:t>Officers Supplemental Executive Retirement Program</w:t>
      </w:r>
      <w:r>
        <w:rPr>
          <w:rFonts w:ascii="Arial" w:cs="Arial" w:eastAsia="Arial" w:hAnsi="Arial"/>
          <w:sz w:val="17"/>
          <w:szCs w:val="17"/>
          <w:b w:val="1"/>
          <w:bCs w:val="1"/>
          <w:color w:val="auto"/>
        </w:rPr>
        <w:t xml:space="preserve"> </w:t>
      </w:r>
      <w:r>
        <w:rPr>
          <w:rFonts w:ascii="Arial" w:cs="Arial" w:eastAsia="Arial" w:hAnsi="Arial"/>
          <w:sz w:val="17"/>
          <w:szCs w:val="17"/>
          <w:color w:val="auto"/>
        </w:rPr>
        <w:t>II. This plan provides a pension benefit for certain Company</w:t>
      </w:r>
      <w:r>
        <w:rPr>
          <w:rFonts w:ascii="Arial" w:cs="Arial" w:eastAsia="Arial" w:hAnsi="Arial"/>
          <w:sz w:val="17"/>
          <w:szCs w:val="17"/>
          <w:b w:val="1"/>
          <w:bCs w:val="1"/>
          <w:color w:val="auto"/>
        </w:rPr>
        <w:t xml:space="preserve"> </w:t>
      </w:r>
      <w:r>
        <w:rPr>
          <w:rFonts w:ascii="Arial" w:cs="Arial" w:eastAsia="Arial" w:hAnsi="Arial"/>
          <w:sz w:val="17"/>
          <w:szCs w:val="17"/>
          <w:color w:val="auto"/>
        </w:rPr>
        <w:t>officers.</w:t>
      </w:r>
    </w:p>
    <w:p>
      <w:pPr>
        <w:spacing w:after="0" w:line="28" w:lineRule="exact"/>
        <w:rPr>
          <w:rFonts w:ascii="Arial" w:cs="Arial" w:eastAsia="Arial" w:hAnsi="Arial"/>
          <w:sz w:val="21"/>
          <w:szCs w:val="21"/>
          <w:color w:val="34657F"/>
        </w:rPr>
      </w:pPr>
    </w:p>
    <w:p>
      <w:pPr>
        <w:ind w:left="320" w:hanging="317"/>
        <w:spacing w:after="0"/>
        <w:tabs>
          <w:tab w:leader="none" w:pos="320" w:val="left"/>
        </w:tabs>
        <w:numPr>
          <w:ilvl w:val="0"/>
          <w:numId w:val="73"/>
        </w:numPr>
        <w:rPr>
          <w:rFonts w:ascii="Arial" w:cs="Arial" w:eastAsia="Arial" w:hAnsi="Arial"/>
          <w:sz w:val="21"/>
          <w:szCs w:val="21"/>
          <w:color w:val="34657F"/>
        </w:rPr>
      </w:pPr>
      <w:r>
        <w:rPr>
          <w:rFonts w:ascii="Arial" w:cs="Arial" w:eastAsia="Arial" w:hAnsi="Arial"/>
          <w:sz w:val="17"/>
          <w:szCs w:val="17"/>
          <w:b w:val="1"/>
          <w:bCs w:val="1"/>
          <w:color w:val="auto"/>
        </w:rPr>
        <w:t xml:space="preserve">Pension Plan </w:t>
      </w:r>
      <w:r>
        <w:rPr>
          <w:rFonts w:ascii="Arial" w:cs="Arial" w:eastAsia="Arial" w:hAnsi="Arial"/>
          <w:sz w:val="17"/>
          <w:szCs w:val="17"/>
          <w:color w:val="auto"/>
        </w:rPr>
        <w:t>is the Northrop Grumman Pension Plan. This is a tax qualified pension plan covering a broad base of Company employees.</w:t>
      </w:r>
    </w:p>
    <w:p>
      <w:pPr>
        <w:spacing w:after="0" w:line="95" w:lineRule="exact"/>
        <w:rPr>
          <w:rFonts w:ascii="Arial" w:cs="Arial" w:eastAsia="Arial" w:hAnsi="Arial"/>
          <w:sz w:val="21"/>
          <w:szCs w:val="21"/>
          <w:color w:val="34657F"/>
        </w:rPr>
      </w:pPr>
    </w:p>
    <w:p>
      <w:pPr>
        <w:ind w:left="320" w:right="620" w:hanging="317"/>
        <w:spacing w:after="0" w:line="278" w:lineRule="auto"/>
        <w:tabs>
          <w:tab w:leader="none" w:pos="320" w:val="left"/>
        </w:tabs>
        <w:numPr>
          <w:ilvl w:val="0"/>
          <w:numId w:val="73"/>
        </w:numPr>
        <w:rPr>
          <w:rFonts w:ascii="Arial" w:cs="Arial" w:eastAsia="Arial" w:hAnsi="Arial"/>
          <w:sz w:val="21"/>
          <w:szCs w:val="21"/>
          <w:color w:val="34657F"/>
        </w:rPr>
      </w:pPr>
      <w:r>
        <w:rPr>
          <w:rFonts w:ascii="Arial" w:cs="Arial" w:eastAsia="Arial" w:hAnsi="Arial"/>
          <w:sz w:val="17"/>
          <w:szCs w:val="17"/>
          <w:b w:val="1"/>
          <w:bCs w:val="1"/>
          <w:color w:val="auto"/>
        </w:rPr>
        <w:t xml:space="preserve">S&amp;MS Pension Plan </w:t>
      </w:r>
      <w:r>
        <w:rPr>
          <w:rFonts w:ascii="Arial" w:cs="Arial" w:eastAsia="Arial" w:hAnsi="Arial"/>
          <w:sz w:val="17"/>
          <w:szCs w:val="17"/>
          <w:color w:val="auto"/>
        </w:rPr>
        <w:t>is the Northrop Grumman Space &amp; Mission Systems Salaried Pension Plan (former TRW plan). This is a tax qualified</w:t>
      </w:r>
      <w:r>
        <w:rPr>
          <w:rFonts w:ascii="Arial" w:cs="Arial" w:eastAsia="Arial" w:hAnsi="Arial"/>
          <w:sz w:val="17"/>
          <w:szCs w:val="17"/>
          <w:b w:val="1"/>
          <w:bCs w:val="1"/>
          <w:color w:val="auto"/>
        </w:rPr>
        <w:t xml:space="preserve"> </w:t>
      </w:r>
      <w:r>
        <w:rPr>
          <w:rFonts w:ascii="Arial" w:cs="Arial" w:eastAsia="Arial" w:hAnsi="Arial"/>
          <w:sz w:val="17"/>
          <w:szCs w:val="17"/>
          <w:color w:val="auto"/>
        </w:rPr>
        <w:t>pension plan covering a broad base of Company employees.</w:t>
      </w:r>
    </w:p>
    <w:p>
      <w:pPr>
        <w:spacing w:after="0" w:line="57" w:lineRule="exact"/>
        <w:rPr>
          <w:rFonts w:ascii="Arial" w:cs="Arial" w:eastAsia="Arial" w:hAnsi="Arial"/>
          <w:sz w:val="21"/>
          <w:szCs w:val="21"/>
          <w:color w:val="34657F"/>
        </w:rPr>
      </w:pPr>
    </w:p>
    <w:p>
      <w:pPr>
        <w:ind w:left="320" w:right="180" w:hanging="317"/>
        <w:spacing w:after="0" w:line="278" w:lineRule="auto"/>
        <w:tabs>
          <w:tab w:leader="none" w:pos="320" w:val="left"/>
        </w:tabs>
        <w:numPr>
          <w:ilvl w:val="0"/>
          <w:numId w:val="73"/>
        </w:numPr>
        <w:rPr>
          <w:rFonts w:ascii="Arial" w:cs="Arial" w:eastAsia="Arial" w:hAnsi="Arial"/>
          <w:sz w:val="21"/>
          <w:szCs w:val="21"/>
          <w:color w:val="34657F"/>
        </w:rPr>
      </w:pPr>
      <w:r>
        <w:rPr>
          <w:rFonts w:ascii="Arial" w:cs="Arial" w:eastAsia="Arial" w:hAnsi="Arial"/>
          <w:sz w:val="17"/>
          <w:szCs w:val="17"/>
          <w:b w:val="1"/>
          <w:bCs w:val="1"/>
          <w:color w:val="auto"/>
        </w:rPr>
        <w:t xml:space="preserve">SRIP </w:t>
      </w:r>
      <w:r>
        <w:rPr>
          <w:rFonts w:ascii="Arial" w:cs="Arial" w:eastAsia="Arial" w:hAnsi="Arial"/>
          <w:sz w:val="17"/>
          <w:szCs w:val="17"/>
          <w:color w:val="auto"/>
        </w:rPr>
        <w:t>is the Northrop Grumman Supplementary Retirement Income Plan (former TRW plan). This plan makes participants whole for benefits they</w:t>
      </w:r>
      <w:r>
        <w:rPr>
          <w:rFonts w:ascii="Arial" w:cs="Arial" w:eastAsia="Arial" w:hAnsi="Arial"/>
          <w:sz w:val="17"/>
          <w:szCs w:val="17"/>
          <w:b w:val="1"/>
          <w:bCs w:val="1"/>
          <w:color w:val="auto"/>
        </w:rPr>
        <w:t xml:space="preserve"> </w:t>
      </w:r>
      <w:r>
        <w:rPr>
          <w:rFonts w:ascii="Arial" w:cs="Arial" w:eastAsia="Arial" w:hAnsi="Arial"/>
          <w:sz w:val="17"/>
          <w:szCs w:val="17"/>
          <w:color w:val="auto"/>
        </w:rPr>
        <w:t>lose under the S&amp;MS Pension Plan due to certain Internal Revenue Code limits.</w:t>
      </w:r>
    </w:p>
    <w:p>
      <w:pPr>
        <w:spacing w:after="0" w:line="178" w:lineRule="exact"/>
        <w:rPr>
          <w:sz w:val="20"/>
          <w:szCs w:val="20"/>
          <w:color w:val="auto"/>
        </w:rPr>
      </w:pPr>
    </w:p>
    <w:p>
      <w:pPr>
        <w:ind w:left="20"/>
        <w:spacing w:after="0"/>
        <w:rPr>
          <w:sz w:val="20"/>
          <w:szCs w:val="20"/>
          <w:color w:val="auto"/>
        </w:rPr>
      </w:pPr>
      <w:r>
        <w:rPr>
          <w:rFonts w:ascii="Arial" w:cs="Arial" w:eastAsia="Arial" w:hAnsi="Arial"/>
          <w:sz w:val="24"/>
          <w:szCs w:val="24"/>
          <w:b w:val="1"/>
          <w:bCs w:val="1"/>
          <w:color w:val="auto"/>
        </w:rPr>
        <w:t>Pension Plan, S&amp;MS Pension Plan and OATK P&amp;R Plan (Tax Qualified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38100</wp:posOffset>
            </wp:positionV>
            <wp:extent cx="7253605" cy="1651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pacing w:after="0" w:line="142" w:lineRule="exact"/>
        <w:rPr>
          <w:sz w:val="20"/>
          <w:szCs w:val="20"/>
          <w:color w:val="auto"/>
        </w:rPr>
      </w:pPr>
    </w:p>
    <w:p>
      <w:pPr>
        <w:spacing w:after="0" w:line="254" w:lineRule="auto"/>
        <w:rPr>
          <w:sz w:val="20"/>
          <w:szCs w:val="20"/>
          <w:color w:val="auto"/>
        </w:rPr>
      </w:pPr>
      <w:r>
        <w:rPr>
          <w:rFonts w:ascii="Arial" w:cs="Arial" w:eastAsia="Arial" w:hAnsi="Arial"/>
          <w:sz w:val="17"/>
          <w:szCs w:val="17"/>
          <w:color w:val="auto"/>
        </w:rPr>
        <w:t>Due to acquisitions, the Company acquired various pension plans with different types of pension formulas (Heritage Formulas). These are described in detail in the Heritage Formulas table that follows. Prior to 2005, the Company transitioned the various Heritage Formulas in these plans to a Cash Balance Formula. The Cash Balance Formula is a percentage of pay credited to a hypothetical account, which grows with interest. At retirement, the Cash Balance Account is converted to a monthly pension benefit (further information is included in the Cash Balance Formula section below). Except as provided below, the final benefit from each plan is the sum of the two formulas: the Heritage Formula benefit plus the Cash Balance Formula benefit.</w:t>
      </w:r>
    </w:p>
    <w:p>
      <w:pPr>
        <w:spacing w:after="0" w:line="68" w:lineRule="exact"/>
        <w:rPr>
          <w:sz w:val="20"/>
          <w:szCs w:val="20"/>
          <w:color w:val="auto"/>
        </w:rPr>
      </w:pPr>
    </w:p>
    <w:p>
      <w:pPr>
        <w:spacing w:after="0"/>
        <w:rPr>
          <w:sz w:val="20"/>
          <w:szCs w:val="20"/>
          <w:color w:val="auto"/>
        </w:rPr>
      </w:pPr>
      <w:r>
        <w:rPr>
          <w:rFonts w:ascii="Arial" w:cs="Arial" w:eastAsia="Arial" w:hAnsi="Arial"/>
          <w:sz w:val="17"/>
          <w:szCs w:val="17"/>
          <w:color w:val="auto"/>
        </w:rPr>
        <w:t>The OATK P&amp;R Plan also transitioned to a Cash Balance Formula, details of which are noted below and in the Cash Balance Formulas section.</w:t>
      </w:r>
    </w:p>
    <w:p>
      <w:pPr>
        <w:spacing w:after="0" w:line="8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explains the formulas applicable to each NEO:</w:t>
      </w:r>
    </w:p>
    <w:p>
      <w:pPr>
        <w:spacing w:after="0" w:line="101" w:lineRule="exact"/>
        <w:rPr>
          <w:sz w:val="20"/>
          <w:szCs w:val="20"/>
          <w:color w:val="auto"/>
        </w:rPr>
      </w:pPr>
    </w:p>
    <w:p>
      <w:pPr>
        <w:ind w:left="320" w:hanging="317"/>
        <w:spacing w:after="0" w:line="279" w:lineRule="auto"/>
        <w:tabs>
          <w:tab w:leader="none" w:pos="320" w:val="left"/>
        </w:tabs>
        <w:numPr>
          <w:ilvl w:val="0"/>
          <w:numId w:val="74"/>
        </w:numPr>
        <w:rPr>
          <w:rFonts w:ascii="Arial" w:cs="Arial" w:eastAsia="Arial" w:hAnsi="Arial"/>
          <w:sz w:val="21"/>
          <w:szCs w:val="21"/>
          <w:color w:val="34657F"/>
        </w:rPr>
      </w:pPr>
      <w:r>
        <w:rPr>
          <w:rFonts w:ascii="Arial" w:cs="Arial" w:eastAsia="Arial" w:hAnsi="Arial"/>
          <w:sz w:val="17"/>
          <w:szCs w:val="17"/>
          <w:color w:val="auto"/>
        </w:rPr>
        <w:t>Mr. Bush receives a benefit under a Heritage Formula and a Cash Balance Formula in the Northrop Grumman Retirement Plan, a subplan of the Pension Plan (NGR Subplan). He receives a separate benefit under a Heritage Formula in the S&amp;MS Pension Plan due to his TRW-related service. He ceased to be eligible for future service growth under this plan and the SRIP when he began participating in the NGR Subplan.</w:t>
      </w:r>
    </w:p>
    <w:p>
      <w:pPr>
        <w:spacing w:after="0" w:line="295" w:lineRule="exact"/>
        <w:rPr>
          <w:sz w:val="20"/>
          <w:szCs w:val="20"/>
          <w:color w:val="auto"/>
        </w:rPr>
      </w:pPr>
    </w:p>
    <w:p>
      <w:pPr>
        <w:ind w:left="5740"/>
        <w:spacing w:after="0"/>
        <w:rPr>
          <w:sz w:val="20"/>
          <w:szCs w:val="20"/>
          <w:color w:val="auto"/>
        </w:rPr>
      </w:pPr>
      <w:r>
        <w:rPr>
          <w:rFonts w:ascii="Arial" w:cs="Arial" w:eastAsia="Arial" w:hAnsi="Arial"/>
          <w:sz w:val="13"/>
          <w:szCs w:val="13"/>
          <w:color w:val="34657F"/>
        </w:rPr>
        <w:t xml:space="preserve">NOTICE OF 2019 ANNUAL MEETING OF SHAREHOLDERS AND PROXY STATEMENT </w:t>
      </w:r>
      <w:r>
        <w:rPr>
          <w:rFonts w:ascii="Arial" w:cs="Arial" w:eastAsia="Arial" w:hAnsi="Arial"/>
          <w:sz w:val="13"/>
          <w:szCs w:val="13"/>
          <w:color w:val="000000"/>
        </w:rPr>
        <w:t>I 59</w:t>
      </w:r>
    </w:p>
    <w:p>
      <w:pPr>
        <w:sectPr>
          <w:pgSz w:w="11900" w:h="16838" w:orient="portrait"/>
          <w:cols w:equalWidth="0" w:num="1">
            <w:col w:w="11420"/>
          </w:cols>
          <w:pgMar w:left="240" w:top="671" w:right="239" w:bottom="1440" w:gutter="0" w:footer="0" w:header="0"/>
        </w:sectPr>
      </w:pPr>
    </w:p>
    <w:bookmarkStart w:id="65" w:name="page66"/>
    <w:bookmarkEnd w:id="65"/>
    <w:p>
      <w:pPr>
        <w:ind w:left="20"/>
        <w:spacing w:after="0"/>
        <w:rPr>
          <w:sz w:val="20"/>
          <w:szCs w:val="20"/>
          <w:color w:val="auto"/>
        </w:rPr>
      </w:pPr>
      <w:r>
        <w:rPr>
          <w:rFonts w:ascii="Arial" w:cs="Arial" w:eastAsia="Arial" w:hAnsi="Arial"/>
          <w:sz w:val="21"/>
          <w:szCs w:val="21"/>
          <w:b w:val="1"/>
          <w:bCs w:val="1"/>
          <w:color w:val="FFFFFF"/>
        </w:rPr>
        <w:drawing>
          <wp:anchor simplePos="0" relativeHeight="251657728" behindDoc="1" locked="0" layoutInCell="0" allowOverlap="1">
            <wp:simplePos x="0" y="0"/>
            <wp:positionH relativeFrom="page">
              <wp:posOffset>154305</wp:posOffset>
            </wp:positionH>
            <wp:positionV relativeFrom="page">
              <wp:posOffset>365760</wp:posOffset>
            </wp:positionV>
            <wp:extent cx="7253605" cy="56197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53605" cy="561975"/>
                    </a:xfrm>
                    <a:prstGeom prst="rect">
                      <a:avLst/>
                    </a:prstGeom>
                    <a:noFill/>
                  </pic:spPr>
                </pic:pic>
              </a:graphicData>
            </a:graphic>
          </wp:anchor>
        </w:drawing>
        <w:t>COMPENSATION TABLES | P</w:t>
      </w:r>
      <w:r>
        <w:rPr>
          <w:rFonts w:ascii="Arial" w:cs="Arial" w:eastAsia="Arial" w:hAnsi="Arial"/>
          <w:sz w:val="17"/>
          <w:szCs w:val="17"/>
          <w:b w:val="1"/>
          <w:bCs w:val="1"/>
          <w:color w:val="FFFFFF"/>
        </w:rPr>
        <w:t>ENSION</w:t>
      </w:r>
      <w:r>
        <w:rPr>
          <w:rFonts w:ascii="Arial" w:cs="Arial" w:eastAsia="Arial" w:hAnsi="Arial"/>
          <w:sz w:val="21"/>
          <w:szCs w:val="21"/>
          <w:b w:val="1"/>
          <w:bCs w:val="1"/>
          <w:color w:val="FFFFFF"/>
        </w:rPr>
        <w:t xml:space="preserve"> B</w:t>
      </w:r>
      <w:r>
        <w:rPr>
          <w:rFonts w:ascii="Arial" w:cs="Arial" w:eastAsia="Arial" w:hAnsi="Arial"/>
          <w:sz w:val="17"/>
          <w:szCs w:val="17"/>
          <w:b w:val="1"/>
          <w:bCs w:val="1"/>
          <w:color w:val="FFFFFF"/>
        </w:rPr>
        <w:t>ENEFITS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320" w:hanging="317"/>
        <w:spacing w:after="0"/>
        <w:tabs>
          <w:tab w:leader="none" w:pos="320" w:val="left"/>
        </w:tabs>
        <w:numPr>
          <w:ilvl w:val="0"/>
          <w:numId w:val="75"/>
        </w:numPr>
        <w:rPr>
          <w:rFonts w:ascii="Arial" w:cs="Arial" w:eastAsia="Arial" w:hAnsi="Arial"/>
          <w:sz w:val="21"/>
          <w:szCs w:val="21"/>
          <w:color w:val="34657F"/>
        </w:rPr>
      </w:pPr>
      <w:r>
        <w:rPr>
          <w:rFonts w:ascii="Arial" w:cs="Arial" w:eastAsia="Arial" w:hAnsi="Arial"/>
          <w:sz w:val="17"/>
          <w:szCs w:val="17"/>
          <w:color w:val="auto"/>
        </w:rPr>
        <w:t>Mr. Caylor receives a benefit under a Heritage Formula and a Cash Balance Formula in the S&amp;MS Pension Plan.</w:t>
      </w:r>
    </w:p>
    <w:p>
      <w:pPr>
        <w:spacing w:after="0" w:line="104" w:lineRule="exact"/>
        <w:rPr>
          <w:rFonts w:ascii="Arial" w:cs="Arial" w:eastAsia="Arial" w:hAnsi="Arial"/>
          <w:sz w:val="21"/>
          <w:szCs w:val="21"/>
          <w:color w:val="34657F"/>
        </w:rPr>
      </w:pPr>
    </w:p>
    <w:p>
      <w:pPr>
        <w:ind w:left="320" w:right="260" w:hanging="317"/>
        <w:spacing w:after="0" w:line="279" w:lineRule="auto"/>
        <w:tabs>
          <w:tab w:leader="none" w:pos="320" w:val="left"/>
        </w:tabs>
        <w:numPr>
          <w:ilvl w:val="0"/>
          <w:numId w:val="75"/>
        </w:numPr>
        <w:rPr>
          <w:rFonts w:ascii="Arial" w:cs="Arial" w:eastAsia="Arial" w:hAnsi="Arial"/>
          <w:sz w:val="21"/>
          <w:szCs w:val="21"/>
          <w:color w:val="34657F"/>
        </w:rPr>
      </w:pPr>
      <w:r>
        <w:rPr>
          <w:rFonts w:ascii="Arial" w:cs="Arial" w:eastAsia="Arial" w:hAnsi="Arial"/>
          <w:sz w:val="17"/>
          <w:szCs w:val="17"/>
          <w:color w:val="auto"/>
        </w:rPr>
        <w:t>Mr. Larson does not have a Heritage Formula benefit. He receives benefits from two distinct Cash Balance Formulas: the Old Cash Balance Formula which includes pay-based credits from April 1, 1992 through June 30, 2013 and the New Cash Balance Formula from July 1, 2013. The value of his benefit accrued prior to April 1, 1992 was converted to an opening balance in the Old Cash Balance Formula.</w:t>
      </w:r>
    </w:p>
    <w:p>
      <w:pPr>
        <w:spacing w:after="0" w:line="185" w:lineRule="exact"/>
        <w:rPr>
          <w:sz w:val="20"/>
          <w:szCs w:val="20"/>
          <w:color w:val="auto"/>
        </w:rPr>
      </w:pPr>
    </w:p>
    <w:p>
      <w:pPr>
        <w:ind w:left="20"/>
        <w:spacing w:after="0"/>
        <w:rPr>
          <w:sz w:val="20"/>
          <w:szCs w:val="20"/>
          <w:color w:val="auto"/>
        </w:rPr>
      </w:pPr>
      <w:r>
        <w:rPr>
          <w:rFonts w:ascii="Arial" w:cs="Arial" w:eastAsia="Arial" w:hAnsi="Arial"/>
          <w:sz w:val="24"/>
          <w:szCs w:val="24"/>
          <w:b w:val="1"/>
          <w:bCs w:val="1"/>
          <w:color w:val="auto"/>
        </w:rPr>
        <w:t>Heritage Formulas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38100</wp:posOffset>
            </wp:positionV>
            <wp:extent cx="7253605" cy="1651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key features of the Heritage Formulas applicable to the eligible NEOs.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3660" w:type="dxa"/>
            <w:vAlign w:val="bottom"/>
            <w:tcBorders>
              <w:bottom w:val="single" w:sz="8" w:color="34657F"/>
            </w:tcBorders>
            <w:shd w:val="clear" w:color="auto" w:fill="34657F"/>
          </w:tcPr>
          <w:p>
            <w:pPr>
              <w:ind w:left="40"/>
              <w:spacing w:after="0"/>
              <w:rPr>
                <w:sz w:val="20"/>
                <w:szCs w:val="20"/>
                <w:color w:val="auto"/>
              </w:rPr>
            </w:pPr>
            <w:r>
              <w:rPr>
                <w:rFonts w:ascii="Arial" w:cs="Arial" w:eastAsia="Arial" w:hAnsi="Arial"/>
                <w:sz w:val="14"/>
                <w:szCs w:val="14"/>
                <w:b w:val="1"/>
                <w:bCs w:val="1"/>
                <w:color w:val="FFFFFF"/>
              </w:rPr>
              <w:t>Feature</w:t>
            </w:r>
          </w:p>
        </w:tc>
        <w:tc>
          <w:tcPr>
            <w:tcW w:w="3940" w:type="dxa"/>
            <w:vAlign w:val="bottom"/>
            <w:tcBorders>
              <w:bottom w:val="single" w:sz="8" w:color="34657F"/>
            </w:tcBorders>
            <w:shd w:val="clear" w:color="auto" w:fill="34657F"/>
          </w:tcPr>
          <w:p>
            <w:pPr>
              <w:jc w:val="center"/>
              <w:spacing w:after="0"/>
              <w:rPr>
                <w:sz w:val="20"/>
                <w:szCs w:val="20"/>
                <w:color w:val="auto"/>
              </w:rPr>
            </w:pPr>
            <w:r>
              <w:rPr>
                <w:rFonts w:ascii="Arial" w:cs="Arial" w:eastAsia="Arial" w:hAnsi="Arial"/>
                <w:sz w:val="14"/>
                <w:szCs w:val="14"/>
                <w:b w:val="1"/>
                <w:bCs w:val="1"/>
                <w:color w:val="FFFFFF"/>
                <w:w w:val="97"/>
              </w:rPr>
              <w:t>NGR Subplan</w:t>
            </w:r>
          </w:p>
        </w:tc>
        <w:tc>
          <w:tcPr>
            <w:tcW w:w="3820" w:type="dxa"/>
            <w:vAlign w:val="bottom"/>
            <w:tcBorders>
              <w:bottom w:val="single" w:sz="8" w:color="34657F"/>
            </w:tcBorders>
            <w:shd w:val="clear" w:color="auto" w:fill="34657F"/>
          </w:tcPr>
          <w:p>
            <w:pPr>
              <w:jc w:val="center"/>
              <w:spacing w:after="0"/>
              <w:rPr>
                <w:sz w:val="20"/>
                <w:szCs w:val="20"/>
                <w:color w:val="auto"/>
              </w:rPr>
            </w:pPr>
            <w:r>
              <w:rPr>
                <w:rFonts w:ascii="Arial" w:cs="Arial" w:eastAsia="Arial" w:hAnsi="Arial"/>
                <w:sz w:val="14"/>
                <w:szCs w:val="14"/>
                <w:b w:val="1"/>
                <w:bCs w:val="1"/>
                <w:color w:val="FFFFFF"/>
                <w:w w:val="96"/>
              </w:rPr>
              <w:t>S&amp;MS Pension Plan</w:t>
            </w:r>
          </w:p>
        </w:tc>
        <w:tc>
          <w:tcPr>
            <w:tcW w:w="20" w:type="dxa"/>
            <w:vAlign w:val="bottom"/>
            <w:tcBorders>
              <w:bottom w:val="single" w:sz="8" w:color="34657F"/>
            </w:tcBorders>
            <w:shd w:val="clear" w:color="auto" w:fill="34657F"/>
          </w:tcPr>
          <w:p>
            <w:pPr>
              <w:spacing w:after="0"/>
              <w:rPr>
                <w:sz w:val="22"/>
                <w:szCs w:val="22"/>
                <w:color w:val="auto"/>
              </w:rPr>
            </w:pPr>
          </w:p>
        </w:tc>
        <w:tc>
          <w:tcPr>
            <w:tcW w:w="0" w:type="dxa"/>
            <w:vAlign w:val="bottom"/>
          </w:tcPr>
          <w:p>
            <w:pPr>
              <w:spacing w:after="0"/>
              <w:rPr>
                <w:sz w:val="1"/>
                <w:szCs w:val="1"/>
                <w:color w:val="auto"/>
              </w:rPr>
            </w:pPr>
          </w:p>
        </w:tc>
      </w:tr>
      <w:tr>
        <w:trPr>
          <w:trHeight w:val="184"/>
        </w:trPr>
        <w:tc>
          <w:tcPr>
            <w:tcW w:w="3660" w:type="dxa"/>
            <w:vAlign w:val="bottom"/>
            <w:vMerge w:val="restart"/>
            <w:shd w:val="clear" w:color="auto" w:fill="D1DDE6"/>
          </w:tcPr>
          <w:p>
            <w:pPr>
              <w:ind w:left="20"/>
              <w:spacing w:after="0"/>
              <w:rPr>
                <w:sz w:val="20"/>
                <w:szCs w:val="20"/>
                <w:color w:val="auto"/>
              </w:rPr>
            </w:pPr>
            <w:r>
              <w:rPr>
                <w:rFonts w:ascii="Arial" w:cs="Arial" w:eastAsia="Arial" w:hAnsi="Arial"/>
                <w:sz w:val="14"/>
                <w:szCs w:val="14"/>
                <w:color w:val="auto"/>
              </w:rPr>
              <w:t>Benefit Formula</w:t>
            </w:r>
          </w:p>
        </w:tc>
        <w:tc>
          <w:tcPr>
            <w:tcW w:w="3940" w:type="dxa"/>
            <w:vAlign w:val="bottom"/>
            <w:vMerge w:val="restart"/>
            <w:shd w:val="clear" w:color="auto" w:fill="D1DDE6"/>
          </w:tcPr>
          <w:p>
            <w:pPr>
              <w:jc w:val="center"/>
              <w:ind w:left="12"/>
              <w:spacing w:after="0"/>
              <w:rPr>
                <w:sz w:val="20"/>
                <w:szCs w:val="20"/>
                <w:color w:val="auto"/>
              </w:rPr>
            </w:pPr>
            <w:r>
              <w:rPr>
                <w:rFonts w:ascii="Arial" w:cs="Arial" w:eastAsia="Arial" w:hAnsi="Arial"/>
                <w:sz w:val="14"/>
                <w:szCs w:val="14"/>
                <w:color w:val="auto"/>
                <w:w w:val="97"/>
              </w:rPr>
              <w:t>Final Average Pay x 1.6667% times Pre-July 1, 2003 service</w:t>
            </w:r>
          </w:p>
        </w:tc>
        <w:tc>
          <w:tcPr>
            <w:tcW w:w="3820" w:type="dxa"/>
            <w:vAlign w:val="bottom"/>
            <w:shd w:val="clear" w:color="auto" w:fill="D1DDE6"/>
          </w:tcPr>
          <w:p>
            <w:pPr>
              <w:jc w:val="center"/>
              <w:spacing w:after="0"/>
              <w:rPr>
                <w:sz w:val="20"/>
                <w:szCs w:val="20"/>
                <w:color w:val="auto"/>
              </w:rPr>
            </w:pPr>
            <w:r>
              <w:rPr>
                <w:rFonts w:ascii="Arial" w:cs="Arial" w:eastAsia="Arial" w:hAnsi="Arial"/>
                <w:sz w:val="14"/>
                <w:szCs w:val="14"/>
                <w:color w:val="auto"/>
                <w:w w:val="97"/>
              </w:rPr>
              <w:t>(Final Average Pay x 1.5% minus Covered Compensation x</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7"/>
        </w:trPr>
        <w:tc>
          <w:tcPr>
            <w:tcW w:w="3660" w:type="dxa"/>
            <w:vAlign w:val="bottom"/>
            <w:vMerge w:val="continue"/>
            <w:shd w:val="clear" w:color="auto" w:fill="D1DDE6"/>
          </w:tcPr>
          <w:p>
            <w:pPr>
              <w:spacing w:after="0"/>
              <w:rPr>
                <w:sz w:val="7"/>
                <w:szCs w:val="7"/>
                <w:color w:val="auto"/>
              </w:rPr>
            </w:pPr>
          </w:p>
        </w:tc>
        <w:tc>
          <w:tcPr>
            <w:tcW w:w="3940" w:type="dxa"/>
            <w:vAlign w:val="bottom"/>
            <w:vMerge w:val="continue"/>
            <w:shd w:val="clear" w:color="auto" w:fill="D1DDE6"/>
          </w:tcPr>
          <w:p>
            <w:pPr>
              <w:spacing w:after="0"/>
              <w:rPr>
                <w:sz w:val="7"/>
                <w:szCs w:val="7"/>
                <w:color w:val="auto"/>
              </w:rPr>
            </w:pPr>
          </w:p>
        </w:tc>
        <w:tc>
          <w:tcPr>
            <w:tcW w:w="3820" w:type="dxa"/>
            <w:vAlign w:val="bottom"/>
            <w:vMerge w:val="restart"/>
            <w:shd w:val="clear" w:color="auto" w:fill="D1DDE6"/>
          </w:tcPr>
          <w:p>
            <w:pPr>
              <w:jc w:val="center"/>
              <w:spacing w:after="0"/>
              <w:rPr>
                <w:sz w:val="20"/>
                <w:szCs w:val="20"/>
                <w:color w:val="auto"/>
              </w:rPr>
            </w:pPr>
            <w:r>
              <w:rPr>
                <w:rFonts w:ascii="Arial" w:cs="Arial" w:eastAsia="Arial" w:hAnsi="Arial"/>
                <w:sz w:val="14"/>
                <w:szCs w:val="14"/>
                <w:color w:val="auto"/>
                <w:w w:val="98"/>
              </w:rPr>
              <w:t>0.4%) times Pre- January 1, 2005 service</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3660" w:type="dxa"/>
            <w:vAlign w:val="bottom"/>
            <w:shd w:val="clear" w:color="auto" w:fill="D1DDE6"/>
          </w:tcPr>
          <w:p>
            <w:pPr>
              <w:spacing w:after="0"/>
              <w:rPr>
                <w:sz w:val="7"/>
                <w:szCs w:val="7"/>
                <w:color w:val="auto"/>
              </w:rPr>
            </w:pPr>
          </w:p>
        </w:tc>
        <w:tc>
          <w:tcPr>
            <w:tcW w:w="3940" w:type="dxa"/>
            <w:vAlign w:val="bottom"/>
            <w:shd w:val="clear" w:color="auto" w:fill="D1DDE6"/>
          </w:tcPr>
          <w:p>
            <w:pPr>
              <w:spacing w:after="0"/>
              <w:rPr>
                <w:sz w:val="7"/>
                <w:szCs w:val="7"/>
                <w:color w:val="auto"/>
              </w:rPr>
            </w:pPr>
          </w:p>
        </w:tc>
        <w:tc>
          <w:tcPr>
            <w:tcW w:w="3820" w:type="dxa"/>
            <w:vAlign w:val="bottom"/>
            <w:vMerge w:val="continue"/>
            <w:shd w:val="clear" w:color="auto" w:fill="D1DDE6"/>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7"/>
        </w:trPr>
        <w:tc>
          <w:tcPr>
            <w:tcW w:w="3660" w:type="dxa"/>
            <w:vAlign w:val="bottom"/>
          </w:tcPr>
          <w:p>
            <w:pPr>
              <w:spacing w:after="0"/>
              <w:rPr>
                <w:sz w:val="17"/>
                <w:szCs w:val="17"/>
                <w:color w:val="auto"/>
              </w:rPr>
            </w:pPr>
          </w:p>
        </w:tc>
        <w:tc>
          <w:tcPr>
            <w:tcW w:w="3940" w:type="dxa"/>
            <w:vAlign w:val="bottom"/>
          </w:tcPr>
          <w:p>
            <w:pPr>
              <w:spacing w:after="0"/>
              <w:rPr>
                <w:sz w:val="17"/>
                <w:szCs w:val="17"/>
                <w:color w:val="auto"/>
              </w:rPr>
            </w:pPr>
          </w:p>
        </w:tc>
        <w:tc>
          <w:tcPr>
            <w:tcW w:w="3820" w:type="dxa"/>
            <w:vAlign w:val="bottom"/>
          </w:tcPr>
          <w:p>
            <w:pPr>
              <w:jc w:val="center"/>
              <w:spacing w:after="0"/>
              <w:rPr>
                <w:sz w:val="20"/>
                <w:szCs w:val="20"/>
                <w:color w:val="auto"/>
              </w:rPr>
            </w:pPr>
            <w:r>
              <w:rPr>
                <w:rFonts w:ascii="Arial" w:cs="Arial" w:eastAsia="Arial" w:hAnsi="Arial"/>
                <w:sz w:val="14"/>
                <w:szCs w:val="14"/>
                <w:color w:val="auto"/>
                <w:w w:val="97"/>
              </w:rPr>
              <w:t>Average of the highest 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4"/>
        </w:trPr>
        <w:tc>
          <w:tcPr>
            <w:tcW w:w="3660" w:type="dxa"/>
            <w:vAlign w:val="bottom"/>
          </w:tcPr>
          <w:p>
            <w:pPr>
              <w:ind w:left="20"/>
              <w:spacing w:after="0" w:line="154" w:lineRule="exact"/>
              <w:rPr>
                <w:sz w:val="20"/>
                <w:szCs w:val="20"/>
                <w:color w:val="auto"/>
              </w:rPr>
            </w:pPr>
            <w:r>
              <w:rPr>
                <w:rFonts w:ascii="Arial" w:cs="Arial" w:eastAsia="Arial" w:hAnsi="Arial"/>
                <w:sz w:val="14"/>
                <w:szCs w:val="14"/>
                <w:color w:val="auto"/>
              </w:rPr>
              <w:t>Final Average Pay (1)</w:t>
            </w:r>
          </w:p>
        </w:tc>
        <w:tc>
          <w:tcPr>
            <w:tcW w:w="3940" w:type="dxa"/>
            <w:vAlign w:val="bottom"/>
          </w:tcPr>
          <w:p>
            <w:pPr>
              <w:jc w:val="center"/>
              <w:ind w:left="12"/>
              <w:spacing w:after="0" w:line="154" w:lineRule="exact"/>
              <w:rPr>
                <w:sz w:val="20"/>
                <w:szCs w:val="20"/>
                <w:color w:val="auto"/>
              </w:rPr>
            </w:pPr>
            <w:r>
              <w:rPr>
                <w:rFonts w:ascii="Arial" w:cs="Arial" w:eastAsia="Arial" w:hAnsi="Arial"/>
                <w:sz w:val="14"/>
                <w:szCs w:val="14"/>
                <w:color w:val="auto"/>
                <w:w w:val="98"/>
              </w:rPr>
              <w:t>Average of highest 3 years of Eligible Pay</w:t>
            </w:r>
          </w:p>
        </w:tc>
        <w:tc>
          <w:tcPr>
            <w:tcW w:w="3820" w:type="dxa"/>
            <w:vAlign w:val="bottom"/>
          </w:tcPr>
          <w:p>
            <w:pPr>
              <w:jc w:val="center"/>
              <w:spacing w:after="0" w:line="154" w:lineRule="exact"/>
              <w:rPr>
                <w:sz w:val="20"/>
                <w:szCs w:val="20"/>
                <w:color w:val="auto"/>
              </w:rPr>
            </w:pPr>
            <w:r>
              <w:rPr>
                <w:rFonts w:ascii="Arial" w:cs="Arial" w:eastAsia="Arial" w:hAnsi="Arial"/>
                <w:sz w:val="14"/>
                <w:szCs w:val="14"/>
                <w:color w:val="auto"/>
                <w:w w:val="97"/>
              </w:rPr>
              <w:t>consecutive years of Eligible Pay; Covered Compensation is</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366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3820" w:type="dxa"/>
            <w:vAlign w:val="bottom"/>
          </w:tcPr>
          <w:p>
            <w:pPr>
              <w:jc w:val="center"/>
              <w:spacing w:after="0"/>
              <w:rPr>
                <w:sz w:val="20"/>
                <w:szCs w:val="20"/>
                <w:color w:val="auto"/>
              </w:rPr>
            </w:pPr>
            <w:r>
              <w:rPr>
                <w:rFonts w:ascii="Arial" w:cs="Arial" w:eastAsia="Arial" w:hAnsi="Arial"/>
                <w:sz w:val="14"/>
                <w:szCs w:val="14"/>
                <w:color w:val="auto"/>
                <w:w w:val="96"/>
              </w:rPr>
              <w:t>specified by the IRS</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3660" w:type="dxa"/>
            <w:vAlign w:val="bottom"/>
            <w:shd w:val="clear" w:color="auto" w:fill="D1DDE6"/>
          </w:tcPr>
          <w:p>
            <w:pPr>
              <w:ind w:left="20"/>
              <w:spacing w:after="0"/>
              <w:rPr>
                <w:sz w:val="20"/>
                <w:szCs w:val="20"/>
                <w:color w:val="auto"/>
              </w:rPr>
            </w:pPr>
            <w:r>
              <w:rPr>
                <w:rFonts w:ascii="Arial" w:cs="Arial" w:eastAsia="Arial" w:hAnsi="Arial"/>
                <w:sz w:val="14"/>
                <w:szCs w:val="14"/>
                <w:color w:val="auto"/>
              </w:rPr>
              <w:t>Eligible Pay (limited by Internal Revenue Code section</w:t>
            </w:r>
          </w:p>
        </w:tc>
        <w:tc>
          <w:tcPr>
            <w:tcW w:w="3940" w:type="dxa"/>
            <w:vAlign w:val="bottom"/>
            <w:vMerge w:val="restart"/>
            <w:shd w:val="clear" w:color="auto" w:fill="D1DDE6"/>
          </w:tcPr>
          <w:p>
            <w:pPr>
              <w:jc w:val="center"/>
              <w:ind w:left="12"/>
              <w:spacing w:after="0"/>
              <w:rPr>
                <w:sz w:val="20"/>
                <w:szCs w:val="20"/>
                <w:color w:val="auto"/>
              </w:rPr>
            </w:pPr>
            <w:r>
              <w:rPr>
                <w:rFonts w:ascii="Arial" w:cs="Arial" w:eastAsia="Arial" w:hAnsi="Arial"/>
                <w:sz w:val="14"/>
                <w:szCs w:val="14"/>
                <w:color w:val="auto"/>
                <w:w w:val="98"/>
              </w:rPr>
              <w:t>Salary plus bonus</w:t>
            </w:r>
          </w:p>
        </w:tc>
        <w:tc>
          <w:tcPr>
            <w:tcW w:w="3820" w:type="dxa"/>
            <w:vAlign w:val="bottom"/>
            <w:vMerge w:val="restart"/>
            <w:shd w:val="clear" w:color="auto" w:fill="D1DDE6"/>
          </w:tcPr>
          <w:p>
            <w:pPr>
              <w:jc w:val="center"/>
              <w:spacing w:after="0"/>
              <w:rPr>
                <w:sz w:val="20"/>
                <w:szCs w:val="20"/>
                <w:color w:val="auto"/>
              </w:rPr>
            </w:pPr>
            <w:r>
              <w:rPr>
                <w:rFonts w:ascii="Arial" w:cs="Arial" w:eastAsia="Arial" w:hAnsi="Arial"/>
                <w:sz w:val="14"/>
                <w:szCs w:val="14"/>
                <w:color w:val="auto"/>
                <w:w w:val="97"/>
              </w:rPr>
              <w:t>Salary plus bonus</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7"/>
        </w:trPr>
        <w:tc>
          <w:tcPr>
            <w:tcW w:w="3660" w:type="dxa"/>
            <w:vAlign w:val="bottom"/>
            <w:vMerge w:val="restart"/>
            <w:shd w:val="clear" w:color="auto" w:fill="D1DDE6"/>
          </w:tcPr>
          <w:p>
            <w:pPr>
              <w:ind w:left="20"/>
              <w:spacing w:after="0"/>
              <w:rPr>
                <w:sz w:val="20"/>
                <w:szCs w:val="20"/>
                <w:color w:val="auto"/>
              </w:rPr>
            </w:pPr>
            <w:r>
              <w:rPr>
                <w:rFonts w:ascii="Arial" w:cs="Arial" w:eastAsia="Arial" w:hAnsi="Arial"/>
                <w:sz w:val="14"/>
                <w:szCs w:val="14"/>
                <w:color w:val="auto"/>
              </w:rPr>
              <w:t>401(a)(17))</w:t>
            </w:r>
          </w:p>
        </w:tc>
        <w:tc>
          <w:tcPr>
            <w:tcW w:w="3940" w:type="dxa"/>
            <w:vAlign w:val="bottom"/>
            <w:vMerge w:val="continue"/>
            <w:shd w:val="clear" w:color="auto" w:fill="D1DDE6"/>
          </w:tcPr>
          <w:p>
            <w:pPr>
              <w:spacing w:after="0"/>
              <w:rPr>
                <w:sz w:val="7"/>
                <w:szCs w:val="7"/>
                <w:color w:val="auto"/>
              </w:rPr>
            </w:pPr>
          </w:p>
        </w:tc>
        <w:tc>
          <w:tcPr>
            <w:tcW w:w="3820" w:type="dxa"/>
            <w:vAlign w:val="bottom"/>
            <w:vMerge w:val="continue"/>
            <w:shd w:val="clear" w:color="auto" w:fill="D1DDE6"/>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3660" w:type="dxa"/>
            <w:vAlign w:val="bottom"/>
            <w:vMerge w:val="continue"/>
            <w:shd w:val="clear" w:color="auto" w:fill="D1DDE6"/>
          </w:tcPr>
          <w:p>
            <w:pPr>
              <w:spacing w:after="0"/>
              <w:rPr>
                <w:sz w:val="7"/>
                <w:szCs w:val="7"/>
                <w:color w:val="auto"/>
              </w:rPr>
            </w:pPr>
          </w:p>
        </w:tc>
        <w:tc>
          <w:tcPr>
            <w:tcW w:w="3940" w:type="dxa"/>
            <w:vAlign w:val="bottom"/>
            <w:shd w:val="clear" w:color="auto" w:fill="D1DDE6"/>
          </w:tcPr>
          <w:p>
            <w:pPr>
              <w:spacing w:after="0"/>
              <w:rPr>
                <w:sz w:val="7"/>
                <w:szCs w:val="7"/>
                <w:color w:val="auto"/>
              </w:rPr>
            </w:pPr>
          </w:p>
        </w:tc>
        <w:tc>
          <w:tcPr>
            <w:tcW w:w="3820" w:type="dxa"/>
            <w:vAlign w:val="bottom"/>
            <w:shd w:val="clear" w:color="auto" w:fill="D1DDE6"/>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2"/>
        </w:trPr>
        <w:tc>
          <w:tcPr>
            <w:tcW w:w="3660" w:type="dxa"/>
            <w:vAlign w:val="bottom"/>
          </w:tcPr>
          <w:p>
            <w:pPr>
              <w:ind w:left="20"/>
              <w:spacing w:after="0"/>
              <w:rPr>
                <w:sz w:val="20"/>
                <w:szCs w:val="20"/>
                <w:color w:val="auto"/>
              </w:rPr>
            </w:pPr>
            <w:r>
              <w:rPr>
                <w:rFonts w:ascii="Arial" w:cs="Arial" w:eastAsia="Arial" w:hAnsi="Arial"/>
                <w:sz w:val="14"/>
                <w:szCs w:val="14"/>
                <w:color w:val="auto"/>
              </w:rPr>
              <w:t>Normal Retirement</w:t>
            </w:r>
          </w:p>
        </w:tc>
        <w:tc>
          <w:tcPr>
            <w:tcW w:w="3940" w:type="dxa"/>
            <w:vAlign w:val="bottom"/>
          </w:tcPr>
          <w:p>
            <w:pPr>
              <w:jc w:val="center"/>
              <w:ind w:left="12"/>
              <w:spacing w:after="0"/>
              <w:rPr>
                <w:sz w:val="20"/>
                <w:szCs w:val="20"/>
                <w:color w:val="auto"/>
              </w:rPr>
            </w:pPr>
            <w:r>
              <w:rPr>
                <w:rFonts w:ascii="Arial" w:cs="Arial" w:eastAsia="Arial" w:hAnsi="Arial"/>
                <w:sz w:val="14"/>
                <w:szCs w:val="14"/>
                <w:color w:val="auto"/>
                <w:w w:val="94"/>
              </w:rPr>
              <w:t>Age 65</w:t>
            </w:r>
          </w:p>
        </w:tc>
        <w:tc>
          <w:tcPr>
            <w:tcW w:w="3820" w:type="dxa"/>
            <w:vAlign w:val="bottom"/>
          </w:tcPr>
          <w:p>
            <w:pPr>
              <w:jc w:val="center"/>
              <w:spacing w:after="0"/>
              <w:rPr>
                <w:sz w:val="20"/>
                <w:szCs w:val="20"/>
                <w:color w:val="auto"/>
              </w:rPr>
            </w:pPr>
            <w:r>
              <w:rPr>
                <w:rFonts w:ascii="Arial" w:cs="Arial" w:eastAsia="Arial" w:hAnsi="Arial"/>
                <w:sz w:val="14"/>
                <w:szCs w:val="14"/>
                <w:color w:val="auto"/>
                <w:w w:val="99"/>
              </w:rPr>
              <w:t>Age 65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
        </w:trPr>
        <w:tc>
          <w:tcPr>
            <w:tcW w:w="3660" w:type="dxa"/>
            <w:vAlign w:val="bottom"/>
          </w:tcPr>
          <w:p>
            <w:pPr>
              <w:spacing w:after="0"/>
              <w:rPr>
                <w:sz w:val="3"/>
                <w:szCs w:val="3"/>
                <w:color w:val="auto"/>
              </w:rPr>
            </w:pPr>
          </w:p>
        </w:tc>
        <w:tc>
          <w:tcPr>
            <w:tcW w:w="3940" w:type="dxa"/>
            <w:vAlign w:val="bottom"/>
          </w:tcPr>
          <w:p>
            <w:pPr>
              <w:spacing w:after="0"/>
              <w:rPr>
                <w:sz w:val="3"/>
                <w:szCs w:val="3"/>
                <w:color w:val="auto"/>
              </w:rPr>
            </w:pPr>
          </w:p>
        </w:tc>
        <w:tc>
          <w:tcPr>
            <w:tcW w:w="38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9"/>
        </w:trPr>
        <w:tc>
          <w:tcPr>
            <w:tcW w:w="3660" w:type="dxa"/>
            <w:vAlign w:val="bottom"/>
            <w:tcBorders>
              <w:bottom w:val="single" w:sz="8" w:color="D1DDE6"/>
            </w:tcBorders>
            <w:shd w:val="clear" w:color="auto" w:fill="D1DDE6"/>
          </w:tcPr>
          <w:p>
            <w:pPr>
              <w:ind w:left="20"/>
              <w:spacing w:after="0"/>
              <w:rPr>
                <w:sz w:val="20"/>
                <w:szCs w:val="20"/>
                <w:color w:val="auto"/>
              </w:rPr>
            </w:pPr>
            <w:r>
              <w:rPr>
                <w:rFonts w:ascii="Arial" w:cs="Arial" w:eastAsia="Arial" w:hAnsi="Arial"/>
                <w:sz w:val="14"/>
                <w:szCs w:val="14"/>
                <w:color w:val="auto"/>
              </w:rPr>
              <w:t>Early Retirement</w:t>
            </w:r>
          </w:p>
        </w:tc>
        <w:tc>
          <w:tcPr>
            <w:tcW w:w="3940" w:type="dxa"/>
            <w:vAlign w:val="bottom"/>
            <w:tcBorders>
              <w:bottom w:val="single" w:sz="8" w:color="D1DDE6"/>
            </w:tcBorders>
            <w:shd w:val="clear" w:color="auto" w:fill="D1DDE6"/>
          </w:tcPr>
          <w:p>
            <w:pPr>
              <w:jc w:val="center"/>
              <w:ind w:left="12"/>
              <w:spacing w:after="0"/>
              <w:rPr>
                <w:sz w:val="20"/>
                <w:szCs w:val="20"/>
                <w:color w:val="auto"/>
              </w:rPr>
            </w:pPr>
            <w:r>
              <w:rPr>
                <w:rFonts w:ascii="Arial" w:cs="Arial" w:eastAsia="Arial" w:hAnsi="Arial"/>
                <w:sz w:val="14"/>
                <w:szCs w:val="14"/>
                <w:color w:val="auto"/>
                <w:w w:val="97"/>
              </w:rPr>
              <w:t>Age 55 with 10 years of service</w:t>
            </w:r>
          </w:p>
        </w:tc>
        <w:tc>
          <w:tcPr>
            <w:tcW w:w="3820" w:type="dxa"/>
            <w:vAlign w:val="bottom"/>
            <w:tcBorders>
              <w:bottom w:val="single" w:sz="8" w:color="D1DDE6"/>
            </w:tcBorders>
            <w:shd w:val="clear" w:color="auto" w:fill="D1DDE6"/>
          </w:tcPr>
          <w:p>
            <w:pPr>
              <w:jc w:val="center"/>
              <w:ind w:left="12"/>
              <w:spacing w:after="0"/>
              <w:rPr>
                <w:sz w:val="20"/>
                <w:szCs w:val="20"/>
                <w:color w:val="auto"/>
              </w:rPr>
            </w:pPr>
            <w:r>
              <w:rPr>
                <w:rFonts w:ascii="Arial" w:cs="Arial" w:eastAsia="Arial" w:hAnsi="Arial"/>
                <w:sz w:val="14"/>
                <w:szCs w:val="14"/>
                <w:color w:val="auto"/>
                <w:w w:val="97"/>
              </w:rPr>
              <w:t>Age 55 with 10 years of service</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3660" w:type="dxa"/>
            <w:vAlign w:val="bottom"/>
            <w:vMerge w:val="restart"/>
          </w:tcPr>
          <w:p>
            <w:pPr>
              <w:ind w:left="20"/>
              <w:spacing w:after="0"/>
              <w:rPr>
                <w:sz w:val="20"/>
                <w:szCs w:val="20"/>
                <w:color w:val="auto"/>
              </w:rPr>
            </w:pPr>
            <w:r>
              <w:rPr>
                <w:rFonts w:ascii="Arial" w:cs="Arial" w:eastAsia="Arial" w:hAnsi="Arial"/>
                <w:sz w:val="14"/>
                <w:szCs w:val="14"/>
                <w:color w:val="auto"/>
              </w:rPr>
              <w:t>Early Retirement Reduction (for retirements occurring</w:t>
            </w:r>
          </w:p>
        </w:tc>
        <w:tc>
          <w:tcPr>
            <w:tcW w:w="3940" w:type="dxa"/>
            <w:vAlign w:val="bottom"/>
            <w:vMerge w:val="restart"/>
          </w:tcPr>
          <w:p>
            <w:pPr>
              <w:jc w:val="center"/>
              <w:ind w:left="12"/>
              <w:spacing w:after="0"/>
              <w:rPr>
                <w:sz w:val="20"/>
                <w:szCs w:val="20"/>
                <w:color w:val="auto"/>
              </w:rPr>
            </w:pPr>
            <w:r>
              <w:rPr>
                <w:rFonts w:ascii="Arial" w:cs="Arial" w:eastAsia="Arial" w:hAnsi="Arial"/>
                <w:sz w:val="14"/>
                <w:szCs w:val="14"/>
                <w:color w:val="auto"/>
                <w:w w:val="97"/>
              </w:rPr>
              <w:t>Benefits are reduced for commencement prior to the earlier</w:t>
            </w:r>
          </w:p>
        </w:tc>
        <w:tc>
          <w:tcPr>
            <w:tcW w:w="3820" w:type="dxa"/>
            <w:vAlign w:val="bottom"/>
          </w:tcPr>
          <w:p>
            <w:pPr>
              <w:jc w:val="center"/>
              <w:ind w:left="12"/>
              <w:spacing w:after="0"/>
              <w:rPr>
                <w:sz w:val="20"/>
                <w:szCs w:val="20"/>
                <w:color w:val="auto"/>
              </w:rPr>
            </w:pPr>
            <w:r>
              <w:rPr>
                <w:rFonts w:ascii="Arial" w:cs="Arial" w:eastAsia="Arial" w:hAnsi="Arial"/>
                <w:sz w:val="14"/>
                <w:szCs w:val="14"/>
                <w:color w:val="auto"/>
                <w:w w:val="97"/>
              </w:rPr>
              <w:t>Benefits are reduced for</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3660" w:type="dxa"/>
            <w:vAlign w:val="bottom"/>
            <w:vMerge w:val="continue"/>
          </w:tcPr>
          <w:p>
            <w:pPr>
              <w:spacing w:after="0"/>
              <w:rPr>
                <w:sz w:val="6"/>
                <w:szCs w:val="6"/>
                <w:color w:val="auto"/>
              </w:rPr>
            </w:pPr>
          </w:p>
        </w:tc>
        <w:tc>
          <w:tcPr>
            <w:tcW w:w="3940" w:type="dxa"/>
            <w:vAlign w:val="bottom"/>
            <w:vMerge w:val="continue"/>
          </w:tcPr>
          <w:p>
            <w:pPr>
              <w:spacing w:after="0"/>
              <w:rPr>
                <w:sz w:val="6"/>
                <w:szCs w:val="6"/>
                <w:color w:val="auto"/>
              </w:rPr>
            </w:pPr>
          </w:p>
        </w:tc>
        <w:tc>
          <w:tcPr>
            <w:tcW w:w="3820" w:type="dxa"/>
            <w:vAlign w:val="bottom"/>
            <w:vMerge w:val="restart"/>
          </w:tcPr>
          <w:p>
            <w:pPr>
              <w:jc w:val="center"/>
              <w:spacing w:after="0" w:line="154" w:lineRule="exact"/>
              <w:rPr>
                <w:sz w:val="20"/>
                <w:szCs w:val="20"/>
                <w:color w:val="auto"/>
              </w:rPr>
            </w:pPr>
            <w:r>
              <w:rPr>
                <w:rFonts w:ascii="Arial" w:cs="Arial" w:eastAsia="Arial" w:hAnsi="Arial"/>
                <w:sz w:val="14"/>
                <w:szCs w:val="14"/>
                <w:color w:val="auto"/>
                <w:w w:val="97"/>
              </w:rPr>
              <w:t>commencement prior to age 60 (age 62 for participants hired</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7"/>
        </w:trPr>
        <w:tc>
          <w:tcPr>
            <w:tcW w:w="3660" w:type="dxa"/>
            <w:vAlign w:val="bottom"/>
            <w:vMerge w:val="restart"/>
          </w:tcPr>
          <w:p>
            <w:pPr>
              <w:ind w:left="20"/>
              <w:spacing w:after="0"/>
              <w:rPr>
                <w:sz w:val="20"/>
                <w:szCs w:val="20"/>
                <w:color w:val="auto"/>
              </w:rPr>
            </w:pPr>
            <w:r>
              <w:rPr>
                <w:rFonts w:ascii="Arial" w:cs="Arial" w:eastAsia="Arial" w:hAnsi="Arial"/>
                <w:sz w:val="14"/>
                <w:szCs w:val="14"/>
                <w:color w:val="auto"/>
              </w:rPr>
              <w:t>between Early Retirement and Normal Retirement)</w:t>
            </w:r>
          </w:p>
        </w:tc>
        <w:tc>
          <w:tcPr>
            <w:tcW w:w="3940" w:type="dxa"/>
            <w:vAlign w:val="bottom"/>
            <w:vMerge w:val="restart"/>
          </w:tcPr>
          <w:p>
            <w:pPr>
              <w:jc w:val="center"/>
              <w:ind w:left="12"/>
              <w:spacing w:after="0"/>
              <w:rPr>
                <w:sz w:val="20"/>
                <w:szCs w:val="20"/>
                <w:color w:val="auto"/>
              </w:rPr>
            </w:pPr>
            <w:r>
              <w:rPr>
                <w:rFonts w:ascii="Arial" w:cs="Arial" w:eastAsia="Arial" w:hAnsi="Arial"/>
                <w:sz w:val="14"/>
                <w:szCs w:val="14"/>
                <w:color w:val="auto"/>
                <w:w w:val="97"/>
              </w:rPr>
              <w:t>of age 65 and 85 points (age + service)</w:t>
            </w:r>
          </w:p>
        </w:tc>
        <w:tc>
          <w:tcPr>
            <w:tcW w:w="382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7"/>
        </w:trPr>
        <w:tc>
          <w:tcPr>
            <w:tcW w:w="3660" w:type="dxa"/>
            <w:vAlign w:val="bottom"/>
            <w:vMerge w:val="continue"/>
          </w:tcPr>
          <w:p>
            <w:pPr>
              <w:spacing w:after="0"/>
              <w:rPr>
                <w:sz w:val="7"/>
                <w:szCs w:val="7"/>
                <w:color w:val="auto"/>
              </w:rPr>
            </w:pPr>
          </w:p>
        </w:tc>
        <w:tc>
          <w:tcPr>
            <w:tcW w:w="3940" w:type="dxa"/>
            <w:vAlign w:val="bottom"/>
            <w:vMerge w:val="continue"/>
          </w:tcPr>
          <w:p>
            <w:pPr>
              <w:spacing w:after="0"/>
              <w:rPr>
                <w:sz w:val="7"/>
                <w:szCs w:val="7"/>
                <w:color w:val="auto"/>
              </w:rPr>
            </w:pPr>
          </w:p>
        </w:tc>
        <w:tc>
          <w:tcPr>
            <w:tcW w:w="3820" w:type="dxa"/>
            <w:vAlign w:val="bottom"/>
            <w:vMerge w:val="restart"/>
          </w:tcPr>
          <w:p>
            <w:pPr>
              <w:jc w:val="center"/>
              <w:ind w:left="12"/>
              <w:spacing w:after="0"/>
              <w:rPr>
                <w:sz w:val="20"/>
                <w:szCs w:val="20"/>
                <w:color w:val="auto"/>
              </w:rPr>
            </w:pPr>
            <w:r>
              <w:rPr>
                <w:rFonts w:ascii="Arial" w:cs="Arial" w:eastAsia="Arial" w:hAnsi="Arial"/>
                <w:sz w:val="14"/>
                <w:szCs w:val="14"/>
                <w:color w:val="auto"/>
                <w:w w:val="97"/>
              </w:rPr>
              <w:t>after 1999)</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3660" w:type="dxa"/>
            <w:vAlign w:val="bottom"/>
            <w:tcBorders>
              <w:bottom w:val="single" w:sz="8" w:color="34657F"/>
            </w:tcBorders>
          </w:tcPr>
          <w:p>
            <w:pPr>
              <w:spacing w:after="0"/>
              <w:rPr>
                <w:sz w:val="7"/>
                <w:szCs w:val="7"/>
                <w:color w:val="auto"/>
              </w:rPr>
            </w:pPr>
          </w:p>
        </w:tc>
        <w:tc>
          <w:tcPr>
            <w:tcW w:w="3940" w:type="dxa"/>
            <w:vAlign w:val="bottom"/>
            <w:tcBorders>
              <w:bottom w:val="single" w:sz="8" w:color="34657F"/>
            </w:tcBorders>
          </w:tcPr>
          <w:p>
            <w:pPr>
              <w:spacing w:after="0"/>
              <w:rPr>
                <w:sz w:val="7"/>
                <w:szCs w:val="7"/>
                <w:color w:val="auto"/>
              </w:rPr>
            </w:pPr>
          </w:p>
        </w:tc>
        <w:tc>
          <w:tcPr>
            <w:tcW w:w="3820" w:type="dxa"/>
            <w:vAlign w:val="bottom"/>
            <w:tcBorders>
              <w:bottom w:val="single" w:sz="8" w:color="34657F"/>
            </w:tcBorders>
            <w:vMerge w:val="continue"/>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-512445</wp:posOffset>
            </wp:positionV>
            <wp:extent cx="725360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5360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-919480</wp:posOffset>
            </wp:positionV>
            <wp:extent cx="725360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53605" cy="8255"/>
                    </a:xfrm>
                    <a:prstGeom prst="rect">
                      <a:avLst/>
                    </a:prstGeom>
                    <a:noFill/>
                  </pic:spPr>
                </pic:pic>
              </a:graphicData>
            </a:graphic>
          </wp:anchor>
        </w:drawing>
      </w:r>
    </w:p>
    <w:p>
      <w:pPr>
        <w:spacing w:after="0" w:line="95" w:lineRule="exact"/>
        <w:rPr>
          <w:sz w:val="20"/>
          <w:szCs w:val="20"/>
          <w:color w:val="auto"/>
        </w:rPr>
      </w:pPr>
    </w:p>
    <w:p>
      <w:pPr>
        <w:ind w:left="60"/>
        <w:spacing w:after="0"/>
        <w:rPr>
          <w:sz w:val="20"/>
          <w:szCs w:val="20"/>
          <w:color w:val="auto"/>
        </w:rPr>
      </w:pPr>
      <w:r>
        <w:rPr>
          <w:rFonts w:ascii="Arial" w:cs="Arial" w:eastAsia="Arial" w:hAnsi="Arial"/>
          <w:sz w:val="17"/>
          <w:szCs w:val="17"/>
          <w:color w:val="auto"/>
        </w:rPr>
        <w:t>(1) Final average pay was frozen for the NGR Subplan and the S&amp;MS Pension Plan as of December 31, 2014.</w:t>
      </w:r>
    </w:p>
    <w:p>
      <w:pPr>
        <w:spacing w:after="0" w:line="187" w:lineRule="exact"/>
        <w:rPr>
          <w:sz w:val="20"/>
          <w:szCs w:val="20"/>
          <w:color w:val="auto"/>
        </w:rPr>
      </w:pPr>
    </w:p>
    <w:p>
      <w:pPr>
        <w:ind w:left="20"/>
        <w:spacing w:after="0"/>
        <w:rPr>
          <w:sz w:val="20"/>
          <w:szCs w:val="20"/>
          <w:color w:val="auto"/>
        </w:rPr>
      </w:pPr>
      <w:r>
        <w:rPr>
          <w:rFonts w:ascii="Arial" w:cs="Arial" w:eastAsia="Arial" w:hAnsi="Arial"/>
          <w:sz w:val="24"/>
          <w:szCs w:val="24"/>
          <w:b w:val="1"/>
          <w:bCs w:val="1"/>
          <w:color w:val="auto"/>
        </w:rPr>
        <w:t>Cash Balance Formulas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38100</wp:posOffset>
            </wp:positionV>
            <wp:extent cx="7253605" cy="1651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pacing w:after="0" w:line="142" w:lineRule="exact"/>
        <w:rPr>
          <w:sz w:val="20"/>
          <w:szCs w:val="20"/>
          <w:color w:val="auto"/>
        </w:rPr>
      </w:pPr>
    </w:p>
    <w:p>
      <w:pPr>
        <w:ind w:right="40"/>
        <w:spacing w:after="0" w:line="263" w:lineRule="auto"/>
        <w:rPr>
          <w:sz w:val="20"/>
          <w:szCs w:val="20"/>
          <w:color w:val="auto"/>
        </w:rPr>
      </w:pPr>
      <w:r>
        <w:rPr>
          <w:rFonts w:ascii="Arial" w:cs="Arial" w:eastAsia="Arial" w:hAnsi="Arial"/>
          <w:sz w:val="17"/>
          <w:szCs w:val="17"/>
          <w:color w:val="auto"/>
        </w:rPr>
        <w:t>The Cash Balance Formula in the Pension Plan and the S&amp;MS Pension Plan is a hypothetical account balance consisting of pay credits plus interest. It has the following features:</w:t>
      </w:r>
    </w:p>
    <w:p>
      <w:pPr>
        <w:spacing w:after="0" w:line="84" w:lineRule="exact"/>
        <w:rPr>
          <w:sz w:val="20"/>
          <w:szCs w:val="20"/>
          <w:color w:val="auto"/>
        </w:rPr>
      </w:pPr>
    </w:p>
    <w:p>
      <w:pPr>
        <w:ind w:left="320" w:right="840" w:hanging="317"/>
        <w:spacing w:after="0" w:line="253" w:lineRule="auto"/>
        <w:tabs>
          <w:tab w:leader="none" w:pos="320" w:val="left"/>
        </w:tabs>
        <w:numPr>
          <w:ilvl w:val="0"/>
          <w:numId w:val="76"/>
        </w:numPr>
        <w:rPr>
          <w:rFonts w:ascii="Arial" w:cs="Arial" w:eastAsia="Arial" w:hAnsi="Arial"/>
          <w:sz w:val="21"/>
          <w:szCs w:val="21"/>
          <w:color w:val="34657F"/>
        </w:rPr>
      </w:pPr>
      <w:r>
        <w:rPr>
          <w:rFonts w:ascii="Arial" w:cs="Arial" w:eastAsia="Arial" w:hAnsi="Arial"/>
          <w:sz w:val="17"/>
          <w:szCs w:val="17"/>
          <w:color w:val="auto"/>
        </w:rPr>
        <w:t>Pay credits are a percentage of pay that vary based on an employee's "points" (age plus service) and are credited monthly. The range of percentages applicable to the NEOs on December 31, 2018 was 5.5% – 9.0%.</w:t>
      </w:r>
    </w:p>
    <w:p>
      <w:pPr>
        <w:spacing w:after="0" w:line="66" w:lineRule="exact"/>
        <w:rPr>
          <w:rFonts w:ascii="Arial" w:cs="Arial" w:eastAsia="Arial" w:hAnsi="Arial"/>
          <w:sz w:val="21"/>
          <w:szCs w:val="21"/>
          <w:color w:val="34657F"/>
        </w:rPr>
      </w:pPr>
    </w:p>
    <w:p>
      <w:pPr>
        <w:ind w:left="320" w:hanging="317"/>
        <w:spacing w:after="0"/>
        <w:tabs>
          <w:tab w:leader="none" w:pos="320" w:val="left"/>
        </w:tabs>
        <w:numPr>
          <w:ilvl w:val="0"/>
          <w:numId w:val="76"/>
        </w:numPr>
        <w:rPr>
          <w:rFonts w:ascii="Arial" w:cs="Arial" w:eastAsia="Arial" w:hAnsi="Arial"/>
          <w:sz w:val="21"/>
          <w:szCs w:val="21"/>
          <w:color w:val="34657F"/>
        </w:rPr>
      </w:pPr>
      <w:r>
        <w:rPr>
          <w:rFonts w:ascii="Arial" w:cs="Arial" w:eastAsia="Arial" w:hAnsi="Arial"/>
          <w:sz w:val="17"/>
          <w:szCs w:val="17"/>
          <w:color w:val="auto"/>
        </w:rPr>
        <w:t>Interest is credited at the 30-year U.S. Treasury bond rate. The December 31, 2018 interest credit rate was 3.04%.</w:t>
      </w:r>
    </w:p>
    <w:p>
      <w:pPr>
        <w:spacing w:after="0" w:line="79" w:lineRule="exact"/>
        <w:rPr>
          <w:rFonts w:ascii="Arial" w:cs="Arial" w:eastAsia="Arial" w:hAnsi="Arial"/>
          <w:sz w:val="21"/>
          <w:szCs w:val="21"/>
          <w:color w:val="34657F"/>
        </w:rPr>
      </w:pPr>
    </w:p>
    <w:p>
      <w:pPr>
        <w:ind w:left="320" w:hanging="317"/>
        <w:spacing w:after="0"/>
        <w:tabs>
          <w:tab w:leader="none" w:pos="320" w:val="left"/>
        </w:tabs>
        <w:numPr>
          <w:ilvl w:val="0"/>
          <w:numId w:val="76"/>
        </w:numPr>
        <w:rPr>
          <w:rFonts w:ascii="Arial" w:cs="Arial" w:eastAsia="Arial" w:hAnsi="Arial"/>
          <w:sz w:val="21"/>
          <w:szCs w:val="21"/>
          <w:color w:val="34657F"/>
        </w:rPr>
      </w:pPr>
      <w:r>
        <w:rPr>
          <w:rFonts w:ascii="Arial" w:cs="Arial" w:eastAsia="Arial" w:hAnsi="Arial"/>
          <w:sz w:val="17"/>
          <w:szCs w:val="17"/>
          <w:color w:val="auto"/>
        </w:rPr>
        <w:t>Eligible pay is salary plus bonus, as limited by Internal Revenue Code section 401(a)(17).</w:t>
      </w:r>
    </w:p>
    <w:p>
      <w:pPr>
        <w:spacing w:after="0" w:line="115" w:lineRule="exact"/>
        <w:rPr>
          <w:rFonts w:ascii="Arial" w:cs="Arial" w:eastAsia="Arial" w:hAnsi="Arial"/>
          <w:sz w:val="21"/>
          <w:szCs w:val="21"/>
          <w:color w:val="34657F"/>
        </w:rPr>
      </w:pPr>
    </w:p>
    <w:p>
      <w:pPr>
        <w:ind w:left="320" w:right="340" w:hanging="317"/>
        <w:spacing w:after="0" w:line="253" w:lineRule="auto"/>
        <w:tabs>
          <w:tab w:leader="none" w:pos="320" w:val="left"/>
        </w:tabs>
        <w:numPr>
          <w:ilvl w:val="0"/>
          <w:numId w:val="76"/>
        </w:numPr>
        <w:rPr>
          <w:rFonts w:ascii="Arial" w:cs="Arial" w:eastAsia="Arial" w:hAnsi="Arial"/>
          <w:sz w:val="21"/>
          <w:szCs w:val="21"/>
          <w:color w:val="34657F"/>
        </w:rPr>
      </w:pPr>
      <w:r>
        <w:rPr>
          <w:rFonts w:ascii="Arial" w:cs="Arial" w:eastAsia="Arial" w:hAnsi="Arial"/>
          <w:sz w:val="17"/>
          <w:szCs w:val="17"/>
          <w:color w:val="auto"/>
        </w:rPr>
        <w:t>Eligibility for early retirement occurs at age 55 with 10 years of service. Benefits may be reduced if commenced prior to Normal Retirement Age (65).</w:t>
      </w:r>
    </w:p>
    <w:p>
      <w:pPr>
        <w:spacing w:after="0" w:line="78" w:lineRule="exact"/>
        <w:rPr>
          <w:sz w:val="20"/>
          <w:szCs w:val="20"/>
          <w:color w:val="auto"/>
        </w:rPr>
      </w:pPr>
    </w:p>
    <w:p>
      <w:pPr>
        <w:ind w:right="300"/>
        <w:spacing w:after="0" w:line="263" w:lineRule="auto"/>
        <w:rPr>
          <w:sz w:val="20"/>
          <w:szCs w:val="20"/>
          <w:color w:val="auto"/>
        </w:rPr>
      </w:pPr>
      <w:r>
        <w:rPr>
          <w:rFonts w:ascii="Arial" w:cs="Arial" w:eastAsia="Arial" w:hAnsi="Arial"/>
          <w:sz w:val="17"/>
          <w:szCs w:val="17"/>
          <w:color w:val="auto"/>
        </w:rPr>
        <w:t>The OATK P&amp;R Plan Cash Balance Formulas are also hypothetical account balances consisting of pay credits plus interest. The features of the Old and New Cash Balance Formulas are as follows:</w:t>
      </w:r>
    </w:p>
    <w:p>
      <w:pPr>
        <w:spacing w:after="0" w:line="59" w:lineRule="exact"/>
        <w:rPr>
          <w:sz w:val="20"/>
          <w:szCs w:val="20"/>
          <w:color w:val="auto"/>
        </w:rPr>
      </w:pPr>
    </w:p>
    <w:p>
      <w:pPr>
        <w:spacing w:after="0"/>
        <w:rPr>
          <w:sz w:val="20"/>
          <w:szCs w:val="20"/>
          <w:color w:val="auto"/>
        </w:rPr>
      </w:pPr>
      <w:r>
        <w:rPr>
          <w:rFonts w:ascii="Arial" w:cs="Arial" w:eastAsia="Arial" w:hAnsi="Arial"/>
          <w:sz w:val="17"/>
          <w:szCs w:val="17"/>
          <w:color w:val="auto"/>
        </w:rPr>
        <w:t>Old Cash Balance Formula (pay credits ceased on June 30, 2013)</w:t>
      </w:r>
    </w:p>
    <w:p>
      <w:pPr>
        <w:spacing w:after="0" w:line="101" w:lineRule="exact"/>
        <w:rPr>
          <w:sz w:val="20"/>
          <w:szCs w:val="20"/>
          <w:color w:val="auto"/>
        </w:rPr>
      </w:pPr>
    </w:p>
    <w:p>
      <w:pPr>
        <w:ind w:left="320" w:right="60" w:hanging="317"/>
        <w:spacing w:after="0" w:line="268" w:lineRule="auto"/>
        <w:tabs>
          <w:tab w:leader="none" w:pos="320" w:val="left"/>
        </w:tabs>
        <w:numPr>
          <w:ilvl w:val="0"/>
          <w:numId w:val="77"/>
        </w:numPr>
        <w:rPr>
          <w:rFonts w:ascii="Arial" w:cs="Arial" w:eastAsia="Arial" w:hAnsi="Arial"/>
          <w:sz w:val="21"/>
          <w:szCs w:val="21"/>
          <w:color w:val="34657F"/>
        </w:rPr>
      </w:pPr>
      <w:r>
        <w:rPr>
          <w:rFonts w:ascii="Arial" w:cs="Arial" w:eastAsia="Arial" w:hAnsi="Arial"/>
          <w:sz w:val="17"/>
          <w:szCs w:val="17"/>
          <w:color w:val="auto"/>
        </w:rPr>
        <w:t>Pay credits are a percentage of pay that vary based on an employee's service. Due to Mr. Larson's service of more than 25 years at June 30, 2013, he was receiving 8.5% of pensionable earnings and an additional 5.5% of earnings in excess of the Social Security Wage Base at that time.</w:t>
      </w:r>
    </w:p>
    <w:p>
      <w:pPr>
        <w:spacing w:after="0" w:line="87" w:lineRule="exact"/>
        <w:rPr>
          <w:rFonts w:ascii="Arial" w:cs="Arial" w:eastAsia="Arial" w:hAnsi="Arial"/>
          <w:sz w:val="21"/>
          <w:szCs w:val="21"/>
          <w:color w:val="34657F"/>
        </w:rPr>
      </w:pPr>
    </w:p>
    <w:p>
      <w:pPr>
        <w:ind w:left="320" w:right="100" w:hanging="317"/>
        <w:spacing w:after="0" w:line="280" w:lineRule="auto"/>
        <w:tabs>
          <w:tab w:leader="none" w:pos="320" w:val="left"/>
        </w:tabs>
        <w:numPr>
          <w:ilvl w:val="0"/>
          <w:numId w:val="77"/>
        </w:numPr>
        <w:rPr>
          <w:rFonts w:ascii="Arial" w:cs="Arial" w:eastAsia="Arial" w:hAnsi="Arial"/>
          <w:sz w:val="21"/>
          <w:szCs w:val="21"/>
          <w:color w:val="34657F"/>
        </w:rPr>
      </w:pPr>
      <w:r>
        <w:rPr>
          <w:rFonts w:ascii="Arial" w:cs="Arial" w:eastAsia="Arial" w:hAnsi="Arial"/>
          <w:sz w:val="17"/>
          <w:szCs w:val="17"/>
          <w:color w:val="auto"/>
        </w:rPr>
        <w:t>Interest is credited at one-twelfth of the average of the one-year Treasury Constant Maturities during the 12 months ending September 30 of the prior calendar year. The minimum annual interest crediting rate is 3.06%. After June 30, 2013, interest credits continue to apply to this benefit. The post-2018 interest credit rate is assumed to be 3.50% (this is consistent with the valuation of the Old Cash Balance benefit in the Company's financial statements).</w:t>
      </w:r>
    </w:p>
    <w:p>
      <w:pPr>
        <w:spacing w:after="0" w:line="48" w:lineRule="exact"/>
        <w:rPr>
          <w:rFonts w:ascii="Arial" w:cs="Arial" w:eastAsia="Arial" w:hAnsi="Arial"/>
          <w:sz w:val="21"/>
          <w:szCs w:val="21"/>
          <w:color w:val="34657F"/>
        </w:rPr>
      </w:pPr>
    </w:p>
    <w:p>
      <w:pPr>
        <w:ind w:left="320" w:hanging="317"/>
        <w:spacing w:after="0"/>
        <w:tabs>
          <w:tab w:leader="none" w:pos="320" w:val="left"/>
        </w:tabs>
        <w:numPr>
          <w:ilvl w:val="0"/>
          <w:numId w:val="77"/>
        </w:numPr>
        <w:rPr>
          <w:rFonts w:ascii="Arial" w:cs="Arial" w:eastAsia="Arial" w:hAnsi="Arial"/>
          <w:sz w:val="21"/>
          <w:szCs w:val="21"/>
          <w:color w:val="34657F"/>
        </w:rPr>
      </w:pPr>
      <w:r>
        <w:rPr>
          <w:rFonts w:ascii="Arial" w:cs="Arial" w:eastAsia="Arial" w:hAnsi="Arial"/>
          <w:sz w:val="17"/>
          <w:szCs w:val="17"/>
          <w:color w:val="auto"/>
        </w:rPr>
        <w:t>Eligible pay is salary plus bonus, as limited by Internal Revenue Code section 401(a)(17).</w:t>
      </w:r>
    </w:p>
    <w:p>
      <w:pPr>
        <w:spacing w:after="0" w:line="115" w:lineRule="exact"/>
        <w:rPr>
          <w:rFonts w:ascii="Arial" w:cs="Arial" w:eastAsia="Arial" w:hAnsi="Arial"/>
          <w:sz w:val="21"/>
          <w:szCs w:val="21"/>
          <w:color w:val="34657F"/>
        </w:rPr>
      </w:pPr>
    </w:p>
    <w:p>
      <w:pPr>
        <w:ind w:left="320" w:right="260" w:hanging="317"/>
        <w:spacing w:after="0" w:line="253" w:lineRule="auto"/>
        <w:tabs>
          <w:tab w:leader="none" w:pos="320" w:val="left"/>
        </w:tabs>
        <w:numPr>
          <w:ilvl w:val="0"/>
          <w:numId w:val="77"/>
        </w:numPr>
        <w:rPr>
          <w:rFonts w:ascii="Arial" w:cs="Arial" w:eastAsia="Arial" w:hAnsi="Arial"/>
          <w:sz w:val="21"/>
          <w:szCs w:val="21"/>
          <w:color w:val="34657F"/>
        </w:rPr>
      </w:pPr>
      <w:r>
        <w:rPr>
          <w:rFonts w:ascii="Arial" w:cs="Arial" w:eastAsia="Arial" w:hAnsi="Arial"/>
          <w:sz w:val="17"/>
          <w:szCs w:val="17"/>
          <w:color w:val="auto"/>
        </w:rPr>
        <w:t>Eligibility for early retirement occurs at age 55 with five years of service. Benefits may be reduced if commenced prior to Normal Retirement Age (65).</w:t>
      </w:r>
    </w:p>
    <w:p>
      <w:pPr>
        <w:spacing w:after="0" w:line="309"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60 </w:t>
      </w:r>
      <w:r>
        <w:rPr>
          <w:rFonts w:ascii="Arial" w:cs="Arial" w:eastAsia="Arial" w:hAnsi="Arial"/>
          <w:sz w:val="13"/>
          <w:szCs w:val="13"/>
          <w:color w:val="auto"/>
        </w:rPr>
        <w:t>I</w:t>
      </w:r>
      <w:r>
        <w:rPr>
          <w:rFonts w:ascii="Arial" w:cs="Arial" w:eastAsia="Arial" w:hAnsi="Arial"/>
          <w:sz w:val="17"/>
          <w:szCs w:val="17"/>
          <w:color w:val="auto"/>
        </w:rPr>
        <w:t xml:space="preserve"> </w:t>
      </w:r>
      <w:r>
        <w:rPr>
          <w:rFonts w:ascii="Arial" w:cs="Arial" w:eastAsia="Arial" w:hAnsi="Arial"/>
          <w:sz w:val="13"/>
          <w:szCs w:val="13"/>
          <w:color w:val="34657F"/>
        </w:rPr>
        <w:t>NOTICE OF 2019 ANNUAL MEETING OF SHAREHOLDERS AND PROXY STATEMENT</w:t>
      </w:r>
    </w:p>
    <w:p>
      <w:pPr>
        <w:sectPr>
          <w:pgSz w:w="11900" w:h="16838" w:orient="portrait"/>
          <w:cols w:equalWidth="0" w:num="1">
            <w:col w:w="11440"/>
          </w:cols>
          <w:pgMar w:left="240" w:top="671" w:right="219" w:bottom="1440" w:gutter="0" w:footer="0" w:header="0"/>
        </w:sectPr>
      </w:pPr>
    </w:p>
    <w:bookmarkStart w:id="66" w:name="page67"/>
    <w:bookmarkEnd w:id="66"/>
    <w:p>
      <w:pPr>
        <w:ind w:left="20"/>
        <w:spacing w:after="0"/>
        <w:rPr>
          <w:sz w:val="20"/>
          <w:szCs w:val="20"/>
          <w:color w:val="auto"/>
        </w:rPr>
      </w:pPr>
      <w:r>
        <w:rPr>
          <w:rFonts w:ascii="Arial" w:cs="Arial" w:eastAsia="Arial" w:hAnsi="Arial"/>
          <w:sz w:val="21"/>
          <w:szCs w:val="21"/>
          <w:b w:val="1"/>
          <w:bCs w:val="1"/>
          <w:color w:val="FFFFFF"/>
        </w:rPr>
        <w:drawing>
          <wp:anchor simplePos="0" relativeHeight="251657728" behindDoc="1" locked="0" layoutInCell="0" allowOverlap="1">
            <wp:simplePos x="0" y="0"/>
            <wp:positionH relativeFrom="page">
              <wp:posOffset>154305</wp:posOffset>
            </wp:positionH>
            <wp:positionV relativeFrom="page">
              <wp:posOffset>365760</wp:posOffset>
            </wp:positionV>
            <wp:extent cx="7253605" cy="56197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53605" cy="561975"/>
                    </a:xfrm>
                    <a:prstGeom prst="rect">
                      <a:avLst/>
                    </a:prstGeom>
                    <a:noFill/>
                  </pic:spPr>
                </pic:pic>
              </a:graphicData>
            </a:graphic>
          </wp:anchor>
        </w:drawing>
        <w:t>COMPENSATION TABLES | P</w:t>
      </w:r>
      <w:r>
        <w:rPr>
          <w:rFonts w:ascii="Arial" w:cs="Arial" w:eastAsia="Arial" w:hAnsi="Arial"/>
          <w:sz w:val="17"/>
          <w:szCs w:val="17"/>
          <w:b w:val="1"/>
          <w:bCs w:val="1"/>
          <w:color w:val="FFFFFF"/>
        </w:rPr>
        <w:t>ENSION</w:t>
      </w:r>
      <w:r>
        <w:rPr>
          <w:rFonts w:ascii="Arial" w:cs="Arial" w:eastAsia="Arial" w:hAnsi="Arial"/>
          <w:sz w:val="21"/>
          <w:szCs w:val="21"/>
          <w:b w:val="1"/>
          <w:bCs w:val="1"/>
          <w:color w:val="FFFFFF"/>
        </w:rPr>
        <w:t xml:space="preserve"> B</w:t>
      </w:r>
      <w:r>
        <w:rPr>
          <w:rFonts w:ascii="Arial" w:cs="Arial" w:eastAsia="Arial" w:hAnsi="Arial"/>
          <w:sz w:val="17"/>
          <w:szCs w:val="17"/>
          <w:b w:val="1"/>
          <w:bCs w:val="1"/>
          <w:color w:val="FFFFFF"/>
        </w:rPr>
        <w:t>ENEFITS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7"/>
          <w:szCs w:val="17"/>
          <w:color w:val="auto"/>
        </w:rPr>
        <w:t>New Cash Balance Formula (pay credits commenced on July 1, 2013)</w:t>
      </w:r>
    </w:p>
    <w:p>
      <w:pPr>
        <w:spacing w:after="0" w:line="112" w:lineRule="exact"/>
        <w:rPr>
          <w:sz w:val="20"/>
          <w:szCs w:val="20"/>
          <w:color w:val="auto"/>
        </w:rPr>
      </w:pPr>
    </w:p>
    <w:p>
      <w:pPr>
        <w:ind w:left="320" w:right="80" w:hanging="317"/>
        <w:spacing w:after="0" w:line="253" w:lineRule="auto"/>
        <w:tabs>
          <w:tab w:leader="none" w:pos="320" w:val="left"/>
        </w:tabs>
        <w:numPr>
          <w:ilvl w:val="0"/>
          <w:numId w:val="78"/>
        </w:numPr>
        <w:rPr>
          <w:rFonts w:ascii="Arial" w:cs="Arial" w:eastAsia="Arial" w:hAnsi="Arial"/>
          <w:sz w:val="21"/>
          <w:szCs w:val="21"/>
          <w:color w:val="34657F"/>
        </w:rPr>
      </w:pPr>
      <w:r>
        <w:rPr>
          <w:rFonts w:ascii="Arial" w:cs="Arial" w:eastAsia="Arial" w:hAnsi="Arial"/>
          <w:sz w:val="17"/>
          <w:szCs w:val="17"/>
          <w:color w:val="auto"/>
        </w:rPr>
        <w:t>Pay credits are a percentage of pay that vary based on an employee's age plus service and are credited annually at the end of each calendar year or earlier termination. The percentage applicable to Mr. Larson as of December 31, 2018 is 4.0%.</w:t>
      </w:r>
    </w:p>
    <w:p>
      <w:pPr>
        <w:spacing w:after="0" w:line="66" w:lineRule="exact"/>
        <w:rPr>
          <w:rFonts w:ascii="Arial" w:cs="Arial" w:eastAsia="Arial" w:hAnsi="Arial"/>
          <w:sz w:val="21"/>
          <w:szCs w:val="21"/>
          <w:color w:val="34657F"/>
        </w:rPr>
      </w:pPr>
    </w:p>
    <w:p>
      <w:pPr>
        <w:ind w:left="320" w:hanging="317"/>
        <w:spacing w:after="0"/>
        <w:tabs>
          <w:tab w:leader="none" w:pos="320" w:val="left"/>
        </w:tabs>
        <w:numPr>
          <w:ilvl w:val="0"/>
          <w:numId w:val="78"/>
        </w:numPr>
        <w:rPr>
          <w:rFonts w:ascii="Arial" w:cs="Arial" w:eastAsia="Arial" w:hAnsi="Arial"/>
          <w:sz w:val="21"/>
          <w:szCs w:val="21"/>
          <w:color w:val="34657F"/>
        </w:rPr>
      </w:pPr>
      <w:r>
        <w:rPr>
          <w:rFonts w:ascii="Arial" w:cs="Arial" w:eastAsia="Arial" w:hAnsi="Arial"/>
          <w:sz w:val="17"/>
          <w:szCs w:val="17"/>
          <w:color w:val="auto"/>
        </w:rPr>
        <w:t>Interest is credited at the end of each year at 4.0%. Interest is prorated for commencements during the calendar year.</w:t>
      </w:r>
    </w:p>
    <w:p>
      <w:pPr>
        <w:spacing w:after="0" w:line="79" w:lineRule="exact"/>
        <w:rPr>
          <w:rFonts w:ascii="Arial" w:cs="Arial" w:eastAsia="Arial" w:hAnsi="Arial"/>
          <w:sz w:val="21"/>
          <w:szCs w:val="21"/>
          <w:color w:val="34657F"/>
        </w:rPr>
      </w:pPr>
    </w:p>
    <w:p>
      <w:pPr>
        <w:ind w:left="320" w:hanging="317"/>
        <w:spacing w:after="0"/>
        <w:tabs>
          <w:tab w:leader="none" w:pos="320" w:val="left"/>
        </w:tabs>
        <w:numPr>
          <w:ilvl w:val="0"/>
          <w:numId w:val="78"/>
        </w:numPr>
        <w:rPr>
          <w:rFonts w:ascii="Arial" w:cs="Arial" w:eastAsia="Arial" w:hAnsi="Arial"/>
          <w:sz w:val="21"/>
          <w:szCs w:val="21"/>
          <w:color w:val="34657F"/>
        </w:rPr>
      </w:pPr>
      <w:r>
        <w:rPr>
          <w:rFonts w:ascii="Arial" w:cs="Arial" w:eastAsia="Arial" w:hAnsi="Arial"/>
          <w:sz w:val="17"/>
          <w:szCs w:val="17"/>
          <w:color w:val="auto"/>
        </w:rPr>
        <w:t>Eligible pay is salary plus bonus, as limited by Internal Revenue Code section 401(a)(17).</w:t>
      </w:r>
    </w:p>
    <w:p>
      <w:pPr>
        <w:spacing w:after="0" w:line="115" w:lineRule="exact"/>
        <w:rPr>
          <w:rFonts w:ascii="Arial" w:cs="Arial" w:eastAsia="Arial" w:hAnsi="Arial"/>
          <w:sz w:val="21"/>
          <w:szCs w:val="21"/>
          <w:color w:val="34657F"/>
        </w:rPr>
      </w:pPr>
    </w:p>
    <w:p>
      <w:pPr>
        <w:ind w:left="320" w:right="580" w:hanging="317"/>
        <w:spacing w:after="0" w:line="253" w:lineRule="auto"/>
        <w:tabs>
          <w:tab w:leader="none" w:pos="320" w:val="left"/>
        </w:tabs>
        <w:numPr>
          <w:ilvl w:val="0"/>
          <w:numId w:val="78"/>
        </w:numPr>
        <w:rPr>
          <w:rFonts w:ascii="Arial" w:cs="Arial" w:eastAsia="Arial" w:hAnsi="Arial"/>
          <w:sz w:val="21"/>
          <w:szCs w:val="21"/>
          <w:color w:val="34657F"/>
        </w:rPr>
      </w:pPr>
      <w:r>
        <w:rPr>
          <w:rFonts w:ascii="Arial" w:cs="Arial" w:eastAsia="Arial" w:hAnsi="Arial"/>
          <w:sz w:val="17"/>
          <w:szCs w:val="17"/>
          <w:color w:val="auto"/>
        </w:rPr>
        <w:t>After termination of employment, a participant's New Cash Balance benefit may be distributed immediately, regardless of age, in a variety of actuarially equivalent monthly annuities or as a lump sum.</w:t>
      </w:r>
    </w:p>
    <w:p>
      <w:pPr>
        <w:spacing w:after="0" w:line="204" w:lineRule="exact"/>
        <w:rPr>
          <w:sz w:val="20"/>
          <w:szCs w:val="20"/>
          <w:color w:val="auto"/>
        </w:rPr>
      </w:pPr>
    </w:p>
    <w:p>
      <w:pPr>
        <w:ind w:left="20"/>
        <w:spacing w:after="0"/>
        <w:rPr>
          <w:sz w:val="20"/>
          <w:szCs w:val="20"/>
          <w:color w:val="auto"/>
        </w:rPr>
      </w:pPr>
      <w:r>
        <w:rPr>
          <w:rFonts w:ascii="Arial" w:cs="Arial" w:eastAsia="Arial" w:hAnsi="Arial"/>
          <w:sz w:val="24"/>
          <w:szCs w:val="24"/>
          <w:b w:val="1"/>
          <w:bCs w:val="1"/>
          <w:color w:val="auto"/>
        </w:rPr>
        <w:t>ERISA 2, SRIP and OATK DB SERP (Nonqualified Restoration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38100</wp:posOffset>
            </wp:positionV>
            <wp:extent cx="7253605" cy="1651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pacing w:after="0" w:line="142" w:lineRule="exact"/>
        <w:rPr>
          <w:sz w:val="20"/>
          <w:szCs w:val="20"/>
          <w:color w:val="auto"/>
        </w:rPr>
      </w:pPr>
    </w:p>
    <w:p>
      <w:pPr>
        <w:ind w:right="80"/>
        <w:spacing w:after="0" w:line="255" w:lineRule="auto"/>
        <w:rPr>
          <w:sz w:val="20"/>
          <w:szCs w:val="20"/>
          <w:color w:val="auto"/>
        </w:rPr>
      </w:pPr>
      <w:r>
        <w:rPr>
          <w:rFonts w:ascii="Arial" w:cs="Arial" w:eastAsia="Arial" w:hAnsi="Arial"/>
          <w:sz w:val="17"/>
          <w:szCs w:val="17"/>
          <w:color w:val="auto"/>
        </w:rPr>
        <w:t>ERISA 2, SRIP and a portion of OATK DB SERP are nonqualified plans that restore benefits provided for under the Pension Plan, S&amp;MS Pension Plan and OATK P&amp;R Plan, respectively, but for the limits on eligible pay imposed by Internal Revenue Code section 401(a)(17) and the overall benefit limitation of Internal Revenue Code section 415. Benefits and features in these restoration plans otherwise are generally the same as described above for the underlying tax qualified plan.</w:t>
      </w:r>
    </w:p>
    <w:p>
      <w:pPr>
        <w:spacing w:after="0" w:line="193" w:lineRule="exact"/>
        <w:rPr>
          <w:sz w:val="20"/>
          <w:szCs w:val="20"/>
          <w:color w:val="auto"/>
        </w:rPr>
      </w:pPr>
    </w:p>
    <w:p>
      <w:pPr>
        <w:ind w:left="20"/>
        <w:spacing w:after="0"/>
        <w:rPr>
          <w:sz w:val="20"/>
          <w:szCs w:val="20"/>
          <w:color w:val="auto"/>
        </w:rPr>
      </w:pPr>
      <w:r>
        <w:rPr>
          <w:rFonts w:ascii="Arial" w:cs="Arial" w:eastAsia="Arial" w:hAnsi="Arial"/>
          <w:sz w:val="24"/>
          <w:szCs w:val="24"/>
          <w:b w:val="1"/>
          <w:bCs w:val="1"/>
          <w:color w:val="auto"/>
        </w:rPr>
        <w:t>OSERP, OSERP II and OATK DB SERP (Nonqualified Supplemental Executive Retirement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38100</wp:posOffset>
            </wp:positionV>
            <wp:extent cx="7253605" cy="1651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pacing w:after="0" w:line="142" w:lineRule="exact"/>
        <w:rPr>
          <w:sz w:val="20"/>
          <w:szCs w:val="20"/>
          <w:color w:val="auto"/>
        </w:rPr>
      </w:pPr>
    </w:p>
    <w:p>
      <w:pPr>
        <w:ind w:right="260"/>
        <w:spacing w:after="0" w:line="263" w:lineRule="auto"/>
        <w:rPr>
          <w:sz w:val="20"/>
          <w:szCs w:val="20"/>
          <w:color w:val="auto"/>
        </w:rPr>
      </w:pPr>
      <w:r>
        <w:rPr>
          <w:rFonts w:ascii="Arial" w:cs="Arial" w:eastAsia="Arial" w:hAnsi="Arial"/>
          <w:sz w:val="17"/>
          <w:szCs w:val="17"/>
          <w:color w:val="auto"/>
        </w:rPr>
        <w:t>These plans provide supplemental pension benefits. They were closed to new hires on or before 2009. In addition, final average pay and associated service under these plans were frozen as of December 31, 2014 or earlier, as noted below.</w:t>
      </w:r>
    </w:p>
    <w:p>
      <w:pPr>
        <w:spacing w:after="0" w:line="5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chart highlights the key features of these plans applicable to eligible NEOs.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980" w:type="dxa"/>
            <w:vAlign w:val="bottom"/>
            <w:tcBorders>
              <w:bottom w:val="single" w:sz="8" w:color="34657F"/>
            </w:tcBorders>
            <w:shd w:val="clear" w:color="auto" w:fill="34657F"/>
          </w:tcPr>
          <w:p>
            <w:pPr>
              <w:ind w:left="40"/>
              <w:spacing w:after="0"/>
              <w:rPr>
                <w:sz w:val="20"/>
                <w:szCs w:val="20"/>
                <w:color w:val="auto"/>
              </w:rPr>
            </w:pPr>
            <w:r>
              <w:rPr>
                <w:rFonts w:ascii="Arial" w:cs="Arial" w:eastAsia="Arial" w:hAnsi="Arial"/>
                <w:sz w:val="14"/>
                <w:szCs w:val="14"/>
                <w:b w:val="1"/>
                <w:bCs w:val="1"/>
                <w:color w:val="FFFFFF"/>
              </w:rPr>
              <w:t>Feature</w:t>
            </w:r>
          </w:p>
        </w:tc>
        <w:tc>
          <w:tcPr>
            <w:tcW w:w="4220" w:type="dxa"/>
            <w:vAlign w:val="bottom"/>
            <w:tcBorders>
              <w:bottom w:val="single" w:sz="8" w:color="34657F"/>
            </w:tcBorders>
            <w:shd w:val="clear" w:color="auto" w:fill="34657F"/>
          </w:tcPr>
          <w:p>
            <w:pPr>
              <w:jc w:val="center"/>
              <w:spacing w:after="0"/>
              <w:rPr>
                <w:sz w:val="20"/>
                <w:szCs w:val="20"/>
                <w:color w:val="auto"/>
              </w:rPr>
            </w:pPr>
            <w:r>
              <w:rPr>
                <w:rFonts w:ascii="Arial" w:cs="Arial" w:eastAsia="Arial" w:hAnsi="Arial"/>
                <w:sz w:val="14"/>
                <w:szCs w:val="14"/>
                <w:b w:val="1"/>
                <w:bCs w:val="1"/>
                <w:color w:val="FFFFFF"/>
                <w:w w:val="96"/>
              </w:rPr>
              <w:t>OSERP and OSERP II (1)</w:t>
            </w:r>
          </w:p>
        </w:tc>
        <w:tc>
          <w:tcPr>
            <w:tcW w:w="4220" w:type="dxa"/>
            <w:vAlign w:val="bottom"/>
            <w:tcBorders>
              <w:bottom w:val="single" w:sz="8" w:color="34657F"/>
            </w:tcBorders>
            <w:shd w:val="clear" w:color="auto" w:fill="34657F"/>
          </w:tcPr>
          <w:p>
            <w:pPr>
              <w:jc w:val="center"/>
              <w:spacing w:after="0"/>
              <w:rPr>
                <w:sz w:val="20"/>
                <w:szCs w:val="20"/>
                <w:color w:val="auto"/>
              </w:rPr>
            </w:pPr>
            <w:r>
              <w:rPr>
                <w:rFonts w:ascii="Arial" w:cs="Arial" w:eastAsia="Arial" w:hAnsi="Arial"/>
                <w:sz w:val="14"/>
                <w:szCs w:val="14"/>
                <w:b w:val="1"/>
                <w:bCs w:val="1"/>
                <w:color w:val="FFFFFF"/>
                <w:w w:val="97"/>
              </w:rPr>
              <w:t>OATK DB SERP (2)</w:t>
            </w:r>
          </w:p>
        </w:tc>
        <w:tc>
          <w:tcPr>
            <w:tcW w:w="20" w:type="dxa"/>
            <w:vAlign w:val="bottom"/>
            <w:tcBorders>
              <w:bottom w:val="single" w:sz="8" w:color="34657F"/>
            </w:tcBorders>
            <w:shd w:val="clear" w:color="auto" w:fill="34657F"/>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2980" w:type="dxa"/>
            <w:vAlign w:val="bottom"/>
            <w:shd w:val="clear" w:color="auto" w:fill="D1DDE6"/>
          </w:tcPr>
          <w:p>
            <w:pPr>
              <w:spacing w:after="0"/>
              <w:rPr>
                <w:sz w:val="16"/>
                <w:szCs w:val="16"/>
                <w:color w:val="auto"/>
              </w:rPr>
            </w:pPr>
          </w:p>
        </w:tc>
        <w:tc>
          <w:tcPr>
            <w:tcW w:w="4220" w:type="dxa"/>
            <w:vAlign w:val="bottom"/>
            <w:vMerge w:val="restart"/>
            <w:shd w:val="clear" w:color="auto" w:fill="D1DDE6"/>
          </w:tcPr>
          <w:p>
            <w:pPr>
              <w:jc w:val="center"/>
              <w:spacing w:after="0"/>
              <w:rPr>
                <w:sz w:val="20"/>
                <w:szCs w:val="20"/>
                <w:color w:val="auto"/>
              </w:rPr>
            </w:pPr>
            <w:r>
              <w:rPr>
                <w:rFonts w:ascii="Arial" w:cs="Arial" w:eastAsia="Arial" w:hAnsi="Arial"/>
                <w:sz w:val="14"/>
                <w:szCs w:val="14"/>
                <w:color w:val="auto"/>
                <w:w w:val="97"/>
              </w:rPr>
              <w:t>Final Average Pay times 2% for each year of service up to 10 years,</w:t>
            </w:r>
          </w:p>
        </w:tc>
        <w:tc>
          <w:tcPr>
            <w:tcW w:w="4220" w:type="dxa"/>
            <w:vAlign w:val="bottom"/>
            <w:shd w:val="clear" w:color="auto" w:fill="D1DDE6"/>
          </w:tcPr>
          <w:p>
            <w:pPr>
              <w:jc w:val="center"/>
              <w:spacing w:after="0"/>
              <w:rPr>
                <w:sz w:val="20"/>
                <w:szCs w:val="20"/>
                <w:color w:val="auto"/>
              </w:rPr>
            </w:pPr>
            <w:r>
              <w:rPr>
                <w:rFonts w:ascii="Arial" w:cs="Arial" w:eastAsia="Arial" w:hAnsi="Arial"/>
                <w:sz w:val="14"/>
                <w:szCs w:val="14"/>
                <w:color w:val="auto"/>
                <w:w w:val="97"/>
              </w:rPr>
              <w:t>Service times the sum of 11% of Final Average Pay in excess of</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7"/>
        </w:trPr>
        <w:tc>
          <w:tcPr>
            <w:tcW w:w="2980" w:type="dxa"/>
            <w:vAlign w:val="bottom"/>
            <w:shd w:val="clear" w:color="auto" w:fill="D1DDE6"/>
          </w:tcPr>
          <w:p>
            <w:pPr>
              <w:spacing w:after="0"/>
              <w:rPr>
                <w:sz w:val="6"/>
                <w:szCs w:val="6"/>
                <w:color w:val="auto"/>
              </w:rPr>
            </w:pPr>
          </w:p>
        </w:tc>
        <w:tc>
          <w:tcPr>
            <w:tcW w:w="4220" w:type="dxa"/>
            <w:vAlign w:val="bottom"/>
            <w:vMerge w:val="continue"/>
            <w:shd w:val="clear" w:color="auto" w:fill="D1DDE6"/>
          </w:tcPr>
          <w:p>
            <w:pPr>
              <w:spacing w:after="0"/>
              <w:rPr>
                <w:sz w:val="6"/>
                <w:szCs w:val="6"/>
                <w:color w:val="auto"/>
              </w:rPr>
            </w:pPr>
          </w:p>
        </w:tc>
        <w:tc>
          <w:tcPr>
            <w:tcW w:w="4220" w:type="dxa"/>
            <w:vAlign w:val="bottom"/>
            <w:vMerge w:val="restart"/>
            <w:shd w:val="clear" w:color="auto" w:fill="D1DDE6"/>
          </w:tcPr>
          <w:p>
            <w:pPr>
              <w:jc w:val="center"/>
              <w:spacing w:after="0" w:line="154" w:lineRule="exact"/>
              <w:rPr>
                <w:sz w:val="20"/>
                <w:szCs w:val="20"/>
                <w:color w:val="auto"/>
              </w:rPr>
            </w:pPr>
            <w:r>
              <w:rPr>
                <w:rFonts w:ascii="Arial" w:cs="Arial" w:eastAsia="Arial" w:hAnsi="Arial"/>
                <w:sz w:val="14"/>
                <w:szCs w:val="14"/>
                <w:color w:val="auto"/>
                <w:w w:val="97"/>
              </w:rPr>
              <w:t>one-half of the Social Security Wage Base and 5.5% of one-half of</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7"/>
        </w:trPr>
        <w:tc>
          <w:tcPr>
            <w:tcW w:w="2980" w:type="dxa"/>
            <w:vAlign w:val="bottom"/>
            <w:vMerge w:val="restart"/>
            <w:shd w:val="clear" w:color="auto" w:fill="D1DDE6"/>
          </w:tcPr>
          <w:p>
            <w:pPr>
              <w:ind w:left="20"/>
              <w:spacing w:after="0" w:line="154" w:lineRule="exact"/>
              <w:rPr>
                <w:sz w:val="20"/>
                <w:szCs w:val="20"/>
                <w:color w:val="auto"/>
              </w:rPr>
            </w:pPr>
            <w:r>
              <w:rPr>
                <w:rFonts w:ascii="Arial" w:cs="Arial" w:eastAsia="Arial" w:hAnsi="Arial"/>
                <w:sz w:val="14"/>
                <w:szCs w:val="14"/>
                <w:color w:val="auto"/>
              </w:rPr>
              <w:t>Benefit Formula</w:t>
            </w:r>
          </w:p>
        </w:tc>
        <w:tc>
          <w:tcPr>
            <w:tcW w:w="4220" w:type="dxa"/>
            <w:vAlign w:val="bottom"/>
            <w:vMerge w:val="restart"/>
            <w:shd w:val="clear" w:color="auto" w:fill="D1DDE6"/>
          </w:tcPr>
          <w:p>
            <w:pPr>
              <w:jc w:val="center"/>
              <w:spacing w:after="0" w:line="154" w:lineRule="exact"/>
              <w:rPr>
                <w:sz w:val="20"/>
                <w:szCs w:val="20"/>
                <w:color w:val="auto"/>
              </w:rPr>
            </w:pPr>
            <w:r>
              <w:rPr>
                <w:rFonts w:ascii="Arial" w:cs="Arial" w:eastAsia="Arial" w:hAnsi="Arial"/>
                <w:sz w:val="14"/>
                <w:szCs w:val="14"/>
                <w:color w:val="auto"/>
                <w:w w:val="97"/>
              </w:rPr>
              <w:t>1.5% for each subsequent year up to 20 years, and 1% for each</w:t>
            </w:r>
          </w:p>
        </w:tc>
        <w:tc>
          <w:tcPr>
            <w:tcW w:w="4220" w:type="dxa"/>
            <w:vAlign w:val="bottom"/>
            <w:vMerge w:val="continue"/>
            <w:shd w:val="clear" w:color="auto" w:fill="D1DDE6"/>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7"/>
        </w:trPr>
        <w:tc>
          <w:tcPr>
            <w:tcW w:w="2980" w:type="dxa"/>
            <w:vAlign w:val="bottom"/>
            <w:vMerge w:val="continue"/>
            <w:shd w:val="clear" w:color="auto" w:fill="D1DDE6"/>
          </w:tcPr>
          <w:p>
            <w:pPr>
              <w:spacing w:after="0"/>
              <w:rPr>
                <w:sz w:val="6"/>
                <w:szCs w:val="6"/>
                <w:color w:val="auto"/>
              </w:rPr>
            </w:pPr>
          </w:p>
        </w:tc>
        <w:tc>
          <w:tcPr>
            <w:tcW w:w="4220" w:type="dxa"/>
            <w:vAlign w:val="bottom"/>
            <w:vMerge w:val="continue"/>
            <w:shd w:val="clear" w:color="auto" w:fill="D1DDE6"/>
          </w:tcPr>
          <w:p>
            <w:pPr>
              <w:spacing w:after="0"/>
              <w:rPr>
                <w:sz w:val="6"/>
                <w:szCs w:val="6"/>
                <w:color w:val="auto"/>
              </w:rPr>
            </w:pPr>
          </w:p>
        </w:tc>
        <w:tc>
          <w:tcPr>
            <w:tcW w:w="4220" w:type="dxa"/>
            <w:vAlign w:val="bottom"/>
            <w:vMerge w:val="restart"/>
            <w:shd w:val="clear" w:color="auto" w:fill="D1DDE6"/>
          </w:tcPr>
          <w:p>
            <w:pPr>
              <w:jc w:val="center"/>
              <w:spacing w:after="0" w:line="154" w:lineRule="exact"/>
              <w:rPr>
                <w:sz w:val="20"/>
                <w:szCs w:val="20"/>
                <w:color w:val="auto"/>
              </w:rPr>
            </w:pPr>
            <w:r>
              <w:rPr>
                <w:rFonts w:ascii="Arial" w:cs="Arial" w:eastAsia="Arial" w:hAnsi="Arial"/>
                <w:sz w:val="14"/>
                <w:szCs w:val="14"/>
                <w:color w:val="auto"/>
                <w:w w:val="97"/>
              </w:rPr>
              <w:t>the Social Security Wage Base; interest at 4% per annum is applied</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7"/>
        </w:trPr>
        <w:tc>
          <w:tcPr>
            <w:tcW w:w="2980" w:type="dxa"/>
            <w:vAlign w:val="bottom"/>
            <w:shd w:val="clear" w:color="auto" w:fill="D1DDE6"/>
          </w:tcPr>
          <w:p>
            <w:pPr>
              <w:spacing w:after="0"/>
              <w:rPr>
                <w:sz w:val="6"/>
                <w:szCs w:val="6"/>
                <w:color w:val="auto"/>
              </w:rPr>
            </w:pPr>
          </w:p>
        </w:tc>
        <w:tc>
          <w:tcPr>
            <w:tcW w:w="4220" w:type="dxa"/>
            <w:vAlign w:val="bottom"/>
            <w:vMerge w:val="restart"/>
            <w:shd w:val="clear" w:color="auto" w:fill="D1DDE6"/>
          </w:tcPr>
          <w:p>
            <w:pPr>
              <w:jc w:val="center"/>
              <w:spacing w:after="0"/>
              <w:rPr>
                <w:sz w:val="20"/>
                <w:szCs w:val="20"/>
                <w:color w:val="auto"/>
              </w:rPr>
            </w:pPr>
            <w:r>
              <w:rPr>
                <w:rFonts w:ascii="Arial" w:cs="Arial" w:eastAsia="Arial" w:hAnsi="Arial"/>
                <w:sz w:val="14"/>
                <w:szCs w:val="14"/>
                <w:color w:val="auto"/>
                <w:w w:val="97"/>
              </w:rPr>
              <w:t>additional year over 20 and less than 45</w:t>
            </w:r>
          </w:p>
        </w:tc>
        <w:tc>
          <w:tcPr>
            <w:tcW w:w="4220" w:type="dxa"/>
            <w:vAlign w:val="bottom"/>
            <w:vMerge w:val="continue"/>
            <w:shd w:val="clear" w:color="auto" w:fill="D1DDE6"/>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7"/>
        </w:trPr>
        <w:tc>
          <w:tcPr>
            <w:tcW w:w="2980" w:type="dxa"/>
            <w:vAlign w:val="bottom"/>
            <w:shd w:val="clear" w:color="auto" w:fill="D1DDE6"/>
          </w:tcPr>
          <w:p>
            <w:pPr>
              <w:spacing w:after="0"/>
              <w:rPr>
                <w:sz w:val="7"/>
                <w:szCs w:val="7"/>
                <w:color w:val="auto"/>
              </w:rPr>
            </w:pPr>
          </w:p>
        </w:tc>
        <w:tc>
          <w:tcPr>
            <w:tcW w:w="4220" w:type="dxa"/>
            <w:vAlign w:val="bottom"/>
            <w:vMerge w:val="continue"/>
            <w:shd w:val="clear" w:color="auto" w:fill="D1DDE6"/>
          </w:tcPr>
          <w:p>
            <w:pPr>
              <w:spacing w:after="0"/>
              <w:rPr>
                <w:sz w:val="7"/>
                <w:szCs w:val="7"/>
                <w:color w:val="auto"/>
              </w:rPr>
            </w:pPr>
          </w:p>
        </w:tc>
        <w:tc>
          <w:tcPr>
            <w:tcW w:w="4220" w:type="dxa"/>
            <w:vAlign w:val="bottom"/>
            <w:vMerge w:val="restart"/>
            <w:shd w:val="clear" w:color="auto" w:fill="D1DDE6"/>
          </w:tcPr>
          <w:p>
            <w:pPr>
              <w:jc w:val="center"/>
              <w:spacing w:after="0"/>
              <w:rPr>
                <w:sz w:val="20"/>
                <w:szCs w:val="20"/>
                <w:color w:val="auto"/>
              </w:rPr>
            </w:pPr>
            <w:r>
              <w:rPr>
                <w:rFonts w:ascii="Arial" w:cs="Arial" w:eastAsia="Arial" w:hAnsi="Arial"/>
                <w:sz w:val="14"/>
                <w:szCs w:val="14"/>
                <w:color w:val="auto"/>
                <w:w w:val="97"/>
              </w:rPr>
              <w:t>from July 1, 2013 through commencement</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980" w:type="dxa"/>
            <w:vAlign w:val="bottom"/>
            <w:shd w:val="clear" w:color="auto" w:fill="D1DDE6"/>
          </w:tcPr>
          <w:p>
            <w:pPr>
              <w:spacing w:after="0"/>
              <w:rPr>
                <w:sz w:val="7"/>
                <w:szCs w:val="7"/>
                <w:color w:val="auto"/>
              </w:rPr>
            </w:pPr>
          </w:p>
        </w:tc>
        <w:tc>
          <w:tcPr>
            <w:tcW w:w="4220" w:type="dxa"/>
            <w:vAlign w:val="bottom"/>
            <w:shd w:val="clear" w:color="auto" w:fill="D1DDE6"/>
          </w:tcPr>
          <w:p>
            <w:pPr>
              <w:spacing w:after="0"/>
              <w:rPr>
                <w:sz w:val="7"/>
                <w:szCs w:val="7"/>
                <w:color w:val="auto"/>
              </w:rPr>
            </w:pPr>
          </w:p>
        </w:tc>
        <w:tc>
          <w:tcPr>
            <w:tcW w:w="4220" w:type="dxa"/>
            <w:vAlign w:val="bottom"/>
            <w:vMerge w:val="continue"/>
            <w:shd w:val="clear" w:color="auto" w:fill="D1DDE6"/>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7"/>
        </w:trPr>
        <w:tc>
          <w:tcPr>
            <w:tcW w:w="2980" w:type="dxa"/>
            <w:vAlign w:val="bottom"/>
          </w:tcPr>
          <w:p>
            <w:pPr>
              <w:spacing w:after="0"/>
              <w:rPr>
                <w:sz w:val="17"/>
                <w:szCs w:val="17"/>
                <w:color w:val="auto"/>
              </w:rPr>
            </w:pPr>
          </w:p>
        </w:tc>
        <w:tc>
          <w:tcPr>
            <w:tcW w:w="4220" w:type="dxa"/>
            <w:vAlign w:val="bottom"/>
          </w:tcPr>
          <w:p>
            <w:pPr>
              <w:spacing w:after="0"/>
              <w:rPr>
                <w:sz w:val="17"/>
                <w:szCs w:val="17"/>
                <w:color w:val="auto"/>
              </w:rPr>
            </w:pPr>
          </w:p>
        </w:tc>
        <w:tc>
          <w:tcPr>
            <w:tcW w:w="4220" w:type="dxa"/>
            <w:vAlign w:val="bottom"/>
          </w:tcPr>
          <w:p>
            <w:pPr>
              <w:jc w:val="center"/>
              <w:spacing w:after="0"/>
              <w:rPr>
                <w:sz w:val="20"/>
                <w:szCs w:val="20"/>
                <w:color w:val="auto"/>
              </w:rPr>
            </w:pPr>
            <w:r>
              <w:rPr>
                <w:rFonts w:ascii="Arial" w:cs="Arial" w:eastAsia="Arial" w:hAnsi="Arial"/>
                <w:sz w:val="14"/>
                <w:szCs w:val="14"/>
                <w:color w:val="auto"/>
                <w:w w:val="97"/>
              </w:rPr>
              <w:t>Average of highest 60 months of Eligible Pay; both Final Average</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4"/>
        </w:trPr>
        <w:tc>
          <w:tcPr>
            <w:tcW w:w="2980" w:type="dxa"/>
            <w:vAlign w:val="bottom"/>
          </w:tcPr>
          <w:p>
            <w:pPr>
              <w:ind w:left="20"/>
              <w:spacing w:after="0" w:line="154" w:lineRule="exact"/>
              <w:rPr>
                <w:sz w:val="20"/>
                <w:szCs w:val="20"/>
                <w:color w:val="auto"/>
              </w:rPr>
            </w:pPr>
            <w:r>
              <w:rPr>
                <w:rFonts w:ascii="Arial" w:cs="Arial" w:eastAsia="Arial" w:hAnsi="Arial"/>
                <w:sz w:val="14"/>
                <w:szCs w:val="14"/>
                <w:color w:val="auto"/>
              </w:rPr>
              <w:t>Final Average Pay</w:t>
            </w:r>
          </w:p>
        </w:tc>
        <w:tc>
          <w:tcPr>
            <w:tcW w:w="4220" w:type="dxa"/>
            <w:vAlign w:val="bottom"/>
          </w:tcPr>
          <w:p>
            <w:pPr>
              <w:jc w:val="center"/>
              <w:spacing w:after="0" w:line="154" w:lineRule="exact"/>
              <w:rPr>
                <w:sz w:val="20"/>
                <w:szCs w:val="20"/>
                <w:color w:val="auto"/>
              </w:rPr>
            </w:pPr>
            <w:r>
              <w:rPr>
                <w:rFonts w:ascii="Arial" w:cs="Arial" w:eastAsia="Arial" w:hAnsi="Arial"/>
                <w:sz w:val="14"/>
                <w:szCs w:val="14"/>
                <w:color w:val="auto"/>
                <w:w w:val="98"/>
              </w:rPr>
              <w:t>Average of highest 3 years of Eligible Pay</w:t>
            </w:r>
          </w:p>
        </w:tc>
        <w:tc>
          <w:tcPr>
            <w:tcW w:w="4220" w:type="dxa"/>
            <w:vAlign w:val="bottom"/>
          </w:tcPr>
          <w:p>
            <w:pPr>
              <w:jc w:val="center"/>
              <w:spacing w:after="0" w:line="154" w:lineRule="exact"/>
              <w:rPr>
                <w:sz w:val="20"/>
                <w:szCs w:val="20"/>
                <w:color w:val="auto"/>
              </w:rPr>
            </w:pPr>
            <w:r>
              <w:rPr>
                <w:rFonts w:ascii="Arial" w:cs="Arial" w:eastAsia="Arial" w:hAnsi="Arial"/>
                <w:sz w:val="14"/>
                <w:szCs w:val="14"/>
                <w:color w:val="auto"/>
                <w:w w:val="97"/>
              </w:rPr>
              <w:t>Pay and the Social Security Wage Base were frozen at June 30,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98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4220" w:type="dxa"/>
            <w:vAlign w:val="bottom"/>
          </w:tcPr>
          <w:p>
            <w:pPr>
              <w:jc w:val="center"/>
              <w:spacing w:after="0"/>
              <w:rPr>
                <w:sz w:val="20"/>
                <w:szCs w:val="20"/>
                <w:color w:val="auto"/>
              </w:rPr>
            </w:pPr>
            <w:r>
              <w:rPr>
                <w:rFonts w:ascii="Arial" w:cs="Arial" w:eastAsia="Arial" w:hAnsi="Arial"/>
                <w:sz w:val="14"/>
                <w:szCs w:val="14"/>
                <w:color w:val="auto"/>
                <w:w w:val="96"/>
              </w:rPr>
              <w:t>2013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2980" w:type="dxa"/>
            <w:vAlign w:val="bottom"/>
            <w:vMerge w:val="restart"/>
            <w:shd w:val="clear" w:color="auto" w:fill="D1DDE6"/>
          </w:tcPr>
          <w:p>
            <w:pPr>
              <w:ind w:left="20"/>
              <w:spacing w:after="0"/>
              <w:rPr>
                <w:sz w:val="20"/>
                <w:szCs w:val="20"/>
                <w:color w:val="auto"/>
              </w:rPr>
            </w:pPr>
            <w:r>
              <w:rPr>
                <w:rFonts w:ascii="Arial" w:cs="Arial" w:eastAsia="Arial" w:hAnsi="Arial"/>
                <w:sz w:val="14"/>
                <w:szCs w:val="14"/>
                <w:color w:val="auto"/>
              </w:rPr>
              <w:t>Eligible Pay</w:t>
            </w:r>
          </w:p>
        </w:tc>
        <w:tc>
          <w:tcPr>
            <w:tcW w:w="4220" w:type="dxa"/>
            <w:vAlign w:val="bottom"/>
            <w:shd w:val="clear" w:color="auto" w:fill="D1DDE6"/>
          </w:tcPr>
          <w:p>
            <w:pPr>
              <w:jc w:val="center"/>
              <w:spacing w:after="0"/>
              <w:rPr>
                <w:sz w:val="20"/>
                <w:szCs w:val="20"/>
                <w:color w:val="auto"/>
              </w:rPr>
            </w:pPr>
            <w:r>
              <w:rPr>
                <w:rFonts w:ascii="Arial" w:cs="Arial" w:eastAsia="Arial" w:hAnsi="Arial"/>
                <w:sz w:val="14"/>
                <w:szCs w:val="14"/>
                <w:color w:val="auto"/>
                <w:w w:val="97"/>
              </w:rPr>
              <w:t>Salary and bonus (including amounts above Internal Revenue Code</w:t>
            </w:r>
          </w:p>
        </w:tc>
        <w:tc>
          <w:tcPr>
            <w:tcW w:w="4220" w:type="dxa"/>
            <w:vAlign w:val="bottom"/>
            <w:shd w:val="clear" w:color="auto" w:fill="D1DDE6"/>
          </w:tcPr>
          <w:p>
            <w:pPr>
              <w:jc w:val="center"/>
              <w:spacing w:after="0"/>
              <w:rPr>
                <w:sz w:val="20"/>
                <w:szCs w:val="20"/>
                <w:color w:val="auto"/>
              </w:rPr>
            </w:pPr>
            <w:r>
              <w:rPr>
                <w:rFonts w:ascii="Arial" w:cs="Arial" w:eastAsia="Arial" w:hAnsi="Arial"/>
                <w:sz w:val="14"/>
                <w:szCs w:val="14"/>
                <w:color w:val="auto"/>
                <w:w w:val="97"/>
              </w:rPr>
              <w:t>Salary and bonus (including amounts above Internal Revenue Code</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7"/>
        </w:trPr>
        <w:tc>
          <w:tcPr>
            <w:tcW w:w="2980" w:type="dxa"/>
            <w:vAlign w:val="bottom"/>
            <w:vMerge w:val="continue"/>
            <w:shd w:val="clear" w:color="auto" w:fill="D1DDE6"/>
          </w:tcPr>
          <w:p>
            <w:pPr>
              <w:spacing w:after="0"/>
              <w:rPr>
                <w:sz w:val="7"/>
                <w:szCs w:val="7"/>
                <w:color w:val="auto"/>
              </w:rPr>
            </w:pPr>
          </w:p>
        </w:tc>
        <w:tc>
          <w:tcPr>
            <w:tcW w:w="4220" w:type="dxa"/>
            <w:vAlign w:val="bottom"/>
            <w:vMerge w:val="restart"/>
            <w:shd w:val="clear" w:color="auto" w:fill="D1DDE6"/>
          </w:tcPr>
          <w:p>
            <w:pPr>
              <w:jc w:val="center"/>
              <w:spacing w:after="0"/>
              <w:rPr>
                <w:sz w:val="20"/>
                <w:szCs w:val="20"/>
                <w:color w:val="auto"/>
              </w:rPr>
            </w:pPr>
            <w:r>
              <w:rPr>
                <w:rFonts w:ascii="Arial" w:cs="Arial" w:eastAsia="Arial" w:hAnsi="Arial"/>
                <w:sz w:val="14"/>
                <w:szCs w:val="14"/>
                <w:color w:val="auto"/>
                <w:w w:val="98"/>
              </w:rPr>
              <w:t>limits and amounts deferred)</w:t>
            </w:r>
          </w:p>
        </w:tc>
        <w:tc>
          <w:tcPr>
            <w:tcW w:w="4220" w:type="dxa"/>
            <w:vAlign w:val="bottom"/>
            <w:vMerge w:val="restart"/>
            <w:shd w:val="clear" w:color="auto" w:fill="D1DDE6"/>
          </w:tcPr>
          <w:p>
            <w:pPr>
              <w:jc w:val="center"/>
              <w:spacing w:after="0"/>
              <w:rPr>
                <w:sz w:val="20"/>
                <w:szCs w:val="20"/>
                <w:color w:val="auto"/>
              </w:rPr>
            </w:pPr>
            <w:r>
              <w:rPr>
                <w:rFonts w:ascii="Arial" w:cs="Arial" w:eastAsia="Arial" w:hAnsi="Arial"/>
                <w:sz w:val="14"/>
                <w:szCs w:val="14"/>
                <w:color w:val="auto"/>
                <w:w w:val="96"/>
              </w:rPr>
              <w:t>limits and amounts deferred)</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980" w:type="dxa"/>
            <w:vAlign w:val="bottom"/>
            <w:shd w:val="clear" w:color="auto" w:fill="D1DDE6"/>
          </w:tcPr>
          <w:p>
            <w:pPr>
              <w:spacing w:after="0"/>
              <w:rPr>
                <w:sz w:val="7"/>
                <w:szCs w:val="7"/>
                <w:color w:val="auto"/>
              </w:rPr>
            </w:pPr>
          </w:p>
        </w:tc>
        <w:tc>
          <w:tcPr>
            <w:tcW w:w="4220" w:type="dxa"/>
            <w:vAlign w:val="bottom"/>
            <w:vMerge w:val="continue"/>
            <w:shd w:val="clear" w:color="auto" w:fill="D1DDE6"/>
          </w:tcPr>
          <w:p>
            <w:pPr>
              <w:spacing w:after="0"/>
              <w:rPr>
                <w:sz w:val="7"/>
                <w:szCs w:val="7"/>
                <w:color w:val="auto"/>
              </w:rPr>
            </w:pPr>
          </w:p>
        </w:tc>
        <w:tc>
          <w:tcPr>
            <w:tcW w:w="4220" w:type="dxa"/>
            <w:vAlign w:val="bottom"/>
            <w:vMerge w:val="continue"/>
            <w:shd w:val="clear" w:color="auto" w:fill="D1DDE6"/>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2"/>
        </w:trPr>
        <w:tc>
          <w:tcPr>
            <w:tcW w:w="2980" w:type="dxa"/>
            <w:vAlign w:val="bottom"/>
          </w:tcPr>
          <w:p>
            <w:pPr>
              <w:ind w:left="20"/>
              <w:spacing w:after="0"/>
              <w:rPr>
                <w:sz w:val="20"/>
                <w:szCs w:val="20"/>
                <w:color w:val="auto"/>
              </w:rPr>
            </w:pPr>
            <w:r>
              <w:rPr>
                <w:rFonts w:ascii="Arial" w:cs="Arial" w:eastAsia="Arial" w:hAnsi="Arial"/>
                <w:sz w:val="14"/>
                <w:szCs w:val="14"/>
                <w:color w:val="auto"/>
              </w:rPr>
              <w:t>Normal Retirement</w:t>
            </w:r>
          </w:p>
        </w:tc>
        <w:tc>
          <w:tcPr>
            <w:tcW w:w="4220" w:type="dxa"/>
            <w:vAlign w:val="bottom"/>
          </w:tcPr>
          <w:p>
            <w:pPr>
              <w:jc w:val="center"/>
              <w:spacing w:after="0"/>
              <w:rPr>
                <w:sz w:val="20"/>
                <w:szCs w:val="20"/>
                <w:color w:val="auto"/>
              </w:rPr>
            </w:pPr>
            <w:r>
              <w:rPr>
                <w:rFonts w:ascii="Arial" w:cs="Arial" w:eastAsia="Arial" w:hAnsi="Arial"/>
                <w:sz w:val="14"/>
                <w:szCs w:val="14"/>
                <w:color w:val="auto"/>
                <w:w w:val="94"/>
              </w:rPr>
              <w:t>Age 65</w:t>
            </w:r>
          </w:p>
        </w:tc>
        <w:tc>
          <w:tcPr>
            <w:tcW w:w="4220" w:type="dxa"/>
            <w:vAlign w:val="bottom"/>
          </w:tcPr>
          <w:p>
            <w:pPr>
              <w:jc w:val="center"/>
              <w:spacing w:after="0"/>
              <w:rPr>
                <w:sz w:val="20"/>
                <w:szCs w:val="20"/>
                <w:color w:val="auto"/>
              </w:rPr>
            </w:pPr>
            <w:r>
              <w:rPr>
                <w:rFonts w:ascii="Arial" w:cs="Arial" w:eastAsia="Arial" w:hAnsi="Arial"/>
                <w:sz w:val="14"/>
                <w:szCs w:val="14"/>
                <w:color w:val="auto"/>
                <w:w w:val="99"/>
              </w:rPr>
              <w:t>Age 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980" w:type="dxa"/>
            <w:vAlign w:val="bottom"/>
            <w:shd w:val="clear" w:color="auto" w:fill="D1DDE6"/>
          </w:tcPr>
          <w:p>
            <w:pPr>
              <w:ind w:left="20"/>
              <w:spacing w:after="0"/>
              <w:rPr>
                <w:sz w:val="20"/>
                <w:szCs w:val="20"/>
                <w:color w:val="auto"/>
              </w:rPr>
            </w:pPr>
            <w:r>
              <w:rPr>
                <w:rFonts w:ascii="Arial" w:cs="Arial" w:eastAsia="Arial" w:hAnsi="Arial"/>
                <w:sz w:val="14"/>
                <w:szCs w:val="14"/>
                <w:color w:val="auto"/>
              </w:rPr>
              <w:t>Early Retirement</w:t>
            </w:r>
          </w:p>
        </w:tc>
        <w:tc>
          <w:tcPr>
            <w:tcW w:w="4220" w:type="dxa"/>
            <w:vAlign w:val="bottom"/>
            <w:shd w:val="clear" w:color="auto" w:fill="D1DDE6"/>
          </w:tcPr>
          <w:p>
            <w:pPr>
              <w:jc w:val="center"/>
              <w:spacing w:after="0"/>
              <w:rPr>
                <w:sz w:val="20"/>
                <w:szCs w:val="20"/>
                <w:color w:val="auto"/>
              </w:rPr>
            </w:pPr>
            <w:r>
              <w:rPr>
                <w:rFonts w:ascii="Arial" w:cs="Arial" w:eastAsia="Arial" w:hAnsi="Arial"/>
                <w:sz w:val="14"/>
                <w:szCs w:val="14"/>
                <w:color w:val="auto"/>
                <w:w w:val="97"/>
              </w:rPr>
              <w:t>Age 55 with 10 years of service</w:t>
            </w:r>
          </w:p>
        </w:tc>
        <w:tc>
          <w:tcPr>
            <w:tcW w:w="4220" w:type="dxa"/>
            <w:vAlign w:val="bottom"/>
            <w:shd w:val="clear" w:color="auto" w:fill="D1DDE6"/>
          </w:tcPr>
          <w:p>
            <w:pPr>
              <w:jc w:val="center"/>
              <w:spacing w:after="0"/>
              <w:rPr>
                <w:sz w:val="20"/>
                <w:szCs w:val="20"/>
                <w:color w:val="auto"/>
              </w:rPr>
            </w:pPr>
            <w:r>
              <w:rPr>
                <w:rFonts w:ascii="Arial" w:cs="Arial" w:eastAsia="Arial" w:hAnsi="Arial"/>
                <w:sz w:val="14"/>
                <w:szCs w:val="14"/>
                <w:color w:val="auto"/>
                <w:w w:val="99"/>
              </w:rPr>
              <w:t>Age 55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2980" w:type="dxa"/>
            <w:vAlign w:val="bottom"/>
            <w:vMerge w:val="restart"/>
          </w:tcPr>
          <w:p>
            <w:pPr>
              <w:ind w:left="20"/>
              <w:spacing w:after="0"/>
              <w:rPr>
                <w:sz w:val="20"/>
                <w:szCs w:val="20"/>
                <w:color w:val="auto"/>
              </w:rPr>
            </w:pPr>
            <w:r>
              <w:rPr>
                <w:rFonts w:ascii="Arial" w:cs="Arial" w:eastAsia="Arial" w:hAnsi="Arial"/>
                <w:sz w:val="14"/>
                <w:szCs w:val="14"/>
                <w:color w:val="auto"/>
              </w:rPr>
              <w:t>Early Retirement Reduction</w:t>
            </w:r>
          </w:p>
        </w:tc>
        <w:tc>
          <w:tcPr>
            <w:tcW w:w="4220" w:type="dxa"/>
            <w:vAlign w:val="bottom"/>
          </w:tcPr>
          <w:p>
            <w:pPr>
              <w:jc w:val="center"/>
              <w:spacing w:after="0"/>
              <w:rPr>
                <w:sz w:val="20"/>
                <w:szCs w:val="20"/>
                <w:color w:val="auto"/>
              </w:rPr>
            </w:pPr>
            <w:r>
              <w:rPr>
                <w:rFonts w:ascii="Arial" w:cs="Arial" w:eastAsia="Arial" w:hAnsi="Arial"/>
                <w:sz w:val="14"/>
                <w:szCs w:val="14"/>
                <w:color w:val="auto"/>
                <w:w w:val="97"/>
              </w:rPr>
              <w:t>Benefits are reduced for commencement prior to the earlier of age</w:t>
            </w:r>
          </w:p>
        </w:tc>
        <w:tc>
          <w:tcPr>
            <w:tcW w:w="4220" w:type="dxa"/>
            <w:vAlign w:val="bottom"/>
            <w:vMerge w:val="restart"/>
          </w:tcPr>
          <w:p>
            <w:pPr>
              <w:jc w:val="center"/>
              <w:spacing w:after="0"/>
              <w:rPr>
                <w:sz w:val="20"/>
                <w:szCs w:val="20"/>
                <w:color w:val="auto"/>
              </w:rPr>
            </w:pPr>
            <w:r>
              <w:rPr>
                <w:rFonts w:ascii="Arial" w:cs="Arial" w:eastAsia="Arial" w:hAnsi="Arial"/>
                <w:sz w:val="14"/>
                <w:szCs w:val="14"/>
                <w:color w:val="auto"/>
              </w:rPr>
              <w:t>N/A</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7"/>
        </w:trPr>
        <w:tc>
          <w:tcPr>
            <w:tcW w:w="2980" w:type="dxa"/>
            <w:vAlign w:val="bottom"/>
            <w:vMerge w:val="continue"/>
          </w:tcPr>
          <w:p>
            <w:pPr>
              <w:spacing w:after="0"/>
              <w:rPr>
                <w:sz w:val="7"/>
                <w:szCs w:val="7"/>
                <w:color w:val="auto"/>
              </w:rPr>
            </w:pPr>
          </w:p>
        </w:tc>
        <w:tc>
          <w:tcPr>
            <w:tcW w:w="4220" w:type="dxa"/>
            <w:vAlign w:val="bottom"/>
            <w:vMerge w:val="restart"/>
          </w:tcPr>
          <w:p>
            <w:pPr>
              <w:jc w:val="center"/>
              <w:spacing w:after="0"/>
              <w:rPr>
                <w:sz w:val="20"/>
                <w:szCs w:val="20"/>
                <w:color w:val="auto"/>
              </w:rPr>
            </w:pPr>
            <w:r>
              <w:rPr>
                <w:rFonts w:ascii="Arial" w:cs="Arial" w:eastAsia="Arial" w:hAnsi="Arial"/>
                <w:sz w:val="14"/>
                <w:szCs w:val="14"/>
                <w:color w:val="auto"/>
                <w:w w:val="98"/>
              </w:rPr>
              <w:t>65 or 85 points (age + service)</w:t>
            </w:r>
          </w:p>
        </w:tc>
        <w:tc>
          <w:tcPr>
            <w:tcW w:w="422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980" w:type="dxa"/>
            <w:vAlign w:val="bottom"/>
          </w:tcPr>
          <w:p>
            <w:pPr>
              <w:spacing w:after="0"/>
              <w:rPr>
                <w:sz w:val="7"/>
                <w:szCs w:val="7"/>
                <w:color w:val="auto"/>
              </w:rPr>
            </w:pPr>
          </w:p>
        </w:tc>
        <w:tc>
          <w:tcPr>
            <w:tcW w:w="4220" w:type="dxa"/>
            <w:vAlign w:val="bottom"/>
            <w:vMerge w:val="continue"/>
          </w:tcPr>
          <w:p>
            <w:pPr>
              <w:spacing w:after="0"/>
              <w:rPr>
                <w:sz w:val="7"/>
                <w:szCs w:val="7"/>
                <w:color w:val="auto"/>
              </w:rPr>
            </w:pPr>
          </w:p>
        </w:tc>
        <w:tc>
          <w:tcPr>
            <w:tcW w:w="42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2980" w:type="dxa"/>
            <w:vAlign w:val="bottom"/>
            <w:tcBorders>
              <w:bottom w:val="single" w:sz="8" w:color="34657F"/>
            </w:tcBorders>
            <w:shd w:val="clear" w:color="auto" w:fill="D1DDE6"/>
          </w:tcPr>
          <w:p>
            <w:pPr>
              <w:ind w:left="20"/>
              <w:spacing w:after="0"/>
              <w:rPr>
                <w:sz w:val="20"/>
                <w:szCs w:val="20"/>
                <w:color w:val="auto"/>
              </w:rPr>
            </w:pPr>
            <w:r>
              <w:rPr>
                <w:rFonts w:ascii="Arial" w:cs="Arial" w:eastAsia="Arial" w:hAnsi="Arial"/>
                <w:sz w:val="14"/>
                <w:szCs w:val="14"/>
                <w:color w:val="auto"/>
              </w:rPr>
              <w:t>Reductions From Other Plans</w:t>
            </w:r>
          </w:p>
        </w:tc>
        <w:tc>
          <w:tcPr>
            <w:tcW w:w="4220" w:type="dxa"/>
            <w:vAlign w:val="bottom"/>
            <w:tcBorders>
              <w:bottom w:val="single" w:sz="8" w:color="34657F"/>
            </w:tcBorders>
            <w:shd w:val="clear" w:color="auto" w:fill="D1DDE6"/>
          </w:tcPr>
          <w:p>
            <w:pPr>
              <w:jc w:val="center"/>
              <w:spacing w:after="0"/>
              <w:rPr>
                <w:sz w:val="20"/>
                <w:szCs w:val="20"/>
                <w:color w:val="auto"/>
              </w:rPr>
            </w:pPr>
            <w:r>
              <w:rPr>
                <w:rFonts w:ascii="Arial" w:cs="Arial" w:eastAsia="Arial" w:hAnsi="Arial"/>
                <w:sz w:val="14"/>
                <w:szCs w:val="14"/>
                <w:color w:val="auto"/>
                <w:w w:val="97"/>
              </w:rPr>
              <w:t>Reduced by any other Company pension benefits</w:t>
            </w:r>
          </w:p>
        </w:tc>
        <w:tc>
          <w:tcPr>
            <w:tcW w:w="4220" w:type="dxa"/>
            <w:vAlign w:val="bottom"/>
            <w:tcBorders>
              <w:bottom w:val="single" w:sz="8" w:color="34657F"/>
            </w:tcBorders>
            <w:shd w:val="clear" w:color="auto" w:fill="D1DDE6"/>
          </w:tcPr>
          <w:p>
            <w:pPr>
              <w:jc w:val="center"/>
              <w:spacing w:after="0"/>
              <w:rPr>
                <w:sz w:val="20"/>
                <w:szCs w:val="20"/>
                <w:color w:val="auto"/>
              </w:rPr>
            </w:pPr>
            <w:r>
              <w:rPr>
                <w:rFonts w:ascii="Arial" w:cs="Arial" w:eastAsia="Arial" w:hAnsi="Arial"/>
                <w:sz w:val="14"/>
                <w:szCs w:val="14"/>
                <w:color w:val="auto"/>
                <w:w w:val="97"/>
              </w:rPr>
              <w:t>Reduced by Old Cash Balance benefit from the OATK P&amp;R Plan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-146050</wp:posOffset>
            </wp:positionV>
            <wp:extent cx="7253605"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5360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-520065</wp:posOffset>
            </wp:positionV>
            <wp:extent cx="7253605"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5360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-894715</wp:posOffset>
            </wp:positionV>
            <wp:extent cx="725360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53605" cy="8255"/>
                    </a:xfrm>
                    <a:prstGeom prst="rect">
                      <a:avLst/>
                    </a:prstGeom>
                    <a:noFill/>
                  </pic:spPr>
                </pic:pic>
              </a:graphicData>
            </a:graphic>
          </wp:anchor>
        </w:drawing>
      </w:r>
    </w:p>
    <w:p>
      <w:pPr>
        <w:spacing w:after="0" w:line="56" w:lineRule="exact"/>
        <w:rPr>
          <w:sz w:val="20"/>
          <w:szCs w:val="20"/>
          <w:color w:val="auto"/>
        </w:rPr>
      </w:pPr>
    </w:p>
    <w:p>
      <w:pPr>
        <w:ind w:left="380" w:right="400" w:hanging="377"/>
        <w:spacing w:after="0" w:line="263" w:lineRule="auto"/>
        <w:tabs>
          <w:tab w:leader="none" w:pos="380" w:val="left"/>
        </w:tabs>
        <w:numPr>
          <w:ilvl w:val="0"/>
          <w:numId w:val="79"/>
        </w:numPr>
        <w:rPr>
          <w:rFonts w:ascii="Arial" w:cs="Arial" w:eastAsia="Arial" w:hAnsi="Arial"/>
          <w:sz w:val="17"/>
          <w:szCs w:val="17"/>
          <w:color w:val="auto"/>
        </w:rPr>
      </w:pPr>
      <w:r>
        <w:rPr>
          <w:rFonts w:ascii="Arial" w:cs="Arial" w:eastAsia="Arial" w:hAnsi="Arial"/>
          <w:sz w:val="17"/>
          <w:szCs w:val="17"/>
          <w:color w:val="auto"/>
        </w:rPr>
        <w:t>Ms. Warden participates in OSERP II, which mirrors the benefits provided under the Cash Balance Formula, ERISA 2 and OSERP provisions described above.</w:t>
      </w:r>
    </w:p>
    <w:p>
      <w:pPr>
        <w:spacing w:after="0" w:line="124" w:lineRule="exact"/>
        <w:rPr>
          <w:rFonts w:ascii="Arial" w:cs="Arial" w:eastAsia="Arial" w:hAnsi="Arial"/>
          <w:sz w:val="17"/>
          <w:szCs w:val="17"/>
          <w:color w:val="auto"/>
        </w:rPr>
      </w:pPr>
    </w:p>
    <w:p>
      <w:pPr>
        <w:ind w:left="380" w:right="60" w:hanging="377"/>
        <w:spacing w:after="0" w:line="264" w:lineRule="auto"/>
        <w:tabs>
          <w:tab w:leader="none" w:pos="380" w:val="left"/>
        </w:tabs>
        <w:numPr>
          <w:ilvl w:val="0"/>
          <w:numId w:val="79"/>
        </w:numPr>
        <w:rPr>
          <w:rFonts w:ascii="Arial" w:cs="Arial" w:eastAsia="Arial" w:hAnsi="Arial"/>
          <w:sz w:val="17"/>
          <w:szCs w:val="17"/>
          <w:color w:val="auto"/>
        </w:rPr>
      </w:pPr>
      <w:r>
        <w:rPr>
          <w:rFonts w:ascii="Arial" w:cs="Arial" w:eastAsia="Arial" w:hAnsi="Arial"/>
          <w:sz w:val="17"/>
          <w:szCs w:val="17"/>
          <w:color w:val="auto"/>
        </w:rPr>
        <w:t>Mr. Larson participates in the OATK DB SERP which provides the greater of the Final Average Pay benefit noted above and the Old Cash Balance benefit based on Eligible Pay in excess of the Internal Revenue Code section 401(a)(17) limits. In addition, the OATK DB SERP pays a benefit equal the New Cash Balance formula based on Eligible Pay in excess of the Internal Revenue Code section 401(a)(17) limits.</w:t>
      </w:r>
    </w:p>
    <w:p>
      <w:pPr>
        <w:spacing w:after="0" w:line="295" w:lineRule="exact"/>
        <w:rPr>
          <w:sz w:val="20"/>
          <w:szCs w:val="20"/>
          <w:color w:val="auto"/>
        </w:rPr>
      </w:pPr>
    </w:p>
    <w:p>
      <w:pPr>
        <w:ind w:left="5740"/>
        <w:spacing w:after="0"/>
        <w:rPr>
          <w:sz w:val="20"/>
          <w:szCs w:val="20"/>
          <w:color w:val="auto"/>
        </w:rPr>
      </w:pPr>
      <w:r>
        <w:rPr>
          <w:rFonts w:ascii="Arial" w:cs="Arial" w:eastAsia="Arial" w:hAnsi="Arial"/>
          <w:sz w:val="13"/>
          <w:szCs w:val="13"/>
          <w:color w:val="34657F"/>
        </w:rPr>
        <w:t xml:space="preserve">NOTICE OF 2019 ANNUAL MEETING OF SHAREHOLDERS AND PROXY STATEMENT </w:t>
      </w:r>
      <w:r>
        <w:rPr>
          <w:rFonts w:ascii="Arial" w:cs="Arial" w:eastAsia="Arial" w:hAnsi="Arial"/>
          <w:sz w:val="13"/>
          <w:szCs w:val="13"/>
          <w:color w:val="000000"/>
        </w:rPr>
        <w:t>I 61</w:t>
      </w:r>
    </w:p>
    <w:p>
      <w:pPr>
        <w:sectPr>
          <w:pgSz w:w="11900" w:h="16838" w:orient="portrait"/>
          <w:cols w:equalWidth="0" w:num="1">
            <w:col w:w="11440"/>
          </w:cols>
          <w:pgMar w:left="240" w:top="671" w:right="219" w:bottom="1440" w:gutter="0" w:footer="0" w:header="0"/>
        </w:sectPr>
      </w:pPr>
    </w:p>
    <w:bookmarkStart w:id="67" w:name="page68"/>
    <w:bookmarkEnd w:id="67"/>
    <w:p>
      <w:pPr>
        <w:ind w:left="20"/>
        <w:spacing w:after="0"/>
        <w:rPr>
          <w:sz w:val="20"/>
          <w:szCs w:val="20"/>
          <w:color w:val="auto"/>
        </w:rPr>
      </w:pPr>
      <w:r>
        <w:rPr>
          <w:rFonts w:ascii="Arial" w:cs="Arial" w:eastAsia="Arial" w:hAnsi="Arial"/>
          <w:sz w:val="21"/>
          <w:szCs w:val="21"/>
          <w:b w:val="1"/>
          <w:bCs w:val="1"/>
          <w:color w:val="FFFFFF"/>
        </w:rPr>
        <w:drawing>
          <wp:anchor simplePos="0" relativeHeight="251657728" behindDoc="1" locked="0" layoutInCell="0" allowOverlap="1">
            <wp:simplePos x="0" y="0"/>
            <wp:positionH relativeFrom="page">
              <wp:posOffset>154305</wp:posOffset>
            </wp:positionH>
            <wp:positionV relativeFrom="page">
              <wp:posOffset>365760</wp:posOffset>
            </wp:positionV>
            <wp:extent cx="7253605" cy="56197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53605" cy="561975"/>
                    </a:xfrm>
                    <a:prstGeom prst="rect">
                      <a:avLst/>
                    </a:prstGeom>
                    <a:noFill/>
                  </pic:spPr>
                </pic:pic>
              </a:graphicData>
            </a:graphic>
          </wp:anchor>
        </w:drawing>
        <w:t>COMPENSATION TABLES | P</w:t>
      </w:r>
      <w:r>
        <w:rPr>
          <w:rFonts w:ascii="Arial" w:cs="Arial" w:eastAsia="Arial" w:hAnsi="Arial"/>
          <w:sz w:val="17"/>
          <w:szCs w:val="17"/>
          <w:b w:val="1"/>
          <w:bCs w:val="1"/>
          <w:color w:val="FFFFFF"/>
        </w:rPr>
        <w:t>ENSION</w:t>
      </w:r>
      <w:r>
        <w:rPr>
          <w:rFonts w:ascii="Arial" w:cs="Arial" w:eastAsia="Arial" w:hAnsi="Arial"/>
          <w:sz w:val="21"/>
          <w:szCs w:val="21"/>
          <w:b w:val="1"/>
          <w:bCs w:val="1"/>
          <w:color w:val="FFFFFF"/>
        </w:rPr>
        <w:t xml:space="preserve"> B</w:t>
      </w:r>
      <w:r>
        <w:rPr>
          <w:rFonts w:ascii="Arial" w:cs="Arial" w:eastAsia="Arial" w:hAnsi="Arial"/>
          <w:sz w:val="17"/>
          <w:szCs w:val="17"/>
          <w:b w:val="1"/>
          <w:bCs w:val="1"/>
          <w:color w:val="FFFFFF"/>
        </w:rPr>
        <w:t>ENEFITS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20"/>
        <w:spacing w:after="0"/>
        <w:rPr>
          <w:sz w:val="20"/>
          <w:szCs w:val="20"/>
          <w:color w:val="auto"/>
        </w:rPr>
      </w:pPr>
      <w:r>
        <w:rPr>
          <w:rFonts w:ascii="Arial" w:cs="Arial" w:eastAsia="Arial" w:hAnsi="Arial"/>
          <w:sz w:val="24"/>
          <w:szCs w:val="24"/>
          <w:b w:val="1"/>
          <w:bCs w:val="1"/>
          <w:color w:val="auto"/>
        </w:rPr>
        <w:t>Information on Executives Eligible for Early Retirement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38100</wp:posOffset>
            </wp:positionV>
            <wp:extent cx="7253605" cy="1651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pacing w:after="0" w:line="142" w:lineRule="exact"/>
        <w:rPr>
          <w:sz w:val="20"/>
          <w:szCs w:val="20"/>
          <w:color w:val="auto"/>
        </w:rPr>
      </w:pPr>
    </w:p>
    <w:p>
      <w:pPr>
        <w:ind w:right="200"/>
        <w:spacing w:after="0" w:line="263" w:lineRule="auto"/>
        <w:rPr>
          <w:sz w:val="20"/>
          <w:szCs w:val="20"/>
          <w:color w:val="auto"/>
        </w:rPr>
      </w:pPr>
      <w:r>
        <w:rPr>
          <w:rFonts w:ascii="Arial" w:cs="Arial" w:eastAsia="Arial" w:hAnsi="Arial"/>
          <w:sz w:val="17"/>
          <w:szCs w:val="17"/>
          <w:color w:val="auto"/>
        </w:rPr>
        <w:t>The following NEOs were eligible for early retirement as of December 31, 2018 (timing below excludes delays imposed by Internal Revenue Code section 409A):</w:t>
      </w:r>
    </w:p>
    <w:p>
      <w:pPr>
        <w:spacing w:after="0" w:line="73" w:lineRule="exact"/>
        <w:rPr>
          <w:sz w:val="20"/>
          <w:szCs w:val="20"/>
          <w:color w:val="auto"/>
        </w:rPr>
      </w:pPr>
    </w:p>
    <w:p>
      <w:pPr>
        <w:ind w:left="320" w:right="260" w:hanging="317"/>
        <w:spacing w:after="0" w:line="268" w:lineRule="auto"/>
        <w:tabs>
          <w:tab w:leader="none" w:pos="320" w:val="left"/>
        </w:tabs>
        <w:numPr>
          <w:ilvl w:val="0"/>
          <w:numId w:val="80"/>
        </w:numPr>
        <w:rPr>
          <w:rFonts w:ascii="Arial" w:cs="Arial" w:eastAsia="Arial" w:hAnsi="Arial"/>
          <w:sz w:val="21"/>
          <w:szCs w:val="21"/>
          <w:color w:val="34657F"/>
        </w:rPr>
      </w:pPr>
      <w:r>
        <w:rPr>
          <w:rFonts w:ascii="Arial" w:cs="Arial" w:eastAsia="Arial" w:hAnsi="Arial"/>
          <w:sz w:val="17"/>
          <w:szCs w:val="17"/>
          <w:color w:val="auto"/>
        </w:rPr>
        <w:t>If Mr. Bush had retired on December 31, 2018, he would have been eligible to receive an estimated total annual pension benefit of $2,466,855 (commencing January 1, 2019) plus a supplemental benefit payable from retirement to age 62 of $5,687.</w:t>
      </w:r>
    </w:p>
    <w:p>
      <w:pPr>
        <w:spacing w:after="0" w:line="76" w:lineRule="exact"/>
        <w:rPr>
          <w:rFonts w:ascii="Arial" w:cs="Arial" w:eastAsia="Arial" w:hAnsi="Arial"/>
          <w:sz w:val="21"/>
          <w:szCs w:val="21"/>
          <w:color w:val="34657F"/>
        </w:rPr>
      </w:pPr>
    </w:p>
    <w:p>
      <w:pPr>
        <w:ind w:left="320" w:hanging="317"/>
        <w:spacing w:after="0" w:line="268" w:lineRule="auto"/>
        <w:tabs>
          <w:tab w:leader="none" w:pos="320" w:val="left"/>
        </w:tabs>
        <w:numPr>
          <w:ilvl w:val="0"/>
          <w:numId w:val="80"/>
        </w:numPr>
        <w:rPr>
          <w:rFonts w:ascii="Arial" w:cs="Arial" w:eastAsia="Arial" w:hAnsi="Arial"/>
          <w:sz w:val="21"/>
          <w:szCs w:val="21"/>
          <w:color w:val="34657F"/>
        </w:rPr>
      </w:pPr>
      <w:r>
        <w:rPr>
          <w:rFonts w:ascii="Arial" w:cs="Arial" w:eastAsia="Arial" w:hAnsi="Arial"/>
          <w:sz w:val="17"/>
          <w:szCs w:val="17"/>
          <w:color w:val="auto"/>
        </w:rPr>
        <w:t>If Mr. Larson had retired on December 31, 2018, he would have been eligible to receive an estimated annual pension from the OATK P&amp;R Plan of $51,064 (commencing January 1, 2019) and a lump sum from the OATK SERP of $2,865,214.</w:t>
      </w:r>
    </w:p>
    <w:p>
      <w:pPr>
        <w:spacing w:after="0" w:line="370"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62 </w:t>
      </w:r>
      <w:r>
        <w:rPr>
          <w:rFonts w:ascii="Arial" w:cs="Arial" w:eastAsia="Arial" w:hAnsi="Arial"/>
          <w:sz w:val="13"/>
          <w:szCs w:val="13"/>
          <w:color w:val="auto"/>
        </w:rPr>
        <w:t>I</w:t>
      </w:r>
      <w:r>
        <w:rPr>
          <w:rFonts w:ascii="Arial" w:cs="Arial" w:eastAsia="Arial" w:hAnsi="Arial"/>
          <w:sz w:val="17"/>
          <w:szCs w:val="17"/>
          <w:color w:val="auto"/>
        </w:rPr>
        <w:t xml:space="preserve"> </w:t>
      </w:r>
      <w:r>
        <w:rPr>
          <w:rFonts w:ascii="Arial" w:cs="Arial" w:eastAsia="Arial" w:hAnsi="Arial"/>
          <w:sz w:val="13"/>
          <w:szCs w:val="13"/>
          <w:color w:val="34657F"/>
        </w:rPr>
        <w:t>NOTICE OF 2019 ANNUAL MEETING OF SHAREHOLDERS AND PROXY STATEMENT</w:t>
      </w:r>
    </w:p>
    <w:p>
      <w:pPr>
        <w:sectPr>
          <w:pgSz w:w="11900" w:h="16838" w:orient="portrait"/>
          <w:cols w:equalWidth="0" w:num="1">
            <w:col w:w="11200"/>
          </w:cols>
          <w:pgMar w:left="240" w:top="671" w:right="459" w:bottom="1440" w:gutter="0" w:footer="0" w:header="0"/>
        </w:sectPr>
      </w:pPr>
    </w:p>
    <w:bookmarkStart w:id="68" w:name="page69"/>
    <w:bookmarkEnd w:id="68"/>
    <w:p>
      <w:pPr>
        <w:ind w:left="20"/>
        <w:spacing w:after="0"/>
        <w:rPr>
          <w:sz w:val="20"/>
          <w:szCs w:val="20"/>
          <w:color w:val="auto"/>
        </w:rPr>
      </w:pPr>
      <w:r>
        <w:rPr>
          <w:rFonts w:ascii="Arial" w:cs="Arial" w:eastAsia="Arial" w:hAnsi="Arial"/>
          <w:sz w:val="21"/>
          <w:szCs w:val="21"/>
          <w:b w:val="1"/>
          <w:bCs w:val="1"/>
          <w:color w:val="FFFFFF"/>
        </w:rPr>
        <w:drawing>
          <wp:anchor simplePos="0" relativeHeight="251657728" behindDoc="1" locked="0" layoutInCell="0" allowOverlap="1">
            <wp:simplePos x="0" y="0"/>
            <wp:positionH relativeFrom="page">
              <wp:posOffset>154305</wp:posOffset>
            </wp:positionH>
            <wp:positionV relativeFrom="page">
              <wp:posOffset>365760</wp:posOffset>
            </wp:positionV>
            <wp:extent cx="7253605" cy="56197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53605" cy="561975"/>
                    </a:xfrm>
                    <a:prstGeom prst="rect">
                      <a:avLst/>
                    </a:prstGeom>
                    <a:noFill/>
                  </pic:spPr>
                </pic:pic>
              </a:graphicData>
            </a:graphic>
          </wp:anchor>
        </w:drawing>
        <w:t>COMPENSATION TABLES | N</w:t>
      </w:r>
      <w:r>
        <w:rPr>
          <w:rFonts w:ascii="Arial" w:cs="Arial" w:eastAsia="Arial" w:hAnsi="Arial"/>
          <w:sz w:val="17"/>
          <w:szCs w:val="17"/>
          <w:b w:val="1"/>
          <w:bCs w:val="1"/>
          <w:color w:val="FFFFFF"/>
        </w:rPr>
        <w:t>ONQUALIFIED</w:t>
      </w:r>
      <w:r>
        <w:rPr>
          <w:rFonts w:ascii="Arial" w:cs="Arial" w:eastAsia="Arial" w:hAnsi="Arial"/>
          <w:sz w:val="21"/>
          <w:szCs w:val="21"/>
          <w:b w:val="1"/>
          <w:bCs w:val="1"/>
          <w:color w:val="FFFFFF"/>
        </w:rPr>
        <w:t xml:space="preserve"> D</w:t>
      </w:r>
      <w:r>
        <w:rPr>
          <w:rFonts w:ascii="Arial" w:cs="Arial" w:eastAsia="Arial" w:hAnsi="Arial"/>
          <w:sz w:val="17"/>
          <w:szCs w:val="17"/>
          <w:b w:val="1"/>
          <w:bCs w:val="1"/>
          <w:color w:val="FFFFFF"/>
        </w:rPr>
        <w:t>EFERRED</w:t>
      </w:r>
      <w:r>
        <w:rPr>
          <w:rFonts w:ascii="Arial" w:cs="Arial" w:eastAsia="Arial" w:hAnsi="Arial"/>
          <w:sz w:val="21"/>
          <w:szCs w:val="21"/>
          <w:b w:val="1"/>
          <w:bCs w:val="1"/>
          <w:color w:val="FFFFFF"/>
        </w:rPr>
        <w:t xml:space="preserve"> C</w:t>
      </w:r>
      <w:r>
        <w:rPr>
          <w:rFonts w:ascii="Arial" w:cs="Arial" w:eastAsia="Arial" w:hAnsi="Arial"/>
          <w:sz w:val="17"/>
          <w:szCs w:val="17"/>
          <w:b w:val="1"/>
          <w:bCs w:val="1"/>
          <w:color w:val="FFFFFF"/>
        </w:rPr>
        <w:t>OMPENSATION</w:t>
      </w:r>
      <w:r>
        <w:rPr>
          <w:rFonts w:ascii="Arial" w:cs="Arial" w:eastAsia="Arial" w:hAnsi="Arial"/>
          <w:sz w:val="21"/>
          <w:szCs w:val="21"/>
          <w:b w:val="1"/>
          <w:bCs w:val="1"/>
          <w:color w:val="FFFFFF"/>
        </w:rPr>
        <w:t xml:space="preserve"> T</w:t>
      </w:r>
      <w:r>
        <w:rPr>
          <w:rFonts w:ascii="Arial" w:cs="Arial" w:eastAsia="Arial" w:hAnsi="Arial"/>
          <w:sz w:val="17"/>
          <w:szCs w:val="17"/>
          <w:b w:val="1"/>
          <w:bCs w:val="1"/>
          <w:color w:val="FFFFFF"/>
        </w:rPr>
        <w:t>ABLE</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2018 Nonqualified Deferred Compensation</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860" w:type="dxa"/>
            <w:vAlign w:val="bottom"/>
            <w:shd w:val="clear" w:color="auto" w:fill="34657F"/>
          </w:tcPr>
          <w:p>
            <w:pPr>
              <w:spacing w:after="0"/>
              <w:rPr>
                <w:sz w:val="15"/>
                <w:szCs w:val="15"/>
                <w:color w:val="auto"/>
              </w:rPr>
            </w:pPr>
          </w:p>
        </w:tc>
        <w:tc>
          <w:tcPr>
            <w:tcW w:w="1980" w:type="dxa"/>
            <w:vAlign w:val="bottom"/>
            <w:shd w:val="clear" w:color="auto" w:fill="34657F"/>
          </w:tcPr>
          <w:p>
            <w:pPr>
              <w:spacing w:after="0"/>
              <w:rPr>
                <w:sz w:val="15"/>
                <w:szCs w:val="15"/>
                <w:color w:val="auto"/>
              </w:rPr>
            </w:pPr>
          </w:p>
        </w:tc>
        <w:tc>
          <w:tcPr>
            <w:tcW w:w="1560" w:type="dxa"/>
            <w:vAlign w:val="bottom"/>
            <w:shd w:val="clear" w:color="auto" w:fill="34657F"/>
          </w:tcPr>
          <w:p>
            <w:pPr>
              <w:jc w:val="center"/>
              <w:ind w:left="252"/>
              <w:spacing w:after="0"/>
              <w:rPr>
                <w:sz w:val="20"/>
                <w:szCs w:val="20"/>
                <w:color w:val="auto"/>
              </w:rPr>
            </w:pPr>
            <w:r>
              <w:rPr>
                <w:rFonts w:ascii="Arial" w:cs="Arial" w:eastAsia="Arial" w:hAnsi="Arial"/>
                <w:sz w:val="14"/>
                <w:szCs w:val="14"/>
                <w:b w:val="1"/>
                <w:bCs w:val="1"/>
                <w:color w:val="FFFFFF"/>
                <w:w w:val="97"/>
              </w:rPr>
              <w:t>Executive</w:t>
            </w:r>
          </w:p>
        </w:tc>
        <w:tc>
          <w:tcPr>
            <w:tcW w:w="1260" w:type="dxa"/>
            <w:vAlign w:val="bottom"/>
            <w:shd w:val="clear" w:color="auto" w:fill="34657F"/>
          </w:tcPr>
          <w:p>
            <w:pPr>
              <w:jc w:val="center"/>
              <w:spacing w:after="0"/>
              <w:rPr>
                <w:sz w:val="20"/>
                <w:szCs w:val="20"/>
                <w:color w:val="auto"/>
              </w:rPr>
            </w:pPr>
            <w:r>
              <w:rPr>
                <w:rFonts w:ascii="Arial" w:cs="Arial" w:eastAsia="Arial" w:hAnsi="Arial"/>
                <w:sz w:val="14"/>
                <w:szCs w:val="14"/>
                <w:b w:val="1"/>
                <w:bCs w:val="1"/>
                <w:color w:val="FFFFFF"/>
                <w:w w:val="95"/>
              </w:rPr>
              <w:t>Registrant</w:t>
            </w:r>
          </w:p>
        </w:tc>
        <w:tc>
          <w:tcPr>
            <w:tcW w:w="1260" w:type="dxa"/>
            <w:vAlign w:val="bottom"/>
            <w:shd w:val="clear" w:color="auto" w:fill="34657F"/>
          </w:tcPr>
          <w:p>
            <w:pPr>
              <w:jc w:val="center"/>
              <w:spacing w:after="0"/>
              <w:rPr>
                <w:sz w:val="20"/>
                <w:szCs w:val="20"/>
                <w:color w:val="auto"/>
              </w:rPr>
            </w:pPr>
            <w:r>
              <w:rPr>
                <w:rFonts w:ascii="Arial" w:cs="Arial" w:eastAsia="Arial" w:hAnsi="Arial"/>
                <w:sz w:val="14"/>
                <w:szCs w:val="14"/>
                <w:b w:val="1"/>
                <w:bCs w:val="1"/>
                <w:color w:val="FFFFFF"/>
                <w:w w:val="98"/>
              </w:rPr>
              <w:t>Aggregate</w:t>
            </w:r>
          </w:p>
        </w:tc>
        <w:tc>
          <w:tcPr>
            <w:tcW w:w="1260" w:type="dxa"/>
            <w:vAlign w:val="bottom"/>
            <w:shd w:val="clear" w:color="auto" w:fill="34657F"/>
          </w:tcPr>
          <w:p>
            <w:pPr>
              <w:jc w:val="center"/>
              <w:spacing w:after="0"/>
              <w:rPr>
                <w:sz w:val="20"/>
                <w:szCs w:val="20"/>
                <w:color w:val="auto"/>
              </w:rPr>
            </w:pPr>
            <w:r>
              <w:rPr>
                <w:rFonts w:ascii="Arial" w:cs="Arial" w:eastAsia="Arial" w:hAnsi="Arial"/>
                <w:sz w:val="14"/>
                <w:szCs w:val="14"/>
                <w:b w:val="1"/>
                <w:bCs w:val="1"/>
                <w:color w:val="FFFFFF"/>
                <w:w w:val="98"/>
              </w:rPr>
              <w:t>Aggregate</w:t>
            </w:r>
          </w:p>
        </w:tc>
        <w:tc>
          <w:tcPr>
            <w:tcW w:w="1240" w:type="dxa"/>
            <w:vAlign w:val="bottom"/>
            <w:shd w:val="clear" w:color="auto" w:fill="34657F"/>
          </w:tcPr>
          <w:p>
            <w:pPr>
              <w:jc w:val="center"/>
              <w:spacing w:after="0"/>
              <w:rPr>
                <w:sz w:val="20"/>
                <w:szCs w:val="20"/>
                <w:color w:val="auto"/>
              </w:rPr>
            </w:pPr>
            <w:r>
              <w:rPr>
                <w:rFonts w:ascii="Arial" w:cs="Arial" w:eastAsia="Arial" w:hAnsi="Arial"/>
                <w:sz w:val="14"/>
                <w:szCs w:val="14"/>
                <w:b w:val="1"/>
                <w:bCs w:val="1"/>
                <w:color w:val="FFFFFF"/>
                <w:w w:val="98"/>
              </w:rPr>
              <w:t>Aggregate</w:t>
            </w:r>
          </w:p>
        </w:tc>
        <w:tc>
          <w:tcPr>
            <w:tcW w:w="20" w:type="dxa"/>
            <w:vAlign w:val="bottom"/>
            <w:shd w:val="clear" w:color="auto" w:fill="34657F"/>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2860" w:type="dxa"/>
            <w:vAlign w:val="bottom"/>
            <w:shd w:val="clear" w:color="auto" w:fill="34657F"/>
          </w:tcPr>
          <w:p>
            <w:pPr>
              <w:spacing w:after="0"/>
              <w:rPr>
                <w:sz w:val="13"/>
                <w:szCs w:val="13"/>
                <w:color w:val="auto"/>
              </w:rPr>
            </w:pPr>
          </w:p>
        </w:tc>
        <w:tc>
          <w:tcPr>
            <w:tcW w:w="1980" w:type="dxa"/>
            <w:vAlign w:val="bottom"/>
            <w:shd w:val="clear" w:color="auto" w:fill="34657F"/>
          </w:tcPr>
          <w:p>
            <w:pPr>
              <w:spacing w:after="0"/>
              <w:rPr>
                <w:sz w:val="13"/>
                <w:szCs w:val="13"/>
                <w:color w:val="auto"/>
              </w:rPr>
            </w:pPr>
          </w:p>
        </w:tc>
        <w:tc>
          <w:tcPr>
            <w:tcW w:w="1560" w:type="dxa"/>
            <w:vAlign w:val="bottom"/>
            <w:shd w:val="clear" w:color="auto" w:fill="34657F"/>
          </w:tcPr>
          <w:p>
            <w:pPr>
              <w:jc w:val="center"/>
              <w:ind w:left="232"/>
              <w:spacing w:after="0" w:line="154" w:lineRule="exact"/>
              <w:rPr>
                <w:sz w:val="20"/>
                <w:szCs w:val="20"/>
                <w:color w:val="auto"/>
              </w:rPr>
            </w:pPr>
            <w:r>
              <w:rPr>
                <w:rFonts w:ascii="Arial" w:cs="Arial" w:eastAsia="Arial" w:hAnsi="Arial"/>
                <w:sz w:val="14"/>
                <w:szCs w:val="14"/>
                <w:b w:val="1"/>
                <w:bCs w:val="1"/>
                <w:color w:val="FFFFFF"/>
                <w:w w:val="98"/>
              </w:rPr>
              <w:t>Contributions</w:t>
            </w:r>
          </w:p>
        </w:tc>
        <w:tc>
          <w:tcPr>
            <w:tcW w:w="1260" w:type="dxa"/>
            <w:vAlign w:val="bottom"/>
            <w:shd w:val="clear" w:color="auto" w:fill="34657F"/>
          </w:tcPr>
          <w:p>
            <w:pPr>
              <w:jc w:val="center"/>
              <w:spacing w:after="0" w:line="154" w:lineRule="exact"/>
              <w:rPr>
                <w:sz w:val="20"/>
                <w:szCs w:val="20"/>
                <w:color w:val="auto"/>
              </w:rPr>
            </w:pPr>
            <w:r>
              <w:rPr>
                <w:rFonts w:ascii="Arial" w:cs="Arial" w:eastAsia="Arial" w:hAnsi="Arial"/>
                <w:sz w:val="14"/>
                <w:szCs w:val="14"/>
                <w:b w:val="1"/>
                <w:bCs w:val="1"/>
                <w:color w:val="FFFFFF"/>
                <w:w w:val="98"/>
              </w:rPr>
              <w:t>Contributions</w:t>
            </w:r>
          </w:p>
        </w:tc>
        <w:tc>
          <w:tcPr>
            <w:tcW w:w="1260" w:type="dxa"/>
            <w:vAlign w:val="bottom"/>
            <w:shd w:val="clear" w:color="auto" w:fill="34657F"/>
          </w:tcPr>
          <w:p>
            <w:pPr>
              <w:jc w:val="center"/>
              <w:spacing w:after="0" w:line="154" w:lineRule="exact"/>
              <w:rPr>
                <w:sz w:val="20"/>
                <w:szCs w:val="20"/>
                <w:color w:val="auto"/>
              </w:rPr>
            </w:pPr>
            <w:r>
              <w:rPr>
                <w:rFonts w:ascii="Arial" w:cs="Arial" w:eastAsia="Arial" w:hAnsi="Arial"/>
                <w:sz w:val="14"/>
                <w:szCs w:val="14"/>
                <w:b w:val="1"/>
                <w:bCs w:val="1"/>
                <w:color w:val="FFFFFF"/>
                <w:w w:val="96"/>
              </w:rPr>
              <w:t>Earnings</w:t>
            </w:r>
          </w:p>
        </w:tc>
        <w:tc>
          <w:tcPr>
            <w:tcW w:w="1260" w:type="dxa"/>
            <w:vAlign w:val="bottom"/>
            <w:shd w:val="clear" w:color="auto" w:fill="34657F"/>
          </w:tcPr>
          <w:p>
            <w:pPr>
              <w:jc w:val="center"/>
              <w:spacing w:after="0" w:line="154" w:lineRule="exact"/>
              <w:rPr>
                <w:sz w:val="20"/>
                <w:szCs w:val="20"/>
                <w:color w:val="auto"/>
              </w:rPr>
            </w:pPr>
            <w:r>
              <w:rPr>
                <w:rFonts w:ascii="Arial" w:cs="Arial" w:eastAsia="Arial" w:hAnsi="Arial"/>
                <w:sz w:val="14"/>
                <w:szCs w:val="14"/>
                <w:b w:val="1"/>
                <w:bCs w:val="1"/>
                <w:color w:val="FFFFFF"/>
                <w:w w:val="97"/>
              </w:rPr>
              <w:t>Withdrawals/</w:t>
            </w:r>
          </w:p>
        </w:tc>
        <w:tc>
          <w:tcPr>
            <w:tcW w:w="1240" w:type="dxa"/>
            <w:vAlign w:val="bottom"/>
            <w:shd w:val="clear" w:color="auto" w:fill="34657F"/>
          </w:tcPr>
          <w:p>
            <w:pPr>
              <w:jc w:val="center"/>
              <w:spacing w:after="0" w:line="154" w:lineRule="exact"/>
              <w:rPr>
                <w:sz w:val="20"/>
                <w:szCs w:val="20"/>
                <w:color w:val="auto"/>
              </w:rPr>
            </w:pPr>
            <w:r>
              <w:rPr>
                <w:rFonts w:ascii="Arial" w:cs="Arial" w:eastAsia="Arial" w:hAnsi="Arial"/>
                <w:sz w:val="14"/>
                <w:szCs w:val="14"/>
                <w:b w:val="1"/>
                <w:bCs w:val="1"/>
                <w:color w:val="FFFFFF"/>
                <w:w w:val="97"/>
              </w:rPr>
              <w:t>Balance at</w:t>
            </w:r>
          </w:p>
        </w:tc>
        <w:tc>
          <w:tcPr>
            <w:tcW w:w="20" w:type="dxa"/>
            <w:vAlign w:val="bottom"/>
            <w:shd w:val="clear" w:color="auto" w:fill="34657F"/>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860" w:type="dxa"/>
            <w:vAlign w:val="bottom"/>
            <w:shd w:val="clear" w:color="auto" w:fill="34657F"/>
          </w:tcPr>
          <w:p>
            <w:pPr>
              <w:spacing w:after="0"/>
              <w:rPr>
                <w:sz w:val="13"/>
                <w:szCs w:val="13"/>
                <w:color w:val="auto"/>
              </w:rPr>
            </w:pPr>
          </w:p>
        </w:tc>
        <w:tc>
          <w:tcPr>
            <w:tcW w:w="1980" w:type="dxa"/>
            <w:vAlign w:val="bottom"/>
            <w:shd w:val="clear" w:color="auto" w:fill="34657F"/>
          </w:tcPr>
          <w:p>
            <w:pPr>
              <w:spacing w:after="0"/>
              <w:rPr>
                <w:sz w:val="13"/>
                <w:szCs w:val="13"/>
                <w:color w:val="auto"/>
              </w:rPr>
            </w:pPr>
          </w:p>
        </w:tc>
        <w:tc>
          <w:tcPr>
            <w:tcW w:w="1560" w:type="dxa"/>
            <w:vAlign w:val="bottom"/>
            <w:shd w:val="clear" w:color="auto" w:fill="34657F"/>
          </w:tcPr>
          <w:p>
            <w:pPr>
              <w:jc w:val="center"/>
              <w:ind w:left="232"/>
              <w:spacing w:after="0" w:line="154" w:lineRule="exact"/>
              <w:rPr>
                <w:sz w:val="20"/>
                <w:szCs w:val="20"/>
                <w:color w:val="auto"/>
              </w:rPr>
            </w:pPr>
            <w:r>
              <w:rPr>
                <w:rFonts w:ascii="Arial" w:cs="Arial" w:eastAsia="Arial" w:hAnsi="Arial"/>
                <w:sz w:val="14"/>
                <w:szCs w:val="14"/>
                <w:b w:val="1"/>
                <w:bCs w:val="1"/>
                <w:color w:val="FFFFFF"/>
                <w:w w:val="97"/>
              </w:rPr>
              <w:t>in Last FY (1)</w:t>
            </w:r>
          </w:p>
        </w:tc>
        <w:tc>
          <w:tcPr>
            <w:tcW w:w="1260" w:type="dxa"/>
            <w:vAlign w:val="bottom"/>
            <w:shd w:val="clear" w:color="auto" w:fill="34657F"/>
          </w:tcPr>
          <w:p>
            <w:pPr>
              <w:jc w:val="center"/>
              <w:spacing w:after="0" w:line="154" w:lineRule="exact"/>
              <w:rPr>
                <w:sz w:val="20"/>
                <w:szCs w:val="20"/>
                <w:color w:val="auto"/>
              </w:rPr>
            </w:pPr>
            <w:r>
              <w:rPr>
                <w:rFonts w:ascii="Arial" w:cs="Arial" w:eastAsia="Arial" w:hAnsi="Arial"/>
                <w:sz w:val="14"/>
                <w:szCs w:val="14"/>
                <w:b w:val="1"/>
                <w:bCs w:val="1"/>
                <w:color w:val="FFFFFF"/>
                <w:w w:val="97"/>
              </w:rPr>
              <w:t>in Last FY (2)</w:t>
            </w:r>
          </w:p>
        </w:tc>
        <w:tc>
          <w:tcPr>
            <w:tcW w:w="1260" w:type="dxa"/>
            <w:vAlign w:val="bottom"/>
            <w:shd w:val="clear" w:color="auto" w:fill="34657F"/>
          </w:tcPr>
          <w:p>
            <w:pPr>
              <w:jc w:val="center"/>
              <w:spacing w:after="0" w:line="154" w:lineRule="exact"/>
              <w:rPr>
                <w:sz w:val="20"/>
                <w:szCs w:val="20"/>
                <w:color w:val="auto"/>
              </w:rPr>
            </w:pPr>
            <w:r>
              <w:rPr>
                <w:rFonts w:ascii="Arial" w:cs="Arial" w:eastAsia="Arial" w:hAnsi="Arial"/>
                <w:sz w:val="14"/>
                <w:szCs w:val="14"/>
                <w:b w:val="1"/>
                <w:bCs w:val="1"/>
                <w:color w:val="FFFFFF"/>
                <w:w w:val="97"/>
              </w:rPr>
              <w:t>in Last FY (3)</w:t>
            </w:r>
          </w:p>
        </w:tc>
        <w:tc>
          <w:tcPr>
            <w:tcW w:w="1260" w:type="dxa"/>
            <w:vAlign w:val="bottom"/>
            <w:shd w:val="clear" w:color="auto" w:fill="34657F"/>
          </w:tcPr>
          <w:p>
            <w:pPr>
              <w:jc w:val="center"/>
              <w:spacing w:after="0" w:line="154" w:lineRule="exact"/>
              <w:rPr>
                <w:sz w:val="20"/>
                <w:szCs w:val="20"/>
                <w:color w:val="auto"/>
              </w:rPr>
            </w:pPr>
            <w:r>
              <w:rPr>
                <w:rFonts w:ascii="Arial" w:cs="Arial" w:eastAsia="Arial" w:hAnsi="Arial"/>
                <w:sz w:val="14"/>
                <w:szCs w:val="14"/>
                <w:b w:val="1"/>
                <w:bCs w:val="1"/>
                <w:color w:val="FFFFFF"/>
                <w:w w:val="97"/>
              </w:rPr>
              <w:t>Distributions</w:t>
            </w:r>
          </w:p>
        </w:tc>
        <w:tc>
          <w:tcPr>
            <w:tcW w:w="1240" w:type="dxa"/>
            <w:vAlign w:val="bottom"/>
            <w:shd w:val="clear" w:color="auto" w:fill="34657F"/>
          </w:tcPr>
          <w:p>
            <w:pPr>
              <w:jc w:val="center"/>
              <w:spacing w:after="0" w:line="154" w:lineRule="exact"/>
              <w:rPr>
                <w:sz w:val="20"/>
                <w:szCs w:val="20"/>
                <w:color w:val="auto"/>
              </w:rPr>
            </w:pPr>
            <w:r>
              <w:rPr>
                <w:rFonts w:ascii="Arial" w:cs="Arial" w:eastAsia="Arial" w:hAnsi="Arial"/>
                <w:sz w:val="14"/>
                <w:szCs w:val="14"/>
                <w:b w:val="1"/>
                <w:bCs w:val="1"/>
                <w:color w:val="FFFFFF"/>
                <w:w w:val="98"/>
              </w:rPr>
              <w:t>Last FYE (4)</w:t>
            </w:r>
          </w:p>
        </w:tc>
        <w:tc>
          <w:tcPr>
            <w:tcW w:w="20" w:type="dxa"/>
            <w:vAlign w:val="bottom"/>
            <w:shd w:val="clear" w:color="auto" w:fill="34657F"/>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2860" w:type="dxa"/>
            <w:vAlign w:val="bottom"/>
            <w:tcBorders>
              <w:bottom w:val="single" w:sz="8" w:color="34657F"/>
            </w:tcBorders>
            <w:shd w:val="clear" w:color="auto" w:fill="34657F"/>
          </w:tcPr>
          <w:p>
            <w:pPr>
              <w:ind w:left="40"/>
              <w:spacing w:after="0"/>
              <w:rPr>
                <w:sz w:val="20"/>
                <w:szCs w:val="20"/>
                <w:color w:val="auto"/>
              </w:rPr>
            </w:pPr>
            <w:r>
              <w:rPr>
                <w:rFonts w:ascii="Arial" w:cs="Arial" w:eastAsia="Arial" w:hAnsi="Arial"/>
                <w:sz w:val="14"/>
                <w:szCs w:val="14"/>
                <w:b w:val="1"/>
                <w:bCs w:val="1"/>
                <w:color w:val="FFFFFF"/>
              </w:rPr>
              <w:t>Name</w:t>
            </w:r>
          </w:p>
        </w:tc>
        <w:tc>
          <w:tcPr>
            <w:tcW w:w="1980" w:type="dxa"/>
            <w:vAlign w:val="bottom"/>
            <w:tcBorders>
              <w:bottom w:val="single" w:sz="8" w:color="34657F"/>
            </w:tcBorders>
            <w:shd w:val="clear" w:color="auto" w:fill="34657F"/>
          </w:tcPr>
          <w:p>
            <w:pPr>
              <w:ind w:left="800"/>
              <w:spacing w:after="0"/>
              <w:rPr>
                <w:sz w:val="20"/>
                <w:szCs w:val="20"/>
                <w:color w:val="auto"/>
              </w:rPr>
            </w:pPr>
            <w:r>
              <w:rPr>
                <w:rFonts w:ascii="Arial" w:cs="Arial" w:eastAsia="Arial" w:hAnsi="Arial"/>
                <w:sz w:val="14"/>
                <w:szCs w:val="14"/>
                <w:b w:val="1"/>
                <w:bCs w:val="1"/>
                <w:color w:val="FFFFFF"/>
              </w:rPr>
              <w:t>Plan Name</w:t>
            </w:r>
          </w:p>
        </w:tc>
        <w:tc>
          <w:tcPr>
            <w:tcW w:w="1560" w:type="dxa"/>
            <w:vAlign w:val="bottom"/>
            <w:tcBorders>
              <w:bottom w:val="single" w:sz="8" w:color="34657F"/>
            </w:tcBorders>
            <w:shd w:val="clear" w:color="auto" w:fill="34657F"/>
          </w:tcPr>
          <w:p>
            <w:pPr>
              <w:jc w:val="center"/>
              <w:ind w:left="232"/>
              <w:spacing w:after="0"/>
              <w:rPr>
                <w:sz w:val="20"/>
                <w:szCs w:val="20"/>
                <w:color w:val="auto"/>
              </w:rPr>
            </w:pPr>
            <w:r>
              <w:rPr>
                <w:rFonts w:ascii="Arial" w:cs="Arial" w:eastAsia="Arial" w:hAnsi="Arial"/>
                <w:sz w:val="14"/>
                <w:szCs w:val="14"/>
                <w:b w:val="1"/>
                <w:bCs w:val="1"/>
                <w:color w:val="FFFFFF"/>
              </w:rPr>
              <w:t>($)</w:t>
            </w:r>
          </w:p>
        </w:tc>
        <w:tc>
          <w:tcPr>
            <w:tcW w:w="1260" w:type="dxa"/>
            <w:vAlign w:val="bottom"/>
            <w:tcBorders>
              <w:bottom w:val="single" w:sz="8" w:color="34657F"/>
            </w:tcBorders>
            <w:shd w:val="clear" w:color="auto" w:fill="34657F"/>
          </w:tcPr>
          <w:p>
            <w:pPr>
              <w:jc w:val="center"/>
              <w:spacing w:after="0"/>
              <w:rPr>
                <w:sz w:val="20"/>
                <w:szCs w:val="20"/>
                <w:color w:val="auto"/>
              </w:rPr>
            </w:pPr>
            <w:r>
              <w:rPr>
                <w:rFonts w:ascii="Arial" w:cs="Arial" w:eastAsia="Arial" w:hAnsi="Arial"/>
                <w:sz w:val="14"/>
                <w:szCs w:val="14"/>
                <w:b w:val="1"/>
                <w:bCs w:val="1"/>
                <w:color w:val="FFFFFF"/>
              </w:rPr>
              <w:t>($)</w:t>
            </w:r>
          </w:p>
        </w:tc>
        <w:tc>
          <w:tcPr>
            <w:tcW w:w="1260" w:type="dxa"/>
            <w:vAlign w:val="bottom"/>
            <w:tcBorders>
              <w:bottom w:val="single" w:sz="8" w:color="34657F"/>
            </w:tcBorders>
            <w:shd w:val="clear" w:color="auto" w:fill="34657F"/>
          </w:tcPr>
          <w:p>
            <w:pPr>
              <w:jc w:val="center"/>
              <w:spacing w:after="0"/>
              <w:rPr>
                <w:sz w:val="20"/>
                <w:szCs w:val="20"/>
                <w:color w:val="auto"/>
              </w:rPr>
            </w:pPr>
            <w:r>
              <w:rPr>
                <w:rFonts w:ascii="Arial" w:cs="Arial" w:eastAsia="Arial" w:hAnsi="Arial"/>
                <w:sz w:val="14"/>
                <w:szCs w:val="14"/>
                <w:b w:val="1"/>
                <w:bCs w:val="1"/>
                <w:color w:val="FFFFFF"/>
                <w:w w:val="93"/>
              </w:rPr>
              <w:t>($)</w:t>
            </w:r>
          </w:p>
        </w:tc>
        <w:tc>
          <w:tcPr>
            <w:tcW w:w="1260" w:type="dxa"/>
            <w:vAlign w:val="bottom"/>
            <w:tcBorders>
              <w:bottom w:val="single" w:sz="8" w:color="34657F"/>
            </w:tcBorders>
            <w:shd w:val="clear" w:color="auto" w:fill="34657F"/>
          </w:tcPr>
          <w:p>
            <w:pPr>
              <w:jc w:val="center"/>
              <w:spacing w:after="0"/>
              <w:rPr>
                <w:sz w:val="20"/>
                <w:szCs w:val="20"/>
                <w:color w:val="auto"/>
              </w:rPr>
            </w:pPr>
            <w:r>
              <w:rPr>
                <w:rFonts w:ascii="Arial" w:cs="Arial" w:eastAsia="Arial" w:hAnsi="Arial"/>
                <w:sz w:val="14"/>
                <w:szCs w:val="14"/>
                <w:b w:val="1"/>
                <w:bCs w:val="1"/>
                <w:color w:val="FFFFFF"/>
                <w:w w:val="93"/>
              </w:rPr>
              <w:t>($)</w:t>
            </w:r>
          </w:p>
        </w:tc>
        <w:tc>
          <w:tcPr>
            <w:tcW w:w="1240" w:type="dxa"/>
            <w:vAlign w:val="bottom"/>
            <w:tcBorders>
              <w:bottom w:val="single" w:sz="8" w:color="34657F"/>
            </w:tcBorders>
            <w:shd w:val="clear" w:color="auto" w:fill="34657F"/>
          </w:tcPr>
          <w:p>
            <w:pPr>
              <w:jc w:val="center"/>
              <w:spacing w:after="0"/>
              <w:rPr>
                <w:sz w:val="20"/>
                <w:szCs w:val="20"/>
                <w:color w:val="auto"/>
              </w:rPr>
            </w:pPr>
            <w:r>
              <w:rPr>
                <w:rFonts w:ascii="Arial" w:cs="Arial" w:eastAsia="Arial" w:hAnsi="Arial"/>
                <w:sz w:val="14"/>
                <w:szCs w:val="14"/>
                <w:b w:val="1"/>
                <w:bCs w:val="1"/>
                <w:color w:val="FFFFFF"/>
                <w:w w:val="93"/>
              </w:rPr>
              <w:t>($)</w:t>
            </w:r>
          </w:p>
        </w:tc>
        <w:tc>
          <w:tcPr>
            <w:tcW w:w="20" w:type="dxa"/>
            <w:vAlign w:val="bottom"/>
            <w:tcBorders>
              <w:bottom w:val="single" w:sz="8" w:color="34657F"/>
            </w:tcBorders>
            <w:shd w:val="clear" w:color="auto" w:fill="34657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860" w:type="dxa"/>
            <w:vAlign w:val="bottom"/>
          </w:tcPr>
          <w:p>
            <w:pPr>
              <w:spacing w:after="0"/>
              <w:rPr>
                <w:sz w:val="17"/>
                <w:szCs w:val="17"/>
                <w:color w:val="auto"/>
              </w:rPr>
            </w:pPr>
          </w:p>
        </w:tc>
        <w:tc>
          <w:tcPr>
            <w:tcW w:w="1980" w:type="dxa"/>
            <w:vAlign w:val="bottom"/>
            <w:shd w:val="clear" w:color="auto" w:fill="D1DDE6"/>
          </w:tcPr>
          <w:p>
            <w:pPr>
              <w:ind w:left="20"/>
              <w:spacing w:after="0"/>
              <w:rPr>
                <w:sz w:val="20"/>
                <w:szCs w:val="20"/>
                <w:color w:val="auto"/>
              </w:rPr>
            </w:pPr>
            <w:r>
              <w:rPr>
                <w:rFonts w:ascii="Arial" w:cs="Arial" w:eastAsia="Arial" w:hAnsi="Arial"/>
                <w:sz w:val="14"/>
                <w:szCs w:val="14"/>
                <w:color w:val="auto"/>
              </w:rPr>
              <w:t>Deferred Compensation</w:t>
            </w:r>
          </w:p>
        </w:tc>
        <w:tc>
          <w:tcPr>
            <w:tcW w:w="1560" w:type="dxa"/>
            <w:vAlign w:val="bottom"/>
            <w:shd w:val="clear" w:color="auto" w:fill="D1DDE6"/>
          </w:tcPr>
          <w:p>
            <w:pPr>
              <w:jc w:val="center"/>
              <w:ind w:left="232"/>
              <w:spacing w:after="0"/>
              <w:rPr>
                <w:sz w:val="20"/>
                <w:szCs w:val="20"/>
                <w:color w:val="auto"/>
              </w:rPr>
            </w:pPr>
            <w:r>
              <w:rPr>
                <w:rFonts w:ascii="Arial" w:cs="Arial" w:eastAsia="Arial" w:hAnsi="Arial"/>
                <w:sz w:val="14"/>
                <w:szCs w:val="14"/>
                <w:color w:val="auto"/>
                <w:w w:val="99"/>
              </w:rPr>
              <w:t>—</w:t>
            </w:r>
          </w:p>
        </w:tc>
        <w:tc>
          <w:tcPr>
            <w:tcW w:w="1260" w:type="dxa"/>
            <w:vAlign w:val="bottom"/>
            <w:shd w:val="clear" w:color="auto" w:fill="D1DDE6"/>
          </w:tcPr>
          <w:p>
            <w:pPr>
              <w:jc w:val="center"/>
              <w:spacing w:after="0"/>
              <w:rPr>
                <w:sz w:val="20"/>
                <w:szCs w:val="20"/>
                <w:color w:val="auto"/>
              </w:rPr>
            </w:pPr>
            <w:r>
              <w:rPr>
                <w:rFonts w:ascii="Arial" w:cs="Arial" w:eastAsia="Arial" w:hAnsi="Arial"/>
                <w:sz w:val="14"/>
                <w:szCs w:val="14"/>
                <w:color w:val="auto"/>
                <w:w w:val="99"/>
              </w:rPr>
              <w:t>—</w:t>
            </w:r>
          </w:p>
        </w:tc>
        <w:tc>
          <w:tcPr>
            <w:tcW w:w="1260" w:type="dxa"/>
            <w:vAlign w:val="bottom"/>
            <w:shd w:val="clear" w:color="auto" w:fill="D1DDE6"/>
          </w:tcPr>
          <w:p>
            <w:pPr>
              <w:jc w:val="center"/>
              <w:spacing w:after="0"/>
              <w:rPr>
                <w:sz w:val="20"/>
                <w:szCs w:val="20"/>
                <w:color w:val="auto"/>
              </w:rPr>
            </w:pPr>
            <w:r>
              <w:rPr>
                <w:rFonts w:ascii="Arial" w:cs="Arial" w:eastAsia="Arial" w:hAnsi="Arial"/>
                <w:sz w:val="14"/>
                <w:szCs w:val="14"/>
                <w:color w:val="auto"/>
                <w:w w:val="96"/>
              </w:rPr>
              <w:t>(185,883)</w:t>
            </w:r>
          </w:p>
        </w:tc>
        <w:tc>
          <w:tcPr>
            <w:tcW w:w="1260" w:type="dxa"/>
            <w:vAlign w:val="bottom"/>
            <w:shd w:val="clear" w:color="auto" w:fill="D1DDE6"/>
          </w:tcPr>
          <w:p>
            <w:pPr>
              <w:jc w:val="center"/>
              <w:spacing w:after="0"/>
              <w:rPr>
                <w:sz w:val="20"/>
                <w:szCs w:val="20"/>
                <w:color w:val="auto"/>
              </w:rPr>
            </w:pPr>
            <w:r>
              <w:rPr>
                <w:rFonts w:ascii="Arial" w:cs="Arial" w:eastAsia="Arial" w:hAnsi="Arial"/>
                <w:sz w:val="14"/>
                <w:szCs w:val="14"/>
                <w:color w:val="auto"/>
                <w:w w:val="85"/>
              </w:rPr>
              <w:t>—</w:t>
            </w:r>
          </w:p>
        </w:tc>
        <w:tc>
          <w:tcPr>
            <w:tcW w:w="1240" w:type="dxa"/>
            <w:vAlign w:val="bottom"/>
            <w:shd w:val="clear" w:color="auto" w:fill="D1DDE6"/>
          </w:tcPr>
          <w:p>
            <w:pPr>
              <w:jc w:val="center"/>
              <w:spacing w:after="0"/>
              <w:rPr>
                <w:sz w:val="20"/>
                <w:szCs w:val="20"/>
                <w:color w:val="auto"/>
              </w:rPr>
            </w:pPr>
            <w:r>
              <w:rPr>
                <w:rFonts w:ascii="Arial" w:cs="Arial" w:eastAsia="Arial" w:hAnsi="Arial"/>
                <w:sz w:val="14"/>
                <w:szCs w:val="14"/>
                <w:color w:val="auto"/>
                <w:w w:val="96"/>
              </w:rPr>
              <w:t>2,930,900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860" w:type="dxa"/>
            <w:vAlign w:val="bottom"/>
          </w:tcPr>
          <w:p>
            <w:pPr>
              <w:ind w:left="20"/>
              <w:spacing w:after="0"/>
              <w:rPr>
                <w:sz w:val="20"/>
                <w:szCs w:val="20"/>
                <w:color w:val="auto"/>
              </w:rPr>
            </w:pPr>
            <w:r>
              <w:rPr>
                <w:rFonts w:ascii="Arial" w:cs="Arial" w:eastAsia="Arial" w:hAnsi="Arial"/>
                <w:sz w:val="14"/>
                <w:szCs w:val="14"/>
                <w:color w:val="auto"/>
              </w:rPr>
              <w:t>Wesley G. Bush</w:t>
            </w:r>
          </w:p>
        </w:tc>
        <w:tc>
          <w:tcPr>
            <w:tcW w:w="1980" w:type="dxa"/>
            <w:vAlign w:val="bottom"/>
          </w:tcPr>
          <w:p>
            <w:pPr>
              <w:ind w:left="20"/>
              <w:spacing w:after="0"/>
              <w:rPr>
                <w:sz w:val="20"/>
                <w:szCs w:val="20"/>
                <w:color w:val="auto"/>
              </w:rPr>
            </w:pPr>
            <w:r>
              <w:rPr>
                <w:rFonts w:ascii="Arial" w:cs="Arial" w:eastAsia="Arial" w:hAnsi="Arial"/>
                <w:sz w:val="14"/>
                <w:szCs w:val="14"/>
                <w:color w:val="auto"/>
              </w:rPr>
              <w:t>Savings Excess</w:t>
            </w:r>
          </w:p>
        </w:tc>
        <w:tc>
          <w:tcPr>
            <w:tcW w:w="1560" w:type="dxa"/>
            <w:vAlign w:val="bottom"/>
          </w:tcPr>
          <w:p>
            <w:pPr>
              <w:jc w:val="center"/>
              <w:ind w:left="232"/>
              <w:spacing w:after="0"/>
              <w:rPr>
                <w:sz w:val="20"/>
                <w:szCs w:val="20"/>
                <w:color w:val="auto"/>
              </w:rPr>
            </w:pPr>
            <w:r>
              <w:rPr>
                <w:rFonts w:ascii="Arial" w:cs="Arial" w:eastAsia="Arial" w:hAnsi="Arial"/>
                <w:sz w:val="14"/>
                <w:szCs w:val="14"/>
                <w:color w:val="auto"/>
                <w:w w:val="98"/>
              </w:rPr>
              <w:t>397,203</w:t>
            </w:r>
          </w:p>
        </w:tc>
        <w:tc>
          <w:tcPr>
            <w:tcW w:w="1260" w:type="dxa"/>
            <w:vAlign w:val="bottom"/>
          </w:tcPr>
          <w:p>
            <w:pPr>
              <w:jc w:val="center"/>
              <w:spacing w:after="0"/>
              <w:rPr>
                <w:sz w:val="20"/>
                <w:szCs w:val="20"/>
                <w:color w:val="auto"/>
              </w:rPr>
            </w:pPr>
            <w:r>
              <w:rPr>
                <w:rFonts w:ascii="Arial" w:cs="Arial" w:eastAsia="Arial" w:hAnsi="Arial"/>
                <w:sz w:val="14"/>
                <w:szCs w:val="14"/>
                <w:color w:val="auto"/>
                <w:w w:val="98"/>
              </w:rPr>
              <w:t>198,601</w:t>
            </w:r>
          </w:p>
        </w:tc>
        <w:tc>
          <w:tcPr>
            <w:tcW w:w="1260" w:type="dxa"/>
            <w:vAlign w:val="bottom"/>
          </w:tcPr>
          <w:p>
            <w:pPr>
              <w:jc w:val="center"/>
              <w:spacing w:after="0"/>
              <w:rPr>
                <w:sz w:val="20"/>
                <w:szCs w:val="20"/>
                <w:color w:val="auto"/>
              </w:rPr>
            </w:pPr>
            <w:r>
              <w:rPr>
                <w:rFonts w:ascii="Arial" w:cs="Arial" w:eastAsia="Arial" w:hAnsi="Arial"/>
                <w:sz w:val="14"/>
                <w:szCs w:val="14"/>
                <w:color w:val="auto"/>
                <w:w w:val="97"/>
              </w:rPr>
              <w:t>92,290</w:t>
            </w:r>
          </w:p>
        </w:tc>
        <w:tc>
          <w:tcPr>
            <w:tcW w:w="1260" w:type="dxa"/>
            <w:vAlign w:val="bottom"/>
          </w:tcPr>
          <w:p>
            <w:pPr>
              <w:jc w:val="center"/>
              <w:spacing w:after="0"/>
              <w:rPr>
                <w:sz w:val="20"/>
                <w:szCs w:val="20"/>
                <w:color w:val="auto"/>
              </w:rPr>
            </w:pPr>
            <w:r>
              <w:rPr>
                <w:rFonts w:ascii="Arial" w:cs="Arial" w:eastAsia="Arial" w:hAnsi="Arial"/>
                <w:sz w:val="14"/>
                <w:szCs w:val="14"/>
                <w:color w:val="auto"/>
                <w:w w:val="85"/>
              </w:rPr>
              <w:t>—</w:t>
            </w:r>
          </w:p>
        </w:tc>
        <w:tc>
          <w:tcPr>
            <w:tcW w:w="1240" w:type="dxa"/>
            <w:vAlign w:val="bottom"/>
          </w:tcPr>
          <w:p>
            <w:pPr>
              <w:jc w:val="center"/>
              <w:spacing w:after="0"/>
              <w:rPr>
                <w:sz w:val="20"/>
                <w:szCs w:val="20"/>
                <w:color w:val="auto"/>
              </w:rPr>
            </w:pPr>
            <w:r>
              <w:rPr>
                <w:rFonts w:ascii="Arial" w:cs="Arial" w:eastAsia="Arial" w:hAnsi="Arial"/>
                <w:sz w:val="14"/>
                <w:szCs w:val="14"/>
                <w:color w:val="auto"/>
                <w:w w:val="96"/>
              </w:rPr>
              <w:t>11,244,464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860" w:type="dxa"/>
            <w:vAlign w:val="bottom"/>
            <w:tcBorders>
              <w:bottom w:val="single" w:sz="8" w:color="34657F"/>
            </w:tcBorders>
          </w:tcPr>
          <w:p>
            <w:pPr>
              <w:spacing w:after="0"/>
              <w:rPr>
                <w:sz w:val="17"/>
                <w:szCs w:val="17"/>
                <w:color w:val="auto"/>
              </w:rPr>
            </w:pPr>
          </w:p>
        </w:tc>
        <w:tc>
          <w:tcPr>
            <w:tcW w:w="1980" w:type="dxa"/>
            <w:vAlign w:val="bottom"/>
            <w:tcBorders>
              <w:bottom w:val="single" w:sz="8" w:color="34657F"/>
            </w:tcBorders>
            <w:shd w:val="clear" w:color="auto" w:fill="D1DDE6"/>
          </w:tcPr>
          <w:p>
            <w:pPr>
              <w:ind w:left="20"/>
              <w:spacing w:after="0"/>
              <w:rPr>
                <w:sz w:val="20"/>
                <w:szCs w:val="20"/>
                <w:color w:val="auto"/>
              </w:rPr>
            </w:pPr>
            <w:r>
              <w:rPr>
                <w:rFonts w:ascii="Arial" w:cs="Arial" w:eastAsia="Arial" w:hAnsi="Arial"/>
                <w:sz w:val="14"/>
                <w:szCs w:val="14"/>
                <w:color w:val="auto"/>
              </w:rPr>
              <w:t>ORAC</w:t>
            </w:r>
          </w:p>
        </w:tc>
        <w:tc>
          <w:tcPr>
            <w:tcW w:w="1560" w:type="dxa"/>
            <w:vAlign w:val="bottom"/>
            <w:tcBorders>
              <w:bottom w:val="single" w:sz="8" w:color="34657F"/>
            </w:tcBorders>
            <w:shd w:val="clear" w:color="auto" w:fill="D1DDE6"/>
          </w:tcPr>
          <w:p>
            <w:pPr>
              <w:jc w:val="center"/>
              <w:ind w:left="232"/>
              <w:spacing w:after="0"/>
              <w:rPr>
                <w:sz w:val="20"/>
                <w:szCs w:val="20"/>
                <w:color w:val="auto"/>
              </w:rPr>
            </w:pPr>
            <w:r>
              <w:rPr>
                <w:rFonts w:ascii="Arial" w:cs="Arial" w:eastAsia="Arial" w:hAnsi="Arial"/>
                <w:sz w:val="14"/>
                <w:szCs w:val="14"/>
                <w:color w:val="auto"/>
                <w:w w:val="99"/>
              </w:rPr>
              <w:t>—</w:t>
            </w:r>
          </w:p>
        </w:tc>
        <w:tc>
          <w:tcPr>
            <w:tcW w:w="1260" w:type="dxa"/>
            <w:vAlign w:val="bottom"/>
            <w:tcBorders>
              <w:bottom w:val="single" w:sz="8" w:color="34657F"/>
            </w:tcBorders>
            <w:shd w:val="clear" w:color="auto" w:fill="D1DDE6"/>
          </w:tcPr>
          <w:p>
            <w:pPr>
              <w:jc w:val="center"/>
              <w:spacing w:after="0"/>
              <w:rPr>
                <w:sz w:val="20"/>
                <w:szCs w:val="20"/>
                <w:color w:val="auto"/>
              </w:rPr>
            </w:pPr>
            <w:r>
              <w:rPr>
                <w:rFonts w:ascii="Arial" w:cs="Arial" w:eastAsia="Arial" w:hAnsi="Arial"/>
                <w:sz w:val="14"/>
                <w:szCs w:val="14"/>
                <w:color w:val="auto"/>
                <w:w w:val="98"/>
              </w:rPr>
              <w:t>209,601</w:t>
            </w:r>
          </w:p>
        </w:tc>
        <w:tc>
          <w:tcPr>
            <w:tcW w:w="1260" w:type="dxa"/>
            <w:vAlign w:val="bottom"/>
            <w:tcBorders>
              <w:bottom w:val="single" w:sz="8" w:color="34657F"/>
            </w:tcBorders>
            <w:shd w:val="clear" w:color="auto" w:fill="D1DDE6"/>
          </w:tcPr>
          <w:p>
            <w:pPr>
              <w:jc w:val="center"/>
              <w:spacing w:after="0"/>
              <w:rPr>
                <w:sz w:val="20"/>
                <w:szCs w:val="20"/>
                <w:color w:val="auto"/>
              </w:rPr>
            </w:pPr>
            <w:r>
              <w:rPr>
                <w:rFonts w:ascii="Arial" w:cs="Arial" w:eastAsia="Arial" w:hAnsi="Arial"/>
                <w:sz w:val="14"/>
                <w:szCs w:val="14"/>
                <w:color w:val="auto"/>
                <w:w w:val="97"/>
              </w:rPr>
              <w:t>19,591</w:t>
            </w:r>
          </w:p>
        </w:tc>
        <w:tc>
          <w:tcPr>
            <w:tcW w:w="1260" w:type="dxa"/>
            <w:vAlign w:val="bottom"/>
            <w:tcBorders>
              <w:bottom w:val="single" w:sz="8" w:color="34657F"/>
            </w:tcBorders>
            <w:shd w:val="clear" w:color="auto" w:fill="D1DDE6"/>
          </w:tcPr>
          <w:p>
            <w:pPr>
              <w:jc w:val="center"/>
              <w:spacing w:after="0"/>
              <w:rPr>
                <w:sz w:val="20"/>
                <w:szCs w:val="20"/>
                <w:color w:val="auto"/>
              </w:rPr>
            </w:pPr>
            <w:r>
              <w:rPr>
                <w:rFonts w:ascii="Arial" w:cs="Arial" w:eastAsia="Arial" w:hAnsi="Arial"/>
                <w:sz w:val="14"/>
                <w:szCs w:val="14"/>
                <w:color w:val="auto"/>
                <w:w w:val="85"/>
              </w:rPr>
              <w:t>—</w:t>
            </w:r>
          </w:p>
        </w:tc>
        <w:tc>
          <w:tcPr>
            <w:tcW w:w="1240" w:type="dxa"/>
            <w:vAlign w:val="bottom"/>
            <w:tcBorders>
              <w:bottom w:val="single" w:sz="8" w:color="34657F"/>
            </w:tcBorders>
            <w:shd w:val="clear" w:color="auto" w:fill="D1DDE6"/>
          </w:tcPr>
          <w:p>
            <w:pPr>
              <w:jc w:val="center"/>
              <w:spacing w:after="0"/>
              <w:rPr>
                <w:sz w:val="20"/>
                <w:szCs w:val="20"/>
                <w:color w:val="auto"/>
              </w:rPr>
            </w:pPr>
            <w:r>
              <w:rPr>
                <w:rFonts w:ascii="Arial" w:cs="Arial" w:eastAsia="Arial" w:hAnsi="Arial"/>
                <w:sz w:val="14"/>
                <w:szCs w:val="14"/>
                <w:color w:val="auto"/>
                <w:w w:val="94"/>
              </w:rPr>
              <w:t>955,413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860" w:type="dxa"/>
            <w:vAlign w:val="bottom"/>
            <w:vMerge w:val="restart"/>
          </w:tcPr>
          <w:p>
            <w:pPr>
              <w:ind w:left="20"/>
              <w:spacing w:after="0"/>
              <w:rPr>
                <w:sz w:val="20"/>
                <w:szCs w:val="20"/>
                <w:color w:val="auto"/>
              </w:rPr>
            </w:pPr>
            <w:r>
              <w:rPr>
                <w:rFonts w:ascii="Arial" w:cs="Arial" w:eastAsia="Arial" w:hAnsi="Arial"/>
                <w:sz w:val="14"/>
                <w:szCs w:val="14"/>
                <w:color w:val="auto"/>
              </w:rPr>
              <w:t>Kathy J. Warden</w:t>
            </w:r>
          </w:p>
        </w:tc>
        <w:tc>
          <w:tcPr>
            <w:tcW w:w="1980" w:type="dxa"/>
            <w:vAlign w:val="bottom"/>
          </w:tcPr>
          <w:p>
            <w:pPr>
              <w:ind w:left="20"/>
              <w:spacing w:after="0"/>
              <w:rPr>
                <w:sz w:val="20"/>
                <w:szCs w:val="20"/>
                <w:color w:val="auto"/>
              </w:rPr>
            </w:pPr>
            <w:r>
              <w:rPr>
                <w:rFonts w:ascii="Arial" w:cs="Arial" w:eastAsia="Arial" w:hAnsi="Arial"/>
                <w:sz w:val="14"/>
                <w:szCs w:val="14"/>
                <w:color w:val="auto"/>
              </w:rPr>
              <w:t>Savings Excess</w:t>
            </w:r>
          </w:p>
        </w:tc>
        <w:tc>
          <w:tcPr>
            <w:tcW w:w="1560" w:type="dxa"/>
            <w:vAlign w:val="bottom"/>
          </w:tcPr>
          <w:p>
            <w:pPr>
              <w:jc w:val="center"/>
              <w:ind w:left="232"/>
              <w:spacing w:after="0"/>
              <w:rPr>
                <w:sz w:val="20"/>
                <w:szCs w:val="20"/>
                <w:color w:val="auto"/>
              </w:rPr>
            </w:pPr>
            <w:r>
              <w:rPr>
                <w:rFonts w:ascii="Arial" w:cs="Arial" w:eastAsia="Arial" w:hAnsi="Arial"/>
                <w:sz w:val="14"/>
                <w:szCs w:val="14"/>
                <w:color w:val="auto"/>
                <w:w w:val="98"/>
              </w:rPr>
              <w:t>139,957</w:t>
            </w:r>
          </w:p>
        </w:tc>
        <w:tc>
          <w:tcPr>
            <w:tcW w:w="1260" w:type="dxa"/>
            <w:vAlign w:val="bottom"/>
          </w:tcPr>
          <w:p>
            <w:pPr>
              <w:jc w:val="center"/>
              <w:spacing w:after="0"/>
              <w:rPr>
                <w:sz w:val="20"/>
                <w:szCs w:val="20"/>
                <w:color w:val="auto"/>
              </w:rPr>
            </w:pPr>
            <w:r>
              <w:rPr>
                <w:rFonts w:ascii="Arial" w:cs="Arial" w:eastAsia="Arial" w:hAnsi="Arial"/>
                <w:sz w:val="14"/>
                <w:szCs w:val="14"/>
                <w:color w:val="auto"/>
                <w:w w:val="97"/>
              </w:rPr>
              <w:t>69,979</w:t>
            </w:r>
          </w:p>
        </w:tc>
        <w:tc>
          <w:tcPr>
            <w:tcW w:w="1260" w:type="dxa"/>
            <w:vAlign w:val="bottom"/>
          </w:tcPr>
          <w:p>
            <w:pPr>
              <w:jc w:val="center"/>
              <w:spacing w:after="0"/>
              <w:rPr>
                <w:sz w:val="20"/>
                <w:szCs w:val="20"/>
                <w:color w:val="auto"/>
              </w:rPr>
            </w:pPr>
            <w:r>
              <w:rPr>
                <w:rFonts w:ascii="Arial" w:cs="Arial" w:eastAsia="Arial" w:hAnsi="Arial"/>
                <w:sz w:val="14"/>
                <w:szCs w:val="14"/>
                <w:color w:val="auto"/>
                <w:w w:val="96"/>
              </w:rPr>
              <w:t>(101,974)</w:t>
            </w:r>
          </w:p>
        </w:tc>
        <w:tc>
          <w:tcPr>
            <w:tcW w:w="1260" w:type="dxa"/>
            <w:vAlign w:val="bottom"/>
          </w:tcPr>
          <w:p>
            <w:pPr>
              <w:jc w:val="center"/>
              <w:spacing w:after="0"/>
              <w:rPr>
                <w:sz w:val="20"/>
                <w:szCs w:val="20"/>
                <w:color w:val="auto"/>
              </w:rPr>
            </w:pPr>
            <w:r>
              <w:rPr>
                <w:rFonts w:ascii="Arial" w:cs="Arial" w:eastAsia="Arial" w:hAnsi="Arial"/>
                <w:sz w:val="14"/>
                <w:szCs w:val="14"/>
                <w:color w:val="auto"/>
                <w:w w:val="85"/>
              </w:rPr>
              <w:t>—</w:t>
            </w:r>
          </w:p>
        </w:tc>
        <w:tc>
          <w:tcPr>
            <w:tcW w:w="1240" w:type="dxa"/>
            <w:vAlign w:val="bottom"/>
          </w:tcPr>
          <w:p>
            <w:pPr>
              <w:jc w:val="center"/>
              <w:spacing w:after="0"/>
              <w:rPr>
                <w:sz w:val="20"/>
                <w:szCs w:val="20"/>
                <w:color w:val="auto"/>
              </w:rPr>
            </w:pPr>
            <w:r>
              <w:rPr>
                <w:rFonts w:ascii="Arial" w:cs="Arial" w:eastAsia="Arial" w:hAnsi="Arial"/>
                <w:sz w:val="14"/>
                <w:szCs w:val="14"/>
                <w:color w:val="auto"/>
                <w:w w:val="96"/>
              </w:rPr>
              <w:t>1,380,453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7"/>
        </w:trPr>
        <w:tc>
          <w:tcPr>
            <w:tcW w:w="2860" w:type="dxa"/>
            <w:vAlign w:val="bottom"/>
            <w:vMerge w:val="continue"/>
          </w:tcPr>
          <w:p>
            <w:pPr>
              <w:spacing w:after="0"/>
              <w:rPr>
                <w:sz w:val="8"/>
                <w:szCs w:val="8"/>
                <w:color w:val="auto"/>
              </w:rPr>
            </w:pPr>
          </w:p>
        </w:tc>
        <w:tc>
          <w:tcPr>
            <w:tcW w:w="1980" w:type="dxa"/>
            <w:vAlign w:val="bottom"/>
            <w:vMerge w:val="restart"/>
            <w:shd w:val="clear" w:color="auto" w:fill="D1DDE6"/>
          </w:tcPr>
          <w:p>
            <w:pPr>
              <w:ind w:left="20"/>
              <w:spacing w:after="0"/>
              <w:rPr>
                <w:sz w:val="20"/>
                <w:szCs w:val="20"/>
                <w:color w:val="auto"/>
              </w:rPr>
            </w:pPr>
            <w:r>
              <w:rPr>
                <w:rFonts w:ascii="Arial" w:cs="Arial" w:eastAsia="Arial" w:hAnsi="Arial"/>
                <w:sz w:val="14"/>
                <w:szCs w:val="14"/>
                <w:color w:val="auto"/>
              </w:rPr>
              <w:t>ORAC</w:t>
            </w:r>
          </w:p>
        </w:tc>
        <w:tc>
          <w:tcPr>
            <w:tcW w:w="1560" w:type="dxa"/>
            <w:vAlign w:val="bottom"/>
            <w:vMerge w:val="restart"/>
            <w:shd w:val="clear" w:color="auto" w:fill="D1DDE6"/>
          </w:tcPr>
          <w:p>
            <w:pPr>
              <w:jc w:val="center"/>
              <w:ind w:left="232"/>
              <w:spacing w:after="0"/>
              <w:rPr>
                <w:sz w:val="20"/>
                <w:szCs w:val="20"/>
                <w:color w:val="auto"/>
              </w:rPr>
            </w:pPr>
            <w:r>
              <w:rPr>
                <w:rFonts w:ascii="Arial" w:cs="Arial" w:eastAsia="Arial" w:hAnsi="Arial"/>
                <w:sz w:val="14"/>
                <w:szCs w:val="14"/>
                <w:color w:val="auto"/>
                <w:w w:val="99"/>
              </w:rPr>
              <w:t>—</w:t>
            </w:r>
          </w:p>
        </w:tc>
        <w:tc>
          <w:tcPr>
            <w:tcW w:w="1260" w:type="dxa"/>
            <w:vAlign w:val="bottom"/>
            <w:vMerge w:val="restart"/>
            <w:shd w:val="clear" w:color="auto" w:fill="D1DDE6"/>
          </w:tcPr>
          <w:p>
            <w:pPr>
              <w:jc w:val="center"/>
              <w:spacing w:after="0"/>
              <w:rPr>
                <w:sz w:val="20"/>
                <w:szCs w:val="20"/>
                <w:color w:val="auto"/>
              </w:rPr>
            </w:pPr>
            <w:r>
              <w:rPr>
                <w:rFonts w:ascii="Arial" w:cs="Arial" w:eastAsia="Arial" w:hAnsi="Arial"/>
                <w:sz w:val="14"/>
                <w:szCs w:val="14"/>
                <w:color w:val="auto"/>
                <w:w w:val="97"/>
              </w:rPr>
              <w:t>80,978</w:t>
            </w:r>
          </w:p>
        </w:tc>
        <w:tc>
          <w:tcPr>
            <w:tcW w:w="1260" w:type="dxa"/>
            <w:vAlign w:val="bottom"/>
            <w:vMerge w:val="restart"/>
            <w:shd w:val="clear" w:color="auto" w:fill="D1DDE6"/>
          </w:tcPr>
          <w:p>
            <w:pPr>
              <w:jc w:val="center"/>
              <w:spacing w:after="0"/>
              <w:rPr>
                <w:sz w:val="20"/>
                <w:szCs w:val="20"/>
                <w:color w:val="auto"/>
              </w:rPr>
            </w:pPr>
            <w:r>
              <w:rPr>
                <w:rFonts w:ascii="Arial" w:cs="Arial" w:eastAsia="Arial" w:hAnsi="Arial"/>
                <w:sz w:val="14"/>
                <w:szCs w:val="14"/>
                <w:color w:val="auto"/>
                <w:w w:val="95"/>
              </w:rPr>
              <w:t>(28,265)</w:t>
            </w:r>
          </w:p>
        </w:tc>
        <w:tc>
          <w:tcPr>
            <w:tcW w:w="1260" w:type="dxa"/>
            <w:vAlign w:val="bottom"/>
            <w:vMerge w:val="restart"/>
            <w:shd w:val="clear" w:color="auto" w:fill="D1DDE6"/>
          </w:tcPr>
          <w:p>
            <w:pPr>
              <w:jc w:val="center"/>
              <w:spacing w:after="0"/>
              <w:rPr>
                <w:sz w:val="20"/>
                <w:szCs w:val="20"/>
                <w:color w:val="auto"/>
              </w:rPr>
            </w:pPr>
            <w:r>
              <w:rPr>
                <w:rFonts w:ascii="Arial" w:cs="Arial" w:eastAsia="Arial" w:hAnsi="Arial"/>
                <w:sz w:val="14"/>
                <w:szCs w:val="14"/>
                <w:color w:val="auto"/>
                <w:w w:val="85"/>
              </w:rPr>
              <w:t>—</w:t>
            </w:r>
          </w:p>
        </w:tc>
        <w:tc>
          <w:tcPr>
            <w:tcW w:w="1240" w:type="dxa"/>
            <w:vAlign w:val="bottom"/>
            <w:vMerge w:val="restart"/>
            <w:shd w:val="clear" w:color="auto" w:fill="D1DDE6"/>
          </w:tcPr>
          <w:p>
            <w:pPr>
              <w:jc w:val="center"/>
              <w:spacing w:after="0"/>
              <w:rPr>
                <w:sz w:val="20"/>
                <w:szCs w:val="20"/>
                <w:color w:val="auto"/>
              </w:rPr>
            </w:pPr>
            <w:r>
              <w:rPr>
                <w:rFonts w:ascii="Arial" w:cs="Arial" w:eastAsia="Arial" w:hAnsi="Arial"/>
                <w:sz w:val="14"/>
                <w:szCs w:val="14"/>
                <w:color w:val="auto"/>
                <w:w w:val="94"/>
              </w:rPr>
              <w:t>314,359</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2860" w:type="dxa"/>
            <w:vAlign w:val="bottom"/>
            <w:tcBorders>
              <w:bottom w:val="single" w:sz="8" w:color="34657F"/>
            </w:tcBorders>
          </w:tcPr>
          <w:p>
            <w:pPr>
              <w:spacing w:after="0"/>
              <w:rPr>
                <w:sz w:val="9"/>
                <w:szCs w:val="9"/>
                <w:color w:val="auto"/>
              </w:rPr>
            </w:pPr>
          </w:p>
        </w:tc>
        <w:tc>
          <w:tcPr>
            <w:tcW w:w="1980" w:type="dxa"/>
            <w:vAlign w:val="bottom"/>
            <w:tcBorders>
              <w:bottom w:val="single" w:sz="8" w:color="34657F"/>
            </w:tcBorders>
            <w:vMerge w:val="continue"/>
            <w:shd w:val="clear" w:color="auto" w:fill="D1DDE6"/>
          </w:tcPr>
          <w:p>
            <w:pPr>
              <w:spacing w:after="0"/>
              <w:rPr>
                <w:sz w:val="9"/>
                <w:szCs w:val="9"/>
                <w:color w:val="auto"/>
              </w:rPr>
            </w:pPr>
          </w:p>
        </w:tc>
        <w:tc>
          <w:tcPr>
            <w:tcW w:w="1560" w:type="dxa"/>
            <w:vAlign w:val="bottom"/>
            <w:tcBorders>
              <w:bottom w:val="single" w:sz="8" w:color="34657F"/>
            </w:tcBorders>
            <w:vMerge w:val="continue"/>
            <w:shd w:val="clear" w:color="auto" w:fill="D1DDE6"/>
          </w:tcPr>
          <w:p>
            <w:pPr>
              <w:spacing w:after="0"/>
              <w:rPr>
                <w:sz w:val="9"/>
                <w:szCs w:val="9"/>
                <w:color w:val="auto"/>
              </w:rPr>
            </w:pPr>
          </w:p>
        </w:tc>
        <w:tc>
          <w:tcPr>
            <w:tcW w:w="1260" w:type="dxa"/>
            <w:vAlign w:val="bottom"/>
            <w:tcBorders>
              <w:bottom w:val="single" w:sz="8" w:color="34657F"/>
            </w:tcBorders>
            <w:vMerge w:val="continue"/>
            <w:shd w:val="clear" w:color="auto" w:fill="D1DDE6"/>
          </w:tcPr>
          <w:p>
            <w:pPr>
              <w:spacing w:after="0"/>
              <w:rPr>
                <w:sz w:val="9"/>
                <w:szCs w:val="9"/>
                <w:color w:val="auto"/>
              </w:rPr>
            </w:pPr>
          </w:p>
        </w:tc>
        <w:tc>
          <w:tcPr>
            <w:tcW w:w="1260" w:type="dxa"/>
            <w:vAlign w:val="bottom"/>
            <w:tcBorders>
              <w:bottom w:val="single" w:sz="8" w:color="34657F"/>
            </w:tcBorders>
            <w:vMerge w:val="continue"/>
            <w:shd w:val="clear" w:color="auto" w:fill="D1DDE6"/>
          </w:tcPr>
          <w:p>
            <w:pPr>
              <w:spacing w:after="0"/>
              <w:rPr>
                <w:sz w:val="9"/>
                <w:szCs w:val="9"/>
                <w:color w:val="auto"/>
              </w:rPr>
            </w:pPr>
          </w:p>
        </w:tc>
        <w:tc>
          <w:tcPr>
            <w:tcW w:w="1260" w:type="dxa"/>
            <w:vAlign w:val="bottom"/>
            <w:tcBorders>
              <w:bottom w:val="single" w:sz="8" w:color="34657F"/>
            </w:tcBorders>
            <w:vMerge w:val="continue"/>
            <w:shd w:val="clear" w:color="auto" w:fill="D1DDE6"/>
          </w:tcPr>
          <w:p>
            <w:pPr>
              <w:spacing w:after="0"/>
              <w:rPr>
                <w:sz w:val="9"/>
                <w:szCs w:val="9"/>
                <w:color w:val="auto"/>
              </w:rPr>
            </w:pPr>
          </w:p>
        </w:tc>
        <w:tc>
          <w:tcPr>
            <w:tcW w:w="1240" w:type="dxa"/>
            <w:vAlign w:val="bottom"/>
            <w:tcBorders>
              <w:bottom w:val="single" w:sz="8" w:color="34657F"/>
            </w:tcBorders>
            <w:vMerge w:val="continue"/>
            <w:shd w:val="clear" w:color="auto" w:fill="D1DDE6"/>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8"/>
        </w:trPr>
        <w:tc>
          <w:tcPr>
            <w:tcW w:w="2860" w:type="dxa"/>
            <w:vAlign w:val="bottom"/>
            <w:vMerge w:val="restart"/>
          </w:tcPr>
          <w:p>
            <w:pPr>
              <w:ind w:left="20"/>
              <w:spacing w:after="0"/>
              <w:rPr>
                <w:sz w:val="20"/>
                <w:szCs w:val="20"/>
                <w:color w:val="auto"/>
              </w:rPr>
            </w:pPr>
            <w:r>
              <w:rPr>
                <w:rFonts w:ascii="Arial" w:cs="Arial" w:eastAsia="Arial" w:hAnsi="Arial"/>
                <w:sz w:val="14"/>
                <w:szCs w:val="14"/>
                <w:color w:val="auto"/>
              </w:rPr>
              <w:t>Kenneth L. Bedingfield</w:t>
            </w:r>
          </w:p>
        </w:tc>
        <w:tc>
          <w:tcPr>
            <w:tcW w:w="1980" w:type="dxa"/>
            <w:vAlign w:val="bottom"/>
          </w:tcPr>
          <w:p>
            <w:pPr>
              <w:ind w:left="20"/>
              <w:spacing w:after="0"/>
              <w:rPr>
                <w:sz w:val="20"/>
                <w:szCs w:val="20"/>
                <w:color w:val="auto"/>
              </w:rPr>
            </w:pPr>
            <w:r>
              <w:rPr>
                <w:rFonts w:ascii="Arial" w:cs="Arial" w:eastAsia="Arial" w:hAnsi="Arial"/>
                <w:sz w:val="14"/>
                <w:szCs w:val="14"/>
                <w:color w:val="auto"/>
              </w:rPr>
              <w:t>Savings Excess</w:t>
            </w:r>
          </w:p>
        </w:tc>
        <w:tc>
          <w:tcPr>
            <w:tcW w:w="1560" w:type="dxa"/>
            <w:vAlign w:val="bottom"/>
          </w:tcPr>
          <w:p>
            <w:pPr>
              <w:jc w:val="center"/>
              <w:ind w:left="232"/>
              <w:spacing w:after="0"/>
              <w:rPr>
                <w:sz w:val="20"/>
                <w:szCs w:val="20"/>
                <w:color w:val="auto"/>
              </w:rPr>
            </w:pPr>
            <w:r>
              <w:rPr>
                <w:rFonts w:ascii="Arial" w:cs="Arial" w:eastAsia="Arial" w:hAnsi="Arial"/>
                <w:sz w:val="14"/>
                <w:szCs w:val="14"/>
                <w:color w:val="auto"/>
                <w:w w:val="98"/>
              </w:rPr>
              <w:t>236,573</w:t>
            </w:r>
          </w:p>
        </w:tc>
        <w:tc>
          <w:tcPr>
            <w:tcW w:w="1260" w:type="dxa"/>
            <w:vAlign w:val="bottom"/>
          </w:tcPr>
          <w:p>
            <w:pPr>
              <w:jc w:val="center"/>
              <w:spacing w:after="0"/>
              <w:rPr>
                <w:sz w:val="20"/>
                <w:szCs w:val="20"/>
                <w:color w:val="auto"/>
              </w:rPr>
            </w:pPr>
            <w:r>
              <w:rPr>
                <w:rFonts w:ascii="Arial" w:cs="Arial" w:eastAsia="Arial" w:hAnsi="Arial"/>
                <w:sz w:val="14"/>
                <w:szCs w:val="14"/>
                <w:color w:val="auto"/>
                <w:w w:val="98"/>
              </w:rPr>
              <w:t>126,172</w:t>
            </w:r>
          </w:p>
        </w:tc>
        <w:tc>
          <w:tcPr>
            <w:tcW w:w="1260" w:type="dxa"/>
            <w:vAlign w:val="bottom"/>
          </w:tcPr>
          <w:p>
            <w:pPr>
              <w:jc w:val="center"/>
              <w:spacing w:after="0"/>
              <w:rPr>
                <w:sz w:val="20"/>
                <w:szCs w:val="20"/>
                <w:color w:val="auto"/>
              </w:rPr>
            </w:pPr>
            <w:r>
              <w:rPr>
                <w:rFonts w:ascii="Arial" w:cs="Arial" w:eastAsia="Arial" w:hAnsi="Arial"/>
                <w:sz w:val="14"/>
                <w:szCs w:val="14"/>
                <w:color w:val="auto"/>
                <w:w w:val="95"/>
              </w:rPr>
              <w:t>(66,625)</w:t>
            </w:r>
          </w:p>
        </w:tc>
        <w:tc>
          <w:tcPr>
            <w:tcW w:w="1260" w:type="dxa"/>
            <w:vAlign w:val="bottom"/>
          </w:tcPr>
          <w:p>
            <w:pPr>
              <w:jc w:val="center"/>
              <w:spacing w:after="0"/>
              <w:rPr>
                <w:sz w:val="20"/>
                <w:szCs w:val="20"/>
                <w:color w:val="auto"/>
              </w:rPr>
            </w:pPr>
            <w:r>
              <w:rPr>
                <w:rFonts w:ascii="Arial" w:cs="Arial" w:eastAsia="Arial" w:hAnsi="Arial"/>
                <w:sz w:val="14"/>
                <w:szCs w:val="14"/>
                <w:color w:val="auto"/>
                <w:w w:val="85"/>
              </w:rPr>
              <w:t>—</w:t>
            </w:r>
          </w:p>
        </w:tc>
        <w:tc>
          <w:tcPr>
            <w:tcW w:w="1240" w:type="dxa"/>
            <w:vAlign w:val="bottom"/>
          </w:tcPr>
          <w:p>
            <w:pPr>
              <w:jc w:val="center"/>
              <w:spacing w:after="0"/>
              <w:rPr>
                <w:sz w:val="20"/>
                <w:szCs w:val="20"/>
                <w:color w:val="auto"/>
              </w:rPr>
            </w:pPr>
            <w:r>
              <w:rPr>
                <w:rFonts w:ascii="Arial" w:cs="Arial" w:eastAsia="Arial" w:hAnsi="Arial"/>
                <w:sz w:val="14"/>
                <w:szCs w:val="14"/>
                <w:color w:val="auto"/>
                <w:w w:val="96"/>
              </w:rPr>
              <w:t>1,285,188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7"/>
        </w:trPr>
        <w:tc>
          <w:tcPr>
            <w:tcW w:w="2860" w:type="dxa"/>
            <w:vAlign w:val="bottom"/>
            <w:vMerge w:val="continue"/>
          </w:tcPr>
          <w:p>
            <w:pPr>
              <w:spacing w:after="0"/>
              <w:rPr>
                <w:sz w:val="8"/>
                <w:szCs w:val="8"/>
                <w:color w:val="auto"/>
              </w:rPr>
            </w:pPr>
          </w:p>
        </w:tc>
        <w:tc>
          <w:tcPr>
            <w:tcW w:w="1980" w:type="dxa"/>
            <w:vAlign w:val="bottom"/>
            <w:vMerge w:val="restart"/>
            <w:shd w:val="clear" w:color="auto" w:fill="D1DDE6"/>
          </w:tcPr>
          <w:p>
            <w:pPr>
              <w:ind w:left="20"/>
              <w:spacing w:after="0"/>
              <w:rPr>
                <w:sz w:val="20"/>
                <w:szCs w:val="20"/>
                <w:color w:val="auto"/>
              </w:rPr>
            </w:pPr>
            <w:r>
              <w:rPr>
                <w:rFonts w:ascii="Arial" w:cs="Arial" w:eastAsia="Arial" w:hAnsi="Arial"/>
                <w:sz w:val="14"/>
                <w:szCs w:val="14"/>
                <w:color w:val="auto"/>
              </w:rPr>
              <w:t>ORAC</w:t>
            </w:r>
          </w:p>
        </w:tc>
        <w:tc>
          <w:tcPr>
            <w:tcW w:w="1560" w:type="dxa"/>
            <w:vAlign w:val="bottom"/>
            <w:vMerge w:val="restart"/>
            <w:shd w:val="clear" w:color="auto" w:fill="D1DDE6"/>
          </w:tcPr>
          <w:p>
            <w:pPr>
              <w:jc w:val="center"/>
              <w:ind w:left="232"/>
              <w:spacing w:after="0"/>
              <w:rPr>
                <w:sz w:val="20"/>
                <w:szCs w:val="20"/>
                <w:color w:val="auto"/>
              </w:rPr>
            </w:pPr>
            <w:r>
              <w:rPr>
                <w:rFonts w:ascii="Arial" w:cs="Arial" w:eastAsia="Arial" w:hAnsi="Arial"/>
                <w:sz w:val="14"/>
                <w:szCs w:val="14"/>
                <w:color w:val="auto"/>
                <w:w w:val="99"/>
              </w:rPr>
              <w:t>—</w:t>
            </w:r>
          </w:p>
        </w:tc>
        <w:tc>
          <w:tcPr>
            <w:tcW w:w="1260" w:type="dxa"/>
            <w:vAlign w:val="bottom"/>
            <w:vMerge w:val="restart"/>
            <w:shd w:val="clear" w:color="auto" w:fill="D1DDE6"/>
          </w:tcPr>
          <w:p>
            <w:pPr>
              <w:jc w:val="center"/>
              <w:spacing w:after="0"/>
              <w:rPr>
                <w:sz w:val="20"/>
                <w:szCs w:val="20"/>
                <w:color w:val="auto"/>
              </w:rPr>
            </w:pPr>
            <w:r>
              <w:rPr>
                <w:rFonts w:ascii="Arial" w:cs="Arial" w:eastAsia="Arial" w:hAnsi="Arial"/>
                <w:sz w:val="14"/>
                <w:szCs w:val="14"/>
                <w:color w:val="auto"/>
                <w:w w:val="97"/>
              </w:rPr>
              <w:t>74,086</w:t>
            </w:r>
          </w:p>
        </w:tc>
        <w:tc>
          <w:tcPr>
            <w:tcW w:w="1260" w:type="dxa"/>
            <w:vAlign w:val="bottom"/>
            <w:vMerge w:val="restart"/>
            <w:shd w:val="clear" w:color="auto" w:fill="D1DDE6"/>
          </w:tcPr>
          <w:p>
            <w:pPr>
              <w:jc w:val="center"/>
              <w:spacing w:after="0"/>
              <w:rPr>
                <w:sz w:val="20"/>
                <w:szCs w:val="20"/>
                <w:color w:val="auto"/>
              </w:rPr>
            </w:pPr>
            <w:r>
              <w:rPr>
                <w:rFonts w:ascii="Arial" w:cs="Arial" w:eastAsia="Arial" w:hAnsi="Arial"/>
                <w:sz w:val="14"/>
                <w:szCs w:val="14"/>
                <w:color w:val="auto"/>
                <w:w w:val="95"/>
              </w:rPr>
              <w:t>(20,322)</w:t>
            </w:r>
          </w:p>
        </w:tc>
        <w:tc>
          <w:tcPr>
            <w:tcW w:w="1260" w:type="dxa"/>
            <w:vAlign w:val="bottom"/>
            <w:vMerge w:val="restart"/>
            <w:shd w:val="clear" w:color="auto" w:fill="D1DDE6"/>
          </w:tcPr>
          <w:p>
            <w:pPr>
              <w:jc w:val="center"/>
              <w:spacing w:after="0"/>
              <w:rPr>
                <w:sz w:val="20"/>
                <w:szCs w:val="20"/>
                <w:color w:val="auto"/>
              </w:rPr>
            </w:pPr>
            <w:r>
              <w:rPr>
                <w:rFonts w:ascii="Arial" w:cs="Arial" w:eastAsia="Arial" w:hAnsi="Arial"/>
                <w:sz w:val="14"/>
                <w:szCs w:val="14"/>
                <w:color w:val="auto"/>
                <w:w w:val="85"/>
              </w:rPr>
              <w:t>—</w:t>
            </w:r>
          </w:p>
        </w:tc>
        <w:tc>
          <w:tcPr>
            <w:tcW w:w="1240" w:type="dxa"/>
            <w:vAlign w:val="bottom"/>
            <w:vMerge w:val="restart"/>
            <w:shd w:val="clear" w:color="auto" w:fill="D1DDE6"/>
          </w:tcPr>
          <w:p>
            <w:pPr>
              <w:jc w:val="center"/>
              <w:spacing w:after="0"/>
              <w:rPr>
                <w:sz w:val="20"/>
                <w:szCs w:val="20"/>
                <w:color w:val="auto"/>
              </w:rPr>
            </w:pPr>
            <w:r>
              <w:rPr>
                <w:rFonts w:ascii="Arial" w:cs="Arial" w:eastAsia="Arial" w:hAnsi="Arial"/>
                <w:sz w:val="14"/>
                <w:szCs w:val="14"/>
                <w:color w:val="auto"/>
                <w:w w:val="94"/>
              </w:rPr>
              <w:t>389,414</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2860" w:type="dxa"/>
            <w:vAlign w:val="bottom"/>
            <w:tcBorders>
              <w:bottom w:val="single" w:sz="8" w:color="34657F"/>
            </w:tcBorders>
          </w:tcPr>
          <w:p>
            <w:pPr>
              <w:spacing w:after="0"/>
              <w:rPr>
                <w:sz w:val="9"/>
                <w:szCs w:val="9"/>
                <w:color w:val="auto"/>
              </w:rPr>
            </w:pPr>
          </w:p>
        </w:tc>
        <w:tc>
          <w:tcPr>
            <w:tcW w:w="1980" w:type="dxa"/>
            <w:vAlign w:val="bottom"/>
            <w:tcBorders>
              <w:bottom w:val="single" w:sz="8" w:color="34657F"/>
            </w:tcBorders>
            <w:vMerge w:val="continue"/>
            <w:shd w:val="clear" w:color="auto" w:fill="D1DDE6"/>
          </w:tcPr>
          <w:p>
            <w:pPr>
              <w:spacing w:after="0"/>
              <w:rPr>
                <w:sz w:val="9"/>
                <w:szCs w:val="9"/>
                <w:color w:val="auto"/>
              </w:rPr>
            </w:pPr>
          </w:p>
        </w:tc>
        <w:tc>
          <w:tcPr>
            <w:tcW w:w="1560" w:type="dxa"/>
            <w:vAlign w:val="bottom"/>
            <w:tcBorders>
              <w:bottom w:val="single" w:sz="8" w:color="34657F"/>
            </w:tcBorders>
            <w:vMerge w:val="continue"/>
            <w:shd w:val="clear" w:color="auto" w:fill="D1DDE6"/>
          </w:tcPr>
          <w:p>
            <w:pPr>
              <w:spacing w:after="0"/>
              <w:rPr>
                <w:sz w:val="9"/>
                <w:szCs w:val="9"/>
                <w:color w:val="auto"/>
              </w:rPr>
            </w:pPr>
          </w:p>
        </w:tc>
        <w:tc>
          <w:tcPr>
            <w:tcW w:w="1260" w:type="dxa"/>
            <w:vAlign w:val="bottom"/>
            <w:tcBorders>
              <w:bottom w:val="single" w:sz="8" w:color="34657F"/>
            </w:tcBorders>
            <w:vMerge w:val="continue"/>
            <w:shd w:val="clear" w:color="auto" w:fill="D1DDE6"/>
          </w:tcPr>
          <w:p>
            <w:pPr>
              <w:spacing w:after="0"/>
              <w:rPr>
                <w:sz w:val="9"/>
                <w:szCs w:val="9"/>
                <w:color w:val="auto"/>
              </w:rPr>
            </w:pPr>
          </w:p>
        </w:tc>
        <w:tc>
          <w:tcPr>
            <w:tcW w:w="1260" w:type="dxa"/>
            <w:vAlign w:val="bottom"/>
            <w:tcBorders>
              <w:bottom w:val="single" w:sz="8" w:color="34657F"/>
            </w:tcBorders>
            <w:vMerge w:val="continue"/>
            <w:shd w:val="clear" w:color="auto" w:fill="D1DDE6"/>
          </w:tcPr>
          <w:p>
            <w:pPr>
              <w:spacing w:after="0"/>
              <w:rPr>
                <w:sz w:val="9"/>
                <w:szCs w:val="9"/>
                <w:color w:val="auto"/>
              </w:rPr>
            </w:pPr>
          </w:p>
        </w:tc>
        <w:tc>
          <w:tcPr>
            <w:tcW w:w="1260" w:type="dxa"/>
            <w:vAlign w:val="bottom"/>
            <w:tcBorders>
              <w:bottom w:val="single" w:sz="8" w:color="34657F"/>
            </w:tcBorders>
            <w:vMerge w:val="continue"/>
            <w:shd w:val="clear" w:color="auto" w:fill="D1DDE6"/>
          </w:tcPr>
          <w:p>
            <w:pPr>
              <w:spacing w:after="0"/>
              <w:rPr>
                <w:sz w:val="9"/>
                <w:szCs w:val="9"/>
                <w:color w:val="auto"/>
              </w:rPr>
            </w:pPr>
          </w:p>
        </w:tc>
        <w:tc>
          <w:tcPr>
            <w:tcW w:w="1240" w:type="dxa"/>
            <w:vAlign w:val="bottom"/>
            <w:tcBorders>
              <w:bottom w:val="single" w:sz="8" w:color="34657F"/>
            </w:tcBorders>
            <w:vMerge w:val="continue"/>
            <w:shd w:val="clear" w:color="auto" w:fill="D1DDE6"/>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8"/>
        </w:trPr>
        <w:tc>
          <w:tcPr>
            <w:tcW w:w="2860" w:type="dxa"/>
            <w:vAlign w:val="bottom"/>
            <w:vMerge w:val="restart"/>
          </w:tcPr>
          <w:p>
            <w:pPr>
              <w:ind w:left="20"/>
              <w:spacing w:after="0"/>
              <w:rPr>
                <w:sz w:val="20"/>
                <w:szCs w:val="20"/>
                <w:color w:val="auto"/>
              </w:rPr>
            </w:pPr>
            <w:r>
              <w:rPr>
                <w:rFonts w:ascii="Arial" w:cs="Arial" w:eastAsia="Arial" w:hAnsi="Arial"/>
                <w:sz w:val="14"/>
                <w:szCs w:val="14"/>
                <w:color w:val="auto"/>
              </w:rPr>
              <w:t>Mark A. Caylor</w:t>
            </w:r>
          </w:p>
        </w:tc>
        <w:tc>
          <w:tcPr>
            <w:tcW w:w="1980" w:type="dxa"/>
            <w:vAlign w:val="bottom"/>
          </w:tcPr>
          <w:p>
            <w:pPr>
              <w:ind w:left="20"/>
              <w:spacing w:after="0"/>
              <w:rPr>
                <w:sz w:val="20"/>
                <w:szCs w:val="20"/>
                <w:color w:val="auto"/>
              </w:rPr>
            </w:pPr>
            <w:r>
              <w:rPr>
                <w:rFonts w:ascii="Arial" w:cs="Arial" w:eastAsia="Arial" w:hAnsi="Arial"/>
                <w:sz w:val="14"/>
                <w:szCs w:val="14"/>
                <w:color w:val="auto"/>
              </w:rPr>
              <w:t>Savings Excess</w:t>
            </w:r>
          </w:p>
        </w:tc>
        <w:tc>
          <w:tcPr>
            <w:tcW w:w="1560" w:type="dxa"/>
            <w:vAlign w:val="bottom"/>
          </w:tcPr>
          <w:p>
            <w:pPr>
              <w:jc w:val="center"/>
              <w:ind w:left="232"/>
              <w:spacing w:after="0"/>
              <w:rPr>
                <w:sz w:val="20"/>
                <w:szCs w:val="20"/>
                <w:color w:val="auto"/>
              </w:rPr>
            </w:pPr>
            <w:r>
              <w:rPr>
                <w:rFonts w:ascii="Arial" w:cs="Arial" w:eastAsia="Arial" w:hAnsi="Arial"/>
                <w:sz w:val="14"/>
                <w:szCs w:val="14"/>
                <w:color w:val="auto"/>
                <w:w w:val="99"/>
              </w:rPr>
              <w:t>—</w:t>
            </w:r>
          </w:p>
        </w:tc>
        <w:tc>
          <w:tcPr>
            <w:tcW w:w="12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260" w:type="dxa"/>
            <w:vAlign w:val="bottom"/>
          </w:tcPr>
          <w:p>
            <w:pPr>
              <w:jc w:val="center"/>
              <w:spacing w:after="0"/>
              <w:rPr>
                <w:sz w:val="20"/>
                <w:szCs w:val="20"/>
                <w:color w:val="auto"/>
              </w:rPr>
            </w:pPr>
            <w:r>
              <w:rPr>
                <w:rFonts w:ascii="Arial" w:cs="Arial" w:eastAsia="Arial" w:hAnsi="Arial"/>
                <w:sz w:val="14"/>
                <w:szCs w:val="14"/>
                <w:color w:val="auto"/>
                <w:w w:val="99"/>
              </w:rPr>
              <w:t>(7,544)</w:t>
            </w:r>
          </w:p>
        </w:tc>
        <w:tc>
          <w:tcPr>
            <w:tcW w:w="1260" w:type="dxa"/>
            <w:vAlign w:val="bottom"/>
          </w:tcPr>
          <w:p>
            <w:pPr>
              <w:jc w:val="center"/>
              <w:spacing w:after="0"/>
              <w:rPr>
                <w:sz w:val="20"/>
                <w:szCs w:val="20"/>
                <w:color w:val="auto"/>
              </w:rPr>
            </w:pPr>
            <w:r>
              <w:rPr>
                <w:rFonts w:ascii="Arial" w:cs="Arial" w:eastAsia="Arial" w:hAnsi="Arial"/>
                <w:sz w:val="14"/>
                <w:szCs w:val="14"/>
                <w:color w:val="auto"/>
                <w:w w:val="85"/>
              </w:rPr>
              <w:t>—</w:t>
            </w:r>
          </w:p>
        </w:tc>
        <w:tc>
          <w:tcPr>
            <w:tcW w:w="1240" w:type="dxa"/>
            <w:vAlign w:val="bottom"/>
          </w:tcPr>
          <w:p>
            <w:pPr>
              <w:jc w:val="center"/>
              <w:spacing w:after="0"/>
              <w:rPr>
                <w:sz w:val="20"/>
                <w:szCs w:val="20"/>
                <w:color w:val="auto"/>
              </w:rPr>
            </w:pPr>
            <w:r>
              <w:rPr>
                <w:rFonts w:ascii="Arial" w:cs="Arial" w:eastAsia="Arial" w:hAnsi="Arial"/>
                <w:sz w:val="14"/>
                <w:szCs w:val="14"/>
                <w:color w:val="auto"/>
                <w:w w:val="94"/>
              </w:rPr>
              <w:t>141,797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7"/>
        </w:trPr>
        <w:tc>
          <w:tcPr>
            <w:tcW w:w="2860" w:type="dxa"/>
            <w:vAlign w:val="bottom"/>
            <w:vMerge w:val="continue"/>
          </w:tcPr>
          <w:p>
            <w:pPr>
              <w:spacing w:after="0"/>
              <w:rPr>
                <w:sz w:val="8"/>
                <w:szCs w:val="8"/>
                <w:color w:val="auto"/>
              </w:rPr>
            </w:pPr>
          </w:p>
        </w:tc>
        <w:tc>
          <w:tcPr>
            <w:tcW w:w="1980" w:type="dxa"/>
            <w:vAlign w:val="bottom"/>
            <w:vMerge w:val="restart"/>
            <w:shd w:val="clear" w:color="auto" w:fill="D1DDE6"/>
          </w:tcPr>
          <w:p>
            <w:pPr>
              <w:ind w:left="20"/>
              <w:spacing w:after="0"/>
              <w:rPr>
                <w:sz w:val="20"/>
                <w:szCs w:val="20"/>
                <w:color w:val="auto"/>
              </w:rPr>
            </w:pPr>
            <w:r>
              <w:rPr>
                <w:rFonts w:ascii="Arial" w:cs="Arial" w:eastAsia="Arial" w:hAnsi="Arial"/>
                <w:sz w:val="14"/>
                <w:szCs w:val="14"/>
                <w:color w:val="auto"/>
              </w:rPr>
              <w:t>ORAC</w:t>
            </w:r>
          </w:p>
        </w:tc>
        <w:tc>
          <w:tcPr>
            <w:tcW w:w="1560" w:type="dxa"/>
            <w:vAlign w:val="bottom"/>
            <w:vMerge w:val="restart"/>
            <w:shd w:val="clear" w:color="auto" w:fill="D1DDE6"/>
          </w:tcPr>
          <w:p>
            <w:pPr>
              <w:jc w:val="center"/>
              <w:ind w:left="232"/>
              <w:spacing w:after="0"/>
              <w:rPr>
                <w:sz w:val="20"/>
                <w:szCs w:val="20"/>
                <w:color w:val="auto"/>
              </w:rPr>
            </w:pPr>
            <w:r>
              <w:rPr>
                <w:rFonts w:ascii="Arial" w:cs="Arial" w:eastAsia="Arial" w:hAnsi="Arial"/>
                <w:sz w:val="14"/>
                <w:szCs w:val="14"/>
                <w:color w:val="auto"/>
                <w:w w:val="99"/>
              </w:rPr>
              <w:t>—</w:t>
            </w:r>
          </w:p>
        </w:tc>
        <w:tc>
          <w:tcPr>
            <w:tcW w:w="1260" w:type="dxa"/>
            <w:vAlign w:val="bottom"/>
            <w:vMerge w:val="restart"/>
            <w:shd w:val="clear" w:color="auto" w:fill="D1DDE6"/>
          </w:tcPr>
          <w:p>
            <w:pPr>
              <w:jc w:val="center"/>
              <w:spacing w:after="0"/>
              <w:rPr>
                <w:sz w:val="20"/>
                <w:szCs w:val="20"/>
                <w:color w:val="auto"/>
              </w:rPr>
            </w:pPr>
            <w:r>
              <w:rPr>
                <w:rFonts w:ascii="Arial" w:cs="Arial" w:eastAsia="Arial" w:hAnsi="Arial"/>
                <w:sz w:val="14"/>
                <w:szCs w:val="14"/>
                <w:color w:val="auto"/>
                <w:w w:val="97"/>
              </w:rPr>
              <w:t>64,383</w:t>
            </w:r>
          </w:p>
        </w:tc>
        <w:tc>
          <w:tcPr>
            <w:tcW w:w="1260" w:type="dxa"/>
            <w:vAlign w:val="bottom"/>
            <w:vMerge w:val="restart"/>
            <w:shd w:val="clear" w:color="auto" w:fill="D1DDE6"/>
          </w:tcPr>
          <w:p>
            <w:pPr>
              <w:jc w:val="center"/>
              <w:spacing w:after="0"/>
              <w:rPr>
                <w:sz w:val="20"/>
                <w:szCs w:val="20"/>
                <w:color w:val="auto"/>
              </w:rPr>
            </w:pPr>
            <w:r>
              <w:rPr>
                <w:rFonts w:ascii="Arial" w:cs="Arial" w:eastAsia="Arial" w:hAnsi="Arial"/>
                <w:sz w:val="14"/>
                <w:szCs w:val="14"/>
                <w:color w:val="auto"/>
                <w:w w:val="95"/>
              </w:rPr>
              <w:t>(12,171)</w:t>
            </w:r>
          </w:p>
        </w:tc>
        <w:tc>
          <w:tcPr>
            <w:tcW w:w="1260" w:type="dxa"/>
            <w:vAlign w:val="bottom"/>
            <w:vMerge w:val="restart"/>
            <w:shd w:val="clear" w:color="auto" w:fill="D1DDE6"/>
          </w:tcPr>
          <w:p>
            <w:pPr>
              <w:jc w:val="center"/>
              <w:spacing w:after="0"/>
              <w:rPr>
                <w:sz w:val="20"/>
                <w:szCs w:val="20"/>
                <w:color w:val="auto"/>
              </w:rPr>
            </w:pPr>
            <w:r>
              <w:rPr>
                <w:rFonts w:ascii="Arial" w:cs="Arial" w:eastAsia="Arial" w:hAnsi="Arial"/>
                <w:sz w:val="14"/>
                <w:szCs w:val="14"/>
                <w:color w:val="auto"/>
                <w:w w:val="85"/>
              </w:rPr>
              <w:t>—</w:t>
            </w:r>
          </w:p>
        </w:tc>
        <w:tc>
          <w:tcPr>
            <w:tcW w:w="1240" w:type="dxa"/>
            <w:vAlign w:val="bottom"/>
            <w:vMerge w:val="restart"/>
            <w:shd w:val="clear" w:color="auto" w:fill="D1DDE6"/>
          </w:tcPr>
          <w:p>
            <w:pPr>
              <w:jc w:val="center"/>
              <w:spacing w:after="0"/>
              <w:rPr>
                <w:sz w:val="20"/>
                <w:szCs w:val="20"/>
                <w:color w:val="auto"/>
              </w:rPr>
            </w:pPr>
            <w:r>
              <w:rPr>
                <w:rFonts w:ascii="Arial" w:cs="Arial" w:eastAsia="Arial" w:hAnsi="Arial"/>
                <w:sz w:val="14"/>
                <w:szCs w:val="14"/>
                <w:color w:val="auto"/>
                <w:w w:val="94"/>
              </w:rPr>
              <w:t>234,090</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2860" w:type="dxa"/>
            <w:vAlign w:val="bottom"/>
            <w:tcBorders>
              <w:bottom w:val="single" w:sz="8" w:color="34657F"/>
            </w:tcBorders>
          </w:tcPr>
          <w:p>
            <w:pPr>
              <w:spacing w:after="0"/>
              <w:rPr>
                <w:sz w:val="9"/>
                <w:szCs w:val="9"/>
                <w:color w:val="auto"/>
              </w:rPr>
            </w:pPr>
          </w:p>
        </w:tc>
        <w:tc>
          <w:tcPr>
            <w:tcW w:w="1980" w:type="dxa"/>
            <w:vAlign w:val="bottom"/>
            <w:tcBorders>
              <w:bottom w:val="single" w:sz="8" w:color="34657F"/>
            </w:tcBorders>
            <w:vMerge w:val="continue"/>
            <w:shd w:val="clear" w:color="auto" w:fill="D1DDE6"/>
          </w:tcPr>
          <w:p>
            <w:pPr>
              <w:spacing w:after="0"/>
              <w:rPr>
                <w:sz w:val="9"/>
                <w:szCs w:val="9"/>
                <w:color w:val="auto"/>
              </w:rPr>
            </w:pPr>
          </w:p>
        </w:tc>
        <w:tc>
          <w:tcPr>
            <w:tcW w:w="1560" w:type="dxa"/>
            <w:vAlign w:val="bottom"/>
            <w:tcBorders>
              <w:bottom w:val="single" w:sz="8" w:color="34657F"/>
            </w:tcBorders>
            <w:vMerge w:val="continue"/>
            <w:shd w:val="clear" w:color="auto" w:fill="D1DDE6"/>
          </w:tcPr>
          <w:p>
            <w:pPr>
              <w:spacing w:after="0"/>
              <w:rPr>
                <w:sz w:val="9"/>
                <w:szCs w:val="9"/>
                <w:color w:val="auto"/>
              </w:rPr>
            </w:pPr>
          </w:p>
        </w:tc>
        <w:tc>
          <w:tcPr>
            <w:tcW w:w="1260" w:type="dxa"/>
            <w:vAlign w:val="bottom"/>
            <w:tcBorders>
              <w:bottom w:val="single" w:sz="8" w:color="34657F"/>
            </w:tcBorders>
            <w:vMerge w:val="continue"/>
            <w:shd w:val="clear" w:color="auto" w:fill="D1DDE6"/>
          </w:tcPr>
          <w:p>
            <w:pPr>
              <w:spacing w:after="0"/>
              <w:rPr>
                <w:sz w:val="9"/>
                <w:szCs w:val="9"/>
                <w:color w:val="auto"/>
              </w:rPr>
            </w:pPr>
          </w:p>
        </w:tc>
        <w:tc>
          <w:tcPr>
            <w:tcW w:w="1260" w:type="dxa"/>
            <w:vAlign w:val="bottom"/>
            <w:tcBorders>
              <w:bottom w:val="single" w:sz="8" w:color="34657F"/>
            </w:tcBorders>
            <w:vMerge w:val="continue"/>
            <w:shd w:val="clear" w:color="auto" w:fill="D1DDE6"/>
          </w:tcPr>
          <w:p>
            <w:pPr>
              <w:spacing w:after="0"/>
              <w:rPr>
                <w:sz w:val="9"/>
                <w:szCs w:val="9"/>
                <w:color w:val="auto"/>
              </w:rPr>
            </w:pPr>
          </w:p>
        </w:tc>
        <w:tc>
          <w:tcPr>
            <w:tcW w:w="1260" w:type="dxa"/>
            <w:vAlign w:val="bottom"/>
            <w:tcBorders>
              <w:bottom w:val="single" w:sz="8" w:color="34657F"/>
            </w:tcBorders>
            <w:vMerge w:val="continue"/>
            <w:shd w:val="clear" w:color="auto" w:fill="D1DDE6"/>
          </w:tcPr>
          <w:p>
            <w:pPr>
              <w:spacing w:after="0"/>
              <w:rPr>
                <w:sz w:val="9"/>
                <w:szCs w:val="9"/>
                <w:color w:val="auto"/>
              </w:rPr>
            </w:pPr>
          </w:p>
        </w:tc>
        <w:tc>
          <w:tcPr>
            <w:tcW w:w="1240" w:type="dxa"/>
            <w:vAlign w:val="bottom"/>
            <w:tcBorders>
              <w:bottom w:val="single" w:sz="8" w:color="34657F"/>
            </w:tcBorders>
            <w:vMerge w:val="continue"/>
            <w:shd w:val="clear" w:color="auto" w:fill="D1DDE6"/>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8"/>
        </w:trPr>
        <w:tc>
          <w:tcPr>
            <w:tcW w:w="2860" w:type="dxa"/>
            <w:vAlign w:val="bottom"/>
          </w:tcPr>
          <w:p>
            <w:pPr>
              <w:spacing w:after="0"/>
              <w:rPr>
                <w:sz w:val="17"/>
                <w:szCs w:val="17"/>
                <w:color w:val="auto"/>
              </w:rPr>
            </w:pPr>
          </w:p>
        </w:tc>
        <w:tc>
          <w:tcPr>
            <w:tcW w:w="1980" w:type="dxa"/>
            <w:vAlign w:val="bottom"/>
          </w:tcPr>
          <w:p>
            <w:pPr>
              <w:ind w:left="20"/>
              <w:spacing w:after="0"/>
              <w:rPr>
                <w:sz w:val="20"/>
                <w:szCs w:val="20"/>
                <w:color w:val="auto"/>
              </w:rPr>
            </w:pPr>
            <w:r>
              <w:rPr>
                <w:rFonts w:ascii="Arial" w:cs="Arial" w:eastAsia="Arial" w:hAnsi="Arial"/>
                <w:sz w:val="14"/>
                <w:szCs w:val="14"/>
                <w:color w:val="auto"/>
              </w:rPr>
              <w:t>OATK NQ Def Comp</w:t>
            </w:r>
          </w:p>
        </w:tc>
        <w:tc>
          <w:tcPr>
            <w:tcW w:w="1560" w:type="dxa"/>
            <w:vAlign w:val="bottom"/>
          </w:tcPr>
          <w:p>
            <w:pPr>
              <w:jc w:val="center"/>
              <w:ind w:left="232"/>
              <w:spacing w:after="0"/>
              <w:rPr>
                <w:sz w:val="20"/>
                <w:szCs w:val="20"/>
                <w:color w:val="auto"/>
              </w:rPr>
            </w:pPr>
            <w:r>
              <w:rPr>
                <w:rFonts w:ascii="Arial" w:cs="Arial" w:eastAsia="Arial" w:hAnsi="Arial"/>
                <w:sz w:val="14"/>
                <w:szCs w:val="14"/>
                <w:color w:val="auto"/>
                <w:w w:val="99"/>
              </w:rPr>
              <w:t>—</w:t>
            </w:r>
          </w:p>
        </w:tc>
        <w:tc>
          <w:tcPr>
            <w:tcW w:w="12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260" w:type="dxa"/>
            <w:vAlign w:val="bottom"/>
          </w:tcPr>
          <w:p>
            <w:pPr>
              <w:jc w:val="center"/>
              <w:spacing w:after="0"/>
              <w:rPr>
                <w:sz w:val="20"/>
                <w:szCs w:val="20"/>
                <w:color w:val="auto"/>
              </w:rPr>
            </w:pPr>
            <w:r>
              <w:rPr>
                <w:rFonts w:ascii="Arial" w:cs="Arial" w:eastAsia="Arial" w:hAnsi="Arial"/>
                <w:sz w:val="14"/>
                <w:szCs w:val="14"/>
                <w:color w:val="auto"/>
                <w:w w:val="95"/>
              </w:rPr>
              <w:t>(32,846)</w:t>
            </w:r>
          </w:p>
        </w:tc>
        <w:tc>
          <w:tcPr>
            <w:tcW w:w="1260" w:type="dxa"/>
            <w:vAlign w:val="bottom"/>
          </w:tcPr>
          <w:p>
            <w:pPr>
              <w:jc w:val="center"/>
              <w:spacing w:after="0"/>
              <w:rPr>
                <w:sz w:val="20"/>
                <w:szCs w:val="20"/>
                <w:color w:val="auto"/>
              </w:rPr>
            </w:pPr>
            <w:r>
              <w:rPr>
                <w:rFonts w:ascii="Arial" w:cs="Arial" w:eastAsia="Arial" w:hAnsi="Arial"/>
                <w:sz w:val="14"/>
                <w:szCs w:val="14"/>
                <w:color w:val="auto"/>
                <w:w w:val="85"/>
              </w:rPr>
              <w:t>—</w:t>
            </w:r>
          </w:p>
        </w:tc>
        <w:tc>
          <w:tcPr>
            <w:tcW w:w="1240" w:type="dxa"/>
            <w:vAlign w:val="bottom"/>
          </w:tcPr>
          <w:p>
            <w:pPr>
              <w:jc w:val="center"/>
              <w:spacing w:after="0"/>
              <w:rPr>
                <w:sz w:val="20"/>
                <w:szCs w:val="20"/>
                <w:color w:val="auto"/>
              </w:rPr>
            </w:pPr>
            <w:r>
              <w:rPr>
                <w:rFonts w:ascii="Arial" w:cs="Arial" w:eastAsia="Arial" w:hAnsi="Arial"/>
                <w:sz w:val="14"/>
                <w:szCs w:val="14"/>
                <w:color w:val="auto"/>
                <w:w w:val="94"/>
              </w:rPr>
              <w:t>876,135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860" w:type="dxa"/>
            <w:vAlign w:val="bottom"/>
          </w:tcPr>
          <w:p>
            <w:pPr>
              <w:ind w:left="20"/>
              <w:spacing w:after="0"/>
              <w:rPr>
                <w:sz w:val="20"/>
                <w:szCs w:val="20"/>
                <w:color w:val="auto"/>
              </w:rPr>
            </w:pPr>
            <w:r>
              <w:rPr>
                <w:rFonts w:ascii="Arial" w:cs="Arial" w:eastAsia="Arial" w:hAnsi="Arial"/>
                <w:sz w:val="14"/>
                <w:szCs w:val="14"/>
                <w:color w:val="auto"/>
              </w:rPr>
              <w:t>Blake E. Larson (5)</w:t>
            </w:r>
          </w:p>
        </w:tc>
        <w:tc>
          <w:tcPr>
            <w:tcW w:w="1980" w:type="dxa"/>
            <w:vAlign w:val="bottom"/>
            <w:shd w:val="clear" w:color="auto" w:fill="D1DDE6"/>
          </w:tcPr>
          <w:p>
            <w:pPr>
              <w:ind w:left="20"/>
              <w:spacing w:after="0"/>
              <w:rPr>
                <w:sz w:val="20"/>
                <w:szCs w:val="20"/>
                <w:color w:val="auto"/>
              </w:rPr>
            </w:pPr>
            <w:r>
              <w:rPr>
                <w:rFonts w:ascii="Arial" w:cs="Arial" w:eastAsia="Arial" w:hAnsi="Arial"/>
                <w:sz w:val="14"/>
                <w:szCs w:val="14"/>
                <w:color w:val="auto"/>
              </w:rPr>
              <w:t>OATK DC SERP</w:t>
            </w:r>
          </w:p>
        </w:tc>
        <w:tc>
          <w:tcPr>
            <w:tcW w:w="1560" w:type="dxa"/>
            <w:vAlign w:val="bottom"/>
            <w:shd w:val="clear" w:color="auto" w:fill="D1DDE6"/>
          </w:tcPr>
          <w:p>
            <w:pPr>
              <w:jc w:val="center"/>
              <w:ind w:left="232"/>
              <w:spacing w:after="0"/>
              <w:rPr>
                <w:sz w:val="20"/>
                <w:szCs w:val="20"/>
                <w:color w:val="auto"/>
              </w:rPr>
            </w:pPr>
            <w:r>
              <w:rPr>
                <w:rFonts w:ascii="Arial" w:cs="Arial" w:eastAsia="Arial" w:hAnsi="Arial"/>
                <w:sz w:val="14"/>
                <w:szCs w:val="14"/>
                <w:color w:val="auto"/>
                <w:w w:val="99"/>
              </w:rPr>
              <w:t>—</w:t>
            </w:r>
          </w:p>
        </w:tc>
        <w:tc>
          <w:tcPr>
            <w:tcW w:w="1260" w:type="dxa"/>
            <w:vAlign w:val="bottom"/>
            <w:shd w:val="clear" w:color="auto" w:fill="D1DDE6"/>
          </w:tcPr>
          <w:p>
            <w:pPr>
              <w:jc w:val="center"/>
              <w:spacing w:after="0"/>
              <w:rPr>
                <w:sz w:val="20"/>
                <w:szCs w:val="20"/>
                <w:color w:val="auto"/>
              </w:rPr>
            </w:pPr>
            <w:r>
              <w:rPr>
                <w:rFonts w:ascii="Arial" w:cs="Arial" w:eastAsia="Arial" w:hAnsi="Arial"/>
                <w:sz w:val="14"/>
                <w:szCs w:val="14"/>
                <w:color w:val="auto"/>
                <w:w w:val="99"/>
              </w:rPr>
              <w:t>—</w:t>
            </w:r>
          </w:p>
        </w:tc>
        <w:tc>
          <w:tcPr>
            <w:tcW w:w="1260" w:type="dxa"/>
            <w:vAlign w:val="bottom"/>
            <w:shd w:val="clear" w:color="auto" w:fill="D1DDE6"/>
          </w:tcPr>
          <w:p>
            <w:pPr>
              <w:jc w:val="center"/>
              <w:spacing w:after="0"/>
              <w:rPr>
                <w:sz w:val="20"/>
                <w:szCs w:val="20"/>
                <w:color w:val="auto"/>
              </w:rPr>
            </w:pPr>
            <w:r>
              <w:rPr>
                <w:rFonts w:ascii="Arial" w:cs="Arial" w:eastAsia="Arial" w:hAnsi="Arial"/>
                <w:sz w:val="14"/>
                <w:szCs w:val="14"/>
                <w:color w:val="auto"/>
                <w:w w:val="95"/>
              </w:rPr>
              <w:t>(12,372)</w:t>
            </w:r>
          </w:p>
        </w:tc>
        <w:tc>
          <w:tcPr>
            <w:tcW w:w="1260" w:type="dxa"/>
            <w:vAlign w:val="bottom"/>
            <w:shd w:val="clear" w:color="auto" w:fill="D1DDE6"/>
          </w:tcPr>
          <w:p>
            <w:pPr>
              <w:jc w:val="center"/>
              <w:spacing w:after="0"/>
              <w:rPr>
                <w:sz w:val="20"/>
                <w:szCs w:val="20"/>
                <w:color w:val="auto"/>
              </w:rPr>
            </w:pPr>
            <w:r>
              <w:rPr>
                <w:rFonts w:ascii="Arial" w:cs="Arial" w:eastAsia="Arial" w:hAnsi="Arial"/>
                <w:sz w:val="14"/>
                <w:szCs w:val="14"/>
                <w:color w:val="auto"/>
                <w:w w:val="85"/>
              </w:rPr>
              <w:t>—</w:t>
            </w:r>
          </w:p>
        </w:tc>
        <w:tc>
          <w:tcPr>
            <w:tcW w:w="1240" w:type="dxa"/>
            <w:vAlign w:val="bottom"/>
            <w:shd w:val="clear" w:color="auto" w:fill="D1DDE6"/>
          </w:tcPr>
          <w:p>
            <w:pPr>
              <w:jc w:val="center"/>
              <w:spacing w:after="0"/>
              <w:rPr>
                <w:sz w:val="20"/>
                <w:szCs w:val="20"/>
                <w:color w:val="auto"/>
              </w:rPr>
            </w:pPr>
            <w:r>
              <w:rPr>
                <w:rFonts w:ascii="Arial" w:cs="Arial" w:eastAsia="Arial" w:hAnsi="Arial"/>
                <w:sz w:val="14"/>
                <w:szCs w:val="14"/>
                <w:color w:val="auto"/>
                <w:w w:val="94"/>
              </w:rPr>
              <w:t>182,415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860" w:type="dxa"/>
            <w:vAlign w:val="bottom"/>
            <w:tcBorders>
              <w:bottom w:val="single" w:sz="8" w:color="34657F"/>
            </w:tcBorders>
          </w:tcPr>
          <w:p>
            <w:pPr>
              <w:spacing w:after="0"/>
              <w:rPr>
                <w:sz w:val="17"/>
                <w:szCs w:val="17"/>
                <w:color w:val="auto"/>
              </w:rPr>
            </w:pPr>
          </w:p>
        </w:tc>
        <w:tc>
          <w:tcPr>
            <w:tcW w:w="1980" w:type="dxa"/>
            <w:vAlign w:val="bottom"/>
            <w:tcBorders>
              <w:bottom w:val="single" w:sz="8" w:color="34657F"/>
            </w:tcBorders>
          </w:tcPr>
          <w:p>
            <w:pPr>
              <w:ind w:left="20"/>
              <w:spacing w:after="0"/>
              <w:rPr>
                <w:sz w:val="20"/>
                <w:szCs w:val="20"/>
                <w:color w:val="auto"/>
              </w:rPr>
            </w:pPr>
            <w:r>
              <w:rPr>
                <w:rFonts w:ascii="Arial" w:cs="Arial" w:eastAsia="Arial" w:hAnsi="Arial"/>
                <w:sz w:val="14"/>
                <w:szCs w:val="14"/>
                <w:color w:val="auto"/>
              </w:rPr>
              <w:t>ORAC</w:t>
            </w:r>
          </w:p>
        </w:tc>
        <w:tc>
          <w:tcPr>
            <w:tcW w:w="1560" w:type="dxa"/>
            <w:vAlign w:val="bottom"/>
            <w:tcBorders>
              <w:bottom w:val="single" w:sz="8" w:color="34657F"/>
            </w:tcBorders>
          </w:tcPr>
          <w:p>
            <w:pPr>
              <w:jc w:val="center"/>
              <w:ind w:left="232"/>
              <w:spacing w:after="0"/>
              <w:rPr>
                <w:sz w:val="20"/>
                <w:szCs w:val="20"/>
                <w:color w:val="auto"/>
              </w:rPr>
            </w:pPr>
            <w:r>
              <w:rPr>
                <w:rFonts w:ascii="Arial" w:cs="Arial" w:eastAsia="Arial" w:hAnsi="Arial"/>
                <w:sz w:val="14"/>
                <w:szCs w:val="14"/>
                <w:color w:val="auto"/>
                <w:w w:val="99"/>
              </w:rPr>
              <w:t>—</w:t>
            </w:r>
          </w:p>
        </w:tc>
        <w:tc>
          <w:tcPr>
            <w:tcW w:w="1260" w:type="dxa"/>
            <w:vAlign w:val="bottom"/>
            <w:tcBorders>
              <w:bottom w:val="single" w:sz="8" w:color="34657F"/>
            </w:tcBorders>
          </w:tcPr>
          <w:p>
            <w:pPr>
              <w:jc w:val="center"/>
              <w:spacing w:after="0"/>
              <w:rPr>
                <w:sz w:val="20"/>
                <w:szCs w:val="20"/>
                <w:color w:val="auto"/>
              </w:rPr>
            </w:pPr>
            <w:r>
              <w:rPr>
                <w:rFonts w:ascii="Arial" w:cs="Arial" w:eastAsia="Arial" w:hAnsi="Arial"/>
                <w:sz w:val="14"/>
                <w:szCs w:val="14"/>
                <w:color w:val="auto"/>
                <w:w w:val="97"/>
              </w:rPr>
              <w:t>16,749</w:t>
            </w:r>
          </w:p>
        </w:tc>
        <w:tc>
          <w:tcPr>
            <w:tcW w:w="1260" w:type="dxa"/>
            <w:vAlign w:val="bottom"/>
            <w:tcBorders>
              <w:bottom w:val="single" w:sz="8" w:color="34657F"/>
            </w:tcBorders>
          </w:tcPr>
          <w:p>
            <w:pPr>
              <w:jc w:val="center"/>
              <w:spacing w:after="0"/>
              <w:rPr>
                <w:sz w:val="20"/>
                <w:szCs w:val="20"/>
                <w:color w:val="auto"/>
              </w:rPr>
            </w:pPr>
            <w:r>
              <w:rPr>
                <w:rFonts w:ascii="Arial" w:cs="Arial" w:eastAsia="Arial" w:hAnsi="Arial"/>
                <w:sz w:val="14"/>
                <w:szCs w:val="14"/>
                <w:color w:val="auto"/>
                <w:w w:val="99"/>
              </w:rPr>
              <w:t>(1,493)</w:t>
            </w:r>
          </w:p>
        </w:tc>
        <w:tc>
          <w:tcPr>
            <w:tcW w:w="1260" w:type="dxa"/>
            <w:vAlign w:val="bottom"/>
            <w:tcBorders>
              <w:bottom w:val="single" w:sz="8" w:color="34657F"/>
            </w:tcBorders>
          </w:tcPr>
          <w:p>
            <w:pPr>
              <w:jc w:val="center"/>
              <w:spacing w:after="0"/>
              <w:rPr>
                <w:sz w:val="20"/>
                <w:szCs w:val="20"/>
                <w:color w:val="auto"/>
              </w:rPr>
            </w:pPr>
            <w:r>
              <w:rPr>
                <w:rFonts w:ascii="Arial" w:cs="Arial" w:eastAsia="Arial" w:hAnsi="Arial"/>
                <w:sz w:val="14"/>
                <w:szCs w:val="14"/>
                <w:color w:val="auto"/>
                <w:w w:val="85"/>
              </w:rPr>
              <w:t>—</w:t>
            </w:r>
          </w:p>
        </w:tc>
        <w:tc>
          <w:tcPr>
            <w:tcW w:w="1240" w:type="dxa"/>
            <w:vAlign w:val="bottom"/>
            <w:tcBorders>
              <w:bottom w:val="single" w:sz="8" w:color="34657F"/>
            </w:tcBorders>
          </w:tcPr>
          <w:p>
            <w:pPr>
              <w:jc w:val="center"/>
              <w:spacing w:after="0"/>
              <w:rPr>
                <w:sz w:val="20"/>
                <w:szCs w:val="20"/>
                <w:color w:val="auto"/>
              </w:rPr>
            </w:pPr>
            <w:r>
              <w:rPr>
                <w:rFonts w:ascii="Arial" w:cs="Arial" w:eastAsia="Arial" w:hAnsi="Arial"/>
                <w:sz w:val="14"/>
                <w:szCs w:val="14"/>
                <w:color w:val="auto"/>
                <w:w w:val="97"/>
              </w:rPr>
              <w:t>15,256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ind w:left="380" w:right="20" w:hanging="377"/>
        <w:spacing w:after="0" w:line="277" w:lineRule="auto"/>
        <w:tabs>
          <w:tab w:leader="none" w:pos="380" w:val="left"/>
        </w:tabs>
        <w:numPr>
          <w:ilvl w:val="0"/>
          <w:numId w:val="81"/>
        </w:numPr>
        <w:rPr>
          <w:rFonts w:ascii="Arial" w:cs="Arial" w:eastAsia="Arial" w:hAnsi="Arial"/>
          <w:sz w:val="17"/>
          <w:szCs w:val="17"/>
          <w:color w:val="auto"/>
        </w:rPr>
      </w:pPr>
      <w:r>
        <w:rPr>
          <w:rFonts w:ascii="Arial" w:cs="Arial" w:eastAsia="Arial" w:hAnsi="Arial"/>
          <w:sz w:val="17"/>
          <w:szCs w:val="17"/>
          <w:color w:val="auto"/>
        </w:rPr>
        <w:t>NEO contributions in this column are also included in the 2018 Summary Compensation Table on page 53, under the columns entitled "Salary" and "Non-Equity Incentive Plan Compensation."</w:t>
      </w:r>
    </w:p>
    <w:p>
      <w:pPr>
        <w:spacing w:after="0" w:line="35" w:lineRule="exact"/>
        <w:rPr>
          <w:rFonts w:ascii="Arial" w:cs="Arial" w:eastAsia="Arial" w:hAnsi="Arial"/>
          <w:sz w:val="17"/>
          <w:szCs w:val="17"/>
          <w:color w:val="auto"/>
        </w:rPr>
      </w:pPr>
    </w:p>
    <w:p>
      <w:pPr>
        <w:ind w:left="380" w:right="1200" w:hanging="377"/>
        <w:spacing w:after="0" w:line="277" w:lineRule="auto"/>
        <w:tabs>
          <w:tab w:leader="none" w:pos="380" w:val="left"/>
        </w:tabs>
        <w:numPr>
          <w:ilvl w:val="0"/>
          <w:numId w:val="81"/>
        </w:numPr>
        <w:rPr>
          <w:rFonts w:ascii="Arial" w:cs="Arial" w:eastAsia="Arial" w:hAnsi="Arial"/>
          <w:sz w:val="17"/>
          <w:szCs w:val="17"/>
          <w:color w:val="auto"/>
        </w:rPr>
      </w:pPr>
      <w:r>
        <w:rPr>
          <w:rFonts w:ascii="Arial" w:cs="Arial" w:eastAsia="Arial" w:hAnsi="Arial"/>
          <w:sz w:val="17"/>
          <w:szCs w:val="17"/>
          <w:color w:val="auto"/>
        </w:rPr>
        <w:t>Company contributions in this column are included in the 2018 Summary Compensation Table, under the column entitled "All Other Compensation."</w:t>
      </w:r>
    </w:p>
    <w:p>
      <w:pPr>
        <w:spacing w:after="0" w:line="10" w:lineRule="exact"/>
        <w:rPr>
          <w:rFonts w:ascii="Arial" w:cs="Arial" w:eastAsia="Arial" w:hAnsi="Arial"/>
          <w:sz w:val="17"/>
          <w:szCs w:val="17"/>
          <w:color w:val="auto"/>
        </w:rPr>
      </w:pPr>
    </w:p>
    <w:p>
      <w:pPr>
        <w:ind w:left="380" w:right="540" w:hanging="377"/>
        <w:spacing w:after="0" w:line="277" w:lineRule="auto"/>
        <w:tabs>
          <w:tab w:leader="none" w:pos="380" w:val="left"/>
        </w:tabs>
        <w:numPr>
          <w:ilvl w:val="0"/>
          <w:numId w:val="81"/>
        </w:numPr>
        <w:rPr>
          <w:rFonts w:ascii="Arial" w:cs="Arial" w:eastAsia="Arial" w:hAnsi="Arial"/>
          <w:sz w:val="17"/>
          <w:szCs w:val="17"/>
          <w:color w:val="auto"/>
        </w:rPr>
      </w:pPr>
      <w:r>
        <w:rPr>
          <w:rFonts w:ascii="Arial" w:cs="Arial" w:eastAsia="Arial" w:hAnsi="Arial"/>
          <w:sz w:val="17"/>
          <w:szCs w:val="17"/>
          <w:color w:val="auto"/>
        </w:rPr>
        <w:t>Aggregate earnings in the last fiscal year are not included in the 2018 Summary Compensation Table because they are not above market or preferential.</w:t>
      </w:r>
    </w:p>
    <w:p>
      <w:pPr>
        <w:spacing w:after="0" w:line="10" w:lineRule="exact"/>
        <w:rPr>
          <w:rFonts w:ascii="Arial" w:cs="Arial" w:eastAsia="Arial" w:hAnsi="Arial"/>
          <w:sz w:val="17"/>
          <w:szCs w:val="17"/>
          <w:color w:val="auto"/>
        </w:rPr>
      </w:pPr>
    </w:p>
    <w:p>
      <w:pPr>
        <w:ind w:left="380" w:right="120" w:hanging="377"/>
        <w:spacing w:after="0" w:line="264" w:lineRule="auto"/>
        <w:tabs>
          <w:tab w:leader="none" w:pos="380" w:val="left"/>
        </w:tabs>
        <w:numPr>
          <w:ilvl w:val="0"/>
          <w:numId w:val="81"/>
        </w:numPr>
        <w:rPr>
          <w:rFonts w:ascii="Arial" w:cs="Arial" w:eastAsia="Arial" w:hAnsi="Arial"/>
          <w:sz w:val="17"/>
          <w:szCs w:val="17"/>
          <w:color w:val="auto"/>
        </w:rPr>
      </w:pPr>
      <w:r>
        <w:rPr>
          <w:rFonts w:ascii="Arial" w:cs="Arial" w:eastAsia="Arial" w:hAnsi="Arial"/>
          <w:sz w:val="17"/>
          <w:szCs w:val="17"/>
          <w:color w:val="auto"/>
        </w:rPr>
        <w:t>NEO and Company contributions in this column may include balances for merged plans. Employee contributions by Mr. Bush, Ms. Warden and Mr. Bedingfield for the years ended December 31, 2018, 2017 and 2016, collectively, previously reported as compensation in the Summary Compensation tables, were as follows:</w:t>
      </w:r>
    </w:p>
    <w:p>
      <w:pPr>
        <w:spacing w:after="0" w:line="188" w:lineRule="exact"/>
        <w:rPr>
          <w:sz w:val="20"/>
          <w:szCs w:val="20"/>
          <w:color w:val="auto"/>
        </w:rPr>
      </w:pPr>
    </w:p>
    <w:tbl>
      <w:tblPr>
        <w:tblLayout w:type="fixed"/>
        <w:tblInd w:w="380" w:type="dxa"/>
        <w:tblCellMar>
          <w:top w:w="0" w:type="dxa"/>
          <w:left w:w="0" w:type="dxa"/>
          <w:bottom w:w="0" w:type="dxa"/>
          <w:right w:w="0" w:type="dxa"/>
        </w:tblCellMar>
      </w:tblPr>
      <w:tr>
        <w:trPr>
          <w:trHeight w:val="181"/>
        </w:trPr>
        <w:tc>
          <w:tcPr>
            <w:tcW w:w="3780" w:type="dxa"/>
            <w:vAlign w:val="bottom"/>
            <w:shd w:val="clear" w:color="auto" w:fill="34657F"/>
          </w:tcPr>
          <w:p>
            <w:pPr>
              <w:spacing w:after="0"/>
              <w:rPr>
                <w:sz w:val="15"/>
                <w:szCs w:val="15"/>
                <w:color w:val="auto"/>
              </w:rPr>
            </w:pPr>
          </w:p>
        </w:tc>
        <w:tc>
          <w:tcPr>
            <w:tcW w:w="3780" w:type="dxa"/>
            <w:vAlign w:val="bottom"/>
            <w:shd w:val="clear" w:color="auto" w:fill="34657F"/>
          </w:tcPr>
          <w:p>
            <w:pPr>
              <w:ind w:left="1080"/>
              <w:spacing w:after="0"/>
              <w:rPr>
                <w:sz w:val="20"/>
                <w:szCs w:val="20"/>
                <w:color w:val="auto"/>
              </w:rPr>
            </w:pPr>
            <w:r>
              <w:rPr>
                <w:rFonts w:ascii="Arial" w:cs="Arial" w:eastAsia="Arial" w:hAnsi="Arial"/>
                <w:sz w:val="14"/>
                <w:szCs w:val="14"/>
                <w:b w:val="1"/>
                <w:bCs w:val="1"/>
                <w:color w:val="FFFFFF"/>
              </w:rPr>
              <w:t>Employee Contributions</w:t>
            </w:r>
          </w:p>
        </w:tc>
        <w:tc>
          <w:tcPr>
            <w:tcW w:w="20" w:type="dxa"/>
            <w:vAlign w:val="bottom"/>
            <w:shd w:val="clear" w:color="auto" w:fill="34657F"/>
          </w:tcPr>
          <w:p>
            <w:pPr>
              <w:spacing w:after="0"/>
              <w:rPr>
                <w:sz w:val="15"/>
                <w:szCs w:val="15"/>
                <w:color w:val="auto"/>
              </w:rPr>
            </w:pPr>
          </w:p>
        </w:tc>
      </w:tr>
      <w:tr>
        <w:trPr>
          <w:trHeight w:val="184"/>
        </w:trPr>
        <w:tc>
          <w:tcPr>
            <w:tcW w:w="3780" w:type="dxa"/>
            <w:vAlign w:val="bottom"/>
            <w:tcBorders>
              <w:bottom w:val="single" w:sz="8" w:color="34657F"/>
            </w:tcBorders>
            <w:shd w:val="clear" w:color="auto" w:fill="34657F"/>
          </w:tcPr>
          <w:p>
            <w:pPr>
              <w:ind w:left="40"/>
              <w:spacing w:after="0"/>
              <w:rPr>
                <w:sz w:val="20"/>
                <w:szCs w:val="20"/>
                <w:color w:val="auto"/>
              </w:rPr>
            </w:pPr>
            <w:r>
              <w:rPr>
                <w:rFonts w:ascii="Arial" w:cs="Arial" w:eastAsia="Arial" w:hAnsi="Arial"/>
                <w:sz w:val="14"/>
                <w:szCs w:val="14"/>
                <w:b w:val="1"/>
                <w:bCs w:val="1"/>
                <w:color w:val="FFFFFF"/>
              </w:rPr>
              <w:t>Name</w:t>
            </w:r>
          </w:p>
        </w:tc>
        <w:tc>
          <w:tcPr>
            <w:tcW w:w="3780" w:type="dxa"/>
            <w:vAlign w:val="bottom"/>
            <w:tcBorders>
              <w:bottom w:val="single" w:sz="8" w:color="34657F"/>
            </w:tcBorders>
            <w:shd w:val="clear" w:color="auto" w:fill="34657F"/>
          </w:tcPr>
          <w:p>
            <w:pPr>
              <w:jc w:val="center"/>
              <w:spacing w:after="0"/>
              <w:rPr>
                <w:sz w:val="20"/>
                <w:szCs w:val="20"/>
                <w:color w:val="auto"/>
              </w:rPr>
            </w:pPr>
            <w:r>
              <w:rPr>
                <w:rFonts w:ascii="Arial" w:cs="Arial" w:eastAsia="Arial" w:hAnsi="Arial"/>
                <w:sz w:val="14"/>
                <w:szCs w:val="14"/>
                <w:b w:val="1"/>
                <w:bCs w:val="1"/>
                <w:color w:val="FFFFFF"/>
                <w:w w:val="93"/>
              </w:rPr>
              <w:t>($)</w:t>
            </w:r>
          </w:p>
        </w:tc>
        <w:tc>
          <w:tcPr>
            <w:tcW w:w="20" w:type="dxa"/>
            <w:vAlign w:val="bottom"/>
            <w:tcBorders>
              <w:bottom w:val="single" w:sz="8" w:color="34657F"/>
            </w:tcBorders>
            <w:shd w:val="clear" w:color="auto" w:fill="34657F"/>
          </w:tcPr>
          <w:p>
            <w:pPr>
              <w:spacing w:after="0"/>
              <w:rPr>
                <w:sz w:val="15"/>
                <w:szCs w:val="15"/>
                <w:color w:val="auto"/>
              </w:rPr>
            </w:pPr>
          </w:p>
        </w:tc>
      </w:tr>
      <w:tr>
        <w:trPr>
          <w:trHeight w:val="185"/>
        </w:trPr>
        <w:tc>
          <w:tcPr>
            <w:tcW w:w="3780" w:type="dxa"/>
            <w:vAlign w:val="bottom"/>
            <w:tcBorders>
              <w:bottom w:val="single" w:sz="8" w:color="D1DDE6"/>
            </w:tcBorders>
            <w:shd w:val="clear" w:color="auto" w:fill="D1DDE6"/>
          </w:tcPr>
          <w:p>
            <w:pPr>
              <w:ind w:left="40"/>
              <w:spacing w:after="0"/>
              <w:rPr>
                <w:sz w:val="20"/>
                <w:szCs w:val="20"/>
                <w:color w:val="auto"/>
              </w:rPr>
            </w:pPr>
            <w:r>
              <w:rPr>
                <w:rFonts w:ascii="Arial" w:cs="Arial" w:eastAsia="Arial" w:hAnsi="Arial"/>
                <w:sz w:val="14"/>
                <w:szCs w:val="14"/>
                <w:color w:val="auto"/>
                <w:highlight w:val="lightGray"/>
              </w:rPr>
              <w:t>Wesley G. Bush</w:t>
            </w:r>
          </w:p>
        </w:tc>
        <w:tc>
          <w:tcPr>
            <w:tcW w:w="3780" w:type="dxa"/>
            <w:vAlign w:val="bottom"/>
            <w:tcBorders>
              <w:bottom w:val="single" w:sz="8" w:color="D1DDE6"/>
            </w:tcBorders>
            <w:shd w:val="clear" w:color="auto" w:fill="D1DDE6"/>
          </w:tcPr>
          <w:p>
            <w:pPr>
              <w:jc w:val="center"/>
              <w:spacing w:after="0"/>
              <w:rPr>
                <w:sz w:val="20"/>
                <w:szCs w:val="20"/>
                <w:color w:val="auto"/>
              </w:rPr>
            </w:pPr>
            <w:r>
              <w:rPr>
                <w:rFonts w:ascii="Arial" w:cs="Arial" w:eastAsia="Arial" w:hAnsi="Arial"/>
                <w:sz w:val="14"/>
                <w:szCs w:val="14"/>
                <w:color w:val="auto"/>
                <w:w w:val="99"/>
              </w:rPr>
              <w:t>1,217,585</w:t>
            </w:r>
          </w:p>
        </w:tc>
        <w:tc>
          <w:tcPr>
            <w:tcW w:w="20" w:type="dxa"/>
            <w:vAlign w:val="bottom"/>
          </w:tcPr>
          <w:p>
            <w:pPr>
              <w:spacing w:after="0"/>
              <w:rPr>
                <w:sz w:val="16"/>
                <w:szCs w:val="16"/>
                <w:color w:val="auto"/>
              </w:rPr>
            </w:pPr>
          </w:p>
        </w:tc>
      </w:tr>
      <w:tr>
        <w:trPr>
          <w:trHeight w:val="199"/>
        </w:trPr>
        <w:tc>
          <w:tcPr>
            <w:tcW w:w="3780" w:type="dxa"/>
            <w:vAlign w:val="bottom"/>
          </w:tcPr>
          <w:p>
            <w:pPr>
              <w:ind w:left="40"/>
              <w:spacing w:after="0"/>
              <w:rPr>
                <w:sz w:val="20"/>
                <w:szCs w:val="20"/>
                <w:color w:val="auto"/>
              </w:rPr>
            </w:pPr>
            <w:r>
              <w:rPr>
                <w:rFonts w:ascii="Arial" w:cs="Arial" w:eastAsia="Arial" w:hAnsi="Arial"/>
                <w:sz w:val="14"/>
                <w:szCs w:val="14"/>
                <w:color w:val="auto"/>
              </w:rPr>
              <w:t>Kathy J. Warden</w:t>
            </w:r>
          </w:p>
        </w:tc>
        <w:tc>
          <w:tcPr>
            <w:tcW w:w="3780" w:type="dxa"/>
            <w:vAlign w:val="bottom"/>
          </w:tcPr>
          <w:p>
            <w:pPr>
              <w:jc w:val="center"/>
              <w:spacing w:after="0"/>
              <w:rPr>
                <w:sz w:val="20"/>
                <w:szCs w:val="20"/>
                <w:color w:val="auto"/>
              </w:rPr>
            </w:pPr>
            <w:r>
              <w:rPr>
                <w:rFonts w:ascii="Arial" w:cs="Arial" w:eastAsia="Arial" w:hAnsi="Arial"/>
                <w:sz w:val="14"/>
                <w:szCs w:val="14"/>
                <w:color w:val="auto"/>
                <w:w w:val="98"/>
              </w:rPr>
              <w:t>390,406</w:t>
            </w:r>
          </w:p>
        </w:tc>
        <w:tc>
          <w:tcPr>
            <w:tcW w:w="20" w:type="dxa"/>
            <w:vAlign w:val="bottom"/>
          </w:tcPr>
          <w:p>
            <w:pPr>
              <w:spacing w:after="0"/>
              <w:rPr>
                <w:sz w:val="17"/>
                <w:szCs w:val="17"/>
                <w:color w:val="auto"/>
              </w:rPr>
            </w:pPr>
          </w:p>
        </w:tc>
      </w:tr>
      <w:tr>
        <w:trPr>
          <w:trHeight w:val="205"/>
        </w:trPr>
        <w:tc>
          <w:tcPr>
            <w:tcW w:w="3780" w:type="dxa"/>
            <w:vAlign w:val="bottom"/>
            <w:tcBorders>
              <w:bottom w:val="single" w:sz="8" w:color="34657F"/>
            </w:tcBorders>
            <w:shd w:val="clear" w:color="auto" w:fill="D1DDE6"/>
          </w:tcPr>
          <w:p>
            <w:pPr>
              <w:ind w:left="40"/>
              <w:spacing w:after="0"/>
              <w:rPr>
                <w:sz w:val="20"/>
                <w:szCs w:val="20"/>
                <w:color w:val="auto"/>
              </w:rPr>
            </w:pPr>
            <w:r>
              <w:rPr>
                <w:rFonts w:ascii="Arial" w:cs="Arial" w:eastAsia="Arial" w:hAnsi="Arial"/>
                <w:sz w:val="14"/>
                <w:szCs w:val="14"/>
                <w:color w:val="auto"/>
              </w:rPr>
              <w:t>Kenneth L. Bedingfield</w:t>
            </w:r>
          </w:p>
        </w:tc>
        <w:tc>
          <w:tcPr>
            <w:tcW w:w="3780" w:type="dxa"/>
            <w:vAlign w:val="bottom"/>
            <w:tcBorders>
              <w:bottom w:val="single" w:sz="8" w:color="34657F"/>
            </w:tcBorders>
            <w:shd w:val="clear" w:color="auto" w:fill="D1DDE6"/>
          </w:tcPr>
          <w:p>
            <w:pPr>
              <w:jc w:val="center"/>
              <w:spacing w:after="0"/>
              <w:rPr>
                <w:sz w:val="20"/>
                <w:szCs w:val="20"/>
                <w:color w:val="auto"/>
              </w:rPr>
            </w:pPr>
            <w:r>
              <w:rPr>
                <w:rFonts w:ascii="Arial" w:cs="Arial" w:eastAsia="Arial" w:hAnsi="Arial"/>
                <w:sz w:val="14"/>
                <w:szCs w:val="14"/>
                <w:color w:val="auto"/>
                <w:w w:val="98"/>
              </w:rPr>
              <w:t>483,271</w:t>
            </w:r>
          </w:p>
        </w:tc>
        <w:tc>
          <w:tcPr>
            <w:tcW w:w="20" w:type="dxa"/>
            <w:vAlign w:val="bottom"/>
          </w:tcPr>
          <w:p>
            <w:pPr>
              <w:spacing w:after="0"/>
              <w:rPr>
                <w:sz w:val="17"/>
                <w:szCs w:val="17"/>
                <w:color w:val="auto"/>
              </w:rPr>
            </w:pPr>
          </w:p>
        </w:tc>
      </w:tr>
    </w:tbl>
    <w:p>
      <w:pPr>
        <w:spacing w:after="0" w:line="76" w:lineRule="exact"/>
        <w:rPr>
          <w:sz w:val="20"/>
          <w:szCs w:val="20"/>
          <w:color w:val="auto"/>
        </w:rPr>
      </w:pPr>
    </w:p>
    <w:p>
      <w:pPr>
        <w:ind w:left="380" w:right="280"/>
        <w:spacing w:after="0" w:line="263" w:lineRule="auto"/>
        <w:rPr>
          <w:sz w:val="20"/>
          <w:szCs w:val="20"/>
          <w:color w:val="auto"/>
        </w:rPr>
      </w:pPr>
      <w:r>
        <w:rPr>
          <w:rFonts w:ascii="Arial" w:cs="Arial" w:eastAsia="Arial" w:hAnsi="Arial"/>
          <w:sz w:val="17"/>
          <w:szCs w:val="17"/>
          <w:color w:val="auto"/>
        </w:rPr>
        <w:t>Employee contributions by Mr. Caylor for the year ended December 31, 2018 are presented in the table above. Because Mr. Caylor was not an NEO for the years ended December 31, 2017 and 2016, employee contribution data for these years is not presented.</w:t>
      </w:r>
    </w:p>
    <w:p>
      <w:pPr>
        <w:spacing w:after="0" w:line="47" w:lineRule="exact"/>
        <w:rPr>
          <w:sz w:val="20"/>
          <w:szCs w:val="20"/>
          <w:color w:val="auto"/>
        </w:rPr>
      </w:pPr>
    </w:p>
    <w:p>
      <w:pPr>
        <w:ind w:left="380" w:hanging="377"/>
        <w:spacing w:after="0"/>
        <w:tabs>
          <w:tab w:leader="none" w:pos="380" w:val="left"/>
        </w:tabs>
        <w:numPr>
          <w:ilvl w:val="0"/>
          <w:numId w:val="82"/>
        </w:numPr>
        <w:rPr>
          <w:rFonts w:ascii="Arial" w:cs="Arial" w:eastAsia="Arial" w:hAnsi="Arial"/>
          <w:sz w:val="17"/>
          <w:szCs w:val="17"/>
          <w:color w:val="auto"/>
        </w:rPr>
      </w:pPr>
      <w:r>
        <w:rPr>
          <w:rFonts w:ascii="Arial" w:cs="Arial" w:eastAsia="Arial" w:hAnsi="Arial"/>
          <w:sz w:val="17"/>
          <w:szCs w:val="17"/>
          <w:color w:val="auto"/>
        </w:rPr>
        <w:t>Amounts for Mr. Larson represent activity since the Merger Date.</w:t>
      </w:r>
    </w:p>
    <w:p>
      <w:pPr>
        <w:spacing w:after="0" w:line="224" w:lineRule="exact"/>
        <w:rPr>
          <w:sz w:val="20"/>
          <w:szCs w:val="20"/>
          <w:color w:val="auto"/>
        </w:rPr>
      </w:pPr>
    </w:p>
    <w:p>
      <w:pPr>
        <w:ind w:left="20"/>
        <w:spacing w:after="0"/>
        <w:rPr>
          <w:sz w:val="20"/>
          <w:szCs w:val="20"/>
          <w:color w:val="auto"/>
        </w:rPr>
      </w:pPr>
      <w:r>
        <w:rPr>
          <w:rFonts w:ascii="Arial" w:cs="Arial" w:eastAsia="Arial" w:hAnsi="Arial"/>
          <w:sz w:val="24"/>
          <w:szCs w:val="24"/>
          <w:b w:val="1"/>
          <w:bCs w:val="1"/>
          <w:color w:val="auto"/>
        </w:rPr>
        <w:t>Deferred Compensation Plans and Descriptions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38100</wp:posOffset>
            </wp:positionV>
            <wp:extent cx="7253605" cy="1651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color w:val="auto"/>
        </w:rPr>
        <w:t>The deferred compensation plans in which the NEOs participate are listed below, in alphabetical order:</w:t>
      </w:r>
    </w:p>
    <w:p>
      <w:pPr>
        <w:spacing w:after="0" w:line="92" w:lineRule="exact"/>
        <w:rPr>
          <w:sz w:val="20"/>
          <w:szCs w:val="20"/>
          <w:color w:val="auto"/>
        </w:rPr>
      </w:pPr>
    </w:p>
    <w:p>
      <w:pPr>
        <w:ind w:left="320" w:right="60" w:hanging="317"/>
        <w:spacing w:after="0" w:line="283" w:lineRule="auto"/>
        <w:tabs>
          <w:tab w:leader="none" w:pos="320" w:val="left"/>
        </w:tabs>
        <w:numPr>
          <w:ilvl w:val="0"/>
          <w:numId w:val="83"/>
        </w:numPr>
        <w:rPr>
          <w:rFonts w:ascii="Arial" w:cs="Arial" w:eastAsia="Arial" w:hAnsi="Arial"/>
          <w:sz w:val="21"/>
          <w:szCs w:val="21"/>
          <w:color w:val="34657F"/>
        </w:rPr>
      </w:pPr>
      <w:r>
        <w:rPr>
          <w:rFonts w:ascii="Arial" w:cs="Arial" w:eastAsia="Arial" w:hAnsi="Arial"/>
          <w:sz w:val="17"/>
          <w:szCs w:val="17"/>
          <w:b w:val="1"/>
          <w:bCs w:val="1"/>
          <w:color w:val="auto"/>
        </w:rPr>
        <w:t xml:space="preserve">Deferred Compensation Plan </w:t>
      </w:r>
      <w:r>
        <w:rPr>
          <w:rFonts w:ascii="Arial" w:cs="Arial" w:eastAsia="Arial" w:hAnsi="Arial"/>
          <w:sz w:val="17"/>
          <w:szCs w:val="17"/>
          <w:color w:val="auto"/>
        </w:rPr>
        <w:t>is the Northrop Grumman Deferred Compensation Plan. In 2010, this plan was closed to new hires and existing</w:t>
      </w:r>
      <w:r>
        <w:rPr>
          <w:rFonts w:ascii="Arial" w:cs="Arial" w:eastAsia="Arial" w:hAnsi="Arial"/>
          <w:sz w:val="17"/>
          <w:szCs w:val="17"/>
          <w:b w:val="1"/>
          <w:bCs w:val="1"/>
          <w:color w:val="auto"/>
        </w:rPr>
        <w:t xml:space="preserve"> </w:t>
      </w:r>
      <w:r>
        <w:rPr>
          <w:rFonts w:ascii="Arial" w:cs="Arial" w:eastAsia="Arial" w:hAnsi="Arial"/>
          <w:sz w:val="17"/>
          <w:szCs w:val="17"/>
          <w:color w:val="auto"/>
        </w:rPr>
        <w:t>participants ceased to be able to make contributions. Before 2011, eligible executives were allowed to defer a portion of their salary and bonus. No Company contributions were made to the plan.</w:t>
      </w:r>
    </w:p>
    <w:p>
      <w:pPr>
        <w:spacing w:after="0" w:line="61" w:lineRule="exact"/>
        <w:rPr>
          <w:rFonts w:ascii="Arial" w:cs="Arial" w:eastAsia="Arial" w:hAnsi="Arial"/>
          <w:sz w:val="21"/>
          <w:szCs w:val="21"/>
          <w:color w:val="34657F"/>
        </w:rPr>
      </w:pPr>
    </w:p>
    <w:p>
      <w:pPr>
        <w:ind w:left="320" w:right="180" w:hanging="317"/>
        <w:spacing w:after="0" w:line="288" w:lineRule="auto"/>
        <w:tabs>
          <w:tab w:leader="none" w:pos="320" w:val="left"/>
        </w:tabs>
        <w:numPr>
          <w:ilvl w:val="0"/>
          <w:numId w:val="83"/>
        </w:numPr>
        <w:rPr>
          <w:rFonts w:ascii="Arial" w:cs="Arial" w:eastAsia="Arial" w:hAnsi="Arial"/>
          <w:sz w:val="21"/>
          <w:szCs w:val="21"/>
          <w:color w:val="34657F"/>
        </w:rPr>
      </w:pPr>
      <w:r>
        <w:rPr>
          <w:rFonts w:ascii="Arial" w:cs="Arial" w:eastAsia="Arial" w:hAnsi="Arial"/>
          <w:sz w:val="17"/>
          <w:szCs w:val="17"/>
          <w:b w:val="1"/>
          <w:bCs w:val="1"/>
          <w:color w:val="auto"/>
        </w:rPr>
        <w:t xml:space="preserve">OATK DC SERP </w:t>
      </w:r>
      <w:r>
        <w:rPr>
          <w:rFonts w:ascii="Arial" w:cs="Arial" w:eastAsia="Arial" w:hAnsi="Arial"/>
          <w:sz w:val="17"/>
          <w:szCs w:val="17"/>
          <w:color w:val="auto"/>
        </w:rPr>
        <w:t>is the Orbital ATK Nonqualified Defined Contribution Supplemental Executive Retirement Plan. This plan provides contribution</w:t>
      </w:r>
      <w:r>
        <w:rPr>
          <w:rFonts w:ascii="Arial" w:cs="Arial" w:eastAsia="Arial" w:hAnsi="Arial"/>
          <w:sz w:val="17"/>
          <w:szCs w:val="17"/>
          <w:b w:val="1"/>
          <w:bCs w:val="1"/>
          <w:color w:val="auto"/>
        </w:rPr>
        <w:t xml:space="preserve"> </w:t>
      </w:r>
      <w:r>
        <w:rPr>
          <w:rFonts w:ascii="Arial" w:cs="Arial" w:eastAsia="Arial" w:hAnsi="Arial"/>
          <w:sz w:val="17"/>
          <w:szCs w:val="17"/>
          <w:color w:val="auto"/>
        </w:rPr>
        <w:t>credits on behalf of certain heritage Orbital ATK executives, including Mr. Larson. Mr. Larson is eligible for an annual match allocation of 4.5% of compensation in excess of the IRS compensation limit, assuming he has made the maximum allowable before-tax or Roth 401(k) contributions to the 401(k) Plan for the calendar year.</w:t>
      </w:r>
    </w:p>
    <w:p>
      <w:pPr>
        <w:spacing w:after="0" w:line="57" w:lineRule="exact"/>
        <w:rPr>
          <w:rFonts w:ascii="Arial" w:cs="Arial" w:eastAsia="Arial" w:hAnsi="Arial"/>
          <w:sz w:val="21"/>
          <w:szCs w:val="21"/>
          <w:color w:val="34657F"/>
        </w:rPr>
      </w:pPr>
    </w:p>
    <w:p>
      <w:pPr>
        <w:ind w:left="320" w:right="80" w:hanging="317"/>
        <w:spacing w:after="0" w:line="288" w:lineRule="auto"/>
        <w:tabs>
          <w:tab w:leader="none" w:pos="320" w:val="left"/>
        </w:tabs>
        <w:numPr>
          <w:ilvl w:val="0"/>
          <w:numId w:val="83"/>
        </w:numPr>
        <w:rPr>
          <w:rFonts w:ascii="Arial" w:cs="Arial" w:eastAsia="Arial" w:hAnsi="Arial"/>
          <w:sz w:val="21"/>
          <w:szCs w:val="21"/>
          <w:color w:val="34657F"/>
        </w:rPr>
      </w:pPr>
      <w:r>
        <w:rPr>
          <w:rFonts w:ascii="Arial" w:cs="Arial" w:eastAsia="Arial" w:hAnsi="Arial"/>
          <w:sz w:val="17"/>
          <w:szCs w:val="17"/>
          <w:b w:val="1"/>
          <w:bCs w:val="1"/>
          <w:color w:val="auto"/>
        </w:rPr>
        <w:t xml:space="preserve">OATK NQ Def Comp </w:t>
      </w:r>
      <w:r>
        <w:rPr>
          <w:rFonts w:ascii="Arial" w:cs="Arial" w:eastAsia="Arial" w:hAnsi="Arial"/>
          <w:sz w:val="17"/>
          <w:szCs w:val="17"/>
          <w:color w:val="auto"/>
        </w:rPr>
        <w:t>is the Orbital ATK Deferred Compensation Plan. The plan allows eligible employees, including</w:t>
      </w:r>
      <w:r>
        <w:rPr>
          <w:rFonts w:ascii="Arial" w:cs="Arial" w:eastAsia="Arial" w:hAnsi="Arial"/>
          <w:sz w:val="17"/>
          <w:szCs w:val="17"/>
          <w:b w:val="1"/>
          <w:bCs w:val="1"/>
          <w:color w:val="auto"/>
        </w:rPr>
        <w:t xml:space="preserve"> </w:t>
      </w:r>
      <w:r>
        <w:rPr>
          <w:rFonts w:ascii="Arial" w:cs="Arial" w:eastAsia="Arial" w:hAnsi="Arial"/>
          <w:sz w:val="17"/>
          <w:szCs w:val="17"/>
          <w:color w:val="auto"/>
        </w:rPr>
        <w:t>Mr. Larson, to defer up to 70%</w:t>
      </w:r>
      <w:r>
        <w:rPr>
          <w:rFonts w:ascii="Arial" w:cs="Arial" w:eastAsia="Arial" w:hAnsi="Arial"/>
          <w:sz w:val="17"/>
          <w:szCs w:val="17"/>
          <w:b w:val="1"/>
          <w:bCs w:val="1"/>
          <w:color w:val="auto"/>
        </w:rPr>
        <w:t xml:space="preserve"> </w:t>
      </w:r>
      <w:r>
        <w:rPr>
          <w:rFonts w:ascii="Arial" w:cs="Arial" w:eastAsia="Arial" w:hAnsi="Arial"/>
          <w:sz w:val="17"/>
          <w:szCs w:val="17"/>
          <w:color w:val="auto"/>
        </w:rPr>
        <w:t>of salary and 100% of cash or equity incentive compensation. The Company may credit to participants' accounts under the plan certain additional amounts relating to matching contributions foregone under the 401(k) Plan due to compensation limits in that plan. The Company may also make additional discretionary contributions to participants' accounts.</w:t>
      </w:r>
    </w:p>
    <w:p>
      <w:pPr>
        <w:sectPr>
          <w:pgSz w:w="11900" w:h="16838" w:orient="portrait"/>
          <w:cols w:equalWidth="0" w:num="1">
            <w:col w:w="11440"/>
          </w:cols>
          <w:pgMar w:left="240" w:top="671" w:right="219" w:bottom="1440" w:gutter="0" w:footer="0" w:header="0"/>
        </w:sectPr>
      </w:pPr>
    </w:p>
    <w:p>
      <w:pPr>
        <w:spacing w:after="0" w:line="288" w:lineRule="exact"/>
        <w:rPr>
          <w:sz w:val="20"/>
          <w:szCs w:val="20"/>
          <w:color w:val="auto"/>
        </w:rPr>
      </w:pPr>
    </w:p>
    <w:p>
      <w:pPr>
        <w:ind w:left="5740"/>
        <w:spacing w:after="0"/>
        <w:rPr>
          <w:sz w:val="20"/>
          <w:szCs w:val="20"/>
          <w:color w:val="auto"/>
        </w:rPr>
      </w:pPr>
      <w:r>
        <w:rPr>
          <w:rFonts w:ascii="Arial" w:cs="Arial" w:eastAsia="Arial" w:hAnsi="Arial"/>
          <w:sz w:val="13"/>
          <w:szCs w:val="13"/>
          <w:color w:val="34657F"/>
        </w:rPr>
        <w:t xml:space="preserve">NOTICE OF 2019 ANNUAL MEETING OF SHAREHOLDERS AND PROXY STATEMENT </w:t>
      </w:r>
      <w:r>
        <w:rPr>
          <w:rFonts w:ascii="Arial" w:cs="Arial" w:eastAsia="Arial" w:hAnsi="Arial"/>
          <w:sz w:val="13"/>
          <w:szCs w:val="13"/>
          <w:color w:val="000000"/>
        </w:rPr>
        <w:t>I 63</w:t>
      </w:r>
    </w:p>
    <w:p>
      <w:pPr>
        <w:sectPr>
          <w:pgSz w:w="11900" w:h="16838" w:orient="portrait"/>
          <w:cols w:equalWidth="0" w:num="1">
            <w:col w:w="11440"/>
          </w:cols>
          <w:pgMar w:left="240" w:top="671" w:right="219" w:bottom="1440" w:gutter="0" w:footer="0" w:header="0"/>
          <w:type w:val="continuous"/>
        </w:sectPr>
      </w:pPr>
    </w:p>
    <w:bookmarkStart w:id="69" w:name="page70"/>
    <w:bookmarkEnd w:id="69"/>
    <w:p>
      <w:pPr>
        <w:ind w:left="20"/>
        <w:spacing w:after="0"/>
        <w:rPr>
          <w:sz w:val="20"/>
          <w:szCs w:val="20"/>
          <w:color w:val="auto"/>
        </w:rPr>
      </w:pPr>
      <w:r>
        <w:rPr>
          <w:rFonts w:ascii="Arial" w:cs="Arial" w:eastAsia="Arial" w:hAnsi="Arial"/>
          <w:sz w:val="21"/>
          <w:szCs w:val="21"/>
          <w:b w:val="1"/>
          <w:bCs w:val="1"/>
          <w:color w:val="FFFFFF"/>
        </w:rPr>
        <w:drawing>
          <wp:anchor simplePos="0" relativeHeight="251657728" behindDoc="1" locked="0" layoutInCell="0" allowOverlap="1">
            <wp:simplePos x="0" y="0"/>
            <wp:positionH relativeFrom="page">
              <wp:posOffset>154305</wp:posOffset>
            </wp:positionH>
            <wp:positionV relativeFrom="page">
              <wp:posOffset>365760</wp:posOffset>
            </wp:positionV>
            <wp:extent cx="7253605" cy="56197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53605" cy="561975"/>
                    </a:xfrm>
                    <a:prstGeom prst="rect">
                      <a:avLst/>
                    </a:prstGeom>
                    <a:noFill/>
                  </pic:spPr>
                </pic:pic>
              </a:graphicData>
            </a:graphic>
          </wp:anchor>
        </w:drawing>
        <w:t>COMPENSATION TABLES | N</w:t>
      </w:r>
      <w:r>
        <w:rPr>
          <w:rFonts w:ascii="Arial" w:cs="Arial" w:eastAsia="Arial" w:hAnsi="Arial"/>
          <w:sz w:val="17"/>
          <w:szCs w:val="17"/>
          <w:b w:val="1"/>
          <w:bCs w:val="1"/>
          <w:color w:val="FFFFFF"/>
        </w:rPr>
        <w:t>ONQUALIFIED</w:t>
      </w:r>
      <w:r>
        <w:rPr>
          <w:rFonts w:ascii="Arial" w:cs="Arial" w:eastAsia="Arial" w:hAnsi="Arial"/>
          <w:sz w:val="21"/>
          <w:szCs w:val="21"/>
          <w:b w:val="1"/>
          <w:bCs w:val="1"/>
          <w:color w:val="FFFFFF"/>
        </w:rPr>
        <w:t xml:space="preserve"> D</w:t>
      </w:r>
      <w:r>
        <w:rPr>
          <w:rFonts w:ascii="Arial" w:cs="Arial" w:eastAsia="Arial" w:hAnsi="Arial"/>
          <w:sz w:val="17"/>
          <w:szCs w:val="17"/>
          <w:b w:val="1"/>
          <w:bCs w:val="1"/>
          <w:color w:val="FFFFFF"/>
        </w:rPr>
        <w:t>EFERRED</w:t>
      </w:r>
      <w:r>
        <w:rPr>
          <w:rFonts w:ascii="Arial" w:cs="Arial" w:eastAsia="Arial" w:hAnsi="Arial"/>
          <w:sz w:val="21"/>
          <w:szCs w:val="21"/>
          <w:b w:val="1"/>
          <w:bCs w:val="1"/>
          <w:color w:val="FFFFFF"/>
        </w:rPr>
        <w:t xml:space="preserve"> C</w:t>
      </w:r>
      <w:r>
        <w:rPr>
          <w:rFonts w:ascii="Arial" w:cs="Arial" w:eastAsia="Arial" w:hAnsi="Arial"/>
          <w:sz w:val="17"/>
          <w:szCs w:val="17"/>
          <w:b w:val="1"/>
          <w:bCs w:val="1"/>
          <w:color w:val="FFFFFF"/>
        </w:rPr>
        <w:t>OMPENSATION</w:t>
      </w:r>
      <w:r>
        <w:rPr>
          <w:rFonts w:ascii="Arial" w:cs="Arial" w:eastAsia="Arial" w:hAnsi="Arial"/>
          <w:sz w:val="21"/>
          <w:szCs w:val="21"/>
          <w:b w:val="1"/>
          <w:bCs w:val="1"/>
          <w:color w:val="FFFFFF"/>
        </w:rPr>
        <w:t xml:space="preserve"> T</w:t>
      </w:r>
      <w:r>
        <w:rPr>
          <w:rFonts w:ascii="Arial" w:cs="Arial" w:eastAsia="Arial" w:hAnsi="Arial"/>
          <w:sz w:val="17"/>
          <w:szCs w:val="17"/>
          <w:b w:val="1"/>
          <w:bCs w:val="1"/>
          <w:color w:val="FFFFFF"/>
        </w:rPr>
        <w:t>ABLE</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320" w:right="40" w:hanging="317"/>
        <w:spacing w:after="0" w:line="278" w:lineRule="auto"/>
        <w:tabs>
          <w:tab w:leader="none" w:pos="320" w:val="left"/>
        </w:tabs>
        <w:numPr>
          <w:ilvl w:val="0"/>
          <w:numId w:val="84"/>
        </w:numPr>
        <w:rPr>
          <w:rFonts w:ascii="Arial" w:cs="Arial" w:eastAsia="Arial" w:hAnsi="Arial"/>
          <w:sz w:val="21"/>
          <w:szCs w:val="21"/>
          <w:color w:val="34657F"/>
        </w:rPr>
      </w:pPr>
      <w:r>
        <w:rPr>
          <w:rFonts w:ascii="Arial" w:cs="Arial" w:eastAsia="Arial" w:hAnsi="Arial"/>
          <w:sz w:val="17"/>
          <w:szCs w:val="17"/>
          <w:b w:val="1"/>
          <w:bCs w:val="1"/>
          <w:color w:val="auto"/>
        </w:rPr>
        <w:t xml:space="preserve">Officers Retirement Account Contribution Plan (ORAC) </w:t>
      </w:r>
      <w:r>
        <w:rPr>
          <w:rFonts w:ascii="Arial" w:cs="Arial" w:eastAsia="Arial" w:hAnsi="Arial"/>
          <w:sz w:val="17"/>
          <w:szCs w:val="17"/>
          <w:color w:val="auto"/>
        </w:rPr>
        <w:t>is the Northrop Grumman Officers Retirement Account Contribution Plan. This plan allows</w:t>
      </w:r>
      <w:r>
        <w:rPr>
          <w:rFonts w:ascii="Arial" w:cs="Arial" w:eastAsia="Arial" w:hAnsi="Arial"/>
          <w:sz w:val="17"/>
          <w:szCs w:val="17"/>
          <w:b w:val="1"/>
          <w:bCs w:val="1"/>
          <w:color w:val="auto"/>
        </w:rPr>
        <w:t xml:space="preserve"> </w:t>
      </w:r>
      <w:r>
        <w:rPr>
          <w:rFonts w:ascii="Arial" w:cs="Arial" w:eastAsia="Arial" w:hAnsi="Arial"/>
          <w:sz w:val="17"/>
          <w:szCs w:val="17"/>
          <w:color w:val="auto"/>
        </w:rPr>
        <w:t>eligible executives, including NEOs, to receive a Company contribution of 4% of base salary and bonus.</w:t>
      </w:r>
    </w:p>
    <w:p>
      <w:pPr>
        <w:spacing w:after="0" w:line="57" w:lineRule="exact"/>
        <w:rPr>
          <w:rFonts w:ascii="Arial" w:cs="Arial" w:eastAsia="Arial" w:hAnsi="Arial"/>
          <w:sz w:val="21"/>
          <w:szCs w:val="21"/>
          <w:color w:val="34657F"/>
        </w:rPr>
      </w:pPr>
    </w:p>
    <w:p>
      <w:pPr>
        <w:ind w:left="320" w:hanging="317"/>
        <w:spacing w:after="0" w:line="283" w:lineRule="auto"/>
        <w:tabs>
          <w:tab w:leader="none" w:pos="320" w:val="left"/>
        </w:tabs>
        <w:numPr>
          <w:ilvl w:val="0"/>
          <w:numId w:val="84"/>
        </w:numPr>
        <w:rPr>
          <w:rFonts w:ascii="Arial" w:cs="Arial" w:eastAsia="Arial" w:hAnsi="Arial"/>
          <w:sz w:val="21"/>
          <w:szCs w:val="21"/>
          <w:color w:val="34657F"/>
        </w:rPr>
      </w:pPr>
      <w:r>
        <w:rPr>
          <w:rFonts w:ascii="Arial" w:cs="Arial" w:eastAsia="Arial" w:hAnsi="Arial"/>
          <w:sz w:val="17"/>
          <w:szCs w:val="17"/>
          <w:b w:val="1"/>
          <w:bCs w:val="1"/>
          <w:color w:val="auto"/>
        </w:rPr>
        <w:t xml:space="preserve">Savings Excess Plan (SEP) </w:t>
      </w:r>
      <w:r>
        <w:rPr>
          <w:rFonts w:ascii="Arial" w:cs="Arial" w:eastAsia="Arial" w:hAnsi="Arial"/>
          <w:sz w:val="17"/>
          <w:szCs w:val="17"/>
          <w:color w:val="auto"/>
        </w:rPr>
        <w:t>is the Northrop Grumman Savings Excess Plan. This plan allows eligible employees, including the NEOs, to (i) defer up</w:t>
      </w:r>
      <w:r>
        <w:rPr>
          <w:rFonts w:ascii="Arial" w:cs="Arial" w:eastAsia="Arial" w:hAnsi="Arial"/>
          <w:sz w:val="17"/>
          <w:szCs w:val="17"/>
          <w:b w:val="1"/>
          <w:bCs w:val="1"/>
          <w:color w:val="auto"/>
        </w:rPr>
        <w:t xml:space="preserve"> </w:t>
      </w:r>
      <w:r>
        <w:rPr>
          <w:rFonts w:ascii="Arial" w:cs="Arial" w:eastAsia="Arial" w:hAnsi="Arial"/>
          <w:sz w:val="17"/>
          <w:szCs w:val="17"/>
          <w:color w:val="auto"/>
        </w:rPr>
        <w:t>to 50% of their salary and bonus beyond the compensation limits of the tax qualified plans and receive a Company matching contribution of up to 4% on a maximum of 8% of pay and (ii) receive RAC contributions beyond the compensation limits in the qualified plans.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64 </w:t>
      </w:r>
      <w:r>
        <w:rPr>
          <w:rFonts w:ascii="Arial" w:cs="Arial" w:eastAsia="Arial" w:hAnsi="Arial"/>
          <w:sz w:val="13"/>
          <w:szCs w:val="13"/>
          <w:color w:val="auto"/>
        </w:rPr>
        <w:t>I</w:t>
      </w:r>
      <w:r>
        <w:rPr>
          <w:rFonts w:ascii="Arial" w:cs="Arial" w:eastAsia="Arial" w:hAnsi="Arial"/>
          <w:sz w:val="17"/>
          <w:szCs w:val="17"/>
          <w:color w:val="auto"/>
        </w:rPr>
        <w:t xml:space="preserve"> </w:t>
      </w:r>
      <w:r>
        <w:rPr>
          <w:rFonts w:ascii="Arial" w:cs="Arial" w:eastAsia="Arial" w:hAnsi="Arial"/>
          <w:sz w:val="13"/>
          <w:szCs w:val="13"/>
          <w:color w:val="34657F"/>
        </w:rPr>
        <w:t>NOTICE OF 2019 ANNUAL MEETING OF SHAREHOLDERS AND PROXY STATEMENT</w:t>
      </w:r>
    </w:p>
    <w:p>
      <w:pPr>
        <w:sectPr>
          <w:pgSz w:w="11900" w:h="16838" w:orient="portrait"/>
          <w:cols w:equalWidth="0" w:num="1">
            <w:col w:w="11320"/>
          </w:cols>
          <w:pgMar w:left="240" w:top="671" w:right="339" w:bottom="1440" w:gutter="0" w:footer="0" w:header="0"/>
        </w:sectPr>
      </w:pPr>
    </w:p>
    <w:bookmarkStart w:id="70" w:name="page71"/>
    <w:bookmarkEnd w:id="70"/>
    <w:p>
      <w:pPr>
        <w:ind w:left="20"/>
        <w:spacing w:after="0"/>
        <w:rPr>
          <w:sz w:val="20"/>
          <w:szCs w:val="20"/>
          <w:color w:val="auto"/>
        </w:rPr>
      </w:pPr>
      <w:r>
        <w:rPr>
          <w:rFonts w:ascii="Arial" w:cs="Arial" w:eastAsia="Arial" w:hAnsi="Arial"/>
          <w:sz w:val="21"/>
          <w:szCs w:val="21"/>
          <w:b w:val="1"/>
          <w:bCs w:val="1"/>
          <w:color w:val="FFFFFF"/>
        </w:rPr>
        <w:t>CEO PAY RATIO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-148590</wp:posOffset>
            </wp:positionV>
            <wp:extent cx="7253605" cy="17907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53605" cy="179070"/>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p>
      <w:pPr>
        <w:ind w:left="20"/>
        <w:spacing w:after="0"/>
        <w:rPr>
          <w:sz w:val="20"/>
          <w:szCs w:val="20"/>
          <w:color w:val="auto"/>
        </w:rPr>
      </w:pPr>
      <w:r>
        <w:rPr>
          <w:rFonts w:ascii="Arial" w:cs="Arial" w:eastAsia="Arial" w:hAnsi="Arial"/>
          <w:sz w:val="24"/>
          <w:szCs w:val="24"/>
          <w:b w:val="1"/>
          <w:bCs w:val="1"/>
          <w:color w:val="auto"/>
        </w:rPr>
        <w:t>2018 CEO Pay Ratio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38100</wp:posOffset>
            </wp:positionV>
            <wp:extent cx="7253605" cy="1651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pacing w:after="0" w:line="116" w:lineRule="exact"/>
        <w:rPr>
          <w:sz w:val="20"/>
          <w:szCs w:val="20"/>
          <w:color w:val="auto"/>
        </w:rPr>
      </w:pPr>
    </w:p>
    <w:p>
      <w:pPr>
        <w:jc w:val="both"/>
        <w:ind w:right="180"/>
        <w:spacing w:after="0" w:line="255" w:lineRule="auto"/>
        <w:rPr>
          <w:sz w:val="20"/>
          <w:szCs w:val="20"/>
          <w:color w:val="auto"/>
        </w:rPr>
      </w:pPr>
      <w:r>
        <w:rPr>
          <w:rFonts w:ascii="Arial" w:cs="Arial" w:eastAsia="Arial" w:hAnsi="Arial"/>
          <w:sz w:val="17"/>
          <w:szCs w:val="17"/>
          <w:color w:val="auto"/>
        </w:rPr>
        <w:t>Consistent with Section 953(b) of the Dodd-Frank Wall Street Reform and Consumer Protection Act, and Item 402(u) of Regulation S-K (the pay ratio rule), we are providing the following information about the relationship of the annual total compensation of our median employee and the annual total compensation of our Chief Executive Officer (CEO), Mr. Bush, as of our fiscal year-end December 31, 2018. We believe the pay ratio included in this information is a reasonable estimate calculated in a manner consistent with Item 402(u) of Regulation S-K.</w:t>
      </w:r>
    </w:p>
    <w:p>
      <w:pPr>
        <w:spacing w:after="0" w:line="67" w:lineRule="exact"/>
        <w:rPr>
          <w:sz w:val="20"/>
          <w:szCs w:val="20"/>
          <w:color w:val="auto"/>
        </w:rPr>
      </w:pPr>
    </w:p>
    <w:p>
      <w:pPr>
        <w:ind w:right="40"/>
        <w:spacing w:after="0" w:line="255" w:lineRule="auto"/>
        <w:rPr>
          <w:sz w:val="20"/>
          <w:szCs w:val="20"/>
          <w:color w:val="auto"/>
        </w:rPr>
      </w:pPr>
      <w:r>
        <w:rPr>
          <w:rFonts w:ascii="Arial" w:cs="Arial" w:eastAsia="Arial" w:hAnsi="Arial"/>
          <w:sz w:val="17"/>
          <w:szCs w:val="17"/>
          <w:color w:val="auto"/>
        </w:rPr>
        <w:t>In June 2018, we acquired Orbital ATK. The approximately 15,000 Orbital ATK employees are not included in our pay ratio for 2018, as permitted by SEC rules. Excluding the acquisition, there were no significant changes to our global employee population and, our compensation plans remained consistent with the prior year. As such, we do not reasonably believe there have been changes that would result in a significant change to our pay ratio disclosure and, accordingly, are using the same median employee to calculate this year's pay ratio.</w:t>
      </w:r>
    </w:p>
    <w:p>
      <w:pPr>
        <w:spacing w:after="0" w:line="67" w:lineRule="exact"/>
        <w:rPr>
          <w:sz w:val="20"/>
          <w:szCs w:val="20"/>
          <w:color w:val="auto"/>
        </w:rPr>
      </w:pPr>
    </w:p>
    <w:p>
      <w:pPr>
        <w:ind w:right="20"/>
        <w:spacing w:after="0" w:line="254" w:lineRule="auto"/>
        <w:rPr>
          <w:sz w:val="20"/>
          <w:szCs w:val="20"/>
          <w:color w:val="auto"/>
        </w:rPr>
      </w:pPr>
      <w:r>
        <w:rPr>
          <w:rFonts w:ascii="Arial" w:cs="Arial" w:eastAsia="Arial" w:hAnsi="Arial"/>
          <w:sz w:val="17"/>
          <w:szCs w:val="17"/>
          <w:color w:val="auto"/>
        </w:rPr>
        <w:t>We calculated the median employee’s annual total compensation in the same manner as the CEO’s annual total compensation was calculated in the Summary Compensation Table on page 53. The median employee’s annual total compensation was $105,191, which includes other forms of compensation such as financial and wellness benefits. The CEO’s annual total compensation was $24,185,259, as reported in the “Total” column of the Summary Compensation Table. Based on this information, for 2018 the ratio of the annual total compensation of the CEO to the annual total compensation of the median employee was 230 : 1.</w:t>
      </w:r>
    </w:p>
    <w:p>
      <w:pPr>
        <w:spacing w:after="0" w:line="68" w:lineRule="exact"/>
        <w:rPr>
          <w:sz w:val="20"/>
          <w:szCs w:val="20"/>
          <w:color w:val="auto"/>
        </w:rPr>
      </w:pPr>
    </w:p>
    <w:p>
      <w:pPr>
        <w:jc w:val="both"/>
        <w:ind w:right="220"/>
        <w:spacing w:after="0" w:line="257" w:lineRule="auto"/>
        <w:rPr>
          <w:sz w:val="20"/>
          <w:szCs w:val="20"/>
          <w:color w:val="auto"/>
        </w:rPr>
      </w:pPr>
      <w:r>
        <w:rPr>
          <w:rFonts w:ascii="Arial" w:cs="Arial" w:eastAsia="Arial" w:hAnsi="Arial"/>
          <w:sz w:val="17"/>
          <w:szCs w:val="17"/>
          <w:color w:val="auto"/>
        </w:rPr>
        <w:t>Because the CEO pay ratio is intended to provide greater transparency to annual CEO pay and how it compares to the pay of the median employee, we are providing a supplemental ratio that excludes the one-time modification of Mr. Bush's 2017 and 2018 long-term incentive awards from his total annual compensation. The resulting 2018 supplemental ratio was 164 : 1, which we believe allows for better comparability to the prior year.</w:t>
      </w:r>
    </w:p>
    <w:p>
      <w:pPr>
        <w:spacing w:after="0" w:line="377" w:lineRule="exact"/>
        <w:rPr>
          <w:sz w:val="20"/>
          <w:szCs w:val="20"/>
          <w:color w:val="auto"/>
        </w:rPr>
      </w:pPr>
    </w:p>
    <w:p>
      <w:pPr>
        <w:jc w:val="right"/>
        <w:spacing w:after="0"/>
        <w:rPr>
          <w:sz w:val="20"/>
          <w:szCs w:val="20"/>
          <w:color w:val="auto"/>
        </w:rPr>
      </w:pPr>
      <w:r>
        <w:rPr>
          <w:rFonts w:ascii="Arial" w:cs="Arial" w:eastAsia="Arial" w:hAnsi="Arial"/>
          <w:sz w:val="14"/>
          <w:szCs w:val="14"/>
          <w:color w:val="34657F"/>
        </w:rPr>
        <w:t xml:space="preserve">NOTICE OF 2019 ANNUAL MEETING OF SHAREHOLDERS AND PROXY STATEMENT </w:t>
      </w:r>
      <w:r>
        <w:rPr>
          <w:rFonts w:ascii="Arial" w:cs="Arial" w:eastAsia="Arial" w:hAnsi="Arial"/>
          <w:sz w:val="14"/>
          <w:szCs w:val="14"/>
          <w:color w:val="000000"/>
        </w:rPr>
        <w:t>I 65</w:t>
      </w:r>
    </w:p>
    <w:p>
      <w:pPr>
        <w:sectPr>
          <w:pgSz w:w="11900" w:h="16838" w:orient="portrait"/>
          <w:cols w:equalWidth="0" w:num="1">
            <w:col w:w="11420"/>
          </w:cols>
          <w:pgMar w:left="240" w:top="723" w:right="239" w:bottom="1440" w:gutter="0" w:footer="0" w:header="0"/>
        </w:sectPr>
      </w:pPr>
    </w:p>
    <w:bookmarkStart w:id="71" w:name="page72"/>
    <w:bookmarkEnd w:id="71"/>
    <w:p>
      <w:pPr>
        <w:ind w:left="20"/>
        <w:spacing w:after="0"/>
        <w:rPr>
          <w:sz w:val="20"/>
          <w:szCs w:val="20"/>
          <w:color w:val="auto"/>
        </w:rPr>
      </w:pPr>
      <w:r>
        <w:rPr>
          <w:rFonts w:ascii="Arial" w:cs="Arial" w:eastAsia="Arial" w:hAnsi="Arial"/>
          <w:sz w:val="21"/>
          <w:szCs w:val="21"/>
          <w:b w:val="1"/>
          <w:bCs w:val="1"/>
          <w:color w:val="FFFFFF"/>
        </w:rPr>
        <w:drawing>
          <wp:anchor simplePos="0" relativeHeight="251657728" behindDoc="1" locked="0" layoutInCell="0" allowOverlap="1">
            <wp:simplePos x="0" y="0"/>
            <wp:positionH relativeFrom="page">
              <wp:posOffset>154305</wp:posOffset>
            </wp:positionH>
            <wp:positionV relativeFrom="page">
              <wp:posOffset>349250</wp:posOffset>
            </wp:positionV>
            <wp:extent cx="7253605" cy="3092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53605" cy="309245"/>
                    </a:xfrm>
                    <a:prstGeom prst="rect">
                      <a:avLst/>
                    </a:prstGeom>
                    <a:noFill/>
                  </pic:spPr>
                </pic:pic>
              </a:graphicData>
            </a:graphic>
          </wp:anchor>
        </w:drawing>
        <w:t>TERMINATION PAYMENTS AND BENEFITS</w:t>
      </w:r>
    </w:p>
    <w:p>
      <w:pPr>
        <w:spacing w:after="0" w:line="200" w:lineRule="exact"/>
        <w:rPr>
          <w:sz w:val="20"/>
          <w:szCs w:val="20"/>
          <w:color w:val="auto"/>
        </w:rPr>
      </w:pPr>
    </w:p>
    <w:p>
      <w:pPr>
        <w:spacing w:after="0" w:line="306" w:lineRule="exact"/>
        <w:rPr>
          <w:sz w:val="20"/>
          <w:szCs w:val="20"/>
          <w:color w:val="auto"/>
        </w:rPr>
      </w:pPr>
    </w:p>
    <w:p>
      <w:pPr>
        <w:ind w:left="20"/>
        <w:spacing w:after="0"/>
        <w:rPr>
          <w:sz w:val="20"/>
          <w:szCs w:val="20"/>
          <w:color w:val="auto"/>
        </w:rPr>
      </w:pPr>
      <w:r>
        <w:rPr>
          <w:rFonts w:ascii="Arial" w:cs="Arial" w:eastAsia="Arial" w:hAnsi="Arial"/>
          <w:sz w:val="24"/>
          <w:szCs w:val="24"/>
          <w:b w:val="1"/>
          <w:bCs w:val="1"/>
          <w:color w:val="auto"/>
        </w:rPr>
        <w:t>Terms of Equity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38100</wp:posOffset>
            </wp:positionV>
            <wp:extent cx="7253605" cy="1651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pacing w:after="0" w:line="142" w:lineRule="exact"/>
        <w:rPr>
          <w:sz w:val="20"/>
          <w:szCs w:val="20"/>
          <w:color w:val="auto"/>
        </w:rPr>
      </w:pPr>
    </w:p>
    <w:p>
      <w:pPr>
        <w:ind w:right="200"/>
        <w:spacing w:after="0" w:line="263" w:lineRule="auto"/>
        <w:rPr>
          <w:sz w:val="20"/>
          <w:szCs w:val="20"/>
          <w:color w:val="auto"/>
        </w:rPr>
      </w:pPr>
      <w:r>
        <w:rPr>
          <w:rFonts w:ascii="Arial" w:cs="Arial" w:eastAsia="Arial" w:hAnsi="Arial"/>
          <w:sz w:val="17"/>
          <w:szCs w:val="17"/>
          <w:color w:val="auto"/>
        </w:rPr>
        <w:t>The terms of equity awards granted to the NEOs under the 2011 Plan provide for accelerated vesting if an NEO's employment terminates for certain reasons.</w:t>
      </w:r>
    </w:p>
    <w:p>
      <w:pPr>
        <w:spacing w:after="0" w:line="59" w:lineRule="exact"/>
        <w:rPr>
          <w:sz w:val="20"/>
          <w:szCs w:val="20"/>
          <w:color w:val="auto"/>
        </w:rPr>
      </w:pPr>
    </w:p>
    <w:p>
      <w:pPr>
        <w:jc w:val="both"/>
        <w:ind w:right="100"/>
        <w:spacing w:after="0" w:line="257" w:lineRule="auto"/>
        <w:rPr>
          <w:sz w:val="20"/>
          <w:szCs w:val="20"/>
          <w:color w:val="auto"/>
        </w:rPr>
      </w:pPr>
      <w:r>
        <w:rPr>
          <w:rFonts w:ascii="Arial" w:cs="Arial" w:eastAsia="Arial" w:hAnsi="Arial"/>
          <w:sz w:val="17"/>
          <w:szCs w:val="17"/>
          <w:color w:val="auto"/>
        </w:rPr>
        <w:t>Generally for RPSRs, vesting of a prorated portion of each award occurs from termination due to early retirement, death or disability, and full vesting occurs upon normal retirement (mandatory at age 65), all subject to the Compensation Committee's approval of the earnout percentage based on the RPSR performance metrics for the three-year performance period.</w:t>
      </w:r>
    </w:p>
    <w:p>
      <w:pPr>
        <w:spacing w:after="0" w:line="64" w:lineRule="exact"/>
        <w:rPr>
          <w:sz w:val="20"/>
          <w:szCs w:val="20"/>
          <w:color w:val="auto"/>
        </w:rPr>
      </w:pPr>
    </w:p>
    <w:p>
      <w:pPr>
        <w:ind w:right="160"/>
        <w:spacing w:after="0" w:line="263" w:lineRule="auto"/>
        <w:rPr>
          <w:sz w:val="20"/>
          <w:szCs w:val="20"/>
          <w:color w:val="auto"/>
        </w:rPr>
      </w:pPr>
      <w:r>
        <w:rPr>
          <w:rFonts w:ascii="Arial" w:cs="Arial" w:eastAsia="Arial" w:hAnsi="Arial"/>
          <w:sz w:val="17"/>
          <w:szCs w:val="17"/>
          <w:color w:val="auto"/>
        </w:rPr>
        <w:t>Generally for RSRs, vesting of a prorated portion of each award occurs from termination due to early retirement, and full vesting occurs upon normal retirement (mandatory at age 65), death or disability.</w:t>
      </w:r>
    </w:p>
    <w:p>
      <w:pPr>
        <w:spacing w:after="0" w:line="185" w:lineRule="exact"/>
        <w:rPr>
          <w:sz w:val="20"/>
          <w:szCs w:val="20"/>
          <w:color w:val="auto"/>
        </w:rPr>
      </w:pPr>
    </w:p>
    <w:p>
      <w:pPr>
        <w:ind w:left="20"/>
        <w:spacing w:after="0"/>
        <w:rPr>
          <w:sz w:val="20"/>
          <w:szCs w:val="20"/>
          <w:color w:val="auto"/>
        </w:rPr>
      </w:pPr>
      <w:r>
        <w:rPr>
          <w:rFonts w:ascii="Arial" w:cs="Arial" w:eastAsia="Arial" w:hAnsi="Arial"/>
          <w:sz w:val="24"/>
          <w:szCs w:val="24"/>
          <w:b w:val="1"/>
          <w:bCs w:val="1"/>
          <w:color w:val="auto"/>
        </w:rPr>
        <w:t>Possible Accelerated Equity Vesting Due to Change in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38100</wp:posOffset>
            </wp:positionV>
            <wp:extent cx="7253605" cy="1651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pacing w:after="0" w:line="142" w:lineRule="exact"/>
        <w:rPr>
          <w:sz w:val="20"/>
          <w:szCs w:val="20"/>
          <w:color w:val="auto"/>
        </w:rPr>
      </w:pPr>
    </w:p>
    <w:p>
      <w:pPr>
        <w:ind w:right="120"/>
        <w:spacing w:after="0" w:line="254" w:lineRule="auto"/>
        <w:rPr>
          <w:sz w:val="20"/>
          <w:szCs w:val="20"/>
          <w:color w:val="auto"/>
        </w:rPr>
      </w:pPr>
      <w:r>
        <w:rPr>
          <w:rFonts w:ascii="Arial" w:cs="Arial" w:eastAsia="Arial" w:hAnsi="Arial"/>
          <w:sz w:val="17"/>
          <w:szCs w:val="17"/>
          <w:color w:val="auto"/>
        </w:rPr>
        <w:t>The terms of equity awards to the NEOs under the 2011 Plan provide for possible accelerated vesting of RPSRs and RSRs when the Company is involved in certain types of change in control events, which are more fully described in the 2011 Plan (e.g., certain business combinations after which the Company is not the surviving entity and the surviving entity does not assume the awards). Possible acceleration would occur with respect to RPSRs and RSRs in certain change in control events that result in a termination of the NEO (other than for cause) within the specified period (double trigger). The acceleration of awards requires this double trigger, unless an acquiring company fails to assume the awards. The award terms provide that acceleration will not occur to the extent that it would result in an excise tax that decreases the after-tax value of the awards to an NEO.</w:t>
      </w:r>
    </w:p>
    <w:p>
      <w:pPr>
        <w:spacing w:after="0" w:line="66" w:lineRule="exact"/>
        <w:rPr>
          <w:sz w:val="20"/>
          <w:szCs w:val="20"/>
          <w:color w:val="auto"/>
        </w:rPr>
      </w:pPr>
    </w:p>
    <w:p>
      <w:pPr>
        <w:spacing w:after="0"/>
        <w:rPr>
          <w:sz w:val="20"/>
          <w:szCs w:val="20"/>
          <w:color w:val="auto"/>
        </w:rPr>
      </w:pPr>
      <w:r>
        <w:rPr>
          <w:rFonts w:ascii="Arial" w:cs="Arial" w:eastAsia="Arial" w:hAnsi="Arial"/>
          <w:sz w:val="17"/>
          <w:szCs w:val="17"/>
          <w:color w:val="auto"/>
        </w:rPr>
        <w:t>In cases where acceleration would occur under these limited change in control provisions, distributions for RPSRs and RSRs would be in full.</w:t>
      </w:r>
    </w:p>
    <w:p>
      <w:pPr>
        <w:spacing w:after="0" w:line="87"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The table below provides the estimated value of accelerated equity vesting if such a change in control had occurred on December 31, 2018. The estimated value is computed by multiplying unvested shares as of December 31, 2018 by the closing market price of the Company's common stock on December 31, 2018, the last trading day of the year ($244.90). For RPSRs, Company performance is assumed to be at target levels through the close of each three-year performance period.</w:t>
      </w:r>
    </w:p>
    <w:p>
      <w:pPr>
        <w:spacing w:after="0" w:line="196" w:lineRule="exact"/>
        <w:rPr>
          <w:sz w:val="20"/>
          <w:szCs w:val="20"/>
          <w:color w:val="auto"/>
        </w:rPr>
      </w:pPr>
    </w:p>
    <w:tbl>
      <w:tblPr>
        <w:tblLayout w:type="fixed"/>
        <w:tblInd w:w="780" w:type="dxa"/>
        <w:tblCellMar>
          <w:top w:w="0" w:type="dxa"/>
          <w:left w:w="0" w:type="dxa"/>
          <w:bottom w:w="0" w:type="dxa"/>
          <w:right w:w="0" w:type="dxa"/>
        </w:tblCellMar>
      </w:tblPr>
      <w:tr>
        <w:trPr>
          <w:trHeight w:val="258"/>
        </w:trPr>
        <w:tc>
          <w:tcPr>
            <w:tcW w:w="4860" w:type="dxa"/>
            <w:vAlign w:val="bottom"/>
            <w:shd w:val="clear" w:color="auto" w:fill="34657F"/>
          </w:tcPr>
          <w:p>
            <w:pPr>
              <w:spacing w:after="0"/>
              <w:rPr>
                <w:sz w:val="22"/>
                <w:szCs w:val="22"/>
                <w:color w:val="auto"/>
              </w:rPr>
            </w:pPr>
          </w:p>
        </w:tc>
        <w:tc>
          <w:tcPr>
            <w:tcW w:w="1680" w:type="dxa"/>
            <w:vAlign w:val="bottom"/>
            <w:shd w:val="clear" w:color="auto" w:fill="34657F"/>
          </w:tcPr>
          <w:p>
            <w:pPr>
              <w:jc w:val="center"/>
              <w:spacing w:after="0"/>
              <w:rPr>
                <w:sz w:val="20"/>
                <w:szCs w:val="20"/>
                <w:color w:val="auto"/>
              </w:rPr>
            </w:pPr>
            <w:r>
              <w:rPr>
                <w:rFonts w:ascii="Arial" w:cs="Arial" w:eastAsia="Arial" w:hAnsi="Arial"/>
                <w:sz w:val="14"/>
                <w:szCs w:val="14"/>
                <w:b w:val="1"/>
                <w:bCs w:val="1"/>
                <w:color w:val="FFFFFF"/>
                <w:w w:val="96"/>
              </w:rPr>
              <w:t>RSRs</w:t>
            </w:r>
          </w:p>
        </w:tc>
        <w:tc>
          <w:tcPr>
            <w:tcW w:w="1680" w:type="dxa"/>
            <w:vAlign w:val="bottom"/>
            <w:shd w:val="clear" w:color="auto" w:fill="34657F"/>
          </w:tcPr>
          <w:p>
            <w:pPr>
              <w:jc w:val="center"/>
              <w:spacing w:after="0"/>
              <w:rPr>
                <w:sz w:val="20"/>
                <w:szCs w:val="20"/>
                <w:color w:val="auto"/>
              </w:rPr>
            </w:pPr>
            <w:r>
              <w:rPr>
                <w:rFonts w:ascii="Arial" w:cs="Arial" w:eastAsia="Arial" w:hAnsi="Arial"/>
                <w:sz w:val="14"/>
                <w:szCs w:val="14"/>
                <w:b w:val="1"/>
                <w:bCs w:val="1"/>
                <w:color w:val="FFFFFF"/>
                <w:w w:val="98"/>
              </w:rPr>
              <w:t>RPSRs</w:t>
            </w:r>
          </w:p>
        </w:tc>
        <w:tc>
          <w:tcPr>
            <w:tcW w:w="1660" w:type="dxa"/>
            <w:vAlign w:val="bottom"/>
            <w:shd w:val="clear" w:color="auto" w:fill="34657F"/>
          </w:tcPr>
          <w:p>
            <w:pPr>
              <w:spacing w:after="0"/>
              <w:rPr>
                <w:sz w:val="22"/>
                <w:szCs w:val="22"/>
                <w:color w:val="auto"/>
              </w:rPr>
            </w:pPr>
          </w:p>
        </w:tc>
        <w:tc>
          <w:tcPr>
            <w:tcW w:w="20" w:type="dxa"/>
            <w:vAlign w:val="bottom"/>
            <w:shd w:val="clear" w:color="auto" w:fill="34657F"/>
          </w:tcPr>
          <w:p>
            <w:pPr>
              <w:spacing w:after="0"/>
              <w:rPr>
                <w:sz w:val="22"/>
                <w:szCs w:val="22"/>
                <w:color w:val="auto"/>
              </w:rPr>
            </w:pPr>
          </w:p>
        </w:tc>
      </w:tr>
      <w:tr>
        <w:trPr>
          <w:trHeight w:val="192"/>
        </w:trPr>
        <w:tc>
          <w:tcPr>
            <w:tcW w:w="4860" w:type="dxa"/>
            <w:vAlign w:val="bottom"/>
            <w:shd w:val="clear" w:color="auto" w:fill="34657F"/>
          </w:tcPr>
          <w:p>
            <w:pPr>
              <w:spacing w:after="0"/>
              <w:rPr>
                <w:sz w:val="16"/>
                <w:szCs w:val="16"/>
                <w:color w:val="auto"/>
              </w:rPr>
            </w:pPr>
          </w:p>
        </w:tc>
        <w:tc>
          <w:tcPr>
            <w:tcW w:w="1680" w:type="dxa"/>
            <w:vAlign w:val="bottom"/>
            <w:shd w:val="clear" w:color="auto" w:fill="34657F"/>
          </w:tcPr>
          <w:p>
            <w:pPr>
              <w:jc w:val="center"/>
              <w:spacing w:after="0"/>
              <w:rPr>
                <w:sz w:val="20"/>
                <w:szCs w:val="20"/>
                <w:color w:val="auto"/>
              </w:rPr>
            </w:pPr>
            <w:r>
              <w:rPr>
                <w:rFonts w:ascii="Arial" w:cs="Arial" w:eastAsia="Arial" w:hAnsi="Arial"/>
                <w:sz w:val="14"/>
                <w:szCs w:val="14"/>
                <w:b w:val="1"/>
                <w:bCs w:val="1"/>
                <w:color w:val="FFFFFF"/>
                <w:w w:val="97"/>
              </w:rPr>
              <w:t>Acceleration</w:t>
            </w:r>
          </w:p>
        </w:tc>
        <w:tc>
          <w:tcPr>
            <w:tcW w:w="1680" w:type="dxa"/>
            <w:vAlign w:val="bottom"/>
            <w:shd w:val="clear" w:color="auto" w:fill="34657F"/>
          </w:tcPr>
          <w:p>
            <w:pPr>
              <w:ind w:left="400"/>
              <w:spacing w:after="0"/>
              <w:rPr>
                <w:sz w:val="20"/>
                <w:szCs w:val="20"/>
                <w:color w:val="auto"/>
              </w:rPr>
            </w:pPr>
            <w:r>
              <w:rPr>
                <w:rFonts w:ascii="Arial" w:cs="Arial" w:eastAsia="Arial" w:hAnsi="Arial"/>
                <w:sz w:val="14"/>
                <w:szCs w:val="14"/>
                <w:b w:val="1"/>
                <w:bCs w:val="1"/>
                <w:color w:val="FFFFFF"/>
              </w:rPr>
              <w:t>Acceleration</w:t>
            </w:r>
          </w:p>
        </w:tc>
        <w:tc>
          <w:tcPr>
            <w:tcW w:w="1660" w:type="dxa"/>
            <w:vAlign w:val="bottom"/>
            <w:shd w:val="clear" w:color="auto" w:fill="34657F"/>
          </w:tcPr>
          <w:p>
            <w:pPr>
              <w:spacing w:after="0"/>
              <w:rPr>
                <w:sz w:val="16"/>
                <w:szCs w:val="16"/>
                <w:color w:val="auto"/>
              </w:rPr>
            </w:pPr>
          </w:p>
        </w:tc>
        <w:tc>
          <w:tcPr>
            <w:tcW w:w="20" w:type="dxa"/>
            <w:vAlign w:val="bottom"/>
            <w:shd w:val="clear" w:color="auto" w:fill="34657F"/>
          </w:tcPr>
          <w:p>
            <w:pPr>
              <w:spacing w:after="0"/>
              <w:rPr>
                <w:sz w:val="16"/>
                <w:szCs w:val="16"/>
                <w:color w:val="auto"/>
              </w:rPr>
            </w:pPr>
          </w:p>
        </w:tc>
      </w:tr>
      <w:tr>
        <w:trPr>
          <w:trHeight w:val="154"/>
        </w:trPr>
        <w:tc>
          <w:tcPr>
            <w:tcW w:w="4860" w:type="dxa"/>
            <w:vAlign w:val="bottom"/>
            <w:shd w:val="clear" w:color="auto" w:fill="34657F"/>
          </w:tcPr>
          <w:p>
            <w:pPr>
              <w:spacing w:after="0"/>
              <w:rPr>
                <w:sz w:val="13"/>
                <w:szCs w:val="13"/>
                <w:color w:val="auto"/>
              </w:rPr>
            </w:pPr>
          </w:p>
        </w:tc>
        <w:tc>
          <w:tcPr>
            <w:tcW w:w="1680" w:type="dxa"/>
            <w:vAlign w:val="bottom"/>
            <w:shd w:val="clear" w:color="auto" w:fill="34657F"/>
          </w:tcPr>
          <w:p>
            <w:pPr>
              <w:jc w:val="center"/>
              <w:spacing w:after="0" w:line="154" w:lineRule="exact"/>
              <w:rPr>
                <w:sz w:val="20"/>
                <w:szCs w:val="20"/>
                <w:color w:val="auto"/>
              </w:rPr>
            </w:pPr>
            <w:r>
              <w:rPr>
                <w:rFonts w:ascii="Arial" w:cs="Arial" w:eastAsia="Arial" w:hAnsi="Arial"/>
                <w:sz w:val="14"/>
                <w:szCs w:val="14"/>
                <w:b w:val="1"/>
                <w:bCs w:val="1"/>
                <w:color w:val="FFFFFF"/>
                <w:w w:val="97"/>
              </w:rPr>
              <w:t>of Vesting</w:t>
            </w:r>
          </w:p>
        </w:tc>
        <w:tc>
          <w:tcPr>
            <w:tcW w:w="1680" w:type="dxa"/>
            <w:vAlign w:val="bottom"/>
            <w:shd w:val="clear" w:color="auto" w:fill="34657F"/>
          </w:tcPr>
          <w:p>
            <w:pPr>
              <w:jc w:val="center"/>
              <w:spacing w:after="0" w:line="154" w:lineRule="exact"/>
              <w:rPr>
                <w:sz w:val="20"/>
                <w:szCs w:val="20"/>
                <w:color w:val="auto"/>
              </w:rPr>
            </w:pPr>
            <w:r>
              <w:rPr>
                <w:rFonts w:ascii="Arial" w:cs="Arial" w:eastAsia="Arial" w:hAnsi="Arial"/>
                <w:sz w:val="14"/>
                <w:szCs w:val="14"/>
                <w:b w:val="1"/>
                <w:bCs w:val="1"/>
                <w:color w:val="FFFFFF"/>
                <w:w w:val="97"/>
              </w:rPr>
              <w:t>of Vesting</w:t>
            </w:r>
          </w:p>
        </w:tc>
        <w:tc>
          <w:tcPr>
            <w:tcW w:w="1660" w:type="dxa"/>
            <w:vAlign w:val="bottom"/>
            <w:shd w:val="clear" w:color="auto" w:fill="34657F"/>
          </w:tcPr>
          <w:p>
            <w:pPr>
              <w:ind w:left="660"/>
              <w:spacing w:after="0" w:line="154" w:lineRule="exact"/>
              <w:rPr>
                <w:sz w:val="20"/>
                <w:szCs w:val="20"/>
                <w:color w:val="auto"/>
              </w:rPr>
            </w:pPr>
            <w:r>
              <w:rPr>
                <w:rFonts w:ascii="Arial" w:cs="Arial" w:eastAsia="Arial" w:hAnsi="Arial"/>
                <w:sz w:val="14"/>
                <w:szCs w:val="14"/>
                <w:b w:val="1"/>
                <w:bCs w:val="1"/>
                <w:color w:val="FFFFFF"/>
              </w:rPr>
              <w:t>Total</w:t>
            </w:r>
          </w:p>
        </w:tc>
        <w:tc>
          <w:tcPr>
            <w:tcW w:w="20" w:type="dxa"/>
            <w:vAlign w:val="bottom"/>
            <w:shd w:val="clear" w:color="auto" w:fill="34657F"/>
          </w:tcPr>
          <w:p>
            <w:pPr>
              <w:spacing w:after="0"/>
              <w:rPr>
                <w:sz w:val="13"/>
                <w:szCs w:val="13"/>
                <w:color w:val="auto"/>
              </w:rPr>
            </w:pPr>
          </w:p>
        </w:tc>
      </w:tr>
      <w:tr>
        <w:trPr>
          <w:trHeight w:val="184"/>
        </w:trPr>
        <w:tc>
          <w:tcPr>
            <w:tcW w:w="4860" w:type="dxa"/>
            <w:vAlign w:val="bottom"/>
            <w:tcBorders>
              <w:bottom w:val="single" w:sz="8" w:color="34657F"/>
            </w:tcBorders>
            <w:shd w:val="clear" w:color="auto" w:fill="34657F"/>
          </w:tcPr>
          <w:p>
            <w:pPr>
              <w:ind w:left="20"/>
              <w:spacing w:after="0"/>
              <w:rPr>
                <w:sz w:val="20"/>
                <w:szCs w:val="20"/>
                <w:color w:val="auto"/>
              </w:rPr>
            </w:pPr>
            <w:r>
              <w:rPr>
                <w:rFonts w:ascii="Arial" w:cs="Arial" w:eastAsia="Arial" w:hAnsi="Arial"/>
                <w:sz w:val="14"/>
                <w:szCs w:val="14"/>
                <w:b w:val="1"/>
                <w:bCs w:val="1"/>
                <w:color w:val="FFFFFF"/>
              </w:rPr>
              <w:t>Name</w:t>
            </w:r>
          </w:p>
        </w:tc>
        <w:tc>
          <w:tcPr>
            <w:tcW w:w="1680" w:type="dxa"/>
            <w:vAlign w:val="bottom"/>
            <w:tcBorders>
              <w:bottom w:val="single" w:sz="8" w:color="34657F"/>
            </w:tcBorders>
            <w:shd w:val="clear" w:color="auto" w:fill="34657F"/>
          </w:tcPr>
          <w:p>
            <w:pPr>
              <w:jc w:val="center"/>
              <w:spacing w:after="0"/>
              <w:rPr>
                <w:sz w:val="20"/>
                <w:szCs w:val="20"/>
                <w:color w:val="auto"/>
              </w:rPr>
            </w:pPr>
            <w:r>
              <w:rPr>
                <w:rFonts w:ascii="Arial" w:cs="Arial" w:eastAsia="Arial" w:hAnsi="Arial"/>
                <w:sz w:val="14"/>
                <w:szCs w:val="14"/>
                <w:b w:val="1"/>
                <w:bCs w:val="1"/>
                <w:color w:val="FFFFFF"/>
                <w:w w:val="93"/>
              </w:rPr>
              <w:t>($)</w:t>
            </w:r>
          </w:p>
        </w:tc>
        <w:tc>
          <w:tcPr>
            <w:tcW w:w="1680" w:type="dxa"/>
            <w:vAlign w:val="bottom"/>
            <w:tcBorders>
              <w:bottom w:val="single" w:sz="8" w:color="34657F"/>
            </w:tcBorders>
            <w:shd w:val="clear" w:color="auto" w:fill="34657F"/>
          </w:tcPr>
          <w:p>
            <w:pPr>
              <w:jc w:val="center"/>
              <w:spacing w:after="0"/>
              <w:rPr>
                <w:sz w:val="20"/>
                <w:szCs w:val="20"/>
                <w:color w:val="auto"/>
              </w:rPr>
            </w:pPr>
            <w:r>
              <w:rPr>
                <w:rFonts w:ascii="Arial" w:cs="Arial" w:eastAsia="Arial" w:hAnsi="Arial"/>
                <w:sz w:val="14"/>
                <w:szCs w:val="14"/>
                <w:b w:val="1"/>
                <w:bCs w:val="1"/>
                <w:color w:val="FFFFFF"/>
                <w:w w:val="93"/>
              </w:rPr>
              <w:t>($)</w:t>
            </w:r>
          </w:p>
        </w:tc>
        <w:tc>
          <w:tcPr>
            <w:tcW w:w="1660" w:type="dxa"/>
            <w:vAlign w:val="bottom"/>
            <w:tcBorders>
              <w:bottom w:val="single" w:sz="8" w:color="34657F"/>
            </w:tcBorders>
            <w:shd w:val="clear" w:color="auto" w:fill="34657F"/>
          </w:tcPr>
          <w:p>
            <w:pPr>
              <w:jc w:val="center"/>
              <w:spacing w:after="0"/>
              <w:rPr>
                <w:sz w:val="20"/>
                <w:szCs w:val="20"/>
                <w:color w:val="auto"/>
              </w:rPr>
            </w:pPr>
            <w:r>
              <w:rPr>
                <w:rFonts w:ascii="Arial" w:cs="Arial" w:eastAsia="Arial" w:hAnsi="Arial"/>
                <w:sz w:val="14"/>
                <w:szCs w:val="14"/>
                <w:b w:val="1"/>
                <w:bCs w:val="1"/>
                <w:color w:val="FFFFFF"/>
                <w:w w:val="93"/>
              </w:rPr>
              <w:t>($)</w:t>
            </w:r>
          </w:p>
        </w:tc>
        <w:tc>
          <w:tcPr>
            <w:tcW w:w="20" w:type="dxa"/>
            <w:vAlign w:val="bottom"/>
            <w:tcBorders>
              <w:bottom w:val="single" w:sz="8" w:color="34657F"/>
            </w:tcBorders>
            <w:shd w:val="clear" w:color="auto" w:fill="34657F"/>
          </w:tcPr>
          <w:p>
            <w:pPr>
              <w:spacing w:after="0"/>
              <w:rPr>
                <w:sz w:val="15"/>
                <w:szCs w:val="15"/>
                <w:color w:val="auto"/>
              </w:rPr>
            </w:pPr>
          </w:p>
        </w:tc>
      </w:tr>
      <w:tr>
        <w:trPr>
          <w:trHeight w:val="185"/>
        </w:trPr>
        <w:tc>
          <w:tcPr>
            <w:tcW w:w="4860" w:type="dxa"/>
            <w:vAlign w:val="bottom"/>
            <w:tcBorders>
              <w:bottom w:val="single" w:sz="8" w:color="D1DDE6"/>
            </w:tcBorders>
            <w:shd w:val="clear" w:color="auto" w:fill="D1DDE6"/>
          </w:tcPr>
          <w:p>
            <w:pPr>
              <w:ind w:left="20"/>
              <w:spacing w:after="0"/>
              <w:rPr>
                <w:sz w:val="20"/>
                <w:szCs w:val="20"/>
                <w:color w:val="auto"/>
              </w:rPr>
            </w:pPr>
            <w:r>
              <w:rPr>
                <w:rFonts w:ascii="Arial" w:cs="Arial" w:eastAsia="Arial" w:hAnsi="Arial"/>
                <w:sz w:val="14"/>
                <w:szCs w:val="14"/>
                <w:color w:val="auto"/>
                <w:highlight w:val="lightGray"/>
              </w:rPr>
              <w:t>Wesley G. Bush</w:t>
            </w:r>
          </w:p>
        </w:tc>
        <w:tc>
          <w:tcPr>
            <w:tcW w:w="1680" w:type="dxa"/>
            <w:vAlign w:val="bottom"/>
            <w:tcBorders>
              <w:bottom w:val="single" w:sz="8" w:color="D1DDE6"/>
            </w:tcBorders>
            <w:shd w:val="clear" w:color="auto" w:fill="D1DDE6"/>
          </w:tcPr>
          <w:p>
            <w:pPr>
              <w:jc w:val="center"/>
              <w:spacing w:after="0"/>
              <w:rPr>
                <w:sz w:val="20"/>
                <w:szCs w:val="20"/>
                <w:color w:val="auto"/>
              </w:rPr>
            </w:pPr>
            <w:r>
              <w:rPr>
                <w:rFonts w:ascii="Arial" w:cs="Arial" w:eastAsia="Arial" w:hAnsi="Arial"/>
                <w:sz w:val="14"/>
                <w:szCs w:val="14"/>
                <w:color w:val="auto"/>
                <w:w w:val="96"/>
              </w:rPr>
              <w:t>9,371,588</w:t>
            </w:r>
          </w:p>
        </w:tc>
        <w:tc>
          <w:tcPr>
            <w:tcW w:w="1680" w:type="dxa"/>
            <w:vAlign w:val="bottom"/>
            <w:tcBorders>
              <w:bottom w:val="single" w:sz="8" w:color="D1DDE6"/>
            </w:tcBorders>
            <w:shd w:val="clear" w:color="auto" w:fill="D1DDE6"/>
          </w:tcPr>
          <w:p>
            <w:pPr>
              <w:jc w:val="center"/>
              <w:spacing w:after="0"/>
              <w:rPr>
                <w:sz w:val="20"/>
                <w:szCs w:val="20"/>
                <w:color w:val="auto"/>
              </w:rPr>
            </w:pPr>
            <w:r>
              <w:rPr>
                <w:rFonts w:ascii="Arial" w:cs="Arial" w:eastAsia="Arial" w:hAnsi="Arial"/>
                <w:sz w:val="14"/>
                <w:szCs w:val="14"/>
                <w:color w:val="auto"/>
                <w:w w:val="96"/>
              </w:rPr>
              <w:t>12,341,001</w:t>
            </w:r>
          </w:p>
        </w:tc>
        <w:tc>
          <w:tcPr>
            <w:tcW w:w="1660" w:type="dxa"/>
            <w:vAlign w:val="bottom"/>
            <w:tcBorders>
              <w:bottom w:val="single" w:sz="8" w:color="D1DDE6"/>
            </w:tcBorders>
            <w:shd w:val="clear" w:color="auto" w:fill="D1DDE6"/>
          </w:tcPr>
          <w:p>
            <w:pPr>
              <w:jc w:val="center"/>
              <w:spacing w:after="0"/>
              <w:rPr>
                <w:sz w:val="20"/>
                <w:szCs w:val="20"/>
                <w:color w:val="auto"/>
              </w:rPr>
            </w:pPr>
            <w:r>
              <w:rPr>
                <w:rFonts w:ascii="Arial" w:cs="Arial" w:eastAsia="Arial" w:hAnsi="Arial"/>
                <w:sz w:val="14"/>
                <w:szCs w:val="14"/>
                <w:color w:val="auto"/>
                <w:w w:val="96"/>
              </w:rPr>
              <w:t>21,712,589</w:t>
            </w:r>
          </w:p>
        </w:tc>
        <w:tc>
          <w:tcPr>
            <w:tcW w:w="20" w:type="dxa"/>
            <w:vAlign w:val="bottom"/>
          </w:tcPr>
          <w:p>
            <w:pPr>
              <w:spacing w:after="0"/>
              <w:rPr>
                <w:sz w:val="16"/>
                <w:szCs w:val="16"/>
                <w:color w:val="auto"/>
              </w:rPr>
            </w:pPr>
          </w:p>
        </w:tc>
      </w:tr>
      <w:tr>
        <w:trPr>
          <w:trHeight w:val="199"/>
        </w:trPr>
        <w:tc>
          <w:tcPr>
            <w:tcW w:w="4860" w:type="dxa"/>
            <w:vAlign w:val="bottom"/>
          </w:tcPr>
          <w:p>
            <w:pPr>
              <w:ind w:left="20"/>
              <w:spacing w:after="0"/>
              <w:rPr>
                <w:sz w:val="20"/>
                <w:szCs w:val="20"/>
                <w:color w:val="auto"/>
              </w:rPr>
            </w:pPr>
            <w:r>
              <w:rPr>
                <w:rFonts w:ascii="Arial" w:cs="Arial" w:eastAsia="Arial" w:hAnsi="Arial"/>
                <w:sz w:val="14"/>
                <w:szCs w:val="14"/>
                <w:color w:val="auto"/>
              </w:rPr>
              <w:t>Kathy J. Warden</w:t>
            </w:r>
          </w:p>
        </w:tc>
        <w:tc>
          <w:tcPr>
            <w:tcW w:w="1680" w:type="dxa"/>
            <w:vAlign w:val="bottom"/>
          </w:tcPr>
          <w:p>
            <w:pPr>
              <w:jc w:val="center"/>
              <w:spacing w:after="0"/>
              <w:rPr>
                <w:sz w:val="20"/>
                <w:szCs w:val="20"/>
                <w:color w:val="auto"/>
              </w:rPr>
            </w:pPr>
            <w:r>
              <w:rPr>
                <w:rFonts w:ascii="Arial" w:cs="Arial" w:eastAsia="Arial" w:hAnsi="Arial"/>
                <w:sz w:val="14"/>
                <w:szCs w:val="14"/>
                <w:color w:val="auto"/>
                <w:w w:val="96"/>
              </w:rPr>
              <w:t>4,822,326</w:t>
            </w:r>
          </w:p>
        </w:tc>
        <w:tc>
          <w:tcPr>
            <w:tcW w:w="1680" w:type="dxa"/>
            <w:vAlign w:val="bottom"/>
          </w:tcPr>
          <w:p>
            <w:pPr>
              <w:jc w:val="center"/>
              <w:spacing w:after="0"/>
              <w:rPr>
                <w:sz w:val="20"/>
                <w:szCs w:val="20"/>
                <w:color w:val="auto"/>
              </w:rPr>
            </w:pPr>
            <w:r>
              <w:rPr>
                <w:rFonts w:ascii="Arial" w:cs="Arial" w:eastAsia="Arial" w:hAnsi="Arial"/>
                <w:sz w:val="14"/>
                <w:szCs w:val="14"/>
                <w:color w:val="auto"/>
                <w:w w:val="96"/>
              </w:rPr>
              <w:t>8,237,456</w:t>
            </w:r>
          </w:p>
        </w:tc>
        <w:tc>
          <w:tcPr>
            <w:tcW w:w="1660" w:type="dxa"/>
            <w:vAlign w:val="bottom"/>
          </w:tcPr>
          <w:p>
            <w:pPr>
              <w:jc w:val="center"/>
              <w:spacing w:after="0"/>
              <w:rPr>
                <w:sz w:val="20"/>
                <w:szCs w:val="20"/>
                <w:color w:val="auto"/>
              </w:rPr>
            </w:pPr>
            <w:r>
              <w:rPr>
                <w:rFonts w:ascii="Arial" w:cs="Arial" w:eastAsia="Arial" w:hAnsi="Arial"/>
                <w:sz w:val="14"/>
                <w:szCs w:val="14"/>
                <w:color w:val="auto"/>
                <w:w w:val="96"/>
              </w:rPr>
              <w:t>13,059,782</w:t>
            </w:r>
          </w:p>
        </w:tc>
        <w:tc>
          <w:tcPr>
            <w:tcW w:w="20" w:type="dxa"/>
            <w:vAlign w:val="bottom"/>
          </w:tcPr>
          <w:p>
            <w:pPr>
              <w:spacing w:after="0"/>
              <w:rPr>
                <w:sz w:val="17"/>
                <w:szCs w:val="17"/>
                <w:color w:val="auto"/>
              </w:rPr>
            </w:pPr>
          </w:p>
        </w:tc>
      </w:tr>
      <w:tr>
        <w:trPr>
          <w:trHeight w:val="191"/>
        </w:trPr>
        <w:tc>
          <w:tcPr>
            <w:tcW w:w="4860" w:type="dxa"/>
            <w:vAlign w:val="bottom"/>
            <w:tcBorders>
              <w:bottom w:val="single" w:sz="8" w:color="D1DDE6"/>
            </w:tcBorders>
            <w:shd w:val="clear" w:color="auto" w:fill="D1DDE6"/>
          </w:tcPr>
          <w:p>
            <w:pPr>
              <w:ind w:left="20"/>
              <w:spacing w:after="0"/>
              <w:rPr>
                <w:sz w:val="20"/>
                <w:szCs w:val="20"/>
                <w:color w:val="auto"/>
              </w:rPr>
            </w:pPr>
            <w:r>
              <w:rPr>
                <w:rFonts w:ascii="Arial" w:cs="Arial" w:eastAsia="Arial" w:hAnsi="Arial"/>
                <w:sz w:val="14"/>
                <w:szCs w:val="14"/>
                <w:color w:val="auto"/>
                <w:highlight w:val="lightGray"/>
              </w:rPr>
              <w:t>Kenneth L. Bedingfield</w:t>
            </w:r>
          </w:p>
        </w:tc>
        <w:tc>
          <w:tcPr>
            <w:tcW w:w="1680" w:type="dxa"/>
            <w:vAlign w:val="bottom"/>
            <w:tcBorders>
              <w:bottom w:val="single" w:sz="8" w:color="D1DDE6"/>
            </w:tcBorders>
            <w:shd w:val="clear" w:color="auto" w:fill="D1DDE6"/>
          </w:tcPr>
          <w:p>
            <w:pPr>
              <w:jc w:val="center"/>
              <w:spacing w:after="0"/>
              <w:rPr>
                <w:sz w:val="20"/>
                <w:szCs w:val="20"/>
                <w:color w:val="auto"/>
              </w:rPr>
            </w:pPr>
            <w:r>
              <w:rPr>
                <w:rFonts w:ascii="Arial" w:cs="Arial" w:eastAsia="Arial" w:hAnsi="Arial"/>
                <w:sz w:val="14"/>
                <w:szCs w:val="14"/>
                <w:color w:val="auto"/>
                <w:w w:val="96"/>
              </w:rPr>
              <w:t>3,000,025</w:t>
            </w:r>
          </w:p>
        </w:tc>
        <w:tc>
          <w:tcPr>
            <w:tcW w:w="1680" w:type="dxa"/>
            <w:vAlign w:val="bottom"/>
            <w:tcBorders>
              <w:bottom w:val="single" w:sz="8" w:color="D1DDE6"/>
            </w:tcBorders>
            <w:shd w:val="clear" w:color="auto" w:fill="D1DDE6"/>
          </w:tcPr>
          <w:p>
            <w:pPr>
              <w:jc w:val="center"/>
              <w:spacing w:after="0"/>
              <w:rPr>
                <w:sz w:val="20"/>
                <w:szCs w:val="20"/>
                <w:color w:val="auto"/>
              </w:rPr>
            </w:pPr>
            <w:r>
              <w:rPr>
                <w:rFonts w:ascii="Arial" w:cs="Arial" w:eastAsia="Arial" w:hAnsi="Arial"/>
                <w:sz w:val="14"/>
                <w:szCs w:val="14"/>
                <w:color w:val="auto"/>
                <w:w w:val="96"/>
              </w:rPr>
              <w:t>4,132,688</w:t>
            </w:r>
          </w:p>
        </w:tc>
        <w:tc>
          <w:tcPr>
            <w:tcW w:w="1660" w:type="dxa"/>
            <w:vAlign w:val="bottom"/>
            <w:tcBorders>
              <w:bottom w:val="single" w:sz="8" w:color="D1DDE6"/>
            </w:tcBorders>
            <w:shd w:val="clear" w:color="auto" w:fill="D1DDE6"/>
          </w:tcPr>
          <w:p>
            <w:pPr>
              <w:jc w:val="center"/>
              <w:spacing w:after="0"/>
              <w:rPr>
                <w:sz w:val="20"/>
                <w:szCs w:val="20"/>
                <w:color w:val="auto"/>
              </w:rPr>
            </w:pPr>
            <w:r>
              <w:rPr>
                <w:rFonts w:ascii="Arial" w:cs="Arial" w:eastAsia="Arial" w:hAnsi="Arial"/>
                <w:sz w:val="14"/>
                <w:szCs w:val="14"/>
                <w:color w:val="auto"/>
                <w:w w:val="96"/>
              </w:rPr>
              <w:t>7,132,713</w:t>
            </w:r>
          </w:p>
        </w:tc>
        <w:tc>
          <w:tcPr>
            <w:tcW w:w="20" w:type="dxa"/>
            <w:vAlign w:val="bottom"/>
          </w:tcPr>
          <w:p>
            <w:pPr>
              <w:spacing w:after="0"/>
              <w:rPr>
                <w:sz w:val="16"/>
                <w:szCs w:val="16"/>
                <w:color w:val="auto"/>
              </w:rPr>
            </w:pPr>
          </w:p>
        </w:tc>
      </w:tr>
      <w:tr>
        <w:trPr>
          <w:trHeight w:val="199"/>
        </w:trPr>
        <w:tc>
          <w:tcPr>
            <w:tcW w:w="4860" w:type="dxa"/>
            <w:vAlign w:val="bottom"/>
          </w:tcPr>
          <w:p>
            <w:pPr>
              <w:ind w:left="20"/>
              <w:spacing w:after="0"/>
              <w:rPr>
                <w:sz w:val="20"/>
                <w:szCs w:val="20"/>
                <w:color w:val="auto"/>
              </w:rPr>
            </w:pPr>
            <w:r>
              <w:rPr>
                <w:rFonts w:ascii="Arial" w:cs="Arial" w:eastAsia="Arial" w:hAnsi="Arial"/>
                <w:sz w:val="14"/>
                <w:szCs w:val="14"/>
                <w:color w:val="auto"/>
              </w:rPr>
              <w:t>Mark A. Caylor</w:t>
            </w:r>
          </w:p>
        </w:tc>
        <w:tc>
          <w:tcPr>
            <w:tcW w:w="1680" w:type="dxa"/>
            <w:vAlign w:val="bottom"/>
          </w:tcPr>
          <w:p>
            <w:pPr>
              <w:jc w:val="center"/>
              <w:spacing w:after="0"/>
              <w:rPr>
                <w:sz w:val="20"/>
                <w:szCs w:val="20"/>
                <w:color w:val="auto"/>
              </w:rPr>
            </w:pPr>
            <w:r>
              <w:rPr>
                <w:rFonts w:ascii="Arial" w:cs="Arial" w:eastAsia="Arial" w:hAnsi="Arial"/>
                <w:sz w:val="14"/>
                <w:szCs w:val="14"/>
                <w:color w:val="auto"/>
                <w:w w:val="96"/>
              </w:rPr>
              <w:t>2,969,413</w:t>
            </w:r>
          </w:p>
        </w:tc>
        <w:tc>
          <w:tcPr>
            <w:tcW w:w="1680" w:type="dxa"/>
            <w:vAlign w:val="bottom"/>
          </w:tcPr>
          <w:p>
            <w:pPr>
              <w:jc w:val="center"/>
              <w:spacing w:after="0"/>
              <w:rPr>
                <w:sz w:val="20"/>
                <w:szCs w:val="20"/>
                <w:color w:val="auto"/>
              </w:rPr>
            </w:pPr>
            <w:r>
              <w:rPr>
                <w:rFonts w:ascii="Arial" w:cs="Arial" w:eastAsia="Arial" w:hAnsi="Arial"/>
                <w:sz w:val="14"/>
                <w:szCs w:val="14"/>
                <w:color w:val="auto"/>
                <w:w w:val="96"/>
              </w:rPr>
              <w:t>3,572,356</w:t>
            </w:r>
          </w:p>
        </w:tc>
        <w:tc>
          <w:tcPr>
            <w:tcW w:w="1660" w:type="dxa"/>
            <w:vAlign w:val="bottom"/>
          </w:tcPr>
          <w:p>
            <w:pPr>
              <w:jc w:val="center"/>
              <w:spacing w:after="0"/>
              <w:rPr>
                <w:sz w:val="20"/>
                <w:szCs w:val="20"/>
                <w:color w:val="auto"/>
              </w:rPr>
            </w:pPr>
            <w:r>
              <w:rPr>
                <w:rFonts w:ascii="Arial" w:cs="Arial" w:eastAsia="Arial" w:hAnsi="Arial"/>
                <w:sz w:val="14"/>
                <w:szCs w:val="14"/>
                <w:color w:val="auto"/>
                <w:w w:val="96"/>
              </w:rPr>
              <w:t>6,541,769</w:t>
            </w:r>
          </w:p>
        </w:tc>
        <w:tc>
          <w:tcPr>
            <w:tcW w:w="20" w:type="dxa"/>
            <w:vAlign w:val="bottom"/>
          </w:tcPr>
          <w:p>
            <w:pPr>
              <w:spacing w:after="0"/>
              <w:rPr>
                <w:sz w:val="17"/>
                <w:szCs w:val="17"/>
                <w:color w:val="auto"/>
              </w:rPr>
            </w:pPr>
          </w:p>
        </w:tc>
      </w:tr>
      <w:tr>
        <w:trPr>
          <w:trHeight w:val="191"/>
        </w:trPr>
        <w:tc>
          <w:tcPr>
            <w:tcW w:w="4860" w:type="dxa"/>
            <w:vAlign w:val="bottom"/>
            <w:tcBorders>
              <w:bottom w:val="single" w:sz="8" w:color="D1DDE6"/>
            </w:tcBorders>
            <w:shd w:val="clear" w:color="auto" w:fill="D1DDE6"/>
          </w:tcPr>
          <w:p>
            <w:pPr>
              <w:ind w:left="20"/>
              <w:spacing w:after="0"/>
              <w:rPr>
                <w:sz w:val="20"/>
                <w:szCs w:val="20"/>
                <w:color w:val="auto"/>
              </w:rPr>
            </w:pPr>
            <w:r>
              <w:rPr>
                <w:rFonts w:ascii="Arial" w:cs="Arial" w:eastAsia="Arial" w:hAnsi="Arial"/>
                <w:sz w:val="14"/>
                <w:szCs w:val="14"/>
                <w:color w:val="auto"/>
                <w:highlight w:val="lightGray"/>
              </w:rPr>
              <w:t>Blake E. Larson</w:t>
            </w:r>
          </w:p>
        </w:tc>
        <w:tc>
          <w:tcPr>
            <w:tcW w:w="1680" w:type="dxa"/>
            <w:vAlign w:val="bottom"/>
            <w:tcBorders>
              <w:bottom w:val="single" w:sz="8" w:color="D1DDE6"/>
            </w:tcBorders>
            <w:shd w:val="clear" w:color="auto" w:fill="D1DDE6"/>
          </w:tcPr>
          <w:p>
            <w:pPr>
              <w:jc w:val="center"/>
              <w:spacing w:after="0"/>
              <w:rPr>
                <w:sz w:val="20"/>
                <w:szCs w:val="20"/>
                <w:color w:val="auto"/>
              </w:rPr>
            </w:pPr>
            <w:r>
              <w:rPr>
                <w:rFonts w:ascii="Arial" w:cs="Arial" w:eastAsia="Arial" w:hAnsi="Arial"/>
                <w:sz w:val="14"/>
                <w:szCs w:val="14"/>
                <w:color w:val="auto"/>
                <w:w w:val="96"/>
              </w:rPr>
              <w:t>2,041,486</w:t>
            </w:r>
          </w:p>
        </w:tc>
        <w:tc>
          <w:tcPr>
            <w:tcW w:w="1680" w:type="dxa"/>
            <w:vAlign w:val="bottom"/>
            <w:tcBorders>
              <w:bottom w:val="single" w:sz="8" w:color="D1DDE6"/>
            </w:tcBorders>
            <w:shd w:val="clear" w:color="auto" w:fill="D1DDE6"/>
          </w:tcPr>
          <w:p>
            <w:pPr>
              <w:jc w:val="center"/>
              <w:spacing w:after="0"/>
              <w:rPr>
                <w:sz w:val="20"/>
                <w:szCs w:val="20"/>
                <w:color w:val="auto"/>
              </w:rPr>
            </w:pPr>
            <w:r>
              <w:rPr>
                <w:rFonts w:ascii="Arial" w:cs="Arial" w:eastAsia="Arial" w:hAnsi="Arial"/>
                <w:sz w:val="14"/>
                <w:szCs w:val="14"/>
                <w:color w:val="auto"/>
                <w:w w:val="96"/>
              </w:rPr>
              <w:t>1,626,626</w:t>
            </w:r>
          </w:p>
        </w:tc>
        <w:tc>
          <w:tcPr>
            <w:tcW w:w="1660" w:type="dxa"/>
            <w:vAlign w:val="bottom"/>
            <w:tcBorders>
              <w:bottom w:val="single" w:sz="8" w:color="D1DDE6"/>
            </w:tcBorders>
            <w:shd w:val="clear" w:color="auto" w:fill="D1DDE6"/>
          </w:tcPr>
          <w:p>
            <w:pPr>
              <w:jc w:val="center"/>
              <w:spacing w:after="0"/>
              <w:rPr>
                <w:sz w:val="20"/>
                <w:szCs w:val="20"/>
                <w:color w:val="auto"/>
              </w:rPr>
            </w:pPr>
            <w:r>
              <w:rPr>
                <w:rFonts w:ascii="Arial" w:cs="Arial" w:eastAsia="Arial" w:hAnsi="Arial"/>
                <w:sz w:val="14"/>
                <w:szCs w:val="14"/>
                <w:color w:val="auto"/>
                <w:w w:val="96"/>
              </w:rPr>
              <w:t>3,668,112</w:t>
            </w:r>
          </w:p>
        </w:tc>
        <w:tc>
          <w:tcPr>
            <w:tcW w:w="20" w:type="dxa"/>
            <w:vAlign w:val="bottom"/>
          </w:tcPr>
          <w:p>
            <w:pPr>
              <w:spacing w:after="0"/>
              <w:rPr>
                <w:sz w:val="16"/>
                <w:szCs w:val="16"/>
                <w:color w:val="auto"/>
              </w:rPr>
            </w:pPr>
          </w:p>
        </w:tc>
      </w:tr>
      <w:tr>
        <w:trPr>
          <w:trHeight w:val="20"/>
        </w:trPr>
        <w:tc>
          <w:tcPr>
            <w:tcW w:w="4860" w:type="dxa"/>
            <w:vAlign w:val="bottom"/>
            <w:shd w:val="clear" w:color="auto" w:fill="34657F"/>
          </w:tcPr>
          <w:p>
            <w:pPr>
              <w:spacing w:after="0" w:line="20" w:lineRule="exact"/>
              <w:rPr>
                <w:sz w:val="1"/>
                <w:szCs w:val="1"/>
                <w:color w:val="auto"/>
              </w:rPr>
            </w:pPr>
          </w:p>
        </w:tc>
        <w:tc>
          <w:tcPr>
            <w:tcW w:w="1680" w:type="dxa"/>
            <w:vAlign w:val="bottom"/>
            <w:shd w:val="clear" w:color="auto" w:fill="34657F"/>
          </w:tcPr>
          <w:p>
            <w:pPr>
              <w:spacing w:after="0" w:line="20" w:lineRule="exact"/>
              <w:rPr>
                <w:sz w:val="1"/>
                <w:szCs w:val="1"/>
                <w:color w:val="auto"/>
              </w:rPr>
            </w:pPr>
          </w:p>
        </w:tc>
        <w:tc>
          <w:tcPr>
            <w:tcW w:w="1680" w:type="dxa"/>
            <w:vAlign w:val="bottom"/>
            <w:shd w:val="clear" w:color="auto" w:fill="34657F"/>
          </w:tcPr>
          <w:p>
            <w:pPr>
              <w:spacing w:after="0" w:line="20" w:lineRule="exact"/>
              <w:rPr>
                <w:sz w:val="1"/>
                <w:szCs w:val="1"/>
                <w:color w:val="auto"/>
              </w:rPr>
            </w:pPr>
          </w:p>
        </w:tc>
        <w:tc>
          <w:tcPr>
            <w:tcW w:w="1660" w:type="dxa"/>
            <w:vAlign w:val="bottom"/>
            <w:shd w:val="clear" w:color="auto" w:fill="34657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3575685</wp:posOffset>
            </wp:positionH>
            <wp:positionV relativeFrom="paragraph">
              <wp:posOffset>-1000760</wp:posOffset>
            </wp:positionV>
            <wp:extent cx="2132965"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2132965" cy="8255"/>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66 </w:t>
      </w:r>
      <w:r>
        <w:rPr>
          <w:rFonts w:ascii="Arial" w:cs="Arial" w:eastAsia="Arial" w:hAnsi="Arial"/>
          <w:sz w:val="13"/>
          <w:szCs w:val="13"/>
          <w:color w:val="auto"/>
        </w:rPr>
        <w:t>I</w:t>
      </w:r>
      <w:r>
        <w:rPr>
          <w:rFonts w:ascii="Arial" w:cs="Arial" w:eastAsia="Arial" w:hAnsi="Arial"/>
          <w:sz w:val="17"/>
          <w:szCs w:val="17"/>
          <w:color w:val="auto"/>
        </w:rPr>
        <w:t xml:space="preserve"> </w:t>
      </w:r>
      <w:r>
        <w:rPr>
          <w:rFonts w:ascii="Arial" w:cs="Arial" w:eastAsia="Arial" w:hAnsi="Arial"/>
          <w:sz w:val="13"/>
          <w:szCs w:val="13"/>
          <w:color w:val="34657F"/>
        </w:rPr>
        <w:t>NOTICE OF 2019 ANNUAL MEETING OF SHAREHOLDERS AND PROXY STATEMENT</w:t>
      </w:r>
    </w:p>
    <w:p>
      <w:pPr>
        <w:sectPr>
          <w:pgSz w:w="11900" w:h="16838" w:orient="portrait"/>
          <w:cols w:equalWidth="0" w:num="1">
            <w:col w:w="11360"/>
          </w:cols>
          <w:pgMar w:left="240" w:top="646" w:right="299" w:bottom="1440" w:gutter="0" w:footer="0" w:header="0"/>
        </w:sectPr>
      </w:pPr>
    </w:p>
    <w:bookmarkStart w:id="72" w:name="page73"/>
    <w:bookmarkEnd w:id="72"/>
    <w:p>
      <w:pPr>
        <w:ind w:left="20"/>
        <w:spacing w:after="0"/>
        <w:rPr>
          <w:sz w:val="20"/>
          <w:szCs w:val="20"/>
          <w:color w:val="auto"/>
        </w:rPr>
      </w:pPr>
      <w:r>
        <w:rPr>
          <w:rFonts w:ascii="Arial" w:cs="Arial" w:eastAsia="Arial" w:hAnsi="Arial"/>
          <w:sz w:val="21"/>
          <w:szCs w:val="21"/>
          <w:b w:val="1"/>
          <w:bCs w:val="1"/>
          <w:color w:val="FFFFFF"/>
        </w:rPr>
        <w:drawing>
          <wp:anchor simplePos="0" relativeHeight="251657728" behindDoc="1" locked="0" layoutInCell="0" allowOverlap="1">
            <wp:simplePos x="0" y="0"/>
            <wp:positionH relativeFrom="page">
              <wp:posOffset>154305</wp:posOffset>
            </wp:positionH>
            <wp:positionV relativeFrom="page">
              <wp:posOffset>349250</wp:posOffset>
            </wp:positionV>
            <wp:extent cx="7253605" cy="3092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53605" cy="309245"/>
                    </a:xfrm>
                    <a:prstGeom prst="rect">
                      <a:avLst/>
                    </a:prstGeom>
                    <a:noFill/>
                  </pic:spPr>
                </pic:pic>
              </a:graphicData>
            </a:graphic>
          </wp:anchor>
        </w:drawing>
        <w:t>TERMINATION PAYMENTS AND BENEFITS</w:t>
      </w:r>
    </w:p>
    <w:p>
      <w:pPr>
        <w:spacing w:after="0" w:line="200" w:lineRule="exact"/>
        <w:rPr>
          <w:sz w:val="20"/>
          <w:szCs w:val="20"/>
          <w:color w:val="auto"/>
        </w:rPr>
      </w:pPr>
    </w:p>
    <w:p>
      <w:pPr>
        <w:spacing w:after="0" w:line="306" w:lineRule="exact"/>
        <w:rPr>
          <w:sz w:val="20"/>
          <w:szCs w:val="20"/>
          <w:color w:val="auto"/>
        </w:rPr>
      </w:pPr>
    </w:p>
    <w:p>
      <w:pPr>
        <w:ind w:left="20"/>
        <w:spacing w:after="0"/>
        <w:rPr>
          <w:sz w:val="20"/>
          <w:szCs w:val="20"/>
          <w:color w:val="auto"/>
        </w:rPr>
      </w:pPr>
      <w:r>
        <w:rPr>
          <w:rFonts w:ascii="Arial" w:cs="Arial" w:eastAsia="Arial" w:hAnsi="Arial"/>
          <w:sz w:val="24"/>
          <w:szCs w:val="24"/>
          <w:b w:val="1"/>
          <w:bCs w:val="1"/>
          <w:color w:val="auto"/>
        </w:rPr>
        <w:t>Termination Payments and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38100</wp:posOffset>
            </wp:positionV>
            <wp:extent cx="7253605" cy="1651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pacing w:after="0" w:line="142" w:lineRule="exact"/>
        <w:rPr>
          <w:sz w:val="20"/>
          <w:szCs w:val="20"/>
          <w:color w:val="auto"/>
        </w:rPr>
      </w:pPr>
    </w:p>
    <w:p>
      <w:pPr>
        <w:ind w:right="80"/>
        <w:spacing w:after="0" w:line="257" w:lineRule="auto"/>
        <w:rPr>
          <w:sz w:val="20"/>
          <w:szCs w:val="20"/>
          <w:color w:val="auto"/>
        </w:rPr>
      </w:pPr>
      <w:r>
        <w:rPr>
          <w:rFonts w:ascii="Arial" w:cs="Arial" w:eastAsia="Arial" w:hAnsi="Arial"/>
          <w:sz w:val="17"/>
          <w:szCs w:val="17"/>
          <w:color w:val="auto"/>
        </w:rPr>
        <w:t>The following table provides estimated payments and benefits that the Company would have provided to each NEO if his or her employment had terminated on December 31, 2018 for the reasons set forth in the table below. The Company stock price is assumed to be $244.90, the closing market price on December 31, 2018, the last trading day of the year. These payments and benefits are payable based on:</w:t>
      </w:r>
    </w:p>
    <w:p>
      <w:pPr>
        <w:spacing w:after="0" w:line="53" w:lineRule="exact"/>
        <w:rPr>
          <w:sz w:val="20"/>
          <w:szCs w:val="20"/>
          <w:color w:val="auto"/>
        </w:rPr>
      </w:pPr>
    </w:p>
    <w:p>
      <w:pPr>
        <w:ind w:left="320" w:hanging="317"/>
        <w:spacing w:after="0"/>
        <w:tabs>
          <w:tab w:leader="none" w:pos="320" w:val="left"/>
        </w:tabs>
        <w:numPr>
          <w:ilvl w:val="0"/>
          <w:numId w:val="85"/>
        </w:numPr>
        <w:rPr>
          <w:rFonts w:ascii="Arial" w:cs="Arial" w:eastAsia="Arial" w:hAnsi="Arial"/>
          <w:sz w:val="21"/>
          <w:szCs w:val="21"/>
          <w:color w:val="34657F"/>
        </w:rPr>
      </w:pPr>
      <w:r>
        <w:rPr>
          <w:rFonts w:ascii="Arial" w:cs="Arial" w:eastAsia="Arial" w:hAnsi="Arial"/>
          <w:sz w:val="17"/>
          <w:szCs w:val="17"/>
          <w:color w:val="auto"/>
        </w:rPr>
        <w:t>the Severance Plan;</w:t>
      </w:r>
    </w:p>
    <w:p>
      <w:pPr>
        <w:spacing w:after="0" w:line="97" w:lineRule="exact"/>
        <w:rPr>
          <w:rFonts w:ascii="Arial" w:cs="Arial" w:eastAsia="Arial" w:hAnsi="Arial"/>
          <w:sz w:val="21"/>
          <w:szCs w:val="21"/>
          <w:color w:val="34657F"/>
        </w:rPr>
      </w:pPr>
    </w:p>
    <w:p>
      <w:pPr>
        <w:ind w:left="320" w:hanging="317"/>
        <w:spacing w:after="0"/>
        <w:tabs>
          <w:tab w:leader="none" w:pos="320" w:val="left"/>
        </w:tabs>
        <w:numPr>
          <w:ilvl w:val="0"/>
          <w:numId w:val="85"/>
        </w:numPr>
        <w:rPr>
          <w:rFonts w:ascii="Arial" w:cs="Arial" w:eastAsia="Arial" w:hAnsi="Arial"/>
          <w:sz w:val="21"/>
          <w:szCs w:val="21"/>
          <w:color w:val="34657F"/>
        </w:rPr>
      </w:pPr>
      <w:r>
        <w:rPr>
          <w:rFonts w:ascii="Arial" w:cs="Arial" w:eastAsia="Arial" w:hAnsi="Arial"/>
          <w:sz w:val="17"/>
          <w:szCs w:val="17"/>
          <w:color w:val="auto"/>
        </w:rPr>
        <w:t xml:space="preserve">the </w:t>
      </w:r>
      <w:r>
        <w:rPr>
          <w:rFonts w:ascii="Arial" w:cs="Arial" w:eastAsia="Arial" w:hAnsi="Arial"/>
          <w:sz w:val="20"/>
          <w:szCs w:val="20"/>
          <w:color w:val="auto"/>
        </w:rPr>
        <w:t>2011 Plan</w:t>
      </w:r>
      <w:r>
        <w:rPr>
          <w:rFonts w:ascii="Arial" w:cs="Arial" w:eastAsia="Arial" w:hAnsi="Arial"/>
          <w:sz w:val="17"/>
          <w:szCs w:val="17"/>
          <w:color w:val="auto"/>
        </w:rPr>
        <w:t xml:space="preserve"> and the terms and conditions of equity awards made pursuant to the plan; and</w:t>
      </w:r>
    </w:p>
    <w:p>
      <w:pPr>
        <w:spacing w:after="0" w:line="73" w:lineRule="exact"/>
        <w:rPr>
          <w:rFonts w:ascii="Arial" w:cs="Arial" w:eastAsia="Arial" w:hAnsi="Arial"/>
          <w:sz w:val="21"/>
          <w:szCs w:val="21"/>
          <w:color w:val="34657F"/>
        </w:rPr>
      </w:pPr>
    </w:p>
    <w:p>
      <w:pPr>
        <w:ind w:left="320" w:hanging="317"/>
        <w:spacing w:after="0"/>
        <w:tabs>
          <w:tab w:leader="none" w:pos="320" w:val="left"/>
        </w:tabs>
        <w:numPr>
          <w:ilvl w:val="0"/>
          <w:numId w:val="85"/>
        </w:numPr>
        <w:rPr>
          <w:rFonts w:ascii="Arial" w:cs="Arial" w:eastAsia="Arial" w:hAnsi="Arial"/>
          <w:sz w:val="21"/>
          <w:szCs w:val="21"/>
          <w:color w:val="34657F"/>
        </w:rPr>
      </w:pPr>
      <w:r>
        <w:rPr>
          <w:rFonts w:ascii="Arial" w:cs="Arial" w:eastAsia="Arial" w:hAnsi="Arial"/>
          <w:sz w:val="17"/>
          <w:szCs w:val="17"/>
          <w:color w:val="auto"/>
        </w:rPr>
        <w:t>the SORMP (Retiree Medical).</w:t>
      </w:r>
    </w:p>
    <w:p>
      <w:pPr>
        <w:spacing w:after="0" w:line="90" w:lineRule="exact"/>
        <w:rPr>
          <w:sz w:val="20"/>
          <w:szCs w:val="20"/>
          <w:color w:val="auto"/>
        </w:rPr>
      </w:pPr>
    </w:p>
    <w:p>
      <w:pPr>
        <w:spacing w:after="0" w:line="254" w:lineRule="auto"/>
        <w:rPr>
          <w:sz w:val="20"/>
          <w:szCs w:val="20"/>
          <w:color w:val="auto"/>
        </w:rPr>
      </w:pPr>
      <w:r>
        <w:rPr>
          <w:rFonts w:ascii="Arial" w:cs="Arial" w:eastAsia="Arial" w:hAnsi="Arial"/>
          <w:sz w:val="17"/>
          <w:szCs w:val="17"/>
          <w:color w:val="auto"/>
        </w:rPr>
        <w:t>Due to the many factors that affect the nature and amount of any benefits provided upon termination events, actual amounts paid or distributed to NEOs may be different from the values shown in the table. Factors that may affect these amounts include timing during the year of the occurrence of the event, our stock price and the NEO's age. The amounts described below are in addition to an NEO's benefits described in the Pension Benefits and Nonqualified Deferred Compensation Tables on pages 58 and 63, respectively, as well as benefits generally available to our employees such as distributions under our savings plan, disability or life insurance benefits and accrued vacation.</w:t>
      </w:r>
    </w:p>
    <w:p>
      <w:pPr>
        <w:spacing w:after="0" w:line="381" w:lineRule="exact"/>
        <w:rPr>
          <w:sz w:val="20"/>
          <w:szCs w:val="20"/>
          <w:color w:val="auto"/>
        </w:rPr>
      </w:pPr>
    </w:p>
    <w:p>
      <w:pPr>
        <w:jc w:val="right"/>
        <w:spacing w:after="0"/>
        <w:rPr>
          <w:sz w:val="20"/>
          <w:szCs w:val="20"/>
          <w:color w:val="auto"/>
        </w:rPr>
      </w:pPr>
      <w:r>
        <w:rPr>
          <w:rFonts w:ascii="Arial" w:cs="Arial" w:eastAsia="Arial" w:hAnsi="Arial"/>
          <w:sz w:val="14"/>
          <w:szCs w:val="14"/>
          <w:color w:val="34657F"/>
        </w:rPr>
        <w:t xml:space="preserve">NOTICE OF 2019 ANNUAL MEETING OF SHAREHOLDERS AND PROXY STATEMENT </w:t>
      </w:r>
      <w:r>
        <w:rPr>
          <w:rFonts w:ascii="Arial" w:cs="Arial" w:eastAsia="Arial" w:hAnsi="Arial"/>
          <w:sz w:val="14"/>
          <w:szCs w:val="14"/>
          <w:color w:val="000000"/>
        </w:rPr>
        <w:t>I 67</w:t>
      </w:r>
    </w:p>
    <w:p>
      <w:pPr>
        <w:sectPr>
          <w:pgSz w:w="11900" w:h="16838" w:orient="portrait"/>
          <w:cols w:equalWidth="0" w:num="1">
            <w:col w:w="11420"/>
          </w:cols>
          <w:pgMar w:left="240" w:top="646" w:right="239" w:bottom="1440" w:gutter="0" w:footer="0" w:header="0"/>
        </w:sectPr>
      </w:pPr>
    </w:p>
    <w:bookmarkStart w:id="73" w:name="page74"/>
    <w:bookmarkEnd w:id="73"/>
    <w:p>
      <w:pPr>
        <w:ind w:left="20"/>
        <w:spacing w:after="0"/>
        <w:rPr>
          <w:sz w:val="20"/>
          <w:szCs w:val="20"/>
          <w:color w:val="auto"/>
        </w:rPr>
      </w:pPr>
      <w:r>
        <w:rPr>
          <w:rFonts w:ascii="Arial" w:cs="Arial" w:eastAsia="Arial" w:hAnsi="Arial"/>
          <w:sz w:val="21"/>
          <w:szCs w:val="21"/>
          <w:b w:val="1"/>
          <w:bCs w:val="1"/>
          <w:color w:val="FFFFFF"/>
        </w:rPr>
        <w:drawing>
          <wp:anchor simplePos="0" relativeHeight="251657728" behindDoc="1" locked="0" layoutInCell="0" allowOverlap="1">
            <wp:simplePos x="0" y="0"/>
            <wp:positionH relativeFrom="page">
              <wp:posOffset>154305</wp:posOffset>
            </wp:positionH>
            <wp:positionV relativeFrom="page">
              <wp:posOffset>365760</wp:posOffset>
            </wp:positionV>
            <wp:extent cx="7253605" cy="56197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53605" cy="561975"/>
                    </a:xfrm>
                    <a:prstGeom prst="rect">
                      <a:avLst/>
                    </a:prstGeom>
                    <a:noFill/>
                  </pic:spPr>
                </pic:pic>
              </a:graphicData>
            </a:graphic>
          </wp:anchor>
        </w:drawing>
        <w:t>TERMINATION PAYMENTS AND BENEFITS | T</w:t>
      </w:r>
      <w:r>
        <w:rPr>
          <w:rFonts w:ascii="Arial" w:cs="Arial" w:eastAsia="Arial" w:hAnsi="Arial"/>
          <w:sz w:val="17"/>
          <w:szCs w:val="17"/>
          <w:b w:val="1"/>
          <w:bCs w:val="1"/>
          <w:color w:val="FFFFFF"/>
        </w:rPr>
        <w:t>ERMINATION</w:t>
      </w:r>
      <w:r>
        <w:rPr>
          <w:rFonts w:ascii="Arial" w:cs="Arial" w:eastAsia="Arial" w:hAnsi="Arial"/>
          <w:sz w:val="21"/>
          <w:szCs w:val="21"/>
          <w:b w:val="1"/>
          <w:bCs w:val="1"/>
          <w:color w:val="FFFFFF"/>
        </w:rPr>
        <w:t xml:space="preserve"> P</w:t>
      </w:r>
      <w:r>
        <w:rPr>
          <w:rFonts w:ascii="Arial" w:cs="Arial" w:eastAsia="Arial" w:hAnsi="Arial"/>
          <w:sz w:val="17"/>
          <w:szCs w:val="17"/>
          <w:b w:val="1"/>
          <w:bCs w:val="1"/>
          <w:color w:val="FFFFFF"/>
        </w:rPr>
        <w:t>AYMENT</w:t>
      </w:r>
      <w:r>
        <w:rPr>
          <w:rFonts w:ascii="Arial" w:cs="Arial" w:eastAsia="Arial" w:hAnsi="Arial"/>
          <w:sz w:val="21"/>
          <w:szCs w:val="21"/>
          <w:b w:val="1"/>
          <w:bCs w:val="1"/>
          <w:color w:val="FFFFFF"/>
        </w:rPr>
        <w:t xml:space="preserve"> T</w:t>
      </w:r>
      <w:r>
        <w:rPr>
          <w:rFonts w:ascii="Arial" w:cs="Arial" w:eastAsia="Arial" w:hAnsi="Arial"/>
          <w:sz w:val="17"/>
          <w:szCs w:val="17"/>
          <w:b w:val="1"/>
          <w:bCs w:val="1"/>
          <w:color w:val="FFFFFF"/>
        </w:rPr>
        <w:t>ABLE</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Termination Payment Table</w:t>
      </w:r>
    </w:p>
    <w:p>
      <w:pPr>
        <w:spacing w:after="0" w:line="86"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Potential Termination Payments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600" w:type="dxa"/>
            <w:vAlign w:val="bottom"/>
            <w:shd w:val="clear" w:color="auto" w:fill="34657F"/>
          </w:tcPr>
          <w:p>
            <w:pPr>
              <w:spacing w:after="0"/>
              <w:rPr>
                <w:sz w:val="15"/>
                <w:szCs w:val="15"/>
                <w:color w:val="auto"/>
              </w:rPr>
            </w:pPr>
          </w:p>
        </w:tc>
        <w:tc>
          <w:tcPr>
            <w:tcW w:w="3240" w:type="dxa"/>
            <w:vAlign w:val="bottom"/>
            <w:shd w:val="clear" w:color="auto" w:fill="34657F"/>
          </w:tcPr>
          <w:p>
            <w:pPr>
              <w:spacing w:after="0"/>
              <w:rPr>
                <w:sz w:val="15"/>
                <w:szCs w:val="15"/>
                <w:color w:val="auto"/>
              </w:rPr>
            </w:pPr>
          </w:p>
        </w:tc>
        <w:tc>
          <w:tcPr>
            <w:tcW w:w="2040" w:type="dxa"/>
            <w:vAlign w:val="bottom"/>
            <w:shd w:val="clear" w:color="auto" w:fill="34657F"/>
          </w:tcPr>
          <w:p>
            <w:pPr>
              <w:spacing w:after="0"/>
              <w:rPr>
                <w:sz w:val="15"/>
                <w:szCs w:val="15"/>
                <w:color w:val="auto"/>
              </w:rPr>
            </w:pPr>
          </w:p>
        </w:tc>
        <w:tc>
          <w:tcPr>
            <w:tcW w:w="1600" w:type="dxa"/>
            <w:vAlign w:val="bottom"/>
            <w:shd w:val="clear" w:color="auto" w:fill="34657F"/>
          </w:tcPr>
          <w:p>
            <w:pPr>
              <w:spacing w:after="0"/>
              <w:rPr>
                <w:sz w:val="15"/>
                <w:szCs w:val="15"/>
                <w:color w:val="auto"/>
              </w:rPr>
            </w:pPr>
          </w:p>
        </w:tc>
        <w:tc>
          <w:tcPr>
            <w:tcW w:w="1560" w:type="dxa"/>
            <w:vAlign w:val="bottom"/>
            <w:shd w:val="clear" w:color="auto" w:fill="34657F"/>
          </w:tcPr>
          <w:p>
            <w:pPr>
              <w:jc w:val="center"/>
              <w:ind w:right="32"/>
              <w:spacing w:after="0"/>
              <w:rPr>
                <w:sz w:val="20"/>
                <w:szCs w:val="20"/>
                <w:color w:val="auto"/>
              </w:rPr>
            </w:pPr>
            <w:r>
              <w:rPr>
                <w:rFonts w:ascii="Arial" w:cs="Arial" w:eastAsia="Arial" w:hAnsi="Arial"/>
                <w:sz w:val="14"/>
                <w:szCs w:val="14"/>
                <w:b w:val="1"/>
                <w:bCs w:val="1"/>
                <w:color w:val="FFFFFF"/>
                <w:w w:val="98"/>
              </w:rPr>
              <w:t>Post-CIC</w:t>
            </w:r>
          </w:p>
        </w:tc>
        <w:tc>
          <w:tcPr>
            <w:tcW w:w="1380" w:type="dxa"/>
            <w:vAlign w:val="bottom"/>
            <w:shd w:val="clear" w:color="auto" w:fill="34657F"/>
          </w:tcPr>
          <w:p>
            <w:pPr>
              <w:spacing w:after="0"/>
              <w:rPr>
                <w:sz w:val="15"/>
                <w:szCs w:val="15"/>
                <w:color w:val="auto"/>
              </w:rPr>
            </w:pPr>
          </w:p>
        </w:tc>
        <w:tc>
          <w:tcPr>
            <w:tcW w:w="20" w:type="dxa"/>
            <w:vAlign w:val="bottom"/>
            <w:shd w:val="clear" w:color="auto" w:fill="34657F"/>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1600" w:type="dxa"/>
            <w:vAlign w:val="bottom"/>
            <w:shd w:val="clear" w:color="auto" w:fill="34657F"/>
          </w:tcPr>
          <w:p>
            <w:pPr>
              <w:spacing w:after="0"/>
              <w:rPr>
                <w:sz w:val="13"/>
                <w:szCs w:val="13"/>
                <w:color w:val="auto"/>
              </w:rPr>
            </w:pPr>
          </w:p>
        </w:tc>
        <w:tc>
          <w:tcPr>
            <w:tcW w:w="3240" w:type="dxa"/>
            <w:vAlign w:val="bottom"/>
            <w:shd w:val="clear" w:color="auto" w:fill="34657F"/>
          </w:tcPr>
          <w:p>
            <w:pPr>
              <w:spacing w:after="0"/>
              <w:rPr>
                <w:sz w:val="13"/>
                <w:szCs w:val="13"/>
                <w:color w:val="auto"/>
              </w:rPr>
            </w:pPr>
          </w:p>
        </w:tc>
        <w:tc>
          <w:tcPr>
            <w:tcW w:w="2040" w:type="dxa"/>
            <w:vAlign w:val="bottom"/>
            <w:shd w:val="clear" w:color="auto" w:fill="34657F"/>
          </w:tcPr>
          <w:p>
            <w:pPr>
              <w:spacing w:after="0"/>
              <w:rPr>
                <w:sz w:val="13"/>
                <w:szCs w:val="13"/>
                <w:color w:val="auto"/>
              </w:rPr>
            </w:pPr>
          </w:p>
        </w:tc>
        <w:tc>
          <w:tcPr>
            <w:tcW w:w="1600" w:type="dxa"/>
            <w:vAlign w:val="bottom"/>
            <w:shd w:val="clear" w:color="auto" w:fill="34657F"/>
          </w:tcPr>
          <w:p>
            <w:pPr>
              <w:jc w:val="center"/>
              <w:ind w:left="12"/>
              <w:spacing w:after="0" w:line="154" w:lineRule="exact"/>
              <w:rPr>
                <w:sz w:val="20"/>
                <w:szCs w:val="20"/>
                <w:color w:val="auto"/>
              </w:rPr>
            </w:pPr>
            <w:r>
              <w:rPr>
                <w:rFonts w:ascii="Arial" w:cs="Arial" w:eastAsia="Arial" w:hAnsi="Arial"/>
                <w:sz w:val="14"/>
                <w:szCs w:val="14"/>
                <w:b w:val="1"/>
                <w:bCs w:val="1"/>
                <w:color w:val="FFFFFF"/>
                <w:w w:val="95"/>
              </w:rPr>
              <w:t>Involuntary</w:t>
            </w:r>
          </w:p>
        </w:tc>
        <w:tc>
          <w:tcPr>
            <w:tcW w:w="1560" w:type="dxa"/>
            <w:vAlign w:val="bottom"/>
            <w:shd w:val="clear" w:color="auto" w:fill="34657F"/>
          </w:tcPr>
          <w:p>
            <w:pPr>
              <w:jc w:val="center"/>
              <w:ind w:right="32"/>
              <w:spacing w:after="0" w:line="154" w:lineRule="exact"/>
              <w:rPr>
                <w:sz w:val="20"/>
                <w:szCs w:val="20"/>
                <w:color w:val="auto"/>
              </w:rPr>
            </w:pPr>
            <w:r>
              <w:rPr>
                <w:rFonts w:ascii="Arial" w:cs="Arial" w:eastAsia="Arial" w:hAnsi="Arial"/>
                <w:sz w:val="14"/>
                <w:szCs w:val="14"/>
                <w:b w:val="1"/>
                <w:bCs w:val="1"/>
                <w:color w:val="FFFFFF"/>
                <w:w w:val="98"/>
              </w:rPr>
              <w:t>Involuntary</w:t>
            </w:r>
          </w:p>
        </w:tc>
        <w:tc>
          <w:tcPr>
            <w:tcW w:w="1380" w:type="dxa"/>
            <w:vAlign w:val="bottom"/>
            <w:shd w:val="clear" w:color="auto" w:fill="34657F"/>
          </w:tcPr>
          <w:p>
            <w:pPr>
              <w:spacing w:after="0"/>
              <w:rPr>
                <w:sz w:val="13"/>
                <w:szCs w:val="13"/>
                <w:color w:val="auto"/>
              </w:rPr>
            </w:pPr>
          </w:p>
        </w:tc>
        <w:tc>
          <w:tcPr>
            <w:tcW w:w="20" w:type="dxa"/>
            <w:vAlign w:val="bottom"/>
            <w:shd w:val="clear" w:color="auto" w:fill="34657F"/>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600" w:type="dxa"/>
            <w:vAlign w:val="bottom"/>
            <w:shd w:val="clear" w:color="auto" w:fill="34657F"/>
          </w:tcPr>
          <w:p>
            <w:pPr>
              <w:spacing w:after="0"/>
              <w:rPr>
                <w:sz w:val="13"/>
                <w:szCs w:val="13"/>
                <w:color w:val="auto"/>
              </w:rPr>
            </w:pPr>
          </w:p>
        </w:tc>
        <w:tc>
          <w:tcPr>
            <w:tcW w:w="3240" w:type="dxa"/>
            <w:vAlign w:val="bottom"/>
            <w:shd w:val="clear" w:color="auto" w:fill="34657F"/>
          </w:tcPr>
          <w:p>
            <w:pPr>
              <w:spacing w:after="0"/>
              <w:rPr>
                <w:sz w:val="13"/>
                <w:szCs w:val="13"/>
                <w:color w:val="auto"/>
              </w:rPr>
            </w:pPr>
          </w:p>
        </w:tc>
        <w:tc>
          <w:tcPr>
            <w:tcW w:w="2040" w:type="dxa"/>
            <w:vAlign w:val="bottom"/>
            <w:shd w:val="clear" w:color="auto" w:fill="34657F"/>
          </w:tcPr>
          <w:p>
            <w:pPr>
              <w:jc w:val="center"/>
              <w:ind w:left="672"/>
              <w:spacing w:after="0" w:line="154" w:lineRule="exact"/>
              <w:rPr>
                <w:sz w:val="20"/>
                <w:szCs w:val="20"/>
                <w:color w:val="auto"/>
              </w:rPr>
            </w:pPr>
            <w:r>
              <w:rPr>
                <w:rFonts w:ascii="Arial" w:cs="Arial" w:eastAsia="Arial" w:hAnsi="Arial"/>
                <w:sz w:val="14"/>
                <w:szCs w:val="14"/>
                <w:b w:val="1"/>
                <w:bCs w:val="1"/>
                <w:color w:val="FFFFFF"/>
                <w:w w:val="95"/>
              </w:rPr>
              <w:t>Voluntary</w:t>
            </w:r>
          </w:p>
        </w:tc>
        <w:tc>
          <w:tcPr>
            <w:tcW w:w="1600" w:type="dxa"/>
            <w:vAlign w:val="bottom"/>
            <w:shd w:val="clear" w:color="auto" w:fill="34657F"/>
          </w:tcPr>
          <w:p>
            <w:pPr>
              <w:jc w:val="center"/>
              <w:ind w:left="12"/>
              <w:spacing w:after="0" w:line="154" w:lineRule="exact"/>
              <w:rPr>
                <w:sz w:val="20"/>
                <w:szCs w:val="20"/>
                <w:color w:val="auto"/>
              </w:rPr>
            </w:pPr>
            <w:r>
              <w:rPr>
                <w:rFonts w:ascii="Arial" w:cs="Arial" w:eastAsia="Arial" w:hAnsi="Arial"/>
                <w:sz w:val="14"/>
                <w:szCs w:val="14"/>
                <w:b w:val="1"/>
                <w:bCs w:val="1"/>
                <w:color w:val="FFFFFF"/>
                <w:w w:val="94"/>
              </w:rPr>
              <w:t>Termination</w:t>
            </w:r>
          </w:p>
        </w:tc>
        <w:tc>
          <w:tcPr>
            <w:tcW w:w="1560" w:type="dxa"/>
            <w:vAlign w:val="bottom"/>
            <w:shd w:val="clear" w:color="auto" w:fill="34657F"/>
          </w:tcPr>
          <w:p>
            <w:pPr>
              <w:jc w:val="center"/>
              <w:ind w:right="32"/>
              <w:spacing w:after="0" w:line="154" w:lineRule="exact"/>
              <w:rPr>
                <w:sz w:val="20"/>
                <w:szCs w:val="20"/>
                <w:color w:val="auto"/>
              </w:rPr>
            </w:pPr>
            <w:r>
              <w:rPr>
                <w:rFonts w:ascii="Arial" w:cs="Arial" w:eastAsia="Arial" w:hAnsi="Arial"/>
                <w:sz w:val="14"/>
                <w:szCs w:val="14"/>
                <w:b w:val="1"/>
                <w:bCs w:val="1"/>
                <w:color w:val="FFFFFF"/>
                <w:w w:val="97"/>
              </w:rPr>
              <w:t>or Good Reason</w:t>
            </w:r>
          </w:p>
        </w:tc>
        <w:tc>
          <w:tcPr>
            <w:tcW w:w="1380" w:type="dxa"/>
            <w:vAlign w:val="bottom"/>
            <w:shd w:val="clear" w:color="auto" w:fill="34657F"/>
          </w:tcPr>
          <w:p>
            <w:pPr>
              <w:jc w:val="center"/>
              <w:ind w:right="12"/>
              <w:spacing w:after="0" w:line="154" w:lineRule="exact"/>
              <w:rPr>
                <w:sz w:val="20"/>
                <w:szCs w:val="20"/>
                <w:color w:val="auto"/>
              </w:rPr>
            </w:pPr>
            <w:r>
              <w:rPr>
                <w:rFonts w:ascii="Arial" w:cs="Arial" w:eastAsia="Arial" w:hAnsi="Arial"/>
                <w:sz w:val="14"/>
                <w:szCs w:val="14"/>
                <w:b w:val="1"/>
                <w:bCs w:val="1"/>
                <w:color w:val="FFFFFF"/>
                <w:w w:val="95"/>
              </w:rPr>
              <w:t>Death or</w:t>
            </w:r>
          </w:p>
        </w:tc>
        <w:tc>
          <w:tcPr>
            <w:tcW w:w="20" w:type="dxa"/>
            <w:vAlign w:val="bottom"/>
            <w:shd w:val="clear" w:color="auto" w:fill="34657F"/>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600" w:type="dxa"/>
            <w:vAlign w:val="bottom"/>
            <w:shd w:val="clear" w:color="auto" w:fill="34657F"/>
          </w:tcPr>
          <w:p>
            <w:pPr>
              <w:spacing w:after="0"/>
              <w:rPr>
                <w:sz w:val="13"/>
                <w:szCs w:val="13"/>
                <w:color w:val="auto"/>
              </w:rPr>
            </w:pPr>
          </w:p>
        </w:tc>
        <w:tc>
          <w:tcPr>
            <w:tcW w:w="3240" w:type="dxa"/>
            <w:vAlign w:val="bottom"/>
            <w:shd w:val="clear" w:color="auto" w:fill="34657F"/>
          </w:tcPr>
          <w:p>
            <w:pPr>
              <w:spacing w:after="0"/>
              <w:rPr>
                <w:sz w:val="13"/>
                <w:szCs w:val="13"/>
                <w:color w:val="auto"/>
              </w:rPr>
            </w:pPr>
          </w:p>
        </w:tc>
        <w:tc>
          <w:tcPr>
            <w:tcW w:w="2040" w:type="dxa"/>
            <w:vAlign w:val="bottom"/>
            <w:shd w:val="clear" w:color="auto" w:fill="34657F"/>
          </w:tcPr>
          <w:p>
            <w:pPr>
              <w:jc w:val="center"/>
              <w:ind w:left="672"/>
              <w:spacing w:after="0" w:line="154" w:lineRule="exact"/>
              <w:rPr>
                <w:sz w:val="20"/>
                <w:szCs w:val="20"/>
                <w:color w:val="auto"/>
              </w:rPr>
            </w:pPr>
            <w:r>
              <w:rPr>
                <w:rFonts w:ascii="Arial" w:cs="Arial" w:eastAsia="Arial" w:hAnsi="Arial"/>
                <w:sz w:val="14"/>
                <w:szCs w:val="14"/>
                <w:b w:val="1"/>
                <w:bCs w:val="1"/>
                <w:color w:val="FFFFFF"/>
                <w:w w:val="97"/>
              </w:rPr>
              <w:t>Termination</w:t>
            </w:r>
          </w:p>
        </w:tc>
        <w:tc>
          <w:tcPr>
            <w:tcW w:w="1600" w:type="dxa"/>
            <w:vAlign w:val="bottom"/>
            <w:shd w:val="clear" w:color="auto" w:fill="34657F"/>
          </w:tcPr>
          <w:p>
            <w:pPr>
              <w:jc w:val="center"/>
              <w:ind w:left="12"/>
              <w:spacing w:after="0" w:line="154" w:lineRule="exact"/>
              <w:rPr>
                <w:sz w:val="20"/>
                <w:szCs w:val="20"/>
                <w:color w:val="auto"/>
              </w:rPr>
            </w:pPr>
            <w:r>
              <w:rPr>
                <w:rFonts w:ascii="Arial" w:cs="Arial" w:eastAsia="Arial" w:hAnsi="Arial"/>
                <w:sz w:val="14"/>
                <w:szCs w:val="14"/>
                <w:b w:val="1"/>
                <w:bCs w:val="1"/>
                <w:color w:val="FFFFFF"/>
                <w:w w:val="95"/>
              </w:rPr>
              <w:t>Not For Cause (1)</w:t>
            </w:r>
          </w:p>
        </w:tc>
        <w:tc>
          <w:tcPr>
            <w:tcW w:w="1560" w:type="dxa"/>
            <w:vAlign w:val="bottom"/>
            <w:shd w:val="clear" w:color="auto" w:fill="34657F"/>
          </w:tcPr>
          <w:p>
            <w:pPr>
              <w:jc w:val="center"/>
              <w:ind w:right="72"/>
              <w:spacing w:after="0" w:line="154" w:lineRule="exact"/>
              <w:rPr>
                <w:sz w:val="20"/>
                <w:szCs w:val="20"/>
                <w:color w:val="auto"/>
              </w:rPr>
            </w:pPr>
            <w:r>
              <w:rPr>
                <w:rFonts w:ascii="Arial" w:cs="Arial" w:eastAsia="Arial" w:hAnsi="Arial"/>
                <w:sz w:val="14"/>
                <w:szCs w:val="14"/>
                <w:b w:val="1"/>
                <w:bCs w:val="1"/>
                <w:color w:val="FFFFFF"/>
                <w:w w:val="96"/>
              </w:rPr>
              <w:t>Termination (2)</w:t>
            </w:r>
          </w:p>
        </w:tc>
        <w:tc>
          <w:tcPr>
            <w:tcW w:w="1380" w:type="dxa"/>
            <w:vAlign w:val="bottom"/>
            <w:shd w:val="clear" w:color="auto" w:fill="34657F"/>
          </w:tcPr>
          <w:p>
            <w:pPr>
              <w:jc w:val="center"/>
              <w:ind w:right="12"/>
              <w:spacing w:after="0" w:line="154" w:lineRule="exact"/>
              <w:rPr>
                <w:sz w:val="20"/>
                <w:szCs w:val="20"/>
                <w:color w:val="auto"/>
              </w:rPr>
            </w:pPr>
            <w:r>
              <w:rPr>
                <w:rFonts w:ascii="Arial" w:cs="Arial" w:eastAsia="Arial" w:hAnsi="Arial"/>
                <w:sz w:val="14"/>
                <w:szCs w:val="14"/>
                <w:b w:val="1"/>
                <w:bCs w:val="1"/>
                <w:color w:val="FFFFFF"/>
                <w:w w:val="99"/>
              </w:rPr>
              <w:t>Disability</w:t>
            </w:r>
          </w:p>
        </w:tc>
        <w:tc>
          <w:tcPr>
            <w:tcW w:w="20" w:type="dxa"/>
            <w:vAlign w:val="bottom"/>
            <w:shd w:val="clear" w:color="auto" w:fill="34657F"/>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1600" w:type="dxa"/>
            <w:vAlign w:val="bottom"/>
            <w:tcBorders>
              <w:bottom w:val="single" w:sz="8" w:color="34657F"/>
            </w:tcBorders>
            <w:shd w:val="clear" w:color="auto" w:fill="34657F"/>
          </w:tcPr>
          <w:p>
            <w:pPr>
              <w:ind w:left="40"/>
              <w:spacing w:after="0"/>
              <w:rPr>
                <w:sz w:val="20"/>
                <w:szCs w:val="20"/>
                <w:color w:val="auto"/>
              </w:rPr>
            </w:pPr>
            <w:r>
              <w:rPr>
                <w:rFonts w:ascii="Arial" w:cs="Arial" w:eastAsia="Arial" w:hAnsi="Arial"/>
                <w:sz w:val="14"/>
                <w:szCs w:val="14"/>
                <w:b w:val="1"/>
                <w:bCs w:val="1"/>
                <w:color w:val="FFFFFF"/>
              </w:rPr>
              <w:t>Name</w:t>
            </w:r>
          </w:p>
        </w:tc>
        <w:tc>
          <w:tcPr>
            <w:tcW w:w="3240" w:type="dxa"/>
            <w:vAlign w:val="bottom"/>
            <w:tcBorders>
              <w:bottom w:val="single" w:sz="8" w:color="34657F"/>
            </w:tcBorders>
            <w:shd w:val="clear" w:color="auto" w:fill="34657F"/>
          </w:tcPr>
          <w:p>
            <w:pPr>
              <w:ind w:left="40"/>
              <w:spacing w:after="0"/>
              <w:rPr>
                <w:sz w:val="20"/>
                <w:szCs w:val="20"/>
                <w:color w:val="auto"/>
              </w:rPr>
            </w:pPr>
            <w:r>
              <w:rPr>
                <w:rFonts w:ascii="Arial" w:cs="Arial" w:eastAsia="Arial" w:hAnsi="Arial"/>
                <w:sz w:val="14"/>
                <w:szCs w:val="14"/>
                <w:b w:val="1"/>
                <w:bCs w:val="1"/>
                <w:color w:val="FFFFFF"/>
              </w:rPr>
              <w:t>Executive Benefits</w:t>
            </w:r>
          </w:p>
        </w:tc>
        <w:tc>
          <w:tcPr>
            <w:tcW w:w="2040" w:type="dxa"/>
            <w:vAlign w:val="bottom"/>
            <w:tcBorders>
              <w:bottom w:val="single" w:sz="8" w:color="34657F"/>
            </w:tcBorders>
            <w:shd w:val="clear" w:color="auto" w:fill="34657F"/>
          </w:tcPr>
          <w:p>
            <w:pPr>
              <w:jc w:val="center"/>
              <w:ind w:left="672"/>
              <w:spacing w:after="0"/>
              <w:rPr>
                <w:sz w:val="20"/>
                <w:szCs w:val="20"/>
                <w:color w:val="auto"/>
              </w:rPr>
            </w:pPr>
            <w:r>
              <w:rPr>
                <w:rFonts w:ascii="Arial" w:cs="Arial" w:eastAsia="Arial" w:hAnsi="Arial"/>
                <w:sz w:val="14"/>
                <w:szCs w:val="14"/>
                <w:b w:val="1"/>
                <w:bCs w:val="1"/>
                <w:color w:val="FFFFFF"/>
              </w:rPr>
              <w:t>($)</w:t>
            </w:r>
          </w:p>
        </w:tc>
        <w:tc>
          <w:tcPr>
            <w:tcW w:w="1600" w:type="dxa"/>
            <w:vAlign w:val="bottom"/>
            <w:tcBorders>
              <w:bottom w:val="single" w:sz="8" w:color="34657F"/>
            </w:tcBorders>
            <w:shd w:val="clear" w:color="auto" w:fill="34657F"/>
          </w:tcPr>
          <w:p>
            <w:pPr>
              <w:jc w:val="center"/>
              <w:ind w:left="12"/>
              <w:spacing w:after="0"/>
              <w:rPr>
                <w:sz w:val="20"/>
                <w:szCs w:val="20"/>
                <w:color w:val="auto"/>
              </w:rPr>
            </w:pPr>
            <w:r>
              <w:rPr>
                <w:rFonts w:ascii="Arial" w:cs="Arial" w:eastAsia="Arial" w:hAnsi="Arial"/>
                <w:sz w:val="14"/>
                <w:szCs w:val="14"/>
                <w:b w:val="1"/>
                <w:bCs w:val="1"/>
                <w:color w:val="FFFFFF"/>
                <w:w w:val="93"/>
              </w:rPr>
              <w:t>($)</w:t>
            </w:r>
          </w:p>
        </w:tc>
        <w:tc>
          <w:tcPr>
            <w:tcW w:w="1560" w:type="dxa"/>
            <w:vAlign w:val="bottom"/>
            <w:tcBorders>
              <w:bottom w:val="single" w:sz="8" w:color="34657F"/>
            </w:tcBorders>
            <w:shd w:val="clear" w:color="auto" w:fill="34657F"/>
          </w:tcPr>
          <w:p>
            <w:pPr>
              <w:jc w:val="center"/>
              <w:ind w:right="32"/>
              <w:spacing w:after="0"/>
              <w:rPr>
                <w:sz w:val="20"/>
                <w:szCs w:val="20"/>
                <w:color w:val="auto"/>
              </w:rPr>
            </w:pPr>
            <w:r>
              <w:rPr>
                <w:rFonts w:ascii="Arial" w:cs="Arial" w:eastAsia="Arial" w:hAnsi="Arial"/>
                <w:sz w:val="14"/>
                <w:szCs w:val="14"/>
                <w:b w:val="1"/>
                <w:bCs w:val="1"/>
                <w:color w:val="FFFFFF"/>
              </w:rPr>
              <w:t>($)</w:t>
            </w:r>
          </w:p>
        </w:tc>
        <w:tc>
          <w:tcPr>
            <w:tcW w:w="1380" w:type="dxa"/>
            <w:vAlign w:val="bottom"/>
            <w:tcBorders>
              <w:bottom w:val="single" w:sz="8" w:color="34657F"/>
            </w:tcBorders>
            <w:shd w:val="clear" w:color="auto" w:fill="34657F"/>
          </w:tcPr>
          <w:p>
            <w:pPr>
              <w:jc w:val="center"/>
              <w:ind w:right="12"/>
              <w:spacing w:after="0"/>
              <w:rPr>
                <w:sz w:val="20"/>
                <w:szCs w:val="20"/>
                <w:color w:val="auto"/>
              </w:rPr>
            </w:pPr>
            <w:r>
              <w:rPr>
                <w:rFonts w:ascii="Arial" w:cs="Arial" w:eastAsia="Arial" w:hAnsi="Arial"/>
                <w:sz w:val="14"/>
                <w:szCs w:val="14"/>
                <w:b w:val="1"/>
                <w:bCs w:val="1"/>
                <w:color w:val="FFFFFF"/>
              </w:rPr>
              <w:t>($)</w:t>
            </w:r>
          </w:p>
        </w:tc>
        <w:tc>
          <w:tcPr>
            <w:tcW w:w="20" w:type="dxa"/>
            <w:vAlign w:val="bottom"/>
            <w:tcBorders>
              <w:bottom w:val="single" w:sz="8" w:color="34657F"/>
            </w:tcBorders>
            <w:shd w:val="clear" w:color="auto" w:fill="34657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1600" w:type="dxa"/>
            <w:vAlign w:val="bottom"/>
            <w:vMerge w:val="restart"/>
          </w:tcPr>
          <w:p>
            <w:pPr>
              <w:ind w:left="20"/>
              <w:spacing w:after="0"/>
              <w:rPr>
                <w:sz w:val="20"/>
                <w:szCs w:val="20"/>
                <w:color w:val="auto"/>
              </w:rPr>
            </w:pPr>
            <w:r>
              <w:rPr>
                <w:rFonts w:ascii="Arial" w:cs="Arial" w:eastAsia="Arial" w:hAnsi="Arial"/>
                <w:sz w:val="14"/>
                <w:szCs w:val="14"/>
                <w:color w:val="auto"/>
              </w:rPr>
              <w:t>Wesley G. Bush</w:t>
            </w:r>
          </w:p>
        </w:tc>
        <w:tc>
          <w:tcPr>
            <w:tcW w:w="3240" w:type="dxa"/>
            <w:vAlign w:val="bottom"/>
            <w:shd w:val="clear" w:color="auto" w:fill="D1DDE6"/>
          </w:tcPr>
          <w:p>
            <w:pPr>
              <w:ind w:left="40"/>
              <w:spacing w:after="0"/>
              <w:rPr>
                <w:sz w:val="20"/>
                <w:szCs w:val="20"/>
                <w:color w:val="auto"/>
              </w:rPr>
            </w:pPr>
            <w:r>
              <w:rPr>
                <w:rFonts w:ascii="Arial" w:cs="Arial" w:eastAsia="Arial" w:hAnsi="Arial"/>
                <w:sz w:val="14"/>
                <w:szCs w:val="14"/>
                <w:color w:val="auto"/>
              </w:rPr>
              <w:t>Long-term Incentives (3)</w:t>
            </w:r>
          </w:p>
        </w:tc>
        <w:tc>
          <w:tcPr>
            <w:tcW w:w="2040" w:type="dxa"/>
            <w:vAlign w:val="bottom"/>
            <w:shd w:val="clear" w:color="auto" w:fill="D1DDE6"/>
          </w:tcPr>
          <w:p>
            <w:pPr>
              <w:jc w:val="center"/>
              <w:ind w:left="692"/>
              <w:spacing w:after="0"/>
              <w:rPr>
                <w:sz w:val="20"/>
                <w:szCs w:val="20"/>
                <w:color w:val="auto"/>
              </w:rPr>
            </w:pPr>
            <w:r>
              <w:rPr>
                <w:rFonts w:ascii="Arial" w:cs="Arial" w:eastAsia="Arial" w:hAnsi="Arial"/>
                <w:sz w:val="14"/>
                <w:szCs w:val="14"/>
                <w:color w:val="auto"/>
                <w:w w:val="96"/>
              </w:rPr>
              <w:t>13,056,844</w:t>
            </w:r>
          </w:p>
        </w:tc>
        <w:tc>
          <w:tcPr>
            <w:tcW w:w="1600" w:type="dxa"/>
            <w:vAlign w:val="bottom"/>
            <w:shd w:val="clear" w:color="auto" w:fill="D1DDE6"/>
          </w:tcPr>
          <w:p>
            <w:pPr>
              <w:jc w:val="center"/>
              <w:ind w:left="12"/>
              <w:spacing w:after="0"/>
              <w:rPr>
                <w:sz w:val="20"/>
                <w:szCs w:val="20"/>
                <w:color w:val="auto"/>
              </w:rPr>
            </w:pPr>
            <w:r>
              <w:rPr>
                <w:rFonts w:ascii="Arial" w:cs="Arial" w:eastAsia="Arial" w:hAnsi="Arial"/>
                <w:sz w:val="14"/>
                <w:szCs w:val="14"/>
                <w:color w:val="auto"/>
                <w:w w:val="96"/>
              </w:rPr>
              <w:t>13,056,844</w:t>
            </w:r>
          </w:p>
        </w:tc>
        <w:tc>
          <w:tcPr>
            <w:tcW w:w="1560" w:type="dxa"/>
            <w:vAlign w:val="bottom"/>
            <w:shd w:val="clear" w:color="auto" w:fill="D1DDE6"/>
          </w:tcPr>
          <w:p>
            <w:pPr>
              <w:jc w:val="center"/>
              <w:ind w:right="52"/>
              <w:spacing w:after="0"/>
              <w:rPr>
                <w:sz w:val="20"/>
                <w:szCs w:val="20"/>
                <w:color w:val="auto"/>
              </w:rPr>
            </w:pPr>
            <w:r>
              <w:rPr>
                <w:rFonts w:ascii="Arial" w:cs="Arial" w:eastAsia="Arial" w:hAnsi="Arial"/>
                <w:sz w:val="14"/>
                <w:szCs w:val="14"/>
                <w:color w:val="auto"/>
                <w:w w:val="96"/>
              </w:rPr>
              <w:t>21,712,589</w:t>
            </w:r>
          </w:p>
        </w:tc>
        <w:tc>
          <w:tcPr>
            <w:tcW w:w="1380" w:type="dxa"/>
            <w:vAlign w:val="bottom"/>
            <w:shd w:val="clear" w:color="auto" w:fill="D1DDE6"/>
          </w:tcPr>
          <w:p>
            <w:pPr>
              <w:jc w:val="center"/>
              <w:ind w:right="12"/>
              <w:spacing w:after="0"/>
              <w:rPr>
                <w:sz w:val="20"/>
                <w:szCs w:val="20"/>
                <w:color w:val="auto"/>
              </w:rPr>
            </w:pPr>
            <w:r>
              <w:rPr>
                <w:rFonts w:ascii="Arial" w:cs="Arial" w:eastAsia="Arial" w:hAnsi="Arial"/>
                <w:sz w:val="14"/>
                <w:szCs w:val="14"/>
                <w:color w:val="auto"/>
                <w:w w:val="99"/>
              </w:rPr>
              <w:t>15,973,847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1"/>
        </w:trPr>
        <w:tc>
          <w:tcPr>
            <w:tcW w:w="1600" w:type="dxa"/>
            <w:vAlign w:val="bottom"/>
            <w:vMerge w:val="continue"/>
          </w:tcPr>
          <w:p>
            <w:pPr>
              <w:spacing w:after="0"/>
              <w:rPr>
                <w:sz w:val="7"/>
                <w:szCs w:val="7"/>
                <w:color w:val="auto"/>
              </w:rPr>
            </w:pPr>
          </w:p>
        </w:tc>
        <w:tc>
          <w:tcPr>
            <w:tcW w:w="3240" w:type="dxa"/>
            <w:vAlign w:val="bottom"/>
            <w:vMerge w:val="restart"/>
          </w:tcPr>
          <w:p>
            <w:pPr>
              <w:ind w:left="40"/>
              <w:spacing w:after="0"/>
              <w:rPr>
                <w:sz w:val="20"/>
                <w:szCs w:val="20"/>
                <w:color w:val="auto"/>
              </w:rPr>
            </w:pPr>
            <w:r>
              <w:rPr>
                <w:rFonts w:ascii="Arial" w:cs="Arial" w:eastAsia="Arial" w:hAnsi="Arial"/>
                <w:sz w:val="14"/>
                <w:szCs w:val="14"/>
                <w:color w:val="auto"/>
              </w:rPr>
              <w:t>Retiree Medical (4)</w:t>
            </w:r>
          </w:p>
        </w:tc>
        <w:tc>
          <w:tcPr>
            <w:tcW w:w="2040" w:type="dxa"/>
            <w:vAlign w:val="bottom"/>
            <w:vMerge w:val="restart"/>
          </w:tcPr>
          <w:p>
            <w:pPr>
              <w:jc w:val="center"/>
              <w:ind w:left="672"/>
              <w:spacing w:after="0"/>
              <w:rPr>
                <w:sz w:val="20"/>
                <w:szCs w:val="20"/>
                <w:color w:val="auto"/>
              </w:rPr>
            </w:pPr>
            <w:r>
              <w:rPr>
                <w:rFonts w:ascii="Arial" w:cs="Arial" w:eastAsia="Arial" w:hAnsi="Arial"/>
                <w:sz w:val="14"/>
                <w:szCs w:val="14"/>
                <w:color w:val="auto"/>
                <w:w w:val="99"/>
              </w:rPr>
              <w:t>1,350,800</w:t>
            </w:r>
          </w:p>
        </w:tc>
        <w:tc>
          <w:tcPr>
            <w:tcW w:w="1600" w:type="dxa"/>
            <w:vAlign w:val="bottom"/>
            <w:vMerge w:val="restart"/>
          </w:tcPr>
          <w:p>
            <w:pPr>
              <w:jc w:val="center"/>
              <w:ind w:left="12"/>
              <w:spacing w:after="0"/>
              <w:rPr>
                <w:sz w:val="20"/>
                <w:szCs w:val="20"/>
                <w:color w:val="auto"/>
              </w:rPr>
            </w:pPr>
            <w:r>
              <w:rPr>
                <w:rFonts w:ascii="Arial" w:cs="Arial" w:eastAsia="Arial" w:hAnsi="Arial"/>
                <w:sz w:val="14"/>
                <w:szCs w:val="14"/>
                <w:color w:val="auto"/>
                <w:w w:val="96"/>
              </w:rPr>
              <w:t>1,350,800</w:t>
            </w:r>
          </w:p>
        </w:tc>
        <w:tc>
          <w:tcPr>
            <w:tcW w:w="1560" w:type="dxa"/>
            <w:vAlign w:val="bottom"/>
            <w:vMerge w:val="restart"/>
          </w:tcPr>
          <w:p>
            <w:pPr>
              <w:jc w:val="center"/>
              <w:ind w:right="32"/>
              <w:spacing w:after="0"/>
              <w:rPr>
                <w:sz w:val="20"/>
                <w:szCs w:val="20"/>
                <w:color w:val="auto"/>
              </w:rPr>
            </w:pPr>
            <w:r>
              <w:rPr>
                <w:rFonts w:ascii="Arial" w:cs="Arial" w:eastAsia="Arial" w:hAnsi="Arial"/>
                <w:sz w:val="14"/>
                <w:szCs w:val="14"/>
                <w:color w:val="auto"/>
                <w:w w:val="99"/>
              </w:rPr>
              <w:t>1,350,800</w:t>
            </w:r>
          </w:p>
        </w:tc>
        <w:tc>
          <w:tcPr>
            <w:tcW w:w="1380" w:type="dxa"/>
            <w:vAlign w:val="bottom"/>
            <w:vMerge w:val="restart"/>
          </w:tcPr>
          <w:p>
            <w:pPr>
              <w:jc w:val="center"/>
              <w:ind w:right="12"/>
              <w:spacing w:after="0"/>
              <w:rPr>
                <w:sz w:val="20"/>
                <w:szCs w:val="20"/>
                <w:color w:val="auto"/>
              </w:rPr>
            </w:pPr>
            <w:r>
              <w:rPr>
                <w:rFonts w:ascii="Arial" w:cs="Arial" w:eastAsia="Arial" w:hAnsi="Arial"/>
                <w:sz w:val="14"/>
                <w:szCs w:val="14"/>
                <w:color w:val="auto"/>
                <w:w w:val="99"/>
              </w:rPr>
              <w:t>1,350,800</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1600" w:type="dxa"/>
            <w:vAlign w:val="bottom"/>
            <w:tcBorders>
              <w:bottom w:val="single" w:sz="8" w:color="34657F"/>
            </w:tcBorders>
          </w:tcPr>
          <w:p>
            <w:pPr>
              <w:spacing w:after="0"/>
              <w:rPr>
                <w:sz w:val="9"/>
                <w:szCs w:val="9"/>
                <w:color w:val="auto"/>
              </w:rPr>
            </w:pPr>
          </w:p>
        </w:tc>
        <w:tc>
          <w:tcPr>
            <w:tcW w:w="3240" w:type="dxa"/>
            <w:vAlign w:val="bottom"/>
            <w:tcBorders>
              <w:bottom w:val="single" w:sz="8" w:color="34657F"/>
            </w:tcBorders>
            <w:vMerge w:val="continue"/>
          </w:tcPr>
          <w:p>
            <w:pPr>
              <w:spacing w:after="0"/>
              <w:rPr>
                <w:sz w:val="9"/>
                <w:szCs w:val="9"/>
                <w:color w:val="auto"/>
              </w:rPr>
            </w:pPr>
          </w:p>
        </w:tc>
        <w:tc>
          <w:tcPr>
            <w:tcW w:w="2040" w:type="dxa"/>
            <w:vAlign w:val="bottom"/>
            <w:tcBorders>
              <w:bottom w:val="single" w:sz="8" w:color="34657F"/>
            </w:tcBorders>
            <w:vMerge w:val="continue"/>
          </w:tcPr>
          <w:p>
            <w:pPr>
              <w:spacing w:after="0"/>
              <w:rPr>
                <w:sz w:val="9"/>
                <w:szCs w:val="9"/>
                <w:color w:val="auto"/>
              </w:rPr>
            </w:pPr>
          </w:p>
        </w:tc>
        <w:tc>
          <w:tcPr>
            <w:tcW w:w="1600" w:type="dxa"/>
            <w:vAlign w:val="bottom"/>
            <w:tcBorders>
              <w:bottom w:val="single" w:sz="8" w:color="34657F"/>
            </w:tcBorders>
            <w:vMerge w:val="continue"/>
          </w:tcPr>
          <w:p>
            <w:pPr>
              <w:spacing w:after="0"/>
              <w:rPr>
                <w:sz w:val="9"/>
                <w:szCs w:val="9"/>
                <w:color w:val="auto"/>
              </w:rPr>
            </w:pPr>
          </w:p>
        </w:tc>
        <w:tc>
          <w:tcPr>
            <w:tcW w:w="1560" w:type="dxa"/>
            <w:vAlign w:val="bottom"/>
            <w:tcBorders>
              <w:bottom w:val="single" w:sz="8" w:color="34657F"/>
            </w:tcBorders>
            <w:vMerge w:val="continue"/>
          </w:tcPr>
          <w:p>
            <w:pPr>
              <w:spacing w:after="0"/>
              <w:rPr>
                <w:sz w:val="9"/>
                <w:szCs w:val="9"/>
                <w:color w:val="auto"/>
              </w:rPr>
            </w:pPr>
          </w:p>
        </w:tc>
        <w:tc>
          <w:tcPr>
            <w:tcW w:w="1380" w:type="dxa"/>
            <w:vAlign w:val="bottom"/>
            <w:tcBorders>
              <w:bottom w:val="single" w:sz="8" w:color="34657F"/>
            </w:tcBorders>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4"/>
        </w:trPr>
        <w:tc>
          <w:tcPr>
            <w:tcW w:w="1600" w:type="dxa"/>
            <w:vAlign w:val="bottom"/>
          </w:tcPr>
          <w:p>
            <w:pPr>
              <w:spacing w:after="0"/>
              <w:rPr>
                <w:sz w:val="17"/>
                <w:szCs w:val="17"/>
                <w:color w:val="auto"/>
              </w:rPr>
            </w:pPr>
          </w:p>
        </w:tc>
        <w:tc>
          <w:tcPr>
            <w:tcW w:w="3240" w:type="dxa"/>
            <w:vAlign w:val="bottom"/>
            <w:shd w:val="clear" w:color="auto" w:fill="D1DDE6"/>
          </w:tcPr>
          <w:p>
            <w:pPr>
              <w:ind w:left="40"/>
              <w:spacing w:after="0"/>
              <w:rPr>
                <w:sz w:val="20"/>
                <w:szCs w:val="20"/>
                <w:color w:val="auto"/>
              </w:rPr>
            </w:pPr>
            <w:r>
              <w:rPr>
                <w:rFonts w:ascii="Arial" w:cs="Arial" w:eastAsia="Arial" w:hAnsi="Arial"/>
                <w:sz w:val="14"/>
                <w:szCs w:val="14"/>
                <w:color w:val="auto"/>
              </w:rPr>
              <w:t>Long-term Incentives (3)</w:t>
            </w:r>
          </w:p>
        </w:tc>
        <w:tc>
          <w:tcPr>
            <w:tcW w:w="2040" w:type="dxa"/>
            <w:vAlign w:val="bottom"/>
            <w:shd w:val="clear" w:color="auto" w:fill="D1DDE6"/>
          </w:tcPr>
          <w:p>
            <w:pPr>
              <w:jc w:val="center"/>
              <w:ind w:left="672"/>
              <w:spacing w:after="0"/>
              <w:rPr>
                <w:sz w:val="20"/>
                <w:szCs w:val="20"/>
                <w:color w:val="auto"/>
              </w:rPr>
            </w:pPr>
            <w:r>
              <w:rPr>
                <w:rFonts w:ascii="Arial" w:cs="Arial" w:eastAsia="Arial" w:hAnsi="Arial"/>
                <w:sz w:val="14"/>
                <w:szCs w:val="14"/>
                <w:color w:val="auto"/>
                <w:w w:val="99"/>
              </w:rPr>
              <w:t>—</w:t>
            </w:r>
          </w:p>
        </w:tc>
        <w:tc>
          <w:tcPr>
            <w:tcW w:w="1600" w:type="dxa"/>
            <w:vAlign w:val="bottom"/>
            <w:shd w:val="clear" w:color="auto" w:fill="D1DDE6"/>
          </w:tcPr>
          <w:p>
            <w:pPr>
              <w:jc w:val="center"/>
              <w:ind w:left="12"/>
              <w:spacing w:after="0"/>
              <w:rPr>
                <w:sz w:val="20"/>
                <w:szCs w:val="20"/>
                <w:color w:val="auto"/>
              </w:rPr>
            </w:pPr>
            <w:r>
              <w:rPr>
                <w:rFonts w:ascii="Arial" w:cs="Arial" w:eastAsia="Arial" w:hAnsi="Arial"/>
                <w:sz w:val="14"/>
                <w:szCs w:val="14"/>
                <w:color w:val="auto"/>
                <w:w w:val="85"/>
              </w:rPr>
              <w:t>—</w:t>
            </w:r>
          </w:p>
        </w:tc>
        <w:tc>
          <w:tcPr>
            <w:tcW w:w="1560" w:type="dxa"/>
            <w:vAlign w:val="bottom"/>
            <w:shd w:val="clear" w:color="auto" w:fill="D1DDE6"/>
          </w:tcPr>
          <w:p>
            <w:pPr>
              <w:jc w:val="center"/>
              <w:ind w:right="52"/>
              <w:spacing w:after="0"/>
              <w:rPr>
                <w:sz w:val="20"/>
                <w:szCs w:val="20"/>
                <w:color w:val="auto"/>
              </w:rPr>
            </w:pPr>
            <w:r>
              <w:rPr>
                <w:rFonts w:ascii="Arial" w:cs="Arial" w:eastAsia="Arial" w:hAnsi="Arial"/>
                <w:sz w:val="14"/>
                <w:szCs w:val="14"/>
                <w:color w:val="auto"/>
                <w:w w:val="96"/>
              </w:rPr>
              <w:t>13,059,782</w:t>
            </w:r>
          </w:p>
        </w:tc>
        <w:tc>
          <w:tcPr>
            <w:tcW w:w="1380" w:type="dxa"/>
            <w:vAlign w:val="bottom"/>
            <w:shd w:val="clear" w:color="auto" w:fill="D1DDE6"/>
          </w:tcPr>
          <w:p>
            <w:pPr>
              <w:jc w:val="center"/>
              <w:ind w:right="12"/>
              <w:spacing w:after="0"/>
              <w:rPr>
                <w:sz w:val="20"/>
                <w:szCs w:val="20"/>
                <w:color w:val="auto"/>
              </w:rPr>
            </w:pPr>
            <w:r>
              <w:rPr>
                <w:rFonts w:ascii="Arial" w:cs="Arial" w:eastAsia="Arial" w:hAnsi="Arial"/>
                <w:sz w:val="14"/>
                <w:szCs w:val="14"/>
                <w:color w:val="auto"/>
                <w:w w:val="99"/>
              </w:rPr>
              <w:t>8,437,540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1600" w:type="dxa"/>
            <w:vAlign w:val="bottom"/>
          </w:tcPr>
          <w:p>
            <w:pPr>
              <w:spacing w:after="0"/>
              <w:rPr>
                <w:sz w:val="16"/>
                <w:szCs w:val="16"/>
                <w:color w:val="auto"/>
              </w:rPr>
            </w:pPr>
          </w:p>
        </w:tc>
        <w:tc>
          <w:tcPr>
            <w:tcW w:w="3240" w:type="dxa"/>
            <w:vAlign w:val="bottom"/>
          </w:tcPr>
          <w:p>
            <w:pPr>
              <w:ind w:left="40"/>
              <w:spacing w:after="0"/>
              <w:rPr>
                <w:sz w:val="20"/>
                <w:szCs w:val="20"/>
                <w:color w:val="auto"/>
              </w:rPr>
            </w:pPr>
            <w:r>
              <w:rPr>
                <w:rFonts w:ascii="Arial" w:cs="Arial" w:eastAsia="Arial" w:hAnsi="Arial"/>
                <w:sz w:val="14"/>
                <w:szCs w:val="14"/>
                <w:color w:val="auto"/>
              </w:rPr>
              <w:t>Severance Benefits (5)</w:t>
            </w:r>
          </w:p>
        </w:tc>
        <w:tc>
          <w:tcPr>
            <w:tcW w:w="20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3"/>
        </w:trPr>
        <w:tc>
          <w:tcPr>
            <w:tcW w:w="1600" w:type="dxa"/>
            <w:vAlign w:val="bottom"/>
          </w:tcPr>
          <w:p>
            <w:pPr>
              <w:spacing w:after="0"/>
              <w:rPr>
                <w:sz w:val="5"/>
                <w:szCs w:val="5"/>
                <w:color w:val="auto"/>
              </w:rPr>
            </w:pPr>
          </w:p>
        </w:tc>
        <w:tc>
          <w:tcPr>
            <w:tcW w:w="3240" w:type="dxa"/>
            <w:vAlign w:val="bottom"/>
          </w:tcPr>
          <w:p>
            <w:pPr>
              <w:spacing w:after="0"/>
              <w:rPr>
                <w:sz w:val="5"/>
                <w:szCs w:val="5"/>
                <w:color w:val="auto"/>
              </w:rPr>
            </w:pPr>
          </w:p>
        </w:tc>
        <w:tc>
          <w:tcPr>
            <w:tcW w:w="2040" w:type="dxa"/>
            <w:vAlign w:val="bottom"/>
          </w:tcPr>
          <w:p>
            <w:pPr>
              <w:spacing w:after="0"/>
              <w:rPr>
                <w:sz w:val="5"/>
                <w:szCs w:val="5"/>
                <w:color w:val="auto"/>
              </w:rPr>
            </w:pPr>
          </w:p>
        </w:tc>
        <w:tc>
          <w:tcPr>
            <w:tcW w:w="1600" w:type="dxa"/>
            <w:vAlign w:val="bottom"/>
          </w:tcPr>
          <w:p>
            <w:pPr>
              <w:spacing w:after="0"/>
              <w:rPr>
                <w:sz w:val="5"/>
                <w:szCs w:val="5"/>
                <w:color w:val="auto"/>
              </w:rPr>
            </w:pPr>
          </w:p>
        </w:tc>
        <w:tc>
          <w:tcPr>
            <w:tcW w:w="1560" w:type="dxa"/>
            <w:vAlign w:val="bottom"/>
          </w:tcPr>
          <w:p>
            <w:pPr>
              <w:spacing w:after="0"/>
              <w:rPr>
                <w:sz w:val="5"/>
                <w:szCs w:val="5"/>
                <w:color w:val="auto"/>
              </w:rPr>
            </w:pPr>
          </w:p>
        </w:tc>
        <w:tc>
          <w:tcPr>
            <w:tcW w:w="13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5"/>
        </w:trPr>
        <w:tc>
          <w:tcPr>
            <w:tcW w:w="1600" w:type="dxa"/>
            <w:vAlign w:val="bottom"/>
            <w:vMerge w:val="restart"/>
          </w:tcPr>
          <w:p>
            <w:pPr>
              <w:ind w:left="20"/>
              <w:spacing w:after="0"/>
              <w:rPr>
                <w:sz w:val="20"/>
                <w:szCs w:val="20"/>
                <w:color w:val="auto"/>
              </w:rPr>
            </w:pPr>
            <w:r>
              <w:rPr>
                <w:rFonts w:ascii="Arial" w:cs="Arial" w:eastAsia="Arial" w:hAnsi="Arial"/>
                <w:sz w:val="14"/>
                <w:szCs w:val="14"/>
                <w:color w:val="auto"/>
              </w:rPr>
              <w:t>Kathy J. Warden</w:t>
            </w:r>
          </w:p>
        </w:tc>
        <w:tc>
          <w:tcPr>
            <w:tcW w:w="3240" w:type="dxa"/>
            <w:vAlign w:val="bottom"/>
            <w:shd w:val="clear" w:color="auto" w:fill="D1DDE6"/>
          </w:tcPr>
          <w:p>
            <w:pPr>
              <w:ind w:left="360"/>
              <w:spacing w:after="0"/>
              <w:rPr>
                <w:sz w:val="20"/>
                <w:szCs w:val="20"/>
                <w:color w:val="auto"/>
              </w:rPr>
            </w:pPr>
            <w:r>
              <w:rPr>
                <w:rFonts w:ascii="Arial" w:cs="Arial" w:eastAsia="Arial" w:hAnsi="Arial"/>
                <w:sz w:val="14"/>
                <w:szCs w:val="14"/>
                <w:color w:val="auto"/>
              </w:rPr>
              <w:t>Cash Severance</w:t>
            </w:r>
          </w:p>
        </w:tc>
        <w:tc>
          <w:tcPr>
            <w:tcW w:w="2040" w:type="dxa"/>
            <w:vAlign w:val="bottom"/>
            <w:shd w:val="clear" w:color="auto" w:fill="D1DDE6"/>
          </w:tcPr>
          <w:p>
            <w:pPr>
              <w:jc w:val="center"/>
              <w:ind w:left="672"/>
              <w:spacing w:after="0"/>
              <w:rPr>
                <w:sz w:val="20"/>
                <w:szCs w:val="20"/>
                <w:color w:val="auto"/>
              </w:rPr>
            </w:pPr>
            <w:r>
              <w:rPr>
                <w:rFonts w:ascii="Arial" w:cs="Arial" w:eastAsia="Arial" w:hAnsi="Arial"/>
                <w:sz w:val="14"/>
                <w:szCs w:val="14"/>
                <w:color w:val="auto"/>
                <w:w w:val="99"/>
              </w:rPr>
              <w:t>—</w:t>
            </w:r>
          </w:p>
        </w:tc>
        <w:tc>
          <w:tcPr>
            <w:tcW w:w="1600" w:type="dxa"/>
            <w:vAlign w:val="bottom"/>
            <w:shd w:val="clear" w:color="auto" w:fill="D1DDE6"/>
          </w:tcPr>
          <w:p>
            <w:pPr>
              <w:jc w:val="center"/>
              <w:ind w:left="12"/>
              <w:spacing w:after="0"/>
              <w:rPr>
                <w:sz w:val="20"/>
                <w:szCs w:val="20"/>
                <w:color w:val="auto"/>
              </w:rPr>
            </w:pPr>
            <w:r>
              <w:rPr>
                <w:rFonts w:ascii="Arial" w:cs="Arial" w:eastAsia="Arial" w:hAnsi="Arial"/>
                <w:sz w:val="14"/>
                <w:szCs w:val="14"/>
                <w:color w:val="auto"/>
                <w:w w:val="96"/>
              </w:rPr>
              <w:t>3,300,000</w:t>
            </w:r>
          </w:p>
        </w:tc>
        <w:tc>
          <w:tcPr>
            <w:tcW w:w="1560" w:type="dxa"/>
            <w:vAlign w:val="bottom"/>
            <w:shd w:val="clear" w:color="auto" w:fill="D1DDE6"/>
          </w:tcPr>
          <w:p>
            <w:pPr>
              <w:jc w:val="center"/>
              <w:ind w:right="32"/>
              <w:spacing w:after="0"/>
              <w:rPr>
                <w:sz w:val="20"/>
                <w:szCs w:val="20"/>
                <w:color w:val="auto"/>
              </w:rPr>
            </w:pPr>
            <w:r>
              <w:rPr>
                <w:rFonts w:ascii="Arial" w:cs="Arial" w:eastAsia="Arial" w:hAnsi="Arial"/>
                <w:sz w:val="14"/>
                <w:szCs w:val="14"/>
                <w:color w:val="auto"/>
                <w:w w:val="99"/>
              </w:rPr>
              <w:t>—</w:t>
            </w:r>
          </w:p>
        </w:tc>
        <w:tc>
          <w:tcPr>
            <w:tcW w:w="1380" w:type="dxa"/>
            <w:vAlign w:val="bottom"/>
            <w:shd w:val="clear" w:color="auto" w:fill="D1DDE6"/>
          </w:tcPr>
          <w:p>
            <w:pPr>
              <w:jc w:val="center"/>
              <w:ind w:right="12"/>
              <w:spacing w:after="0"/>
              <w:rPr>
                <w:sz w:val="20"/>
                <w:szCs w:val="20"/>
                <w:color w:val="auto"/>
              </w:rPr>
            </w:pPr>
            <w:r>
              <w:rPr>
                <w:rFonts w:ascii="Arial" w:cs="Arial" w:eastAsia="Arial" w:hAnsi="Arial"/>
                <w:sz w:val="14"/>
                <w:szCs w:val="14"/>
                <w:color w:val="auto"/>
                <w:w w:val="99"/>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6"/>
        </w:trPr>
        <w:tc>
          <w:tcPr>
            <w:tcW w:w="1600" w:type="dxa"/>
            <w:vAlign w:val="bottom"/>
            <w:vMerge w:val="continue"/>
          </w:tcPr>
          <w:p>
            <w:pPr>
              <w:spacing w:after="0"/>
              <w:rPr>
                <w:sz w:val="5"/>
                <w:szCs w:val="5"/>
                <w:color w:val="auto"/>
              </w:rPr>
            </w:pPr>
          </w:p>
        </w:tc>
        <w:tc>
          <w:tcPr>
            <w:tcW w:w="3240" w:type="dxa"/>
            <w:vAlign w:val="bottom"/>
            <w:vMerge w:val="restart"/>
          </w:tcPr>
          <w:p>
            <w:pPr>
              <w:ind w:left="360"/>
              <w:spacing w:after="0"/>
              <w:rPr>
                <w:sz w:val="20"/>
                <w:szCs w:val="20"/>
                <w:color w:val="auto"/>
              </w:rPr>
            </w:pPr>
            <w:r>
              <w:rPr>
                <w:rFonts w:ascii="Arial" w:cs="Arial" w:eastAsia="Arial" w:hAnsi="Arial"/>
                <w:sz w:val="14"/>
                <w:szCs w:val="14"/>
                <w:color w:val="auto"/>
              </w:rPr>
              <w:t>Medical/Dental Continuation</w:t>
            </w:r>
          </w:p>
        </w:tc>
        <w:tc>
          <w:tcPr>
            <w:tcW w:w="2040" w:type="dxa"/>
            <w:vAlign w:val="bottom"/>
            <w:vMerge w:val="restart"/>
          </w:tcPr>
          <w:p>
            <w:pPr>
              <w:jc w:val="center"/>
              <w:ind w:left="672"/>
              <w:spacing w:after="0"/>
              <w:rPr>
                <w:sz w:val="20"/>
                <w:szCs w:val="20"/>
                <w:color w:val="auto"/>
              </w:rPr>
            </w:pPr>
            <w:r>
              <w:rPr>
                <w:rFonts w:ascii="Arial" w:cs="Arial" w:eastAsia="Arial" w:hAnsi="Arial"/>
                <w:sz w:val="14"/>
                <w:szCs w:val="14"/>
                <w:color w:val="auto"/>
                <w:w w:val="99"/>
              </w:rPr>
              <w:t>—</w:t>
            </w:r>
          </w:p>
        </w:tc>
        <w:tc>
          <w:tcPr>
            <w:tcW w:w="1600" w:type="dxa"/>
            <w:vAlign w:val="bottom"/>
            <w:vMerge w:val="restart"/>
          </w:tcPr>
          <w:p>
            <w:pPr>
              <w:jc w:val="center"/>
              <w:ind w:left="12"/>
              <w:spacing w:after="0"/>
              <w:rPr>
                <w:sz w:val="20"/>
                <w:szCs w:val="20"/>
                <w:color w:val="auto"/>
              </w:rPr>
            </w:pPr>
            <w:r>
              <w:rPr>
                <w:rFonts w:ascii="Arial" w:cs="Arial" w:eastAsia="Arial" w:hAnsi="Arial"/>
                <w:sz w:val="14"/>
                <w:szCs w:val="14"/>
                <w:color w:val="auto"/>
              </w:rPr>
              <w:t>8,635</w:t>
            </w:r>
          </w:p>
        </w:tc>
        <w:tc>
          <w:tcPr>
            <w:tcW w:w="1560" w:type="dxa"/>
            <w:vAlign w:val="bottom"/>
            <w:vMerge w:val="restart"/>
          </w:tcPr>
          <w:p>
            <w:pPr>
              <w:jc w:val="center"/>
              <w:ind w:right="32"/>
              <w:spacing w:after="0"/>
              <w:rPr>
                <w:sz w:val="20"/>
                <w:szCs w:val="20"/>
                <w:color w:val="auto"/>
              </w:rPr>
            </w:pPr>
            <w:r>
              <w:rPr>
                <w:rFonts w:ascii="Arial" w:cs="Arial" w:eastAsia="Arial" w:hAnsi="Arial"/>
                <w:sz w:val="14"/>
                <w:szCs w:val="14"/>
                <w:color w:val="auto"/>
                <w:w w:val="99"/>
              </w:rPr>
              <w:t>—</w:t>
            </w:r>
          </w:p>
        </w:tc>
        <w:tc>
          <w:tcPr>
            <w:tcW w:w="1380" w:type="dxa"/>
            <w:vAlign w:val="bottom"/>
            <w:vMerge w:val="restart"/>
          </w:tcPr>
          <w:p>
            <w:pPr>
              <w:jc w:val="center"/>
              <w:ind w:right="12"/>
              <w:spacing w:after="0"/>
              <w:rPr>
                <w:sz w:val="20"/>
                <w:szCs w:val="20"/>
                <w:color w:val="auto"/>
              </w:rPr>
            </w:pPr>
            <w:r>
              <w:rPr>
                <w:rFonts w:ascii="Arial" w:cs="Arial" w:eastAsia="Arial" w:hAnsi="Arial"/>
                <w:sz w:val="14"/>
                <w:szCs w:val="14"/>
                <w:color w:val="auto"/>
                <w:w w:val="99"/>
              </w:rPr>
              <w:t>—</w:t>
            </w: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4"/>
        </w:trPr>
        <w:tc>
          <w:tcPr>
            <w:tcW w:w="1600" w:type="dxa"/>
            <w:vAlign w:val="bottom"/>
          </w:tcPr>
          <w:p>
            <w:pPr>
              <w:spacing w:after="0"/>
              <w:rPr>
                <w:sz w:val="11"/>
                <w:szCs w:val="11"/>
                <w:color w:val="auto"/>
              </w:rPr>
            </w:pPr>
          </w:p>
        </w:tc>
        <w:tc>
          <w:tcPr>
            <w:tcW w:w="3240" w:type="dxa"/>
            <w:vAlign w:val="bottom"/>
            <w:vMerge w:val="continue"/>
          </w:tcPr>
          <w:p>
            <w:pPr>
              <w:spacing w:after="0"/>
              <w:rPr>
                <w:sz w:val="11"/>
                <w:szCs w:val="11"/>
                <w:color w:val="auto"/>
              </w:rPr>
            </w:pPr>
          </w:p>
        </w:tc>
        <w:tc>
          <w:tcPr>
            <w:tcW w:w="2040" w:type="dxa"/>
            <w:vAlign w:val="bottom"/>
            <w:vMerge w:val="continue"/>
          </w:tcPr>
          <w:p>
            <w:pPr>
              <w:spacing w:after="0"/>
              <w:rPr>
                <w:sz w:val="11"/>
                <w:szCs w:val="11"/>
                <w:color w:val="auto"/>
              </w:rPr>
            </w:pPr>
          </w:p>
        </w:tc>
        <w:tc>
          <w:tcPr>
            <w:tcW w:w="1600" w:type="dxa"/>
            <w:vAlign w:val="bottom"/>
            <w:vMerge w:val="continue"/>
          </w:tcPr>
          <w:p>
            <w:pPr>
              <w:spacing w:after="0"/>
              <w:rPr>
                <w:sz w:val="11"/>
                <w:szCs w:val="11"/>
                <w:color w:val="auto"/>
              </w:rPr>
            </w:pPr>
          </w:p>
        </w:tc>
        <w:tc>
          <w:tcPr>
            <w:tcW w:w="1560" w:type="dxa"/>
            <w:vAlign w:val="bottom"/>
            <w:vMerge w:val="continue"/>
          </w:tcPr>
          <w:p>
            <w:pPr>
              <w:spacing w:after="0"/>
              <w:rPr>
                <w:sz w:val="11"/>
                <w:szCs w:val="11"/>
                <w:color w:val="auto"/>
              </w:rPr>
            </w:pPr>
          </w:p>
        </w:tc>
        <w:tc>
          <w:tcPr>
            <w:tcW w:w="138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1"/>
        </w:trPr>
        <w:tc>
          <w:tcPr>
            <w:tcW w:w="1600" w:type="dxa"/>
            <w:vAlign w:val="bottom"/>
          </w:tcPr>
          <w:p>
            <w:pPr>
              <w:spacing w:after="0"/>
              <w:rPr>
                <w:sz w:val="18"/>
                <w:szCs w:val="18"/>
                <w:color w:val="auto"/>
              </w:rPr>
            </w:pPr>
          </w:p>
        </w:tc>
        <w:tc>
          <w:tcPr>
            <w:tcW w:w="3240" w:type="dxa"/>
            <w:vAlign w:val="bottom"/>
            <w:shd w:val="clear" w:color="auto" w:fill="D1DDE6"/>
          </w:tcPr>
          <w:p>
            <w:pPr>
              <w:ind w:left="360"/>
              <w:spacing w:after="0"/>
              <w:rPr>
                <w:sz w:val="20"/>
                <w:szCs w:val="20"/>
                <w:color w:val="auto"/>
              </w:rPr>
            </w:pPr>
            <w:r>
              <w:rPr>
                <w:rFonts w:ascii="Arial" w:cs="Arial" w:eastAsia="Arial" w:hAnsi="Arial"/>
                <w:sz w:val="14"/>
                <w:szCs w:val="14"/>
                <w:color w:val="auto"/>
              </w:rPr>
              <w:t>Financial Planning/Income Tax</w:t>
            </w:r>
          </w:p>
        </w:tc>
        <w:tc>
          <w:tcPr>
            <w:tcW w:w="2040" w:type="dxa"/>
            <w:vAlign w:val="bottom"/>
            <w:shd w:val="clear" w:color="auto" w:fill="D1DDE6"/>
          </w:tcPr>
          <w:p>
            <w:pPr>
              <w:jc w:val="center"/>
              <w:ind w:left="672"/>
              <w:spacing w:after="0"/>
              <w:rPr>
                <w:sz w:val="20"/>
                <w:szCs w:val="20"/>
                <w:color w:val="auto"/>
              </w:rPr>
            </w:pPr>
            <w:r>
              <w:rPr>
                <w:rFonts w:ascii="Arial" w:cs="Arial" w:eastAsia="Arial" w:hAnsi="Arial"/>
                <w:sz w:val="14"/>
                <w:szCs w:val="14"/>
                <w:color w:val="auto"/>
                <w:w w:val="99"/>
              </w:rPr>
              <w:t>—</w:t>
            </w:r>
          </w:p>
        </w:tc>
        <w:tc>
          <w:tcPr>
            <w:tcW w:w="1600" w:type="dxa"/>
            <w:vAlign w:val="bottom"/>
            <w:shd w:val="clear" w:color="auto" w:fill="D1DDE6"/>
          </w:tcPr>
          <w:p>
            <w:pPr>
              <w:jc w:val="center"/>
              <w:ind w:left="12"/>
              <w:spacing w:after="0"/>
              <w:rPr>
                <w:sz w:val="20"/>
                <w:szCs w:val="20"/>
                <w:color w:val="auto"/>
              </w:rPr>
            </w:pPr>
            <w:r>
              <w:rPr>
                <w:rFonts w:ascii="Arial" w:cs="Arial" w:eastAsia="Arial" w:hAnsi="Arial"/>
                <w:sz w:val="14"/>
                <w:szCs w:val="14"/>
                <w:color w:val="auto"/>
                <w:w w:val="93"/>
              </w:rPr>
              <w:t>18,500</w:t>
            </w:r>
          </w:p>
        </w:tc>
        <w:tc>
          <w:tcPr>
            <w:tcW w:w="1560" w:type="dxa"/>
            <w:vAlign w:val="bottom"/>
            <w:shd w:val="clear" w:color="auto" w:fill="D1DDE6"/>
          </w:tcPr>
          <w:p>
            <w:pPr>
              <w:jc w:val="center"/>
              <w:ind w:right="32"/>
              <w:spacing w:after="0"/>
              <w:rPr>
                <w:sz w:val="20"/>
                <w:szCs w:val="20"/>
                <w:color w:val="auto"/>
              </w:rPr>
            </w:pPr>
            <w:r>
              <w:rPr>
                <w:rFonts w:ascii="Arial" w:cs="Arial" w:eastAsia="Arial" w:hAnsi="Arial"/>
                <w:sz w:val="14"/>
                <w:szCs w:val="14"/>
                <w:color w:val="auto"/>
                <w:w w:val="99"/>
              </w:rPr>
              <w:t>—</w:t>
            </w:r>
          </w:p>
        </w:tc>
        <w:tc>
          <w:tcPr>
            <w:tcW w:w="1380" w:type="dxa"/>
            <w:vAlign w:val="bottom"/>
            <w:shd w:val="clear" w:color="auto" w:fill="D1DDE6"/>
          </w:tcPr>
          <w:p>
            <w:pPr>
              <w:jc w:val="center"/>
              <w:ind w:right="12"/>
              <w:spacing w:after="0"/>
              <w:rPr>
                <w:sz w:val="20"/>
                <w:szCs w:val="20"/>
                <w:color w:val="auto"/>
              </w:rPr>
            </w:pPr>
            <w:r>
              <w:rPr>
                <w:rFonts w:ascii="Arial" w:cs="Arial" w:eastAsia="Arial" w:hAnsi="Arial"/>
                <w:sz w:val="14"/>
                <w:szCs w:val="14"/>
                <w:color w:val="auto"/>
                <w:w w:val="99"/>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1600" w:type="dxa"/>
            <w:vAlign w:val="bottom"/>
            <w:tcBorders>
              <w:bottom w:val="single" w:sz="8" w:color="34657F"/>
            </w:tcBorders>
          </w:tcPr>
          <w:p>
            <w:pPr>
              <w:spacing w:after="0"/>
              <w:rPr>
                <w:sz w:val="17"/>
                <w:szCs w:val="17"/>
                <w:color w:val="auto"/>
              </w:rPr>
            </w:pPr>
          </w:p>
        </w:tc>
        <w:tc>
          <w:tcPr>
            <w:tcW w:w="3240" w:type="dxa"/>
            <w:vAlign w:val="bottom"/>
            <w:tcBorders>
              <w:bottom w:val="single" w:sz="8" w:color="34657F"/>
            </w:tcBorders>
          </w:tcPr>
          <w:p>
            <w:pPr>
              <w:ind w:left="360"/>
              <w:spacing w:after="0"/>
              <w:rPr>
                <w:sz w:val="20"/>
                <w:szCs w:val="20"/>
                <w:color w:val="auto"/>
              </w:rPr>
            </w:pPr>
            <w:r>
              <w:rPr>
                <w:rFonts w:ascii="Arial" w:cs="Arial" w:eastAsia="Arial" w:hAnsi="Arial"/>
                <w:sz w:val="14"/>
                <w:szCs w:val="14"/>
                <w:color w:val="auto"/>
              </w:rPr>
              <w:t>Outplacement Services</w:t>
            </w:r>
          </w:p>
        </w:tc>
        <w:tc>
          <w:tcPr>
            <w:tcW w:w="2040" w:type="dxa"/>
            <w:vAlign w:val="bottom"/>
            <w:tcBorders>
              <w:bottom w:val="single" w:sz="8" w:color="34657F"/>
            </w:tcBorders>
          </w:tcPr>
          <w:p>
            <w:pPr>
              <w:jc w:val="center"/>
              <w:ind w:left="672"/>
              <w:spacing w:after="0"/>
              <w:rPr>
                <w:sz w:val="20"/>
                <w:szCs w:val="20"/>
                <w:color w:val="auto"/>
              </w:rPr>
            </w:pPr>
            <w:r>
              <w:rPr>
                <w:rFonts w:ascii="Arial" w:cs="Arial" w:eastAsia="Arial" w:hAnsi="Arial"/>
                <w:sz w:val="14"/>
                <w:szCs w:val="14"/>
                <w:color w:val="auto"/>
                <w:w w:val="99"/>
              </w:rPr>
              <w:t>—</w:t>
            </w:r>
          </w:p>
        </w:tc>
        <w:tc>
          <w:tcPr>
            <w:tcW w:w="1600" w:type="dxa"/>
            <w:vAlign w:val="bottom"/>
            <w:tcBorders>
              <w:bottom w:val="single" w:sz="8" w:color="34657F"/>
            </w:tcBorders>
          </w:tcPr>
          <w:p>
            <w:pPr>
              <w:jc w:val="center"/>
              <w:ind w:left="12"/>
              <w:spacing w:after="0"/>
              <w:rPr>
                <w:sz w:val="20"/>
                <w:szCs w:val="20"/>
                <w:color w:val="auto"/>
              </w:rPr>
            </w:pPr>
            <w:r>
              <w:rPr>
                <w:rFonts w:ascii="Arial" w:cs="Arial" w:eastAsia="Arial" w:hAnsi="Arial"/>
                <w:sz w:val="14"/>
                <w:szCs w:val="14"/>
                <w:color w:val="auto"/>
                <w:w w:val="94"/>
              </w:rPr>
              <w:t>150,000</w:t>
            </w:r>
          </w:p>
        </w:tc>
        <w:tc>
          <w:tcPr>
            <w:tcW w:w="1560" w:type="dxa"/>
            <w:vAlign w:val="bottom"/>
            <w:tcBorders>
              <w:bottom w:val="single" w:sz="8" w:color="34657F"/>
            </w:tcBorders>
          </w:tcPr>
          <w:p>
            <w:pPr>
              <w:jc w:val="center"/>
              <w:ind w:right="32"/>
              <w:spacing w:after="0"/>
              <w:rPr>
                <w:sz w:val="20"/>
                <w:szCs w:val="20"/>
                <w:color w:val="auto"/>
              </w:rPr>
            </w:pPr>
            <w:r>
              <w:rPr>
                <w:rFonts w:ascii="Arial" w:cs="Arial" w:eastAsia="Arial" w:hAnsi="Arial"/>
                <w:sz w:val="14"/>
                <w:szCs w:val="14"/>
                <w:color w:val="auto"/>
                <w:w w:val="99"/>
              </w:rPr>
              <w:t>—</w:t>
            </w:r>
          </w:p>
        </w:tc>
        <w:tc>
          <w:tcPr>
            <w:tcW w:w="1380" w:type="dxa"/>
            <w:vAlign w:val="bottom"/>
            <w:tcBorders>
              <w:bottom w:val="single" w:sz="8" w:color="34657F"/>
            </w:tcBorders>
          </w:tcPr>
          <w:p>
            <w:pPr>
              <w:jc w:val="center"/>
              <w:ind w:right="12"/>
              <w:spacing w:after="0"/>
              <w:rPr>
                <w:sz w:val="20"/>
                <w:szCs w:val="20"/>
                <w:color w:val="auto"/>
              </w:rPr>
            </w:pPr>
            <w:r>
              <w:rPr>
                <w:rFonts w:ascii="Arial" w:cs="Arial" w:eastAsia="Arial" w:hAnsi="Arial"/>
                <w:sz w:val="14"/>
                <w:szCs w:val="14"/>
                <w:color w:val="auto"/>
                <w:w w:val="99"/>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600" w:type="dxa"/>
            <w:vAlign w:val="bottom"/>
          </w:tcPr>
          <w:p>
            <w:pPr>
              <w:spacing w:after="0"/>
              <w:rPr>
                <w:sz w:val="17"/>
                <w:szCs w:val="17"/>
                <w:color w:val="auto"/>
              </w:rPr>
            </w:pPr>
          </w:p>
        </w:tc>
        <w:tc>
          <w:tcPr>
            <w:tcW w:w="3240" w:type="dxa"/>
            <w:vAlign w:val="bottom"/>
            <w:shd w:val="clear" w:color="auto" w:fill="D1DDE6"/>
          </w:tcPr>
          <w:p>
            <w:pPr>
              <w:ind w:left="40"/>
              <w:spacing w:after="0"/>
              <w:rPr>
                <w:sz w:val="20"/>
                <w:szCs w:val="20"/>
                <w:color w:val="auto"/>
              </w:rPr>
            </w:pPr>
            <w:r>
              <w:rPr>
                <w:rFonts w:ascii="Arial" w:cs="Arial" w:eastAsia="Arial" w:hAnsi="Arial"/>
                <w:sz w:val="14"/>
                <w:szCs w:val="14"/>
                <w:color w:val="auto"/>
              </w:rPr>
              <w:t>Long-term Incentives (3)</w:t>
            </w:r>
          </w:p>
        </w:tc>
        <w:tc>
          <w:tcPr>
            <w:tcW w:w="2040" w:type="dxa"/>
            <w:vAlign w:val="bottom"/>
            <w:shd w:val="clear" w:color="auto" w:fill="D1DDE6"/>
          </w:tcPr>
          <w:p>
            <w:pPr>
              <w:jc w:val="center"/>
              <w:ind w:left="672"/>
              <w:spacing w:after="0"/>
              <w:rPr>
                <w:sz w:val="20"/>
                <w:szCs w:val="20"/>
                <w:color w:val="auto"/>
              </w:rPr>
            </w:pPr>
            <w:r>
              <w:rPr>
                <w:rFonts w:ascii="Arial" w:cs="Arial" w:eastAsia="Arial" w:hAnsi="Arial"/>
                <w:sz w:val="14"/>
                <w:szCs w:val="14"/>
                <w:color w:val="auto"/>
                <w:w w:val="99"/>
              </w:rPr>
              <w:t>—</w:t>
            </w:r>
          </w:p>
        </w:tc>
        <w:tc>
          <w:tcPr>
            <w:tcW w:w="1600" w:type="dxa"/>
            <w:vAlign w:val="bottom"/>
            <w:shd w:val="clear" w:color="auto" w:fill="D1DDE6"/>
          </w:tcPr>
          <w:p>
            <w:pPr>
              <w:jc w:val="center"/>
              <w:ind w:left="12"/>
              <w:spacing w:after="0"/>
              <w:rPr>
                <w:sz w:val="20"/>
                <w:szCs w:val="20"/>
                <w:color w:val="auto"/>
              </w:rPr>
            </w:pPr>
            <w:r>
              <w:rPr>
                <w:rFonts w:ascii="Arial" w:cs="Arial" w:eastAsia="Arial" w:hAnsi="Arial"/>
                <w:sz w:val="14"/>
                <w:szCs w:val="14"/>
                <w:color w:val="auto"/>
                <w:w w:val="85"/>
              </w:rPr>
              <w:t>—</w:t>
            </w:r>
          </w:p>
        </w:tc>
        <w:tc>
          <w:tcPr>
            <w:tcW w:w="1560" w:type="dxa"/>
            <w:vAlign w:val="bottom"/>
            <w:shd w:val="clear" w:color="auto" w:fill="D1DDE6"/>
          </w:tcPr>
          <w:p>
            <w:pPr>
              <w:jc w:val="center"/>
              <w:ind w:right="32"/>
              <w:spacing w:after="0"/>
              <w:rPr>
                <w:sz w:val="20"/>
                <w:szCs w:val="20"/>
                <w:color w:val="auto"/>
              </w:rPr>
            </w:pPr>
            <w:r>
              <w:rPr>
                <w:rFonts w:ascii="Arial" w:cs="Arial" w:eastAsia="Arial" w:hAnsi="Arial"/>
                <w:sz w:val="14"/>
                <w:szCs w:val="14"/>
                <w:color w:val="auto"/>
                <w:w w:val="99"/>
              </w:rPr>
              <w:t>7,132,713</w:t>
            </w:r>
          </w:p>
        </w:tc>
        <w:tc>
          <w:tcPr>
            <w:tcW w:w="1380" w:type="dxa"/>
            <w:vAlign w:val="bottom"/>
            <w:shd w:val="clear" w:color="auto" w:fill="D1DDE6"/>
          </w:tcPr>
          <w:p>
            <w:pPr>
              <w:jc w:val="center"/>
              <w:ind w:right="12"/>
              <w:spacing w:after="0"/>
              <w:rPr>
                <w:sz w:val="20"/>
                <w:szCs w:val="20"/>
                <w:color w:val="auto"/>
              </w:rPr>
            </w:pPr>
            <w:r>
              <w:rPr>
                <w:rFonts w:ascii="Arial" w:cs="Arial" w:eastAsia="Arial" w:hAnsi="Arial"/>
                <w:sz w:val="14"/>
                <w:szCs w:val="14"/>
                <w:color w:val="auto"/>
                <w:w w:val="99"/>
              </w:rPr>
              <w:t>5,186,247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1600" w:type="dxa"/>
            <w:vAlign w:val="bottom"/>
          </w:tcPr>
          <w:p>
            <w:pPr>
              <w:spacing w:after="0"/>
              <w:rPr>
                <w:sz w:val="16"/>
                <w:szCs w:val="16"/>
                <w:color w:val="auto"/>
              </w:rPr>
            </w:pPr>
          </w:p>
        </w:tc>
        <w:tc>
          <w:tcPr>
            <w:tcW w:w="3240" w:type="dxa"/>
            <w:vAlign w:val="bottom"/>
          </w:tcPr>
          <w:p>
            <w:pPr>
              <w:ind w:left="40"/>
              <w:spacing w:after="0"/>
              <w:rPr>
                <w:sz w:val="20"/>
                <w:szCs w:val="20"/>
                <w:color w:val="auto"/>
              </w:rPr>
            </w:pPr>
            <w:r>
              <w:rPr>
                <w:rFonts w:ascii="Arial" w:cs="Arial" w:eastAsia="Arial" w:hAnsi="Arial"/>
                <w:sz w:val="14"/>
                <w:szCs w:val="14"/>
                <w:color w:val="auto"/>
              </w:rPr>
              <w:t>Severance Benefits (5)</w:t>
            </w:r>
          </w:p>
        </w:tc>
        <w:tc>
          <w:tcPr>
            <w:tcW w:w="20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3"/>
        </w:trPr>
        <w:tc>
          <w:tcPr>
            <w:tcW w:w="1600" w:type="dxa"/>
            <w:vAlign w:val="bottom"/>
          </w:tcPr>
          <w:p>
            <w:pPr>
              <w:spacing w:after="0"/>
              <w:rPr>
                <w:sz w:val="5"/>
                <w:szCs w:val="5"/>
                <w:color w:val="auto"/>
              </w:rPr>
            </w:pPr>
          </w:p>
        </w:tc>
        <w:tc>
          <w:tcPr>
            <w:tcW w:w="3240" w:type="dxa"/>
            <w:vAlign w:val="bottom"/>
          </w:tcPr>
          <w:p>
            <w:pPr>
              <w:spacing w:after="0"/>
              <w:rPr>
                <w:sz w:val="5"/>
                <w:szCs w:val="5"/>
                <w:color w:val="auto"/>
              </w:rPr>
            </w:pPr>
          </w:p>
        </w:tc>
        <w:tc>
          <w:tcPr>
            <w:tcW w:w="2040" w:type="dxa"/>
            <w:vAlign w:val="bottom"/>
          </w:tcPr>
          <w:p>
            <w:pPr>
              <w:spacing w:after="0"/>
              <w:rPr>
                <w:sz w:val="5"/>
                <w:szCs w:val="5"/>
                <w:color w:val="auto"/>
              </w:rPr>
            </w:pPr>
          </w:p>
        </w:tc>
        <w:tc>
          <w:tcPr>
            <w:tcW w:w="1600" w:type="dxa"/>
            <w:vAlign w:val="bottom"/>
          </w:tcPr>
          <w:p>
            <w:pPr>
              <w:spacing w:after="0"/>
              <w:rPr>
                <w:sz w:val="5"/>
                <w:szCs w:val="5"/>
                <w:color w:val="auto"/>
              </w:rPr>
            </w:pPr>
          </w:p>
        </w:tc>
        <w:tc>
          <w:tcPr>
            <w:tcW w:w="1560" w:type="dxa"/>
            <w:vAlign w:val="bottom"/>
          </w:tcPr>
          <w:p>
            <w:pPr>
              <w:spacing w:after="0"/>
              <w:rPr>
                <w:sz w:val="5"/>
                <w:szCs w:val="5"/>
                <w:color w:val="auto"/>
              </w:rPr>
            </w:pPr>
          </w:p>
        </w:tc>
        <w:tc>
          <w:tcPr>
            <w:tcW w:w="13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5"/>
        </w:trPr>
        <w:tc>
          <w:tcPr>
            <w:tcW w:w="1600" w:type="dxa"/>
            <w:vAlign w:val="bottom"/>
            <w:vMerge w:val="restart"/>
          </w:tcPr>
          <w:p>
            <w:pPr>
              <w:ind w:left="20"/>
              <w:spacing w:after="0"/>
              <w:rPr>
                <w:sz w:val="20"/>
                <w:szCs w:val="20"/>
                <w:color w:val="auto"/>
              </w:rPr>
            </w:pPr>
            <w:r>
              <w:rPr>
                <w:rFonts w:ascii="Arial" w:cs="Arial" w:eastAsia="Arial" w:hAnsi="Arial"/>
                <w:sz w:val="14"/>
                <w:szCs w:val="14"/>
                <w:color w:val="auto"/>
              </w:rPr>
              <w:t>Kenneth L. Bedingfield</w:t>
            </w:r>
          </w:p>
        </w:tc>
        <w:tc>
          <w:tcPr>
            <w:tcW w:w="3240" w:type="dxa"/>
            <w:vAlign w:val="bottom"/>
            <w:shd w:val="clear" w:color="auto" w:fill="D1DDE6"/>
          </w:tcPr>
          <w:p>
            <w:pPr>
              <w:ind w:left="360"/>
              <w:spacing w:after="0"/>
              <w:rPr>
                <w:sz w:val="20"/>
                <w:szCs w:val="20"/>
                <w:color w:val="auto"/>
              </w:rPr>
            </w:pPr>
            <w:r>
              <w:rPr>
                <w:rFonts w:ascii="Arial" w:cs="Arial" w:eastAsia="Arial" w:hAnsi="Arial"/>
                <w:sz w:val="14"/>
                <w:szCs w:val="14"/>
                <w:color w:val="auto"/>
              </w:rPr>
              <w:t>Cash Severance</w:t>
            </w:r>
          </w:p>
        </w:tc>
        <w:tc>
          <w:tcPr>
            <w:tcW w:w="2040" w:type="dxa"/>
            <w:vAlign w:val="bottom"/>
            <w:shd w:val="clear" w:color="auto" w:fill="D1DDE6"/>
          </w:tcPr>
          <w:p>
            <w:pPr>
              <w:jc w:val="center"/>
              <w:ind w:left="672"/>
              <w:spacing w:after="0"/>
              <w:rPr>
                <w:sz w:val="20"/>
                <w:szCs w:val="20"/>
                <w:color w:val="auto"/>
              </w:rPr>
            </w:pPr>
            <w:r>
              <w:rPr>
                <w:rFonts w:ascii="Arial" w:cs="Arial" w:eastAsia="Arial" w:hAnsi="Arial"/>
                <w:sz w:val="14"/>
                <w:szCs w:val="14"/>
                <w:color w:val="auto"/>
                <w:w w:val="99"/>
              </w:rPr>
              <w:t>—</w:t>
            </w:r>
          </w:p>
        </w:tc>
        <w:tc>
          <w:tcPr>
            <w:tcW w:w="1600" w:type="dxa"/>
            <w:vAlign w:val="bottom"/>
            <w:shd w:val="clear" w:color="auto" w:fill="D1DDE6"/>
          </w:tcPr>
          <w:p>
            <w:pPr>
              <w:jc w:val="center"/>
              <w:ind w:left="12"/>
              <w:spacing w:after="0"/>
              <w:rPr>
                <w:sz w:val="20"/>
                <w:szCs w:val="20"/>
                <w:color w:val="auto"/>
              </w:rPr>
            </w:pPr>
            <w:r>
              <w:rPr>
                <w:rFonts w:ascii="Arial" w:cs="Arial" w:eastAsia="Arial" w:hAnsi="Arial"/>
                <w:sz w:val="14"/>
                <w:szCs w:val="14"/>
                <w:color w:val="auto"/>
                <w:w w:val="96"/>
              </w:rPr>
              <w:t>2,445,000</w:t>
            </w:r>
          </w:p>
        </w:tc>
        <w:tc>
          <w:tcPr>
            <w:tcW w:w="1560" w:type="dxa"/>
            <w:vAlign w:val="bottom"/>
            <w:shd w:val="clear" w:color="auto" w:fill="D1DDE6"/>
          </w:tcPr>
          <w:p>
            <w:pPr>
              <w:jc w:val="center"/>
              <w:ind w:right="32"/>
              <w:spacing w:after="0"/>
              <w:rPr>
                <w:sz w:val="20"/>
                <w:szCs w:val="20"/>
                <w:color w:val="auto"/>
              </w:rPr>
            </w:pPr>
            <w:r>
              <w:rPr>
                <w:rFonts w:ascii="Arial" w:cs="Arial" w:eastAsia="Arial" w:hAnsi="Arial"/>
                <w:sz w:val="14"/>
                <w:szCs w:val="14"/>
                <w:color w:val="auto"/>
                <w:w w:val="99"/>
              </w:rPr>
              <w:t>—</w:t>
            </w:r>
          </w:p>
        </w:tc>
        <w:tc>
          <w:tcPr>
            <w:tcW w:w="1380" w:type="dxa"/>
            <w:vAlign w:val="bottom"/>
            <w:shd w:val="clear" w:color="auto" w:fill="D1DDE6"/>
          </w:tcPr>
          <w:p>
            <w:pPr>
              <w:jc w:val="center"/>
              <w:ind w:right="12"/>
              <w:spacing w:after="0"/>
              <w:rPr>
                <w:sz w:val="20"/>
                <w:szCs w:val="20"/>
                <w:color w:val="auto"/>
              </w:rPr>
            </w:pPr>
            <w:r>
              <w:rPr>
                <w:rFonts w:ascii="Arial" w:cs="Arial" w:eastAsia="Arial" w:hAnsi="Arial"/>
                <w:sz w:val="14"/>
                <w:szCs w:val="14"/>
                <w:color w:val="auto"/>
                <w:w w:val="99"/>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6"/>
        </w:trPr>
        <w:tc>
          <w:tcPr>
            <w:tcW w:w="1600" w:type="dxa"/>
            <w:vAlign w:val="bottom"/>
            <w:vMerge w:val="continue"/>
          </w:tcPr>
          <w:p>
            <w:pPr>
              <w:spacing w:after="0"/>
              <w:rPr>
                <w:sz w:val="5"/>
                <w:szCs w:val="5"/>
                <w:color w:val="auto"/>
              </w:rPr>
            </w:pPr>
          </w:p>
        </w:tc>
        <w:tc>
          <w:tcPr>
            <w:tcW w:w="3240" w:type="dxa"/>
            <w:vAlign w:val="bottom"/>
            <w:vMerge w:val="restart"/>
          </w:tcPr>
          <w:p>
            <w:pPr>
              <w:ind w:left="360"/>
              <w:spacing w:after="0"/>
              <w:rPr>
                <w:sz w:val="20"/>
                <w:szCs w:val="20"/>
                <w:color w:val="auto"/>
              </w:rPr>
            </w:pPr>
            <w:r>
              <w:rPr>
                <w:rFonts w:ascii="Arial" w:cs="Arial" w:eastAsia="Arial" w:hAnsi="Arial"/>
                <w:sz w:val="14"/>
                <w:szCs w:val="14"/>
                <w:color w:val="auto"/>
              </w:rPr>
              <w:t>Medical/Dental Continuation</w:t>
            </w:r>
          </w:p>
        </w:tc>
        <w:tc>
          <w:tcPr>
            <w:tcW w:w="2040" w:type="dxa"/>
            <w:vAlign w:val="bottom"/>
            <w:vMerge w:val="restart"/>
          </w:tcPr>
          <w:p>
            <w:pPr>
              <w:jc w:val="center"/>
              <w:ind w:left="672"/>
              <w:spacing w:after="0"/>
              <w:rPr>
                <w:sz w:val="20"/>
                <w:szCs w:val="20"/>
                <w:color w:val="auto"/>
              </w:rPr>
            </w:pPr>
            <w:r>
              <w:rPr>
                <w:rFonts w:ascii="Arial" w:cs="Arial" w:eastAsia="Arial" w:hAnsi="Arial"/>
                <w:sz w:val="14"/>
                <w:szCs w:val="14"/>
                <w:color w:val="auto"/>
                <w:w w:val="99"/>
              </w:rPr>
              <w:t>—</w:t>
            </w:r>
          </w:p>
        </w:tc>
        <w:tc>
          <w:tcPr>
            <w:tcW w:w="1600" w:type="dxa"/>
            <w:vAlign w:val="bottom"/>
            <w:vMerge w:val="restart"/>
          </w:tcPr>
          <w:p>
            <w:pPr>
              <w:jc w:val="center"/>
              <w:ind w:left="12"/>
              <w:spacing w:after="0"/>
              <w:rPr>
                <w:sz w:val="20"/>
                <w:szCs w:val="20"/>
                <w:color w:val="auto"/>
              </w:rPr>
            </w:pPr>
            <w:r>
              <w:rPr>
                <w:rFonts w:ascii="Arial" w:cs="Arial" w:eastAsia="Arial" w:hAnsi="Arial"/>
                <w:sz w:val="14"/>
                <w:szCs w:val="14"/>
                <w:color w:val="auto"/>
              </w:rPr>
              <w:t>8,635</w:t>
            </w:r>
          </w:p>
        </w:tc>
        <w:tc>
          <w:tcPr>
            <w:tcW w:w="1560" w:type="dxa"/>
            <w:vAlign w:val="bottom"/>
            <w:vMerge w:val="restart"/>
          </w:tcPr>
          <w:p>
            <w:pPr>
              <w:jc w:val="center"/>
              <w:ind w:right="32"/>
              <w:spacing w:after="0"/>
              <w:rPr>
                <w:sz w:val="20"/>
                <w:szCs w:val="20"/>
                <w:color w:val="auto"/>
              </w:rPr>
            </w:pPr>
            <w:r>
              <w:rPr>
                <w:rFonts w:ascii="Arial" w:cs="Arial" w:eastAsia="Arial" w:hAnsi="Arial"/>
                <w:sz w:val="14"/>
                <w:szCs w:val="14"/>
                <w:color w:val="auto"/>
                <w:w w:val="99"/>
              </w:rPr>
              <w:t>—</w:t>
            </w:r>
          </w:p>
        </w:tc>
        <w:tc>
          <w:tcPr>
            <w:tcW w:w="1380" w:type="dxa"/>
            <w:vAlign w:val="bottom"/>
            <w:vMerge w:val="restart"/>
          </w:tcPr>
          <w:p>
            <w:pPr>
              <w:jc w:val="center"/>
              <w:ind w:right="12"/>
              <w:spacing w:after="0"/>
              <w:rPr>
                <w:sz w:val="20"/>
                <w:szCs w:val="20"/>
                <w:color w:val="auto"/>
              </w:rPr>
            </w:pPr>
            <w:r>
              <w:rPr>
                <w:rFonts w:ascii="Arial" w:cs="Arial" w:eastAsia="Arial" w:hAnsi="Arial"/>
                <w:sz w:val="14"/>
                <w:szCs w:val="14"/>
                <w:color w:val="auto"/>
                <w:w w:val="99"/>
              </w:rPr>
              <w:t>—</w:t>
            </w: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4"/>
        </w:trPr>
        <w:tc>
          <w:tcPr>
            <w:tcW w:w="1600" w:type="dxa"/>
            <w:vAlign w:val="bottom"/>
          </w:tcPr>
          <w:p>
            <w:pPr>
              <w:spacing w:after="0"/>
              <w:rPr>
                <w:sz w:val="11"/>
                <w:szCs w:val="11"/>
                <w:color w:val="auto"/>
              </w:rPr>
            </w:pPr>
          </w:p>
        </w:tc>
        <w:tc>
          <w:tcPr>
            <w:tcW w:w="3240" w:type="dxa"/>
            <w:vAlign w:val="bottom"/>
            <w:vMerge w:val="continue"/>
          </w:tcPr>
          <w:p>
            <w:pPr>
              <w:spacing w:after="0"/>
              <w:rPr>
                <w:sz w:val="11"/>
                <w:szCs w:val="11"/>
                <w:color w:val="auto"/>
              </w:rPr>
            </w:pPr>
          </w:p>
        </w:tc>
        <w:tc>
          <w:tcPr>
            <w:tcW w:w="2040" w:type="dxa"/>
            <w:vAlign w:val="bottom"/>
            <w:vMerge w:val="continue"/>
          </w:tcPr>
          <w:p>
            <w:pPr>
              <w:spacing w:after="0"/>
              <w:rPr>
                <w:sz w:val="11"/>
                <w:szCs w:val="11"/>
                <w:color w:val="auto"/>
              </w:rPr>
            </w:pPr>
          </w:p>
        </w:tc>
        <w:tc>
          <w:tcPr>
            <w:tcW w:w="1600" w:type="dxa"/>
            <w:vAlign w:val="bottom"/>
            <w:vMerge w:val="continue"/>
          </w:tcPr>
          <w:p>
            <w:pPr>
              <w:spacing w:after="0"/>
              <w:rPr>
                <w:sz w:val="11"/>
                <w:szCs w:val="11"/>
                <w:color w:val="auto"/>
              </w:rPr>
            </w:pPr>
          </w:p>
        </w:tc>
        <w:tc>
          <w:tcPr>
            <w:tcW w:w="1560" w:type="dxa"/>
            <w:vAlign w:val="bottom"/>
            <w:vMerge w:val="continue"/>
          </w:tcPr>
          <w:p>
            <w:pPr>
              <w:spacing w:after="0"/>
              <w:rPr>
                <w:sz w:val="11"/>
                <w:szCs w:val="11"/>
                <w:color w:val="auto"/>
              </w:rPr>
            </w:pPr>
          </w:p>
        </w:tc>
        <w:tc>
          <w:tcPr>
            <w:tcW w:w="138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1"/>
        </w:trPr>
        <w:tc>
          <w:tcPr>
            <w:tcW w:w="1600" w:type="dxa"/>
            <w:vAlign w:val="bottom"/>
          </w:tcPr>
          <w:p>
            <w:pPr>
              <w:spacing w:after="0"/>
              <w:rPr>
                <w:sz w:val="18"/>
                <w:szCs w:val="18"/>
                <w:color w:val="auto"/>
              </w:rPr>
            </w:pPr>
          </w:p>
        </w:tc>
        <w:tc>
          <w:tcPr>
            <w:tcW w:w="3240" w:type="dxa"/>
            <w:vAlign w:val="bottom"/>
            <w:shd w:val="clear" w:color="auto" w:fill="D1DDE6"/>
          </w:tcPr>
          <w:p>
            <w:pPr>
              <w:ind w:left="360"/>
              <w:spacing w:after="0"/>
              <w:rPr>
                <w:sz w:val="20"/>
                <w:szCs w:val="20"/>
                <w:color w:val="auto"/>
              </w:rPr>
            </w:pPr>
            <w:r>
              <w:rPr>
                <w:rFonts w:ascii="Arial" w:cs="Arial" w:eastAsia="Arial" w:hAnsi="Arial"/>
                <w:sz w:val="14"/>
                <w:szCs w:val="14"/>
                <w:color w:val="auto"/>
              </w:rPr>
              <w:t>Financial Planning/Income Tax</w:t>
            </w:r>
          </w:p>
        </w:tc>
        <w:tc>
          <w:tcPr>
            <w:tcW w:w="2040" w:type="dxa"/>
            <w:vAlign w:val="bottom"/>
            <w:shd w:val="clear" w:color="auto" w:fill="D1DDE6"/>
          </w:tcPr>
          <w:p>
            <w:pPr>
              <w:jc w:val="center"/>
              <w:ind w:left="672"/>
              <w:spacing w:after="0"/>
              <w:rPr>
                <w:sz w:val="20"/>
                <w:szCs w:val="20"/>
                <w:color w:val="auto"/>
              </w:rPr>
            </w:pPr>
            <w:r>
              <w:rPr>
                <w:rFonts w:ascii="Arial" w:cs="Arial" w:eastAsia="Arial" w:hAnsi="Arial"/>
                <w:sz w:val="14"/>
                <w:szCs w:val="14"/>
                <w:color w:val="auto"/>
                <w:w w:val="99"/>
              </w:rPr>
              <w:t>—</w:t>
            </w:r>
          </w:p>
        </w:tc>
        <w:tc>
          <w:tcPr>
            <w:tcW w:w="1600" w:type="dxa"/>
            <w:vAlign w:val="bottom"/>
            <w:shd w:val="clear" w:color="auto" w:fill="D1DDE6"/>
          </w:tcPr>
          <w:p>
            <w:pPr>
              <w:jc w:val="center"/>
              <w:ind w:left="12"/>
              <w:spacing w:after="0"/>
              <w:rPr>
                <w:sz w:val="20"/>
                <w:szCs w:val="20"/>
                <w:color w:val="auto"/>
              </w:rPr>
            </w:pPr>
            <w:r>
              <w:rPr>
                <w:rFonts w:ascii="Arial" w:cs="Arial" w:eastAsia="Arial" w:hAnsi="Arial"/>
                <w:sz w:val="14"/>
                <w:szCs w:val="14"/>
                <w:color w:val="auto"/>
                <w:w w:val="93"/>
              </w:rPr>
              <w:t>18,500</w:t>
            </w:r>
          </w:p>
        </w:tc>
        <w:tc>
          <w:tcPr>
            <w:tcW w:w="1560" w:type="dxa"/>
            <w:vAlign w:val="bottom"/>
            <w:shd w:val="clear" w:color="auto" w:fill="D1DDE6"/>
          </w:tcPr>
          <w:p>
            <w:pPr>
              <w:jc w:val="center"/>
              <w:ind w:right="32"/>
              <w:spacing w:after="0"/>
              <w:rPr>
                <w:sz w:val="20"/>
                <w:szCs w:val="20"/>
                <w:color w:val="auto"/>
              </w:rPr>
            </w:pPr>
            <w:r>
              <w:rPr>
                <w:rFonts w:ascii="Arial" w:cs="Arial" w:eastAsia="Arial" w:hAnsi="Arial"/>
                <w:sz w:val="14"/>
                <w:szCs w:val="14"/>
                <w:color w:val="auto"/>
                <w:w w:val="99"/>
              </w:rPr>
              <w:t>—</w:t>
            </w:r>
          </w:p>
        </w:tc>
        <w:tc>
          <w:tcPr>
            <w:tcW w:w="1380" w:type="dxa"/>
            <w:vAlign w:val="bottom"/>
            <w:shd w:val="clear" w:color="auto" w:fill="D1DDE6"/>
          </w:tcPr>
          <w:p>
            <w:pPr>
              <w:jc w:val="center"/>
              <w:ind w:right="12"/>
              <w:spacing w:after="0"/>
              <w:rPr>
                <w:sz w:val="20"/>
                <w:szCs w:val="20"/>
                <w:color w:val="auto"/>
              </w:rPr>
            </w:pPr>
            <w:r>
              <w:rPr>
                <w:rFonts w:ascii="Arial" w:cs="Arial" w:eastAsia="Arial" w:hAnsi="Arial"/>
                <w:sz w:val="14"/>
                <w:szCs w:val="14"/>
                <w:color w:val="auto"/>
                <w:w w:val="99"/>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1600" w:type="dxa"/>
            <w:vAlign w:val="bottom"/>
            <w:tcBorders>
              <w:bottom w:val="single" w:sz="8" w:color="34657F"/>
            </w:tcBorders>
          </w:tcPr>
          <w:p>
            <w:pPr>
              <w:spacing w:after="0"/>
              <w:rPr>
                <w:sz w:val="17"/>
                <w:szCs w:val="17"/>
                <w:color w:val="auto"/>
              </w:rPr>
            </w:pPr>
          </w:p>
        </w:tc>
        <w:tc>
          <w:tcPr>
            <w:tcW w:w="3240" w:type="dxa"/>
            <w:vAlign w:val="bottom"/>
            <w:tcBorders>
              <w:bottom w:val="single" w:sz="8" w:color="34657F"/>
            </w:tcBorders>
          </w:tcPr>
          <w:p>
            <w:pPr>
              <w:ind w:left="360"/>
              <w:spacing w:after="0"/>
              <w:rPr>
                <w:sz w:val="20"/>
                <w:szCs w:val="20"/>
                <w:color w:val="auto"/>
              </w:rPr>
            </w:pPr>
            <w:r>
              <w:rPr>
                <w:rFonts w:ascii="Arial" w:cs="Arial" w:eastAsia="Arial" w:hAnsi="Arial"/>
                <w:sz w:val="14"/>
                <w:szCs w:val="14"/>
                <w:color w:val="auto"/>
              </w:rPr>
              <w:t>Outplacement Services</w:t>
            </w:r>
          </w:p>
        </w:tc>
        <w:tc>
          <w:tcPr>
            <w:tcW w:w="2040" w:type="dxa"/>
            <w:vAlign w:val="bottom"/>
            <w:tcBorders>
              <w:bottom w:val="single" w:sz="8" w:color="34657F"/>
            </w:tcBorders>
          </w:tcPr>
          <w:p>
            <w:pPr>
              <w:jc w:val="center"/>
              <w:ind w:left="672"/>
              <w:spacing w:after="0"/>
              <w:rPr>
                <w:sz w:val="20"/>
                <w:szCs w:val="20"/>
                <w:color w:val="auto"/>
              </w:rPr>
            </w:pPr>
            <w:r>
              <w:rPr>
                <w:rFonts w:ascii="Arial" w:cs="Arial" w:eastAsia="Arial" w:hAnsi="Arial"/>
                <w:sz w:val="14"/>
                <w:szCs w:val="14"/>
                <w:color w:val="auto"/>
                <w:w w:val="99"/>
              </w:rPr>
              <w:t>—</w:t>
            </w:r>
          </w:p>
        </w:tc>
        <w:tc>
          <w:tcPr>
            <w:tcW w:w="1600" w:type="dxa"/>
            <w:vAlign w:val="bottom"/>
            <w:tcBorders>
              <w:bottom w:val="single" w:sz="8" w:color="34657F"/>
            </w:tcBorders>
          </w:tcPr>
          <w:p>
            <w:pPr>
              <w:jc w:val="center"/>
              <w:ind w:left="12"/>
              <w:spacing w:after="0"/>
              <w:rPr>
                <w:sz w:val="20"/>
                <w:szCs w:val="20"/>
                <w:color w:val="auto"/>
              </w:rPr>
            </w:pPr>
            <w:r>
              <w:rPr>
                <w:rFonts w:ascii="Arial" w:cs="Arial" w:eastAsia="Arial" w:hAnsi="Arial"/>
                <w:sz w:val="14"/>
                <w:szCs w:val="14"/>
                <w:color w:val="auto"/>
                <w:w w:val="94"/>
              </w:rPr>
              <w:t>122,250</w:t>
            </w:r>
          </w:p>
        </w:tc>
        <w:tc>
          <w:tcPr>
            <w:tcW w:w="1560" w:type="dxa"/>
            <w:vAlign w:val="bottom"/>
            <w:tcBorders>
              <w:bottom w:val="single" w:sz="8" w:color="34657F"/>
            </w:tcBorders>
          </w:tcPr>
          <w:p>
            <w:pPr>
              <w:jc w:val="center"/>
              <w:ind w:right="32"/>
              <w:spacing w:after="0"/>
              <w:rPr>
                <w:sz w:val="20"/>
                <w:szCs w:val="20"/>
                <w:color w:val="auto"/>
              </w:rPr>
            </w:pPr>
            <w:r>
              <w:rPr>
                <w:rFonts w:ascii="Arial" w:cs="Arial" w:eastAsia="Arial" w:hAnsi="Arial"/>
                <w:sz w:val="14"/>
                <w:szCs w:val="14"/>
                <w:color w:val="auto"/>
                <w:w w:val="99"/>
              </w:rPr>
              <w:t>—</w:t>
            </w:r>
          </w:p>
        </w:tc>
        <w:tc>
          <w:tcPr>
            <w:tcW w:w="1380" w:type="dxa"/>
            <w:vAlign w:val="bottom"/>
            <w:tcBorders>
              <w:bottom w:val="single" w:sz="8" w:color="34657F"/>
            </w:tcBorders>
          </w:tcPr>
          <w:p>
            <w:pPr>
              <w:jc w:val="center"/>
              <w:ind w:right="12"/>
              <w:spacing w:after="0"/>
              <w:rPr>
                <w:sz w:val="20"/>
                <w:szCs w:val="20"/>
                <w:color w:val="auto"/>
              </w:rPr>
            </w:pPr>
            <w:r>
              <w:rPr>
                <w:rFonts w:ascii="Arial" w:cs="Arial" w:eastAsia="Arial" w:hAnsi="Arial"/>
                <w:sz w:val="14"/>
                <w:szCs w:val="14"/>
                <w:color w:val="auto"/>
                <w:w w:val="99"/>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600" w:type="dxa"/>
            <w:vAlign w:val="bottom"/>
          </w:tcPr>
          <w:p>
            <w:pPr>
              <w:spacing w:after="0"/>
              <w:rPr>
                <w:sz w:val="17"/>
                <w:szCs w:val="17"/>
                <w:color w:val="auto"/>
              </w:rPr>
            </w:pPr>
          </w:p>
        </w:tc>
        <w:tc>
          <w:tcPr>
            <w:tcW w:w="3240" w:type="dxa"/>
            <w:vAlign w:val="bottom"/>
            <w:shd w:val="clear" w:color="auto" w:fill="D1DDE6"/>
          </w:tcPr>
          <w:p>
            <w:pPr>
              <w:ind w:left="40"/>
              <w:spacing w:after="0"/>
              <w:rPr>
                <w:sz w:val="20"/>
                <w:szCs w:val="20"/>
                <w:color w:val="auto"/>
              </w:rPr>
            </w:pPr>
            <w:r>
              <w:rPr>
                <w:rFonts w:ascii="Arial" w:cs="Arial" w:eastAsia="Arial" w:hAnsi="Arial"/>
                <w:sz w:val="14"/>
                <w:szCs w:val="14"/>
                <w:color w:val="auto"/>
              </w:rPr>
              <w:t>Long-term Incentives (3)</w:t>
            </w:r>
          </w:p>
        </w:tc>
        <w:tc>
          <w:tcPr>
            <w:tcW w:w="2040" w:type="dxa"/>
            <w:vAlign w:val="bottom"/>
            <w:shd w:val="clear" w:color="auto" w:fill="D1DDE6"/>
          </w:tcPr>
          <w:p>
            <w:pPr>
              <w:jc w:val="center"/>
              <w:ind w:left="672"/>
              <w:spacing w:after="0"/>
              <w:rPr>
                <w:sz w:val="20"/>
                <w:szCs w:val="20"/>
                <w:color w:val="auto"/>
              </w:rPr>
            </w:pPr>
            <w:r>
              <w:rPr>
                <w:rFonts w:ascii="Arial" w:cs="Arial" w:eastAsia="Arial" w:hAnsi="Arial"/>
                <w:sz w:val="14"/>
                <w:szCs w:val="14"/>
                <w:color w:val="auto"/>
                <w:w w:val="99"/>
              </w:rPr>
              <w:t>—</w:t>
            </w:r>
          </w:p>
        </w:tc>
        <w:tc>
          <w:tcPr>
            <w:tcW w:w="1600" w:type="dxa"/>
            <w:vAlign w:val="bottom"/>
            <w:shd w:val="clear" w:color="auto" w:fill="D1DDE6"/>
          </w:tcPr>
          <w:p>
            <w:pPr>
              <w:jc w:val="center"/>
              <w:ind w:left="12"/>
              <w:spacing w:after="0"/>
              <w:rPr>
                <w:sz w:val="20"/>
                <w:szCs w:val="20"/>
                <w:color w:val="auto"/>
              </w:rPr>
            </w:pPr>
            <w:r>
              <w:rPr>
                <w:rFonts w:ascii="Arial" w:cs="Arial" w:eastAsia="Arial" w:hAnsi="Arial"/>
                <w:sz w:val="14"/>
                <w:szCs w:val="14"/>
                <w:color w:val="auto"/>
                <w:w w:val="85"/>
              </w:rPr>
              <w:t>—</w:t>
            </w:r>
          </w:p>
        </w:tc>
        <w:tc>
          <w:tcPr>
            <w:tcW w:w="1560" w:type="dxa"/>
            <w:vAlign w:val="bottom"/>
            <w:shd w:val="clear" w:color="auto" w:fill="D1DDE6"/>
          </w:tcPr>
          <w:p>
            <w:pPr>
              <w:jc w:val="center"/>
              <w:ind w:right="32"/>
              <w:spacing w:after="0"/>
              <w:rPr>
                <w:sz w:val="20"/>
                <w:szCs w:val="20"/>
                <w:color w:val="auto"/>
              </w:rPr>
            </w:pPr>
            <w:r>
              <w:rPr>
                <w:rFonts w:ascii="Arial" w:cs="Arial" w:eastAsia="Arial" w:hAnsi="Arial"/>
                <w:sz w:val="14"/>
                <w:szCs w:val="14"/>
                <w:color w:val="auto"/>
                <w:w w:val="99"/>
              </w:rPr>
              <w:t>6,541,769</w:t>
            </w:r>
          </w:p>
        </w:tc>
        <w:tc>
          <w:tcPr>
            <w:tcW w:w="1380" w:type="dxa"/>
            <w:vAlign w:val="bottom"/>
            <w:shd w:val="clear" w:color="auto" w:fill="D1DDE6"/>
          </w:tcPr>
          <w:p>
            <w:pPr>
              <w:jc w:val="center"/>
              <w:ind w:right="12"/>
              <w:spacing w:after="0"/>
              <w:rPr>
                <w:sz w:val="20"/>
                <w:szCs w:val="20"/>
                <w:color w:val="auto"/>
              </w:rPr>
            </w:pPr>
            <w:r>
              <w:rPr>
                <w:rFonts w:ascii="Arial" w:cs="Arial" w:eastAsia="Arial" w:hAnsi="Arial"/>
                <w:sz w:val="14"/>
                <w:szCs w:val="14"/>
                <w:color w:val="auto"/>
                <w:w w:val="99"/>
              </w:rPr>
              <w:t>4,782,162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1600" w:type="dxa"/>
            <w:vAlign w:val="bottom"/>
          </w:tcPr>
          <w:p>
            <w:pPr>
              <w:spacing w:after="0"/>
              <w:rPr>
                <w:sz w:val="16"/>
                <w:szCs w:val="16"/>
                <w:color w:val="auto"/>
              </w:rPr>
            </w:pPr>
          </w:p>
        </w:tc>
        <w:tc>
          <w:tcPr>
            <w:tcW w:w="3240" w:type="dxa"/>
            <w:vAlign w:val="bottom"/>
          </w:tcPr>
          <w:p>
            <w:pPr>
              <w:ind w:left="40"/>
              <w:spacing w:after="0"/>
              <w:rPr>
                <w:sz w:val="20"/>
                <w:szCs w:val="20"/>
                <w:color w:val="auto"/>
              </w:rPr>
            </w:pPr>
            <w:r>
              <w:rPr>
                <w:rFonts w:ascii="Arial" w:cs="Arial" w:eastAsia="Arial" w:hAnsi="Arial"/>
                <w:sz w:val="14"/>
                <w:szCs w:val="14"/>
                <w:color w:val="auto"/>
              </w:rPr>
              <w:t>Severance Benefits (5)</w:t>
            </w:r>
          </w:p>
        </w:tc>
        <w:tc>
          <w:tcPr>
            <w:tcW w:w="20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3"/>
        </w:trPr>
        <w:tc>
          <w:tcPr>
            <w:tcW w:w="1600" w:type="dxa"/>
            <w:vAlign w:val="bottom"/>
          </w:tcPr>
          <w:p>
            <w:pPr>
              <w:spacing w:after="0"/>
              <w:rPr>
                <w:sz w:val="5"/>
                <w:szCs w:val="5"/>
                <w:color w:val="auto"/>
              </w:rPr>
            </w:pPr>
          </w:p>
        </w:tc>
        <w:tc>
          <w:tcPr>
            <w:tcW w:w="3240" w:type="dxa"/>
            <w:vAlign w:val="bottom"/>
          </w:tcPr>
          <w:p>
            <w:pPr>
              <w:spacing w:after="0"/>
              <w:rPr>
                <w:sz w:val="5"/>
                <w:szCs w:val="5"/>
                <w:color w:val="auto"/>
              </w:rPr>
            </w:pPr>
          </w:p>
        </w:tc>
        <w:tc>
          <w:tcPr>
            <w:tcW w:w="2040" w:type="dxa"/>
            <w:vAlign w:val="bottom"/>
          </w:tcPr>
          <w:p>
            <w:pPr>
              <w:spacing w:after="0"/>
              <w:rPr>
                <w:sz w:val="5"/>
                <w:szCs w:val="5"/>
                <w:color w:val="auto"/>
              </w:rPr>
            </w:pPr>
          </w:p>
        </w:tc>
        <w:tc>
          <w:tcPr>
            <w:tcW w:w="1600" w:type="dxa"/>
            <w:vAlign w:val="bottom"/>
          </w:tcPr>
          <w:p>
            <w:pPr>
              <w:spacing w:after="0"/>
              <w:rPr>
                <w:sz w:val="5"/>
                <w:szCs w:val="5"/>
                <w:color w:val="auto"/>
              </w:rPr>
            </w:pPr>
          </w:p>
        </w:tc>
        <w:tc>
          <w:tcPr>
            <w:tcW w:w="1560" w:type="dxa"/>
            <w:vAlign w:val="bottom"/>
          </w:tcPr>
          <w:p>
            <w:pPr>
              <w:spacing w:after="0"/>
              <w:rPr>
                <w:sz w:val="5"/>
                <w:szCs w:val="5"/>
                <w:color w:val="auto"/>
              </w:rPr>
            </w:pPr>
          </w:p>
        </w:tc>
        <w:tc>
          <w:tcPr>
            <w:tcW w:w="13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5"/>
        </w:trPr>
        <w:tc>
          <w:tcPr>
            <w:tcW w:w="1600" w:type="dxa"/>
            <w:vAlign w:val="bottom"/>
            <w:vMerge w:val="restart"/>
          </w:tcPr>
          <w:p>
            <w:pPr>
              <w:ind w:left="20"/>
              <w:spacing w:after="0"/>
              <w:rPr>
                <w:sz w:val="20"/>
                <w:szCs w:val="20"/>
                <w:color w:val="auto"/>
              </w:rPr>
            </w:pPr>
            <w:r>
              <w:rPr>
                <w:rFonts w:ascii="Arial" w:cs="Arial" w:eastAsia="Arial" w:hAnsi="Arial"/>
                <w:sz w:val="14"/>
                <w:szCs w:val="14"/>
                <w:color w:val="auto"/>
              </w:rPr>
              <w:t>Mark A. Caylor</w:t>
            </w:r>
          </w:p>
        </w:tc>
        <w:tc>
          <w:tcPr>
            <w:tcW w:w="3240" w:type="dxa"/>
            <w:vAlign w:val="bottom"/>
            <w:shd w:val="clear" w:color="auto" w:fill="D1DDE6"/>
          </w:tcPr>
          <w:p>
            <w:pPr>
              <w:ind w:left="360"/>
              <w:spacing w:after="0"/>
              <w:rPr>
                <w:sz w:val="20"/>
                <w:szCs w:val="20"/>
                <w:color w:val="auto"/>
              </w:rPr>
            </w:pPr>
            <w:r>
              <w:rPr>
                <w:rFonts w:ascii="Arial" w:cs="Arial" w:eastAsia="Arial" w:hAnsi="Arial"/>
                <w:sz w:val="14"/>
                <w:szCs w:val="14"/>
                <w:color w:val="auto"/>
              </w:rPr>
              <w:t>Cash Severance</w:t>
            </w:r>
          </w:p>
        </w:tc>
        <w:tc>
          <w:tcPr>
            <w:tcW w:w="2040" w:type="dxa"/>
            <w:vAlign w:val="bottom"/>
            <w:shd w:val="clear" w:color="auto" w:fill="D1DDE6"/>
          </w:tcPr>
          <w:p>
            <w:pPr>
              <w:jc w:val="center"/>
              <w:ind w:left="672"/>
              <w:spacing w:after="0"/>
              <w:rPr>
                <w:sz w:val="20"/>
                <w:szCs w:val="20"/>
                <w:color w:val="auto"/>
              </w:rPr>
            </w:pPr>
            <w:r>
              <w:rPr>
                <w:rFonts w:ascii="Arial" w:cs="Arial" w:eastAsia="Arial" w:hAnsi="Arial"/>
                <w:sz w:val="14"/>
                <w:szCs w:val="14"/>
                <w:color w:val="auto"/>
                <w:w w:val="99"/>
              </w:rPr>
              <w:t>—</w:t>
            </w:r>
          </w:p>
        </w:tc>
        <w:tc>
          <w:tcPr>
            <w:tcW w:w="1600" w:type="dxa"/>
            <w:vAlign w:val="bottom"/>
            <w:shd w:val="clear" w:color="auto" w:fill="D1DDE6"/>
          </w:tcPr>
          <w:p>
            <w:pPr>
              <w:jc w:val="center"/>
              <w:ind w:left="12"/>
              <w:spacing w:after="0"/>
              <w:rPr>
                <w:sz w:val="20"/>
                <w:szCs w:val="20"/>
                <w:color w:val="auto"/>
              </w:rPr>
            </w:pPr>
            <w:r>
              <w:rPr>
                <w:rFonts w:ascii="Arial" w:cs="Arial" w:eastAsia="Arial" w:hAnsi="Arial"/>
                <w:sz w:val="14"/>
                <w:szCs w:val="14"/>
                <w:color w:val="auto"/>
                <w:w w:val="96"/>
              </w:rPr>
              <w:t>2,490,000</w:t>
            </w:r>
          </w:p>
        </w:tc>
        <w:tc>
          <w:tcPr>
            <w:tcW w:w="1560" w:type="dxa"/>
            <w:vAlign w:val="bottom"/>
            <w:shd w:val="clear" w:color="auto" w:fill="D1DDE6"/>
          </w:tcPr>
          <w:p>
            <w:pPr>
              <w:jc w:val="center"/>
              <w:ind w:right="32"/>
              <w:spacing w:after="0"/>
              <w:rPr>
                <w:sz w:val="20"/>
                <w:szCs w:val="20"/>
                <w:color w:val="auto"/>
              </w:rPr>
            </w:pPr>
            <w:r>
              <w:rPr>
                <w:rFonts w:ascii="Arial" w:cs="Arial" w:eastAsia="Arial" w:hAnsi="Arial"/>
                <w:sz w:val="14"/>
                <w:szCs w:val="14"/>
                <w:color w:val="auto"/>
                <w:w w:val="99"/>
              </w:rPr>
              <w:t>—</w:t>
            </w:r>
          </w:p>
        </w:tc>
        <w:tc>
          <w:tcPr>
            <w:tcW w:w="1380" w:type="dxa"/>
            <w:vAlign w:val="bottom"/>
            <w:shd w:val="clear" w:color="auto" w:fill="D1DDE6"/>
          </w:tcPr>
          <w:p>
            <w:pPr>
              <w:jc w:val="center"/>
              <w:ind w:right="12"/>
              <w:spacing w:after="0"/>
              <w:rPr>
                <w:sz w:val="20"/>
                <w:szCs w:val="20"/>
                <w:color w:val="auto"/>
              </w:rPr>
            </w:pPr>
            <w:r>
              <w:rPr>
                <w:rFonts w:ascii="Arial" w:cs="Arial" w:eastAsia="Arial" w:hAnsi="Arial"/>
                <w:sz w:val="14"/>
                <w:szCs w:val="14"/>
                <w:color w:val="auto"/>
                <w:w w:val="99"/>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6"/>
        </w:trPr>
        <w:tc>
          <w:tcPr>
            <w:tcW w:w="1600" w:type="dxa"/>
            <w:vAlign w:val="bottom"/>
            <w:vMerge w:val="continue"/>
          </w:tcPr>
          <w:p>
            <w:pPr>
              <w:spacing w:after="0"/>
              <w:rPr>
                <w:sz w:val="5"/>
                <w:szCs w:val="5"/>
                <w:color w:val="auto"/>
              </w:rPr>
            </w:pPr>
          </w:p>
        </w:tc>
        <w:tc>
          <w:tcPr>
            <w:tcW w:w="3240" w:type="dxa"/>
            <w:vAlign w:val="bottom"/>
            <w:vMerge w:val="restart"/>
          </w:tcPr>
          <w:p>
            <w:pPr>
              <w:ind w:left="360"/>
              <w:spacing w:after="0"/>
              <w:rPr>
                <w:sz w:val="20"/>
                <w:szCs w:val="20"/>
                <w:color w:val="auto"/>
              </w:rPr>
            </w:pPr>
            <w:r>
              <w:rPr>
                <w:rFonts w:ascii="Arial" w:cs="Arial" w:eastAsia="Arial" w:hAnsi="Arial"/>
                <w:sz w:val="14"/>
                <w:szCs w:val="14"/>
                <w:color w:val="auto"/>
              </w:rPr>
              <w:t>Medical/Dental Continuation</w:t>
            </w:r>
          </w:p>
        </w:tc>
        <w:tc>
          <w:tcPr>
            <w:tcW w:w="2040" w:type="dxa"/>
            <w:vAlign w:val="bottom"/>
            <w:vMerge w:val="restart"/>
          </w:tcPr>
          <w:p>
            <w:pPr>
              <w:jc w:val="center"/>
              <w:ind w:left="672"/>
              <w:spacing w:after="0"/>
              <w:rPr>
                <w:sz w:val="20"/>
                <w:szCs w:val="20"/>
                <w:color w:val="auto"/>
              </w:rPr>
            </w:pPr>
            <w:r>
              <w:rPr>
                <w:rFonts w:ascii="Arial" w:cs="Arial" w:eastAsia="Arial" w:hAnsi="Arial"/>
                <w:sz w:val="14"/>
                <w:szCs w:val="14"/>
                <w:color w:val="auto"/>
                <w:w w:val="99"/>
              </w:rPr>
              <w:t>—</w:t>
            </w:r>
          </w:p>
        </w:tc>
        <w:tc>
          <w:tcPr>
            <w:tcW w:w="1600" w:type="dxa"/>
            <w:vAlign w:val="bottom"/>
            <w:vMerge w:val="restart"/>
          </w:tcPr>
          <w:p>
            <w:pPr>
              <w:jc w:val="center"/>
              <w:ind w:left="12"/>
              <w:spacing w:after="0"/>
              <w:rPr>
                <w:sz w:val="20"/>
                <w:szCs w:val="20"/>
                <w:color w:val="auto"/>
              </w:rPr>
            </w:pPr>
            <w:r>
              <w:rPr>
                <w:rFonts w:ascii="Arial" w:cs="Arial" w:eastAsia="Arial" w:hAnsi="Arial"/>
                <w:sz w:val="14"/>
                <w:szCs w:val="14"/>
                <w:color w:val="auto"/>
                <w:w w:val="93"/>
              </w:rPr>
              <w:t>11,689</w:t>
            </w:r>
          </w:p>
        </w:tc>
        <w:tc>
          <w:tcPr>
            <w:tcW w:w="1560" w:type="dxa"/>
            <w:vAlign w:val="bottom"/>
            <w:vMerge w:val="restart"/>
          </w:tcPr>
          <w:p>
            <w:pPr>
              <w:jc w:val="center"/>
              <w:ind w:right="32"/>
              <w:spacing w:after="0"/>
              <w:rPr>
                <w:sz w:val="20"/>
                <w:szCs w:val="20"/>
                <w:color w:val="auto"/>
              </w:rPr>
            </w:pPr>
            <w:r>
              <w:rPr>
                <w:rFonts w:ascii="Arial" w:cs="Arial" w:eastAsia="Arial" w:hAnsi="Arial"/>
                <w:sz w:val="14"/>
                <w:szCs w:val="14"/>
                <w:color w:val="auto"/>
                <w:w w:val="99"/>
              </w:rPr>
              <w:t>—</w:t>
            </w:r>
          </w:p>
        </w:tc>
        <w:tc>
          <w:tcPr>
            <w:tcW w:w="1380" w:type="dxa"/>
            <w:vAlign w:val="bottom"/>
            <w:vMerge w:val="restart"/>
          </w:tcPr>
          <w:p>
            <w:pPr>
              <w:jc w:val="center"/>
              <w:ind w:right="12"/>
              <w:spacing w:after="0"/>
              <w:rPr>
                <w:sz w:val="20"/>
                <w:szCs w:val="20"/>
                <w:color w:val="auto"/>
              </w:rPr>
            </w:pPr>
            <w:r>
              <w:rPr>
                <w:rFonts w:ascii="Arial" w:cs="Arial" w:eastAsia="Arial" w:hAnsi="Arial"/>
                <w:sz w:val="14"/>
                <w:szCs w:val="14"/>
                <w:color w:val="auto"/>
                <w:w w:val="99"/>
              </w:rPr>
              <w:t>—</w:t>
            </w: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4"/>
        </w:trPr>
        <w:tc>
          <w:tcPr>
            <w:tcW w:w="1600" w:type="dxa"/>
            <w:vAlign w:val="bottom"/>
          </w:tcPr>
          <w:p>
            <w:pPr>
              <w:spacing w:after="0"/>
              <w:rPr>
                <w:sz w:val="11"/>
                <w:szCs w:val="11"/>
                <w:color w:val="auto"/>
              </w:rPr>
            </w:pPr>
          </w:p>
        </w:tc>
        <w:tc>
          <w:tcPr>
            <w:tcW w:w="3240" w:type="dxa"/>
            <w:vAlign w:val="bottom"/>
            <w:vMerge w:val="continue"/>
          </w:tcPr>
          <w:p>
            <w:pPr>
              <w:spacing w:after="0"/>
              <w:rPr>
                <w:sz w:val="11"/>
                <w:szCs w:val="11"/>
                <w:color w:val="auto"/>
              </w:rPr>
            </w:pPr>
          </w:p>
        </w:tc>
        <w:tc>
          <w:tcPr>
            <w:tcW w:w="2040" w:type="dxa"/>
            <w:vAlign w:val="bottom"/>
            <w:vMerge w:val="continue"/>
          </w:tcPr>
          <w:p>
            <w:pPr>
              <w:spacing w:after="0"/>
              <w:rPr>
                <w:sz w:val="11"/>
                <w:szCs w:val="11"/>
                <w:color w:val="auto"/>
              </w:rPr>
            </w:pPr>
          </w:p>
        </w:tc>
        <w:tc>
          <w:tcPr>
            <w:tcW w:w="1600" w:type="dxa"/>
            <w:vAlign w:val="bottom"/>
            <w:vMerge w:val="continue"/>
          </w:tcPr>
          <w:p>
            <w:pPr>
              <w:spacing w:after="0"/>
              <w:rPr>
                <w:sz w:val="11"/>
                <w:szCs w:val="11"/>
                <w:color w:val="auto"/>
              </w:rPr>
            </w:pPr>
          </w:p>
        </w:tc>
        <w:tc>
          <w:tcPr>
            <w:tcW w:w="1560" w:type="dxa"/>
            <w:vAlign w:val="bottom"/>
            <w:vMerge w:val="continue"/>
          </w:tcPr>
          <w:p>
            <w:pPr>
              <w:spacing w:after="0"/>
              <w:rPr>
                <w:sz w:val="11"/>
                <w:szCs w:val="11"/>
                <w:color w:val="auto"/>
              </w:rPr>
            </w:pPr>
          </w:p>
        </w:tc>
        <w:tc>
          <w:tcPr>
            <w:tcW w:w="138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1"/>
        </w:trPr>
        <w:tc>
          <w:tcPr>
            <w:tcW w:w="1600" w:type="dxa"/>
            <w:vAlign w:val="bottom"/>
          </w:tcPr>
          <w:p>
            <w:pPr>
              <w:spacing w:after="0"/>
              <w:rPr>
                <w:sz w:val="18"/>
                <w:szCs w:val="18"/>
                <w:color w:val="auto"/>
              </w:rPr>
            </w:pPr>
          </w:p>
        </w:tc>
        <w:tc>
          <w:tcPr>
            <w:tcW w:w="3240" w:type="dxa"/>
            <w:vAlign w:val="bottom"/>
            <w:shd w:val="clear" w:color="auto" w:fill="D1DDE6"/>
          </w:tcPr>
          <w:p>
            <w:pPr>
              <w:ind w:left="360"/>
              <w:spacing w:after="0"/>
              <w:rPr>
                <w:sz w:val="20"/>
                <w:szCs w:val="20"/>
                <w:color w:val="auto"/>
              </w:rPr>
            </w:pPr>
            <w:r>
              <w:rPr>
                <w:rFonts w:ascii="Arial" w:cs="Arial" w:eastAsia="Arial" w:hAnsi="Arial"/>
                <w:sz w:val="14"/>
                <w:szCs w:val="14"/>
                <w:color w:val="auto"/>
              </w:rPr>
              <w:t>Financial Planning/Income Tax</w:t>
            </w:r>
          </w:p>
        </w:tc>
        <w:tc>
          <w:tcPr>
            <w:tcW w:w="2040" w:type="dxa"/>
            <w:vAlign w:val="bottom"/>
            <w:shd w:val="clear" w:color="auto" w:fill="D1DDE6"/>
          </w:tcPr>
          <w:p>
            <w:pPr>
              <w:jc w:val="center"/>
              <w:ind w:left="672"/>
              <w:spacing w:after="0"/>
              <w:rPr>
                <w:sz w:val="20"/>
                <w:szCs w:val="20"/>
                <w:color w:val="auto"/>
              </w:rPr>
            </w:pPr>
            <w:r>
              <w:rPr>
                <w:rFonts w:ascii="Arial" w:cs="Arial" w:eastAsia="Arial" w:hAnsi="Arial"/>
                <w:sz w:val="14"/>
                <w:szCs w:val="14"/>
                <w:color w:val="auto"/>
                <w:w w:val="99"/>
              </w:rPr>
              <w:t>—</w:t>
            </w:r>
          </w:p>
        </w:tc>
        <w:tc>
          <w:tcPr>
            <w:tcW w:w="1600" w:type="dxa"/>
            <w:vAlign w:val="bottom"/>
            <w:shd w:val="clear" w:color="auto" w:fill="D1DDE6"/>
          </w:tcPr>
          <w:p>
            <w:pPr>
              <w:jc w:val="center"/>
              <w:ind w:left="12"/>
              <w:spacing w:after="0"/>
              <w:rPr>
                <w:sz w:val="20"/>
                <w:szCs w:val="20"/>
                <w:color w:val="auto"/>
              </w:rPr>
            </w:pPr>
            <w:r>
              <w:rPr>
                <w:rFonts w:ascii="Arial" w:cs="Arial" w:eastAsia="Arial" w:hAnsi="Arial"/>
                <w:sz w:val="14"/>
                <w:szCs w:val="14"/>
                <w:color w:val="auto"/>
                <w:w w:val="93"/>
              </w:rPr>
              <w:t>18,500</w:t>
            </w:r>
          </w:p>
        </w:tc>
        <w:tc>
          <w:tcPr>
            <w:tcW w:w="1560" w:type="dxa"/>
            <w:vAlign w:val="bottom"/>
            <w:shd w:val="clear" w:color="auto" w:fill="D1DDE6"/>
          </w:tcPr>
          <w:p>
            <w:pPr>
              <w:jc w:val="center"/>
              <w:ind w:right="32"/>
              <w:spacing w:after="0"/>
              <w:rPr>
                <w:sz w:val="20"/>
                <w:szCs w:val="20"/>
                <w:color w:val="auto"/>
              </w:rPr>
            </w:pPr>
            <w:r>
              <w:rPr>
                <w:rFonts w:ascii="Arial" w:cs="Arial" w:eastAsia="Arial" w:hAnsi="Arial"/>
                <w:sz w:val="14"/>
                <w:szCs w:val="14"/>
                <w:color w:val="auto"/>
                <w:w w:val="99"/>
              </w:rPr>
              <w:t>—</w:t>
            </w:r>
          </w:p>
        </w:tc>
        <w:tc>
          <w:tcPr>
            <w:tcW w:w="1380" w:type="dxa"/>
            <w:vAlign w:val="bottom"/>
            <w:shd w:val="clear" w:color="auto" w:fill="D1DDE6"/>
          </w:tcPr>
          <w:p>
            <w:pPr>
              <w:jc w:val="center"/>
              <w:ind w:right="12"/>
              <w:spacing w:after="0"/>
              <w:rPr>
                <w:sz w:val="20"/>
                <w:szCs w:val="20"/>
                <w:color w:val="auto"/>
              </w:rPr>
            </w:pPr>
            <w:r>
              <w:rPr>
                <w:rFonts w:ascii="Arial" w:cs="Arial" w:eastAsia="Arial" w:hAnsi="Arial"/>
                <w:sz w:val="14"/>
                <w:szCs w:val="14"/>
                <w:color w:val="auto"/>
                <w:w w:val="99"/>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1600" w:type="dxa"/>
            <w:vAlign w:val="bottom"/>
            <w:tcBorders>
              <w:bottom w:val="single" w:sz="8" w:color="34657F"/>
            </w:tcBorders>
          </w:tcPr>
          <w:p>
            <w:pPr>
              <w:spacing w:after="0"/>
              <w:rPr>
                <w:sz w:val="17"/>
                <w:szCs w:val="17"/>
                <w:color w:val="auto"/>
              </w:rPr>
            </w:pPr>
          </w:p>
        </w:tc>
        <w:tc>
          <w:tcPr>
            <w:tcW w:w="3240" w:type="dxa"/>
            <w:vAlign w:val="bottom"/>
            <w:tcBorders>
              <w:bottom w:val="single" w:sz="8" w:color="34657F"/>
            </w:tcBorders>
          </w:tcPr>
          <w:p>
            <w:pPr>
              <w:ind w:left="360"/>
              <w:spacing w:after="0"/>
              <w:rPr>
                <w:sz w:val="20"/>
                <w:szCs w:val="20"/>
                <w:color w:val="auto"/>
              </w:rPr>
            </w:pPr>
            <w:r>
              <w:rPr>
                <w:rFonts w:ascii="Arial" w:cs="Arial" w:eastAsia="Arial" w:hAnsi="Arial"/>
                <w:sz w:val="14"/>
                <w:szCs w:val="14"/>
                <w:color w:val="auto"/>
              </w:rPr>
              <w:t>Outplacement Services</w:t>
            </w:r>
          </w:p>
        </w:tc>
        <w:tc>
          <w:tcPr>
            <w:tcW w:w="2040" w:type="dxa"/>
            <w:vAlign w:val="bottom"/>
            <w:tcBorders>
              <w:bottom w:val="single" w:sz="8" w:color="34657F"/>
            </w:tcBorders>
          </w:tcPr>
          <w:p>
            <w:pPr>
              <w:jc w:val="center"/>
              <w:ind w:left="672"/>
              <w:spacing w:after="0"/>
              <w:rPr>
                <w:sz w:val="20"/>
                <w:szCs w:val="20"/>
                <w:color w:val="auto"/>
              </w:rPr>
            </w:pPr>
            <w:r>
              <w:rPr>
                <w:rFonts w:ascii="Arial" w:cs="Arial" w:eastAsia="Arial" w:hAnsi="Arial"/>
                <w:sz w:val="14"/>
                <w:szCs w:val="14"/>
                <w:color w:val="auto"/>
                <w:w w:val="99"/>
              </w:rPr>
              <w:t>—</w:t>
            </w:r>
          </w:p>
        </w:tc>
        <w:tc>
          <w:tcPr>
            <w:tcW w:w="1600" w:type="dxa"/>
            <w:vAlign w:val="bottom"/>
            <w:tcBorders>
              <w:bottom w:val="single" w:sz="8" w:color="34657F"/>
            </w:tcBorders>
          </w:tcPr>
          <w:p>
            <w:pPr>
              <w:jc w:val="center"/>
              <w:ind w:left="12"/>
              <w:spacing w:after="0"/>
              <w:rPr>
                <w:sz w:val="20"/>
                <w:szCs w:val="20"/>
                <w:color w:val="auto"/>
              </w:rPr>
            </w:pPr>
            <w:r>
              <w:rPr>
                <w:rFonts w:ascii="Arial" w:cs="Arial" w:eastAsia="Arial" w:hAnsi="Arial"/>
                <w:sz w:val="14"/>
                <w:szCs w:val="14"/>
                <w:color w:val="auto"/>
                <w:w w:val="94"/>
              </w:rPr>
              <w:t>124,500</w:t>
            </w:r>
          </w:p>
        </w:tc>
        <w:tc>
          <w:tcPr>
            <w:tcW w:w="1560" w:type="dxa"/>
            <w:vAlign w:val="bottom"/>
            <w:tcBorders>
              <w:bottom w:val="single" w:sz="8" w:color="34657F"/>
            </w:tcBorders>
          </w:tcPr>
          <w:p>
            <w:pPr>
              <w:jc w:val="center"/>
              <w:ind w:right="32"/>
              <w:spacing w:after="0"/>
              <w:rPr>
                <w:sz w:val="20"/>
                <w:szCs w:val="20"/>
                <w:color w:val="auto"/>
              </w:rPr>
            </w:pPr>
            <w:r>
              <w:rPr>
                <w:rFonts w:ascii="Arial" w:cs="Arial" w:eastAsia="Arial" w:hAnsi="Arial"/>
                <w:sz w:val="14"/>
                <w:szCs w:val="14"/>
                <w:color w:val="auto"/>
                <w:w w:val="99"/>
              </w:rPr>
              <w:t>—</w:t>
            </w:r>
          </w:p>
        </w:tc>
        <w:tc>
          <w:tcPr>
            <w:tcW w:w="1380" w:type="dxa"/>
            <w:vAlign w:val="bottom"/>
            <w:tcBorders>
              <w:bottom w:val="single" w:sz="8" w:color="34657F"/>
            </w:tcBorders>
          </w:tcPr>
          <w:p>
            <w:pPr>
              <w:jc w:val="center"/>
              <w:ind w:right="12"/>
              <w:spacing w:after="0"/>
              <w:rPr>
                <w:sz w:val="20"/>
                <w:szCs w:val="20"/>
                <w:color w:val="auto"/>
              </w:rPr>
            </w:pPr>
            <w:r>
              <w:rPr>
                <w:rFonts w:ascii="Arial" w:cs="Arial" w:eastAsia="Arial" w:hAnsi="Arial"/>
                <w:sz w:val="14"/>
                <w:szCs w:val="14"/>
                <w:color w:val="auto"/>
                <w:w w:val="99"/>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600" w:type="dxa"/>
            <w:vAlign w:val="bottom"/>
          </w:tcPr>
          <w:p>
            <w:pPr>
              <w:spacing w:after="0"/>
              <w:rPr>
                <w:sz w:val="17"/>
                <w:szCs w:val="17"/>
                <w:color w:val="auto"/>
              </w:rPr>
            </w:pPr>
          </w:p>
        </w:tc>
        <w:tc>
          <w:tcPr>
            <w:tcW w:w="3240" w:type="dxa"/>
            <w:vAlign w:val="bottom"/>
            <w:shd w:val="clear" w:color="auto" w:fill="D1DDE6"/>
          </w:tcPr>
          <w:p>
            <w:pPr>
              <w:ind w:left="40"/>
              <w:spacing w:after="0"/>
              <w:rPr>
                <w:sz w:val="20"/>
                <w:szCs w:val="20"/>
                <w:color w:val="auto"/>
              </w:rPr>
            </w:pPr>
            <w:r>
              <w:rPr>
                <w:rFonts w:ascii="Arial" w:cs="Arial" w:eastAsia="Arial" w:hAnsi="Arial"/>
                <w:sz w:val="14"/>
                <w:szCs w:val="14"/>
                <w:color w:val="auto"/>
              </w:rPr>
              <w:t>Long-term Incentives (3)</w:t>
            </w:r>
          </w:p>
        </w:tc>
        <w:tc>
          <w:tcPr>
            <w:tcW w:w="2040" w:type="dxa"/>
            <w:vAlign w:val="bottom"/>
            <w:shd w:val="clear" w:color="auto" w:fill="D1DDE6"/>
          </w:tcPr>
          <w:p>
            <w:pPr>
              <w:jc w:val="center"/>
              <w:ind w:left="672"/>
              <w:spacing w:after="0"/>
              <w:rPr>
                <w:sz w:val="20"/>
                <w:szCs w:val="20"/>
                <w:color w:val="auto"/>
              </w:rPr>
            </w:pPr>
            <w:r>
              <w:rPr>
                <w:rFonts w:ascii="Arial" w:cs="Arial" w:eastAsia="Arial" w:hAnsi="Arial"/>
                <w:sz w:val="14"/>
                <w:szCs w:val="14"/>
                <w:color w:val="auto"/>
                <w:w w:val="98"/>
              </w:rPr>
              <w:t>669,067</w:t>
            </w:r>
          </w:p>
        </w:tc>
        <w:tc>
          <w:tcPr>
            <w:tcW w:w="1600" w:type="dxa"/>
            <w:vAlign w:val="bottom"/>
            <w:shd w:val="clear" w:color="auto" w:fill="D1DDE6"/>
          </w:tcPr>
          <w:p>
            <w:pPr>
              <w:jc w:val="center"/>
              <w:ind w:left="12"/>
              <w:spacing w:after="0"/>
              <w:rPr>
                <w:sz w:val="20"/>
                <w:szCs w:val="20"/>
                <w:color w:val="auto"/>
              </w:rPr>
            </w:pPr>
            <w:r>
              <w:rPr>
                <w:rFonts w:ascii="Arial" w:cs="Arial" w:eastAsia="Arial" w:hAnsi="Arial"/>
                <w:sz w:val="14"/>
                <w:szCs w:val="14"/>
                <w:color w:val="auto"/>
                <w:w w:val="96"/>
              </w:rPr>
              <w:t>2,017,241</w:t>
            </w:r>
          </w:p>
        </w:tc>
        <w:tc>
          <w:tcPr>
            <w:tcW w:w="1560" w:type="dxa"/>
            <w:vAlign w:val="bottom"/>
            <w:shd w:val="clear" w:color="auto" w:fill="D1DDE6"/>
          </w:tcPr>
          <w:p>
            <w:pPr>
              <w:jc w:val="center"/>
              <w:ind w:right="32"/>
              <w:spacing w:after="0"/>
              <w:rPr>
                <w:sz w:val="20"/>
                <w:szCs w:val="20"/>
                <w:color w:val="auto"/>
              </w:rPr>
            </w:pPr>
            <w:r>
              <w:rPr>
                <w:rFonts w:ascii="Arial" w:cs="Arial" w:eastAsia="Arial" w:hAnsi="Arial"/>
                <w:sz w:val="14"/>
                <w:szCs w:val="14"/>
                <w:color w:val="auto"/>
                <w:w w:val="99"/>
              </w:rPr>
              <w:t>3,668,112</w:t>
            </w:r>
          </w:p>
        </w:tc>
        <w:tc>
          <w:tcPr>
            <w:tcW w:w="1380" w:type="dxa"/>
            <w:vAlign w:val="bottom"/>
            <w:shd w:val="clear" w:color="auto" w:fill="D1DDE6"/>
          </w:tcPr>
          <w:p>
            <w:pPr>
              <w:jc w:val="center"/>
              <w:ind w:right="12"/>
              <w:spacing w:after="0"/>
              <w:rPr>
                <w:sz w:val="20"/>
                <w:szCs w:val="20"/>
                <w:color w:val="auto"/>
              </w:rPr>
            </w:pPr>
            <w:r>
              <w:rPr>
                <w:rFonts w:ascii="Arial" w:cs="Arial" w:eastAsia="Arial" w:hAnsi="Arial"/>
                <w:sz w:val="14"/>
                <w:szCs w:val="14"/>
                <w:color w:val="auto"/>
                <w:w w:val="99"/>
              </w:rPr>
              <w:t>2,582,960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1600" w:type="dxa"/>
            <w:vAlign w:val="bottom"/>
          </w:tcPr>
          <w:p>
            <w:pPr>
              <w:spacing w:after="0"/>
              <w:rPr>
                <w:sz w:val="16"/>
                <w:szCs w:val="16"/>
                <w:color w:val="auto"/>
              </w:rPr>
            </w:pPr>
          </w:p>
        </w:tc>
        <w:tc>
          <w:tcPr>
            <w:tcW w:w="3240" w:type="dxa"/>
            <w:vAlign w:val="bottom"/>
          </w:tcPr>
          <w:p>
            <w:pPr>
              <w:ind w:left="40"/>
              <w:spacing w:after="0"/>
              <w:rPr>
                <w:sz w:val="20"/>
                <w:szCs w:val="20"/>
                <w:color w:val="auto"/>
              </w:rPr>
            </w:pPr>
            <w:r>
              <w:rPr>
                <w:rFonts w:ascii="Arial" w:cs="Arial" w:eastAsia="Arial" w:hAnsi="Arial"/>
                <w:sz w:val="14"/>
                <w:szCs w:val="14"/>
                <w:color w:val="auto"/>
              </w:rPr>
              <w:t>Severance Benefits (5)</w:t>
            </w:r>
          </w:p>
        </w:tc>
        <w:tc>
          <w:tcPr>
            <w:tcW w:w="20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3"/>
        </w:trPr>
        <w:tc>
          <w:tcPr>
            <w:tcW w:w="1600" w:type="dxa"/>
            <w:vAlign w:val="bottom"/>
          </w:tcPr>
          <w:p>
            <w:pPr>
              <w:spacing w:after="0"/>
              <w:rPr>
                <w:sz w:val="5"/>
                <w:szCs w:val="5"/>
                <w:color w:val="auto"/>
              </w:rPr>
            </w:pPr>
          </w:p>
        </w:tc>
        <w:tc>
          <w:tcPr>
            <w:tcW w:w="3240" w:type="dxa"/>
            <w:vAlign w:val="bottom"/>
          </w:tcPr>
          <w:p>
            <w:pPr>
              <w:spacing w:after="0"/>
              <w:rPr>
                <w:sz w:val="5"/>
                <w:szCs w:val="5"/>
                <w:color w:val="auto"/>
              </w:rPr>
            </w:pPr>
          </w:p>
        </w:tc>
        <w:tc>
          <w:tcPr>
            <w:tcW w:w="2040" w:type="dxa"/>
            <w:vAlign w:val="bottom"/>
          </w:tcPr>
          <w:p>
            <w:pPr>
              <w:spacing w:after="0"/>
              <w:rPr>
                <w:sz w:val="5"/>
                <w:szCs w:val="5"/>
                <w:color w:val="auto"/>
              </w:rPr>
            </w:pPr>
          </w:p>
        </w:tc>
        <w:tc>
          <w:tcPr>
            <w:tcW w:w="1600" w:type="dxa"/>
            <w:vAlign w:val="bottom"/>
          </w:tcPr>
          <w:p>
            <w:pPr>
              <w:spacing w:after="0"/>
              <w:rPr>
                <w:sz w:val="5"/>
                <w:szCs w:val="5"/>
                <w:color w:val="auto"/>
              </w:rPr>
            </w:pPr>
          </w:p>
        </w:tc>
        <w:tc>
          <w:tcPr>
            <w:tcW w:w="1560" w:type="dxa"/>
            <w:vAlign w:val="bottom"/>
          </w:tcPr>
          <w:p>
            <w:pPr>
              <w:spacing w:after="0"/>
              <w:rPr>
                <w:sz w:val="5"/>
                <w:szCs w:val="5"/>
                <w:color w:val="auto"/>
              </w:rPr>
            </w:pPr>
          </w:p>
        </w:tc>
        <w:tc>
          <w:tcPr>
            <w:tcW w:w="13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5"/>
        </w:trPr>
        <w:tc>
          <w:tcPr>
            <w:tcW w:w="1600" w:type="dxa"/>
            <w:vAlign w:val="bottom"/>
            <w:vMerge w:val="restart"/>
          </w:tcPr>
          <w:p>
            <w:pPr>
              <w:ind w:left="20"/>
              <w:spacing w:after="0"/>
              <w:rPr>
                <w:sz w:val="20"/>
                <w:szCs w:val="20"/>
                <w:color w:val="auto"/>
              </w:rPr>
            </w:pPr>
            <w:r>
              <w:rPr>
                <w:rFonts w:ascii="Arial" w:cs="Arial" w:eastAsia="Arial" w:hAnsi="Arial"/>
                <w:sz w:val="14"/>
                <w:szCs w:val="14"/>
                <w:color w:val="auto"/>
              </w:rPr>
              <w:t>Blake E. Larson</w:t>
            </w:r>
          </w:p>
        </w:tc>
        <w:tc>
          <w:tcPr>
            <w:tcW w:w="3240" w:type="dxa"/>
            <w:vAlign w:val="bottom"/>
            <w:shd w:val="clear" w:color="auto" w:fill="D1DDE6"/>
          </w:tcPr>
          <w:p>
            <w:pPr>
              <w:ind w:left="360"/>
              <w:spacing w:after="0"/>
              <w:rPr>
                <w:sz w:val="20"/>
                <w:szCs w:val="20"/>
                <w:color w:val="auto"/>
              </w:rPr>
            </w:pPr>
            <w:r>
              <w:rPr>
                <w:rFonts w:ascii="Arial" w:cs="Arial" w:eastAsia="Arial" w:hAnsi="Arial"/>
                <w:sz w:val="14"/>
                <w:szCs w:val="14"/>
                <w:color w:val="auto"/>
              </w:rPr>
              <w:t>Cash Severance</w:t>
            </w:r>
          </w:p>
        </w:tc>
        <w:tc>
          <w:tcPr>
            <w:tcW w:w="2040" w:type="dxa"/>
            <w:vAlign w:val="bottom"/>
            <w:shd w:val="clear" w:color="auto" w:fill="D1DDE6"/>
          </w:tcPr>
          <w:p>
            <w:pPr>
              <w:jc w:val="center"/>
              <w:ind w:left="672"/>
              <w:spacing w:after="0"/>
              <w:rPr>
                <w:sz w:val="20"/>
                <w:szCs w:val="20"/>
                <w:color w:val="auto"/>
              </w:rPr>
            </w:pPr>
            <w:r>
              <w:rPr>
                <w:rFonts w:ascii="Arial" w:cs="Arial" w:eastAsia="Arial" w:hAnsi="Arial"/>
                <w:sz w:val="14"/>
                <w:szCs w:val="14"/>
                <w:color w:val="auto"/>
                <w:w w:val="99"/>
              </w:rPr>
              <w:t>—</w:t>
            </w:r>
          </w:p>
        </w:tc>
        <w:tc>
          <w:tcPr>
            <w:tcW w:w="1600" w:type="dxa"/>
            <w:vAlign w:val="bottom"/>
            <w:shd w:val="clear" w:color="auto" w:fill="D1DDE6"/>
          </w:tcPr>
          <w:p>
            <w:pPr>
              <w:jc w:val="center"/>
              <w:ind w:left="12"/>
              <w:spacing w:after="0"/>
              <w:rPr>
                <w:sz w:val="20"/>
                <w:szCs w:val="20"/>
                <w:color w:val="auto"/>
              </w:rPr>
            </w:pPr>
            <w:r>
              <w:rPr>
                <w:rFonts w:ascii="Arial" w:cs="Arial" w:eastAsia="Arial" w:hAnsi="Arial"/>
                <w:sz w:val="14"/>
                <w:szCs w:val="14"/>
                <w:color w:val="auto"/>
                <w:w w:val="96"/>
              </w:rPr>
              <w:t>2,227,500</w:t>
            </w:r>
          </w:p>
        </w:tc>
        <w:tc>
          <w:tcPr>
            <w:tcW w:w="1560" w:type="dxa"/>
            <w:vAlign w:val="bottom"/>
            <w:shd w:val="clear" w:color="auto" w:fill="D1DDE6"/>
          </w:tcPr>
          <w:p>
            <w:pPr>
              <w:jc w:val="center"/>
              <w:ind w:right="32"/>
              <w:spacing w:after="0"/>
              <w:rPr>
                <w:sz w:val="20"/>
                <w:szCs w:val="20"/>
                <w:color w:val="auto"/>
              </w:rPr>
            </w:pPr>
            <w:r>
              <w:rPr>
                <w:rFonts w:ascii="Arial" w:cs="Arial" w:eastAsia="Arial" w:hAnsi="Arial"/>
                <w:sz w:val="14"/>
                <w:szCs w:val="14"/>
                <w:color w:val="auto"/>
                <w:w w:val="99"/>
              </w:rPr>
              <w:t>—</w:t>
            </w:r>
          </w:p>
        </w:tc>
        <w:tc>
          <w:tcPr>
            <w:tcW w:w="1380" w:type="dxa"/>
            <w:vAlign w:val="bottom"/>
            <w:shd w:val="clear" w:color="auto" w:fill="D1DDE6"/>
          </w:tcPr>
          <w:p>
            <w:pPr>
              <w:jc w:val="center"/>
              <w:ind w:right="12"/>
              <w:spacing w:after="0"/>
              <w:rPr>
                <w:sz w:val="20"/>
                <w:szCs w:val="20"/>
                <w:color w:val="auto"/>
              </w:rPr>
            </w:pPr>
            <w:r>
              <w:rPr>
                <w:rFonts w:ascii="Arial" w:cs="Arial" w:eastAsia="Arial" w:hAnsi="Arial"/>
                <w:sz w:val="14"/>
                <w:szCs w:val="14"/>
                <w:color w:val="auto"/>
                <w:w w:val="99"/>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6"/>
        </w:trPr>
        <w:tc>
          <w:tcPr>
            <w:tcW w:w="1600" w:type="dxa"/>
            <w:vAlign w:val="bottom"/>
            <w:vMerge w:val="continue"/>
          </w:tcPr>
          <w:p>
            <w:pPr>
              <w:spacing w:after="0"/>
              <w:rPr>
                <w:sz w:val="5"/>
                <w:szCs w:val="5"/>
                <w:color w:val="auto"/>
              </w:rPr>
            </w:pPr>
          </w:p>
        </w:tc>
        <w:tc>
          <w:tcPr>
            <w:tcW w:w="3240" w:type="dxa"/>
            <w:vAlign w:val="bottom"/>
            <w:vMerge w:val="restart"/>
          </w:tcPr>
          <w:p>
            <w:pPr>
              <w:ind w:left="360"/>
              <w:spacing w:after="0"/>
              <w:rPr>
                <w:sz w:val="20"/>
                <w:szCs w:val="20"/>
                <w:color w:val="auto"/>
              </w:rPr>
            </w:pPr>
            <w:r>
              <w:rPr>
                <w:rFonts w:ascii="Arial" w:cs="Arial" w:eastAsia="Arial" w:hAnsi="Arial"/>
                <w:sz w:val="14"/>
                <w:szCs w:val="14"/>
                <w:color w:val="auto"/>
              </w:rPr>
              <w:t>Medical/Dental Continuation</w:t>
            </w:r>
          </w:p>
        </w:tc>
        <w:tc>
          <w:tcPr>
            <w:tcW w:w="2040" w:type="dxa"/>
            <w:vAlign w:val="bottom"/>
            <w:vMerge w:val="restart"/>
          </w:tcPr>
          <w:p>
            <w:pPr>
              <w:jc w:val="center"/>
              <w:ind w:left="672"/>
              <w:spacing w:after="0"/>
              <w:rPr>
                <w:sz w:val="20"/>
                <w:szCs w:val="20"/>
                <w:color w:val="auto"/>
              </w:rPr>
            </w:pPr>
            <w:r>
              <w:rPr>
                <w:rFonts w:ascii="Arial" w:cs="Arial" w:eastAsia="Arial" w:hAnsi="Arial"/>
                <w:sz w:val="14"/>
                <w:szCs w:val="14"/>
                <w:color w:val="auto"/>
                <w:w w:val="99"/>
              </w:rPr>
              <w:t>—</w:t>
            </w:r>
          </w:p>
        </w:tc>
        <w:tc>
          <w:tcPr>
            <w:tcW w:w="1600" w:type="dxa"/>
            <w:vAlign w:val="bottom"/>
            <w:vMerge w:val="restart"/>
          </w:tcPr>
          <w:p>
            <w:pPr>
              <w:jc w:val="center"/>
              <w:ind w:left="12"/>
              <w:spacing w:after="0"/>
              <w:rPr>
                <w:sz w:val="20"/>
                <w:szCs w:val="20"/>
                <w:color w:val="auto"/>
              </w:rPr>
            </w:pPr>
            <w:r>
              <w:rPr>
                <w:rFonts w:ascii="Arial" w:cs="Arial" w:eastAsia="Arial" w:hAnsi="Arial"/>
                <w:sz w:val="14"/>
                <w:szCs w:val="14"/>
                <w:color w:val="auto"/>
              </w:rPr>
              <w:t>6,355</w:t>
            </w:r>
          </w:p>
        </w:tc>
        <w:tc>
          <w:tcPr>
            <w:tcW w:w="1560" w:type="dxa"/>
            <w:vAlign w:val="bottom"/>
            <w:vMerge w:val="restart"/>
          </w:tcPr>
          <w:p>
            <w:pPr>
              <w:jc w:val="center"/>
              <w:ind w:right="32"/>
              <w:spacing w:after="0"/>
              <w:rPr>
                <w:sz w:val="20"/>
                <w:szCs w:val="20"/>
                <w:color w:val="auto"/>
              </w:rPr>
            </w:pPr>
            <w:r>
              <w:rPr>
                <w:rFonts w:ascii="Arial" w:cs="Arial" w:eastAsia="Arial" w:hAnsi="Arial"/>
                <w:sz w:val="14"/>
                <w:szCs w:val="14"/>
                <w:color w:val="auto"/>
                <w:w w:val="99"/>
              </w:rPr>
              <w:t>—</w:t>
            </w:r>
          </w:p>
        </w:tc>
        <w:tc>
          <w:tcPr>
            <w:tcW w:w="1380" w:type="dxa"/>
            <w:vAlign w:val="bottom"/>
            <w:vMerge w:val="restart"/>
          </w:tcPr>
          <w:p>
            <w:pPr>
              <w:jc w:val="center"/>
              <w:ind w:right="12"/>
              <w:spacing w:after="0"/>
              <w:rPr>
                <w:sz w:val="20"/>
                <w:szCs w:val="20"/>
                <w:color w:val="auto"/>
              </w:rPr>
            </w:pPr>
            <w:r>
              <w:rPr>
                <w:rFonts w:ascii="Arial" w:cs="Arial" w:eastAsia="Arial" w:hAnsi="Arial"/>
                <w:sz w:val="14"/>
                <w:szCs w:val="14"/>
                <w:color w:val="auto"/>
                <w:w w:val="99"/>
              </w:rPr>
              <w:t>—</w:t>
            </w: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4"/>
        </w:trPr>
        <w:tc>
          <w:tcPr>
            <w:tcW w:w="1600" w:type="dxa"/>
            <w:vAlign w:val="bottom"/>
          </w:tcPr>
          <w:p>
            <w:pPr>
              <w:spacing w:after="0"/>
              <w:rPr>
                <w:sz w:val="11"/>
                <w:szCs w:val="11"/>
                <w:color w:val="auto"/>
              </w:rPr>
            </w:pPr>
          </w:p>
        </w:tc>
        <w:tc>
          <w:tcPr>
            <w:tcW w:w="3240" w:type="dxa"/>
            <w:vAlign w:val="bottom"/>
            <w:vMerge w:val="continue"/>
          </w:tcPr>
          <w:p>
            <w:pPr>
              <w:spacing w:after="0"/>
              <w:rPr>
                <w:sz w:val="11"/>
                <w:szCs w:val="11"/>
                <w:color w:val="auto"/>
              </w:rPr>
            </w:pPr>
          </w:p>
        </w:tc>
        <w:tc>
          <w:tcPr>
            <w:tcW w:w="2040" w:type="dxa"/>
            <w:vAlign w:val="bottom"/>
            <w:vMerge w:val="continue"/>
          </w:tcPr>
          <w:p>
            <w:pPr>
              <w:spacing w:after="0"/>
              <w:rPr>
                <w:sz w:val="11"/>
                <w:szCs w:val="11"/>
                <w:color w:val="auto"/>
              </w:rPr>
            </w:pPr>
          </w:p>
        </w:tc>
        <w:tc>
          <w:tcPr>
            <w:tcW w:w="1600" w:type="dxa"/>
            <w:vAlign w:val="bottom"/>
            <w:vMerge w:val="continue"/>
          </w:tcPr>
          <w:p>
            <w:pPr>
              <w:spacing w:after="0"/>
              <w:rPr>
                <w:sz w:val="11"/>
                <w:szCs w:val="11"/>
                <w:color w:val="auto"/>
              </w:rPr>
            </w:pPr>
          </w:p>
        </w:tc>
        <w:tc>
          <w:tcPr>
            <w:tcW w:w="1560" w:type="dxa"/>
            <w:vAlign w:val="bottom"/>
            <w:vMerge w:val="continue"/>
          </w:tcPr>
          <w:p>
            <w:pPr>
              <w:spacing w:after="0"/>
              <w:rPr>
                <w:sz w:val="11"/>
                <w:szCs w:val="11"/>
                <w:color w:val="auto"/>
              </w:rPr>
            </w:pPr>
          </w:p>
        </w:tc>
        <w:tc>
          <w:tcPr>
            <w:tcW w:w="138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1"/>
        </w:trPr>
        <w:tc>
          <w:tcPr>
            <w:tcW w:w="1600" w:type="dxa"/>
            <w:vAlign w:val="bottom"/>
          </w:tcPr>
          <w:p>
            <w:pPr>
              <w:spacing w:after="0"/>
              <w:rPr>
                <w:sz w:val="18"/>
                <w:szCs w:val="18"/>
                <w:color w:val="auto"/>
              </w:rPr>
            </w:pPr>
          </w:p>
        </w:tc>
        <w:tc>
          <w:tcPr>
            <w:tcW w:w="3240" w:type="dxa"/>
            <w:vAlign w:val="bottom"/>
            <w:shd w:val="clear" w:color="auto" w:fill="D1DDE6"/>
          </w:tcPr>
          <w:p>
            <w:pPr>
              <w:ind w:left="360"/>
              <w:spacing w:after="0"/>
              <w:rPr>
                <w:sz w:val="20"/>
                <w:szCs w:val="20"/>
                <w:color w:val="auto"/>
              </w:rPr>
            </w:pPr>
            <w:r>
              <w:rPr>
                <w:rFonts w:ascii="Arial" w:cs="Arial" w:eastAsia="Arial" w:hAnsi="Arial"/>
                <w:sz w:val="14"/>
                <w:szCs w:val="14"/>
                <w:color w:val="auto"/>
              </w:rPr>
              <w:t>Financial Planning/Income Tax</w:t>
            </w:r>
          </w:p>
        </w:tc>
        <w:tc>
          <w:tcPr>
            <w:tcW w:w="2040" w:type="dxa"/>
            <w:vAlign w:val="bottom"/>
            <w:shd w:val="clear" w:color="auto" w:fill="D1DDE6"/>
          </w:tcPr>
          <w:p>
            <w:pPr>
              <w:jc w:val="center"/>
              <w:ind w:left="672"/>
              <w:spacing w:after="0"/>
              <w:rPr>
                <w:sz w:val="20"/>
                <w:szCs w:val="20"/>
                <w:color w:val="auto"/>
              </w:rPr>
            </w:pPr>
            <w:r>
              <w:rPr>
                <w:rFonts w:ascii="Arial" w:cs="Arial" w:eastAsia="Arial" w:hAnsi="Arial"/>
                <w:sz w:val="14"/>
                <w:szCs w:val="14"/>
                <w:color w:val="auto"/>
                <w:w w:val="99"/>
              </w:rPr>
              <w:t>—</w:t>
            </w:r>
          </w:p>
        </w:tc>
        <w:tc>
          <w:tcPr>
            <w:tcW w:w="1600" w:type="dxa"/>
            <w:vAlign w:val="bottom"/>
            <w:shd w:val="clear" w:color="auto" w:fill="D1DDE6"/>
          </w:tcPr>
          <w:p>
            <w:pPr>
              <w:jc w:val="center"/>
              <w:ind w:left="12"/>
              <w:spacing w:after="0"/>
              <w:rPr>
                <w:sz w:val="20"/>
                <w:szCs w:val="20"/>
                <w:color w:val="auto"/>
              </w:rPr>
            </w:pPr>
            <w:r>
              <w:rPr>
                <w:rFonts w:ascii="Arial" w:cs="Arial" w:eastAsia="Arial" w:hAnsi="Arial"/>
                <w:sz w:val="14"/>
                <w:szCs w:val="14"/>
                <w:color w:val="auto"/>
                <w:w w:val="93"/>
              </w:rPr>
              <w:t>18,500</w:t>
            </w:r>
          </w:p>
        </w:tc>
        <w:tc>
          <w:tcPr>
            <w:tcW w:w="1560" w:type="dxa"/>
            <w:vAlign w:val="bottom"/>
            <w:shd w:val="clear" w:color="auto" w:fill="D1DDE6"/>
          </w:tcPr>
          <w:p>
            <w:pPr>
              <w:jc w:val="center"/>
              <w:ind w:right="32"/>
              <w:spacing w:after="0"/>
              <w:rPr>
                <w:sz w:val="20"/>
                <w:szCs w:val="20"/>
                <w:color w:val="auto"/>
              </w:rPr>
            </w:pPr>
            <w:r>
              <w:rPr>
                <w:rFonts w:ascii="Arial" w:cs="Arial" w:eastAsia="Arial" w:hAnsi="Arial"/>
                <w:sz w:val="14"/>
                <w:szCs w:val="14"/>
                <w:color w:val="auto"/>
                <w:w w:val="99"/>
              </w:rPr>
              <w:t>—</w:t>
            </w:r>
          </w:p>
        </w:tc>
        <w:tc>
          <w:tcPr>
            <w:tcW w:w="1380" w:type="dxa"/>
            <w:vAlign w:val="bottom"/>
            <w:shd w:val="clear" w:color="auto" w:fill="D1DDE6"/>
          </w:tcPr>
          <w:p>
            <w:pPr>
              <w:jc w:val="center"/>
              <w:ind w:right="12"/>
              <w:spacing w:after="0"/>
              <w:rPr>
                <w:sz w:val="20"/>
                <w:szCs w:val="20"/>
                <w:color w:val="auto"/>
              </w:rPr>
            </w:pPr>
            <w:r>
              <w:rPr>
                <w:rFonts w:ascii="Arial" w:cs="Arial" w:eastAsia="Arial" w:hAnsi="Arial"/>
                <w:sz w:val="14"/>
                <w:szCs w:val="14"/>
                <w:color w:val="auto"/>
                <w:w w:val="99"/>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1600" w:type="dxa"/>
            <w:vAlign w:val="bottom"/>
            <w:tcBorders>
              <w:bottom w:val="single" w:sz="8" w:color="34657F"/>
            </w:tcBorders>
          </w:tcPr>
          <w:p>
            <w:pPr>
              <w:spacing w:after="0"/>
              <w:rPr>
                <w:sz w:val="17"/>
                <w:szCs w:val="17"/>
                <w:color w:val="auto"/>
              </w:rPr>
            </w:pPr>
          </w:p>
        </w:tc>
        <w:tc>
          <w:tcPr>
            <w:tcW w:w="3240" w:type="dxa"/>
            <w:vAlign w:val="bottom"/>
            <w:tcBorders>
              <w:bottom w:val="single" w:sz="8" w:color="34657F"/>
            </w:tcBorders>
          </w:tcPr>
          <w:p>
            <w:pPr>
              <w:ind w:left="360"/>
              <w:spacing w:after="0"/>
              <w:rPr>
                <w:sz w:val="20"/>
                <w:szCs w:val="20"/>
                <w:color w:val="auto"/>
              </w:rPr>
            </w:pPr>
            <w:r>
              <w:rPr>
                <w:rFonts w:ascii="Arial" w:cs="Arial" w:eastAsia="Arial" w:hAnsi="Arial"/>
                <w:sz w:val="14"/>
                <w:szCs w:val="14"/>
                <w:color w:val="auto"/>
              </w:rPr>
              <w:t>Outplacement Services</w:t>
            </w:r>
          </w:p>
        </w:tc>
        <w:tc>
          <w:tcPr>
            <w:tcW w:w="2040" w:type="dxa"/>
            <w:vAlign w:val="bottom"/>
            <w:tcBorders>
              <w:bottom w:val="single" w:sz="8" w:color="34657F"/>
            </w:tcBorders>
          </w:tcPr>
          <w:p>
            <w:pPr>
              <w:jc w:val="center"/>
              <w:ind w:left="672"/>
              <w:spacing w:after="0"/>
              <w:rPr>
                <w:sz w:val="20"/>
                <w:szCs w:val="20"/>
                <w:color w:val="auto"/>
              </w:rPr>
            </w:pPr>
            <w:r>
              <w:rPr>
                <w:rFonts w:ascii="Arial" w:cs="Arial" w:eastAsia="Arial" w:hAnsi="Arial"/>
                <w:sz w:val="14"/>
                <w:szCs w:val="14"/>
                <w:color w:val="auto"/>
                <w:w w:val="99"/>
              </w:rPr>
              <w:t>—</w:t>
            </w:r>
          </w:p>
        </w:tc>
        <w:tc>
          <w:tcPr>
            <w:tcW w:w="1600" w:type="dxa"/>
            <w:vAlign w:val="bottom"/>
            <w:tcBorders>
              <w:bottom w:val="single" w:sz="8" w:color="34657F"/>
            </w:tcBorders>
          </w:tcPr>
          <w:p>
            <w:pPr>
              <w:jc w:val="center"/>
              <w:ind w:left="12"/>
              <w:spacing w:after="0"/>
              <w:rPr>
                <w:sz w:val="20"/>
                <w:szCs w:val="20"/>
                <w:color w:val="auto"/>
              </w:rPr>
            </w:pPr>
            <w:r>
              <w:rPr>
                <w:rFonts w:ascii="Arial" w:cs="Arial" w:eastAsia="Arial" w:hAnsi="Arial"/>
                <w:sz w:val="14"/>
                <w:szCs w:val="14"/>
                <w:color w:val="auto"/>
                <w:w w:val="94"/>
              </w:rPr>
              <w:t>111,375</w:t>
            </w:r>
          </w:p>
        </w:tc>
        <w:tc>
          <w:tcPr>
            <w:tcW w:w="1560" w:type="dxa"/>
            <w:vAlign w:val="bottom"/>
            <w:tcBorders>
              <w:bottom w:val="single" w:sz="8" w:color="34657F"/>
            </w:tcBorders>
          </w:tcPr>
          <w:p>
            <w:pPr>
              <w:jc w:val="center"/>
              <w:ind w:right="32"/>
              <w:spacing w:after="0"/>
              <w:rPr>
                <w:sz w:val="20"/>
                <w:szCs w:val="20"/>
                <w:color w:val="auto"/>
              </w:rPr>
            </w:pPr>
            <w:r>
              <w:rPr>
                <w:rFonts w:ascii="Arial" w:cs="Arial" w:eastAsia="Arial" w:hAnsi="Arial"/>
                <w:sz w:val="14"/>
                <w:szCs w:val="14"/>
                <w:color w:val="auto"/>
                <w:w w:val="99"/>
              </w:rPr>
              <w:t>—</w:t>
            </w:r>
          </w:p>
        </w:tc>
        <w:tc>
          <w:tcPr>
            <w:tcW w:w="1380" w:type="dxa"/>
            <w:vAlign w:val="bottom"/>
            <w:tcBorders>
              <w:bottom w:val="single" w:sz="8" w:color="34657F"/>
            </w:tcBorders>
          </w:tcPr>
          <w:p>
            <w:pPr>
              <w:jc w:val="center"/>
              <w:ind w:right="12"/>
              <w:spacing w:after="0"/>
              <w:rPr>
                <w:sz w:val="20"/>
                <w:szCs w:val="20"/>
                <w:color w:val="auto"/>
              </w:rPr>
            </w:pPr>
            <w:r>
              <w:rPr>
                <w:rFonts w:ascii="Arial" w:cs="Arial" w:eastAsia="Arial" w:hAnsi="Arial"/>
                <w:sz w:val="14"/>
                <w:szCs w:val="14"/>
                <w:color w:val="auto"/>
                <w:w w:val="99"/>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380" w:right="480" w:hanging="377"/>
        <w:spacing w:after="0" w:line="263" w:lineRule="auto"/>
        <w:tabs>
          <w:tab w:leader="none" w:pos="380" w:val="left"/>
        </w:tabs>
        <w:numPr>
          <w:ilvl w:val="0"/>
          <w:numId w:val="86"/>
        </w:numPr>
        <w:rPr>
          <w:rFonts w:ascii="Arial" w:cs="Arial" w:eastAsia="Arial" w:hAnsi="Arial"/>
          <w:sz w:val="17"/>
          <w:szCs w:val="17"/>
          <w:color w:val="auto"/>
        </w:rPr>
      </w:pPr>
      <w:r>
        <w:rPr>
          <w:rFonts w:ascii="Arial" w:cs="Arial" w:eastAsia="Arial" w:hAnsi="Arial"/>
          <w:sz w:val="17"/>
          <w:szCs w:val="17"/>
          <w:color w:val="auto"/>
        </w:rPr>
        <w:t>Similar treatment provided for certain "good reason" terminations, as described in "Key Components of Our Programs - Severance Benefits" found on page 49; however, there would be no termination payment in the event of an involuntary termination for cause.</w:t>
      </w:r>
    </w:p>
    <w:p>
      <w:pPr>
        <w:spacing w:after="0" w:line="58" w:lineRule="exact"/>
        <w:rPr>
          <w:rFonts w:ascii="Arial" w:cs="Arial" w:eastAsia="Arial" w:hAnsi="Arial"/>
          <w:sz w:val="17"/>
          <w:szCs w:val="17"/>
          <w:color w:val="auto"/>
        </w:rPr>
      </w:pPr>
    </w:p>
    <w:p>
      <w:pPr>
        <w:ind w:left="380" w:right="80" w:hanging="377"/>
        <w:spacing w:after="0" w:line="263" w:lineRule="auto"/>
        <w:tabs>
          <w:tab w:leader="none" w:pos="380" w:val="left"/>
        </w:tabs>
        <w:numPr>
          <w:ilvl w:val="0"/>
          <w:numId w:val="86"/>
        </w:numPr>
        <w:rPr>
          <w:rFonts w:ascii="Arial" w:cs="Arial" w:eastAsia="Arial" w:hAnsi="Arial"/>
          <w:sz w:val="17"/>
          <w:szCs w:val="17"/>
          <w:color w:val="auto"/>
        </w:rPr>
      </w:pPr>
      <w:r>
        <w:rPr>
          <w:rFonts w:ascii="Arial" w:cs="Arial" w:eastAsia="Arial" w:hAnsi="Arial"/>
          <w:sz w:val="17"/>
          <w:szCs w:val="17"/>
          <w:color w:val="auto"/>
        </w:rPr>
        <w:t>The amounts assume full acceleration, which, as discussed above, may not occur to the extent that it would result in an excise tax that decreases the after-tax value of the awards to an NEO.</w:t>
      </w:r>
    </w:p>
    <w:p>
      <w:pPr>
        <w:spacing w:after="0" w:line="58" w:lineRule="exact"/>
        <w:rPr>
          <w:rFonts w:ascii="Arial" w:cs="Arial" w:eastAsia="Arial" w:hAnsi="Arial"/>
          <w:sz w:val="17"/>
          <w:szCs w:val="17"/>
          <w:color w:val="auto"/>
        </w:rPr>
      </w:pPr>
    </w:p>
    <w:p>
      <w:pPr>
        <w:ind w:left="380" w:right="100" w:hanging="377"/>
        <w:spacing w:after="0" w:line="263" w:lineRule="auto"/>
        <w:tabs>
          <w:tab w:leader="none" w:pos="380" w:val="left"/>
        </w:tabs>
        <w:numPr>
          <w:ilvl w:val="0"/>
          <w:numId w:val="86"/>
        </w:numPr>
        <w:rPr>
          <w:rFonts w:ascii="Arial" w:cs="Arial" w:eastAsia="Arial" w:hAnsi="Arial"/>
          <w:sz w:val="17"/>
          <w:szCs w:val="17"/>
          <w:color w:val="auto"/>
        </w:rPr>
      </w:pPr>
      <w:r>
        <w:rPr>
          <w:rFonts w:ascii="Arial" w:cs="Arial" w:eastAsia="Arial" w:hAnsi="Arial"/>
          <w:sz w:val="17"/>
          <w:szCs w:val="17"/>
          <w:color w:val="auto"/>
        </w:rPr>
        <w:t>Long-term Incentives include grants of RPSRs and RSRs. Results in a benefit under Voluntary Termination only if eligible for retirement treatment under the terms and conditions of the grants.</w:t>
      </w:r>
    </w:p>
    <w:p>
      <w:pPr>
        <w:spacing w:after="0" w:line="47" w:lineRule="exact"/>
        <w:rPr>
          <w:rFonts w:ascii="Arial" w:cs="Arial" w:eastAsia="Arial" w:hAnsi="Arial"/>
          <w:sz w:val="17"/>
          <w:szCs w:val="17"/>
          <w:color w:val="auto"/>
        </w:rPr>
      </w:pPr>
    </w:p>
    <w:p>
      <w:pPr>
        <w:ind w:left="380" w:right="80" w:hanging="377"/>
        <w:spacing w:after="0" w:line="264" w:lineRule="auto"/>
        <w:tabs>
          <w:tab w:leader="none" w:pos="380" w:val="left"/>
        </w:tabs>
        <w:numPr>
          <w:ilvl w:val="0"/>
          <w:numId w:val="86"/>
        </w:numPr>
        <w:rPr>
          <w:rFonts w:ascii="Arial" w:cs="Arial" w:eastAsia="Arial" w:hAnsi="Arial"/>
          <w:sz w:val="17"/>
          <w:szCs w:val="17"/>
          <w:color w:val="auto"/>
        </w:rPr>
      </w:pPr>
      <w:r>
        <w:rPr>
          <w:rFonts w:ascii="Arial" w:cs="Arial" w:eastAsia="Arial" w:hAnsi="Arial"/>
          <w:sz w:val="17"/>
          <w:szCs w:val="17"/>
          <w:color w:val="auto"/>
        </w:rPr>
        <w:t>Represents SORMP benefits outlined in "Key Components of Our Programs - Retiree Medical Arrangement." Mr. Bush is the only NEO eligible for benefits under this plan due to his date of hire and years of service as an executive. Retiree medical values for Mr. Bush reflect cost associated with disability. If termination results from death, the retiree medical insurance expense would be less than the disability amount indicated.</w:t>
      </w:r>
    </w:p>
    <w:p>
      <w:pPr>
        <w:spacing w:after="0" w:line="47" w:lineRule="exact"/>
        <w:rPr>
          <w:rFonts w:ascii="Arial" w:cs="Arial" w:eastAsia="Arial" w:hAnsi="Arial"/>
          <w:sz w:val="17"/>
          <w:szCs w:val="17"/>
          <w:color w:val="auto"/>
        </w:rPr>
      </w:pPr>
    </w:p>
    <w:p>
      <w:pPr>
        <w:jc w:val="both"/>
        <w:ind w:left="380" w:right="60" w:hanging="377"/>
        <w:spacing w:after="0" w:line="264" w:lineRule="auto"/>
        <w:tabs>
          <w:tab w:leader="none" w:pos="380" w:val="left"/>
        </w:tabs>
        <w:numPr>
          <w:ilvl w:val="0"/>
          <w:numId w:val="86"/>
        </w:numPr>
        <w:rPr>
          <w:rFonts w:ascii="Arial" w:cs="Arial" w:eastAsia="Arial" w:hAnsi="Arial"/>
          <w:sz w:val="17"/>
          <w:szCs w:val="17"/>
          <w:color w:val="auto"/>
        </w:rPr>
      </w:pPr>
      <w:r>
        <w:rPr>
          <w:rFonts w:ascii="Arial" w:cs="Arial" w:eastAsia="Arial" w:hAnsi="Arial"/>
          <w:sz w:val="17"/>
          <w:szCs w:val="17"/>
          <w:color w:val="auto"/>
        </w:rPr>
        <w:t>Represents the following benefits under the Severance Plan, assuming a termination date of December 31, 2018: (i) cash severance equivalent to one and a half times the sum of the annual base salary and target annual bonus, (ii) continued medical/dental coverage for the severance period, (iii) financial planning/income tax preparation fees for the year following termination and (iv) outplacement services up to 15% of salary.</w:t>
      </w:r>
    </w:p>
    <w:p>
      <w:pPr>
        <w:spacing w:after="0" w:line="59" w:lineRule="exact"/>
        <w:rPr>
          <w:sz w:val="20"/>
          <w:szCs w:val="20"/>
          <w:color w:val="auto"/>
        </w:rPr>
      </w:pPr>
    </w:p>
    <w:p>
      <w:pPr>
        <w:ind w:left="380"/>
        <w:spacing w:after="0"/>
        <w:rPr>
          <w:sz w:val="20"/>
          <w:szCs w:val="20"/>
          <w:color w:val="auto"/>
        </w:rPr>
      </w:pPr>
      <w:r>
        <w:rPr>
          <w:rFonts w:ascii="Arial" w:cs="Arial" w:eastAsia="Arial" w:hAnsi="Arial"/>
          <w:sz w:val="17"/>
          <w:szCs w:val="17"/>
          <w:color w:val="auto"/>
        </w:rPr>
        <w:t>Mr. Bush does not receive severance benefits as he is not eligible to participate in the Severance Plan.</w:t>
      </w:r>
    </w:p>
    <w:p>
      <w:pPr>
        <w:spacing w:after="0" w:line="317"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68 </w:t>
      </w:r>
      <w:r>
        <w:rPr>
          <w:rFonts w:ascii="Arial" w:cs="Arial" w:eastAsia="Arial" w:hAnsi="Arial"/>
          <w:sz w:val="13"/>
          <w:szCs w:val="13"/>
          <w:color w:val="auto"/>
        </w:rPr>
        <w:t>I</w:t>
      </w:r>
      <w:r>
        <w:rPr>
          <w:rFonts w:ascii="Arial" w:cs="Arial" w:eastAsia="Arial" w:hAnsi="Arial"/>
          <w:sz w:val="17"/>
          <w:szCs w:val="17"/>
          <w:color w:val="auto"/>
        </w:rPr>
        <w:t xml:space="preserve"> </w:t>
      </w:r>
      <w:r>
        <w:rPr>
          <w:rFonts w:ascii="Arial" w:cs="Arial" w:eastAsia="Arial" w:hAnsi="Arial"/>
          <w:sz w:val="13"/>
          <w:szCs w:val="13"/>
          <w:color w:val="34657F"/>
        </w:rPr>
        <w:t>NOTICE OF 2019 ANNUAL MEETING OF SHAREHOLDERS AND PROXY STATEMENT</w:t>
      </w:r>
    </w:p>
    <w:p>
      <w:pPr>
        <w:sectPr>
          <w:pgSz w:w="11900" w:h="16838" w:orient="portrait"/>
          <w:cols w:equalWidth="0" w:num="1">
            <w:col w:w="11440"/>
          </w:cols>
          <w:pgMar w:left="240" w:top="671" w:right="219" w:bottom="1440" w:gutter="0" w:footer="0" w:header="0"/>
        </w:sectPr>
      </w:pPr>
    </w:p>
    <w:bookmarkStart w:id="74" w:name="page75"/>
    <w:bookmarkEnd w:id="74"/>
    <w:p>
      <w:pPr>
        <w:ind w:left="20"/>
        <w:spacing w:after="0"/>
        <w:rPr>
          <w:sz w:val="20"/>
          <w:szCs w:val="20"/>
          <w:color w:val="auto"/>
        </w:rPr>
      </w:pPr>
      <w:r>
        <w:rPr>
          <w:rFonts w:ascii="Arial" w:cs="Arial" w:eastAsia="Arial" w:hAnsi="Arial"/>
          <w:sz w:val="21"/>
          <w:szCs w:val="21"/>
          <w:b w:val="1"/>
          <w:bCs w:val="1"/>
          <w:color w:val="FFFFFF"/>
        </w:rPr>
        <w:t>PROPOSAL THREE: RATIFICATION OF APPOINTMENT OF INDEPENDENT AUDITOR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-148590</wp:posOffset>
            </wp:positionV>
            <wp:extent cx="7253605" cy="17907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53605" cy="179070"/>
                    </a:xfrm>
                    <a:prstGeom prst="rect">
                      <a:avLst/>
                    </a:prstGeom>
                    <a:noFill/>
                  </pic:spPr>
                </pic:pic>
              </a:graphicData>
            </a:graphic>
          </wp:anchor>
        </w:drawing>
      </w:r>
    </w:p>
    <w:p>
      <w:pPr>
        <w:spacing w:after="0" w:line="257"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The Audit Committee believes that the appointment of Deloitte &amp; Touche LLP (Deloitte) is in the best interests of the Company and its shareholders, and proposes and recommends that the shareholders ratify the Audit Committee's appointment of Deloitte as our independent auditor for 2019. Deloitte served as our independent auditor for 2018, and Deloitte or its predecessors have served as the independent auditor for the Company (including certain of its predecessor companies) since 1975. The Audit Committee is responsible for the appointment, compensation, retention, oversight, evaluation and termination, if necessary, of our independent auditor. The Audit Committee is responsible for reviewing and pre-approving audit and non-audit services and related fees for the independent auditor. In addition, the Audit Committee, at least annually, reviews and evaluates with management and our internal auditors Deloitte’s performance and periodically considers whether to change the independent auditor. The Audit Committee also reviews the performance of Deloitte’s lead audit partner, and the Audit Committee and its Chairperson oversee the rotation of Deloitte’s lead audit partner and are involved in the selection of the lead audit partner.</w:t>
      </w:r>
    </w:p>
    <w:p>
      <w:pPr>
        <w:spacing w:after="0" w:line="68" w:lineRule="exact"/>
        <w:rPr>
          <w:sz w:val="20"/>
          <w:szCs w:val="20"/>
          <w:color w:val="auto"/>
        </w:rPr>
      </w:pPr>
    </w:p>
    <w:p>
      <w:pPr>
        <w:ind w:right="100"/>
        <w:spacing w:after="0" w:line="255" w:lineRule="auto"/>
        <w:rPr>
          <w:sz w:val="20"/>
          <w:szCs w:val="20"/>
          <w:color w:val="auto"/>
        </w:rPr>
      </w:pPr>
      <w:r>
        <w:rPr>
          <w:rFonts w:ascii="Arial" w:cs="Arial" w:eastAsia="Arial" w:hAnsi="Arial"/>
          <w:sz w:val="17"/>
          <w:szCs w:val="17"/>
          <w:color w:val="auto"/>
        </w:rPr>
        <w:t>Although ratification is not required by our Bylaws or otherwise, the Audit Committee is submitting the selection of Deloitte to shareholders as a matter of good corporate governance. If the shareholders fail to ratify the appointment of Deloitte, the Audit Committee will consider this in its selection of auditor for the following year. A representative from Deloitte will attend the Annual Meeting and will have the opportunity to make a statement and respond to appropriate questions.</w:t>
      </w:r>
    </w:p>
    <w:p>
      <w:pPr>
        <w:spacing w:after="0" w:line="193" w:lineRule="exact"/>
        <w:rPr>
          <w:sz w:val="20"/>
          <w:szCs w:val="20"/>
          <w:color w:val="auto"/>
        </w:rPr>
      </w:pPr>
    </w:p>
    <w:p>
      <w:pPr>
        <w:ind w:left="20"/>
        <w:spacing w:after="0"/>
        <w:rPr>
          <w:sz w:val="20"/>
          <w:szCs w:val="20"/>
          <w:color w:val="auto"/>
        </w:rPr>
      </w:pPr>
      <w:r>
        <w:rPr>
          <w:rFonts w:ascii="Arial" w:cs="Arial" w:eastAsia="Arial" w:hAnsi="Arial"/>
          <w:sz w:val="24"/>
          <w:szCs w:val="24"/>
          <w:b w:val="1"/>
          <w:bCs w:val="1"/>
          <w:color w:val="auto"/>
        </w:rPr>
        <w:t>Audit Fees and All Other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38100</wp:posOffset>
            </wp:positionV>
            <wp:extent cx="7253605" cy="1651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pacing w:after="0" w:line="116" w:lineRule="exact"/>
        <w:rPr>
          <w:sz w:val="20"/>
          <w:szCs w:val="20"/>
          <w:color w:val="auto"/>
        </w:rPr>
      </w:pPr>
    </w:p>
    <w:p>
      <w:pPr>
        <w:ind w:right="460"/>
        <w:spacing w:after="0" w:line="263" w:lineRule="auto"/>
        <w:rPr>
          <w:sz w:val="20"/>
          <w:szCs w:val="20"/>
          <w:color w:val="auto"/>
        </w:rPr>
      </w:pPr>
      <w:r>
        <w:rPr>
          <w:rFonts w:ascii="Arial" w:cs="Arial" w:eastAsia="Arial" w:hAnsi="Arial"/>
          <w:sz w:val="17"/>
          <w:szCs w:val="17"/>
          <w:color w:val="auto"/>
        </w:rPr>
        <w:t>The following table summarizes aggregate fees billed for the years ended December 31, 2018 and 2017 by Deloitte, the member firms of Deloitte Touche Tohmatsu Limited and their respective affiliates: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4520" w:type="dxa"/>
            <w:vAlign w:val="bottom"/>
            <w:shd w:val="clear" w:color="auto" w:fill="34657F"/>
          </w:tcPr>
          <w:p>
            <w:pPr>
              <w:spacing w:after="0"/>
              <w:rPr>
                <w:sz w:val="22"/>
                <w:szCs w:val="22"/>
                <w:color w:val="auto"/>
              </w:rPr>
            </w:pPr>
          </w:p>
        </w:tc>
        <w:tc>
          <w:tcPr>
            <w:tcW w:w="3220" w:type="dxa"/>
            <w:vAlign w:val="bottom"/>
            <w:shd w:val="clear" w:color="auto" w:fill="34657F"/>
          </w:tcPr>
          <w:p>
            <w:pPr>
              <w:spacing w:after="0"/>
              <w:rPr>
                <w:sz w:val="22"/>
                <w:szCs w:val="22"/>
                <w:color w:val="auto"/>
              </w:rPr>
            </w:pPr>
          </w:p>
        </w:tc>
        <w:tc>
          <w:tcPr>
            <w:tcW w:w="1480" w:type="dxa"/>
            <w:vAlign w:val="bottom"/>
            <w:shd w:val="clear" w:color="auto" w:fill="34657F"/>
          </w:tcPr>
          <w:p>
            <w:pPr>
              <w:jc w:val="center"/>
              <w:ind w:right="263"/>
              <w:spacing w:after="0"/>
              <w:rPr>
                <w:sz w:val="20"/>
                <w:szCs w:val="20"/>
                <w:color w:val="auto"/>
              </w:rPr>
            </w:pPr>
            <w:r>
              <w:rPr>
                <w:rFonts w:ascii="Arial" w:cs="Arial" w:eastAsia="Arial" w:hAnsi="Arial"/>
                <w:sz w:val="15"/>
                <w:szCs w:val="15"/>
                <w:b w:val="1"/>
                <w:bCs w:val="1"/>
                <w:color w:val="FFFFFF"/>
              </w:rPr>
              <w:t>2018</w:t>
            </w:r>
          </w:p>
        </w:tc>
        <w:tc>
          <w:tcPr>
            <w:tcW w:w="780" w:type="dxa"/>
            <w:vAlign w:val="bottom"/>
            <w:shd w:val="clear" w:color="auto" w:fill="34657F"/>
          </w:tcPr>
          <w:p>
            <w:pPr>
              <w:spacing w:after="0"/>
              <w:rPr>
                <w:sz w:val="22"/>
                <w:szCs w:val="22"/>
                <w:color w:val="auto"/>
              </w:rPr>
            </w:pPr>
          </w:p>
        </w:tc>
        <w:tc>
          <w:tcPr>
            <w:tcW w:w="1300" w:type="dxa"/>
            <w:vAlign w:val="bottom"/>
            <w:shd w:val="clear" w:color="auto" w:fill="34657F"/>
          </w:tcPr>
          <w:p>
            <w:pPr>
              <w:jc w:val="center"/>
              <w:ind w:right="83"/>
              <w:spacing w:after="0"/>
              <w:rPr>
                <w:sz w:val="20"/>
                <w:szCs w:val="20"/>
                <w:color w:val="auto"/>
              </w:rPr>
            </w:pPr>
            <w:r>
              <w:rPr>
                <w:rFonts w:ascii="Arial" w:cs="Arial" w:eastAsia="Arial" w:hAnsi="Arial"/>
                <w:sz w:val="15"/>
                <w:szCs w:val="15"/>
                <w:b w:val="1"/>
                <w:bCs w:val="1"/>
                <w:color w:val="FFFFFF"/>
              </w:rPr>
              <w:t>2017</w:t>
            </w:r>
          </w:p>
        </w:tc>
      </w:tr>
      <w:tr>
        <w:trPr>
          <w:trHeight w:val="231"/>
        </w:trPr>
        <w:tc>
          <w:tcPr>
            <w:tcW w:w="4520" w:type="dxa"/>
            <w:vAlign w:val="bottom"/>
            <w:shd w:val="clear" w:color="auto" w:fill="D1DDE6"/>
          </w:tcPr>
          <w:p>
            <w:pPr>
              <w:ind w:left="20"/>
              <w:spacing w:after="0"/>
              <w:rPr>
                <w:sz w:val="20"/>
                <w:szCs w:val="20"/>
                <w:color w:val="auto"/>
              </w:rPr>
            </w:pPr>
            <w:r>
              <w:rPr>
                <w:rFonts w:ascii="Arial" w:cs="Arial" w:eastAsia="Arial" w:hAnsi="Arial"/>
                <w:sz w:val="15"/>
                <w:szCs w:val="15"/>
                <w:color w:val="auto"/>
              </w:rPr>
              <w:t>Audit Fees (1)</w:t>
            </w:r>
          </w:p>
        </w:tc>
        <w:tc>
          <w:tcPr>
            <w:tcW w:w="3220" w:type="dxa"/>
            <w:vAlign w:val="bottom"/>
            <w:shd w:val="clear" w:color="auto" w:fill="D1DDE6"/>
          </w:tcPr>
          <w:p>
            <w:pPr>
              <w:jc w:val="right"/>
              <w:ind w:right="103"/>
              <w:spacing w:after="0"/>
              <w:rPr>
                <w:sz w:val="20"/>
                <w:szCs w:val="20"/>
                <w:color w:val="auto"/>
              </w:rPr>
            </w:pPr>
            <w:r>
              <w:rPr>
                <w:rFonts w:ascii="Arial" w:cs="Arial" w:eastAsia="Arial" w:hAnsi="Arial"/>
                <w:sz w:val="15"/>
                <w:szCs w:val="15"/>
                <w:color w:val="auto"/>
              </w:rPr>
              <w:t>$</w:t>
            </w:r>
          </w:p>
        </w:tc>
        <w:tc>
          <w:tcPr>
            <w:tcW w:w="1480" w:type="dxa"/>
            <w:vAlign w:val="bottom"/>
            <w:shd w:val="clear" w:color="auto" w:fill="D1DDE6"/>
          </w:tcPr>
          <w:p>
            <w:pPr>
              <w:jc w:val="center"/>
              <w:ind w:right="243"/>
              <w:spacing w:after="0"/>
              <w:rPr>
                <w:sz w:val="20"/>
                <w:szCs w:val="20"/>
                <w:color w:val="auto"/>
              </w:rPr>
            </w:pPr>
            <w:r>
              <w:rPr>
                <w:rFonts w:ascii="Arial" w:cs="Arial" w:eastAsia="Arial" w:hAnsi="Arial"/>
                <w:sz w:val="15"/>
                <w:szCs w:val="15"/>
                <w:color w:val="auto"/>
              </w:rPr>
              <w:t>18,706,500</w:t>
            </w:r>
          </w:p>
        </w:tc>
        <w:tc>
          <w:tcPr>
            <w:tcW w:w="780" w:type="dxa"/>
            <w:vAlign w:val="bottom"/>
            <w:shd w:val="clear" w:color="auto" w:fill="D1DDE6"/>
          </w:tcPr>
          <w:p>
            <w:pPr>
              <w:jc w:val="right"/>
              <w:ind w:right="103"/>
              <w:spacing w:after="0"/>
              <w:rPr>
                <w:sz w:val="20"/>
                <w:szCs w:val="20"/>
                <w:color w:val="auto"/>
              </w:rPr>
            </w:pPr>
            <w:r>
              <w:rPr>
                <w:rFonts w:ascii="Arial" w:cs="Arial" w:eastAsia="Arial" w:hAnsi="Arial"/>
                <w:sz w:val="15"/>
                <w:szCs w:val="15"/>
                <w:color w:val="auto"/>
              </w:rPr>
              <w:t>$</w:t>
            </w:r>
          </w:p>
        </w:tc>
        <w:tc>
          <w:tcPr>
            <w:tcW w:w="1300" w:type="dxa"/>
            <w:vAlign w:val="bottom"/>
            <w:shd w:val="clear" w:color="auto" w:fill="D1DDE6"/>
          </w:tcPr>
          <w:p>
            <w:pPr>
              <w:jc w:val="center"/>
              <w:ind w:right="83"/>
              <w:spacing w:after="0"/>
              <w:rPr>
                <w:sz w:val="20"/>
                <w:szCs w:val="20"/>
                <w:color w:val="auto"/>
              </w:rPr>
            </w:pPr>
            <w:r>
              <w:rPr>
                <w:rFonts w:ascii="Arial" w:cs="Arial" w:eastAsia="Arial" w:hAnsi="Arial"/>
                <w:sz w:val="15"/>
                <w:szCs w:val="15"/>
                <w:color w:val="auto"/>
              </w:rPr>
              <w:t>15,110,000</w:t>
            </w:r>
          </w:p>
        </w:tc>
      </w:tr>
      <w:tr>
        <w:trPr>
          <w:trHeight w:val="247"/>
        </w:trPr>
        <w:tc>
          <w:tcPr>
            <w:tcW w:w="4520" w:type="dxa"/>
            <w:vAlign w:val="bottom"/>
          </w:tcPr>
          <w:p>
            <w:pPr>
              <w:ind w:left="20"/>
              <w:spacing w:after="0"/>
              <w:rPr>
                <w:sz w:val="20"/>
                <w:szCs w:val="20"/>
                <w:color w:val="auto"/>
              </w:rPr>
            </w:pPr>
            <w:r>
              <w:rPr>
                <w:rFonts w:ascii="Arial" w:cs="Arial" w:eastAsia="Arial" w:hAnsi="Arial"/>
                <w:sz w:val="15"/>
                <w:szCs w:val="15"/>
                <w:color w:val="auto"/>
              </w:rPr>
              <w:t>Audit-Related Fees (2)</w:t>
            </w:r>
          </w:p>
        </w:tc>
        <w:tc>
          <w:tcPr>
            <w:tcW w:w="3220" w:type="dxa"/>
            <w:vAlign w:val="bottom"/>
          </w:tcPr>
          <w:p>
            <w:pPr>
              <w:spacing w:after="0"/>
              <w:rPr>
                <w:sz w:val="21"/>
                <w:szCs w:val="21"/>
                <w:color w:val="auto"/>
              </w:rPr>
            </w:pPr>
          </w:p>
        </w:tc>
        <w:tc>
          <w:tcPr>
            <w:tcW w:w="1480" w:type="dxa"/>
            <w:vAlign w:val="bottom"/>
          </w:tcPr>
          <w:p>
            <w:pPr>
              <w:jc w:val="center"/>
              <w:ind w:right="243"/>
              <w:spacing w:after="0"/>
              <w:rPr>
                <w:sz w:val="20"/>
                <w:szCs w:val="20"/>
                <w:color w:val="auto"/>
              </w:rPr>
            </w:pPr>
            <w:r>
              <w:rPr>
                <w:rFonts w:ascii="Arial" w:cs="Arial" w:eastAsia="Arial" w:hAnsi="Arial"/>
                <w:sz w:val="15"/>
                <w:szCs w:val="15"/>
                <w:color w:val="auto"/>
              </w:rPr>
              <w:t>500,000</w:t>
            </w:r>
          </w:p>
        </w:tc>
        <w:tc>
          <w:tcPr>
            <w:tcW w:w="780" w:type="dxa"/>
            <w:vAlign w:val="bottom"/>
          </w:tcPr>
          <w:p>
            <w:pPr>
              <w:spacing w:after="0"/>
              <w:rPr>
                <w:sz w:val="21"/>
                <w:szCs w:val="21"/>
                <w:color w:val="auto"/>
              </w:rPr>
            </w:pPr>
          </w:p>
        </w:tc>
        <w:tc>
          <w:tcPr>
            <w:tcW w:w="1300" w:type="dxa"/>
            <w:vAlign w:val="bottom"/>
          </w:tcPr>
          <w:p>
            <w:pPr>
              <w:jc w:val="center"/>
              <w:ind w:right="103"/>
              <w:spacing w:after="0"/>
              <w:rPr>
                <w:sz w:val="20"/>
                <w:szCs w:val="20"/>
                <w:color w:val="auto"/>
              </w:rPr>
            </w:pPr>
            <w:r>
              <w:rPr>
                <w:rFonts w:ascii="Arial" w:cs="Arial" w:eastAsia="Arial" w:hAnsi="Arial"/>
                <w:sz w:val="15"/>
                <w:szCs w:val="15"/>
                <w:color w:val="auto"/>
              </w:rPr>
              <w:t>803,000</w:t>
            </w:r>
          </w:p>
        </w:tc>
      </w:tr>
      <w:tr>
        <w:trPr>
          <w:trHeight w:val="265"/>
        </w:trPr>
        <w:tc>
          <w:tcPr>
            <w:tcW w:w="4520" w:type="dxa"/>
            <w:vAlign w:val="bottom"/>
            <w:shd w:val="clear" w:color="auto" w:fill="D1DDE6"/>
          </w:tcPr>
          <w:p>
            <w:pPr>
              <w:ind w:left="20"/>
              <w:spacing w:after="0"/>
              <w:rPr>
                <w:sz w:val="20"/>
                <w:szCs w:val="20"/>
                <w:color w:val="auto"/>
              </w:rPr>
            </w:pPr>
            <w:r>
              <w:rPr>
                <w:rFonts w:ascii="Arial" w:cs="Arial" w:eastAsia="Arial" w:hAnsi="Arial"/>
                <w:sz w:val="15"/>
                <w:szCs w:val="15"/>
                <w:color w:val="auto"/>
              </w:rPr>
              <w:t>Tax-Related Fees (3)</w:t>
            </w:r>
          </w:p>
        </w:tc>
        <w:tc>
          <w:tcPr>
            <w:tcW w:w="3220" w:type="dxa"/>
            <w:vAlign w:val="bottom"/>
            <w:shd w:val="clear" w:color="auto" w:fill="D1DDE6"/>
          </w:tcPr>
          <w:p>
            <w:pPr>
              <w:spacing w:after="0"/>
              <w:rPr>
                <w:sz w:val="23"/>
                <w:szCs w:val="23"/>
                <w:color w:val="auto"/>
              </w:rPr>
            </w:pPr>
          </w:p>
        </w:tc>
        <w:tc>
          <w:tcPr>
            <w:tcW w:w="1480" w:type="dxa"/>
            <w:vAlign w:val="bottom"/>
            <w:shd w:val="clear" w:color="auto" w:fill="D1DDE6"/>
          </w:tcPr>
          <w:p>
            <w:pPr>
              <w:jc w:val="center"/>
              <w:ind w:right="243"/>
              <w:spacing w:after="0"/>
              <w:rPr>
                <w:sz w:val="20"/>
                <w:szCs w:val="20"/>
                <w:color w:val="auto"/>
              </w:rPr>
            </w:pPr>
            <w:r>
              <w:rPr>
                <w:rFonts w:ascii="Arial" w:cs="Arial" w:eastAsia="Arial" w:hAnsi="Arial"/>
                <w:sz w:val="15"/>
                <w:szCs w:val="15"/>
                <w:color w:val="auto"/>
              </w:rPr>
              <w:t>507,000</w:t>
            </w:r>
          </w:p>
        </w:tc>
        <w:tc>
          <w:tcPr>
            <w:tcW w:w="780" w:type="dxa"/>
            <w:vAlign w:val="bottom"/>
            <w:shd w:val="clear" w:color="auto" w:fill="D1DDE6"/>
          </w:tcPr>
          <w:p>
            <w:pPr>
              <w:spacing w:after="0"/>
              <w:rPr>
                <w:sz w:val="23"/>
                <w:szCs w:val="23"/>
                <w:color w:val="auto"/>
              </w:rPr>
            </w:pPr>
          </w:p>
        </w:tc>
        <w:tc>
          <w:tcPr>
            <w:tcW w:w="1300" w:type="dxa"/>
            <w:vAlign w:val="bottom"/>
            <w:shd w:val="clear" w:color="auto" w:fill="D1DDE6"/>
          </w:tcPr>
          <w:p>
            <w:pPr>
              <w:jc w:val="center"/>
              <w:ind w:right="103"/>
              <w:spacing w:after="0"/>
              <w:rPr>
                <w:sz w:val="20"/>
                <w:szCs w:val="20"/>
                <w:color w:val="auto"/>
              </w:rPr>
            </w:pPr>
            <w:r>
              <w:rPr>
                <w:rFonts w:ascii="Arial" w:cs="Arial" w:eastAsia="Arial" w:hAnsi="Arial"/>
                <w:sz w:val="15"/>
                <w:szCs w:val="15"/>
                <w:color w:val="auto"/>
              </w:rPr>
              <w:t>637,000</w:t>
            </w:r>
          </w:p>
        </w:tc>
      </w:tr>
      <w:tr>
        <w:trPr>
          <w:trHeight w:val="247"/>
        </w:trPr>
        <w:tc>
          <w:tcPr>
            <w:tcW w:w="4520" w:type="dxa"/>
            <w:vAlign w:val="bottom"/>
          </w:tcPr>
          <w:p>
            <w:pPr>
              <w:ind w:left="20"/>
              <w:spacing w:after="0"/>
              <w:rPr>
                <w:sz w:val="20"/>
                <w:szCs w:val="20"/>
                <w:color w:val="auto"/>
              </w:rPr>
            </w:pPr>
            <w:r>
              <w:rPr>
                <w:rFonts w:ascii="Arial" w:cs="Arial" w:eastAsia="Arial" w:hAnsi="Arial"/>
                <w:sz w:val="15"/>
                <w:szCs w:val="15"/>
                <w:color w:val="auto"/>
              </w:rPr>
              <w:t>All Other Fees</w:t>
            </w:r>
          </w:p>
        </w:tc>
        <w:tc>
          <w:tcPr>
            <w:tcW w:w="3220" w:type="dxa"/>
            <w:vAlign w:val="bottom"/>
          </w:tcPr>
          <w:p>
            <w:pPr>
              <w:spacing w:after="0"/>
              <w:rPr>
                <w:sz w:val="21"/>
                <w:szCs w:val="21"/>
                <w:color w:val="auto"/>
              </w:rPr>
            </w:pPr>
          </w:p>
        </w:tc>
        <w:tc>
          <w:tcPr>
            <w:tcW w:w="1480" w:type="dxa"/>
            <w:vAlign w:val="bottom"/>
          </w:tcPr>
          <w:p>
            <w:pPr>
              <w:jc w:val="center"/>
              <w:ind w:right="243"/>
              <w:spacing w:after="0"/>
              <w:rPr>
                <w:sz w:val="20"/>
                <w:szCs w:val="20"/>
                <w:color w:val="auto"/>
              </w:rPr>
            </w:pPr>
            <w:r>
              <w:rPr>
                <w:rFonts w:ascii="Arial" w:cs="Arial" w:eastAsia="Arial" w:hAnsi="Arial"/>
                <w:sz w:val="15"/>
                <w:szCs w:val="15"/>
                <w:color w:val="auto"/>
              </w:rPr>
              <w:t>—</w:t>
            </w:r>
          </w:p>
        </w:tc>
        <w:tc>
          <w:tcPr>
            <w:tcW w:w="780" w:type="dxa"/>
            <w:vAlign w:val="bottom"/>
          </w:tcPr>
          <w:p>
            <w:pPr>
              <w:spacing w:after="0"/>
              <w:rPr>
                <w:sz w:val="21"/>
                <w:szCs w:val="21"/>
                <w:color w:val="auto"/>
              </w:rPr>
            </w:pPr>
          </w:p>
        </w:tc>
        <w:tc>
          <w:tcPr>
            <w:tcW w:w="1300" w:type="dxa"/>
            <w:vAlign w:val="bottom"/>
          </w:tcPr>
          <w:p>
            <w:pPr>
              <w:jc w:val="center"/>
              <w:ind w:right="103"/>
              <w:spacing w:after="0"/>
              <w:rPr>
                <w:sz w:val="20"/>
                <w:szCs w:val="20"/>
                <w:color w:val="auto"/>
              </w:rPr>
            </w:pPr>
            <w:r>
              <w:rPr>
                <w:rFonts w:ascii="Arial" w:cs="Arial" w:eastAsia="Arial" w:hAnsi="Arial"/>
                <w:sz w:val="15"/>
                <w:szCs w:val="15"/>
                <w:color w:val="auto"/>
              </w:rPr>
              <w:t>—</w:t>
            </w:r>
          </w:p>
        </w:tc>
      </w:tr>
      <w:tr>
        <w:trPr>
          <w:trHeight w:val="233"/>
        </w:trPr>
        <w:tc>
          <w:tcPr>
            <w:tcW w:w="4520" w:type="dxa"/>
            <w:vAlign w:val="bottom"/>
            <w:tcBorders>
              <w:bottom w:val="single" w:sz="8" w:color="34657F"/>
            </w:tcBorders>
            <w:shd w:val="clear" w:color="auto" w:fill="D1DDE6"/>
          </w:tcPr>
          <w:p>
            <w:pPr>
              <w:ind w:left="20"/>
              <w:spacing w:after="0"/>
              <w:rPr>
                <w:sz w:val="20"/>
                <w:szCs w:val="20"/>
                <w:color w:val="auto"/>
              </w:rPr>
            </w:pPr>
            <w:r>
              <w:rPr>
                <w:rFonts w:ascii="Arial" w:cs="Arial" w:eastAsia="Arial" w:hAnsi="Arial"/>
                <w:sz w:val="15"/>
                <w:szCs w:val="15"/>
                <w:color w:val="auto"/>
              </w:rPr>
              <w:t>Total Fees</w:t>
            </w:r>
          </w:p>
        </w:tc>
        <w:tc>
          <w:tcPr>
            <w:tcW w:w="3220" w:type="dxa"/>
            <w:vAlign w:val="bottom"/>
            <w:tcBorders>
              <w:bottom w:val="single" w:sz="8" w:color="34657F"/>
            </w:tcBorders>
            <w:shd w:val="clear" w:color="auto" w:fill="D1DDE6"/>
          </w:tcPr>
          <w:p>
            <w:pPr>
              <w:jc w:val="right"/>
              <w:ind w:right="103"/>
              <w:spacing w:after="0"/>
              <w:rPr>
                <w:sz w:val="20"/>
                <w:szCs w:val="20"/>
                <w:color w:val="auto"/>
              </w:rPr>
            </w:pPr>
            <w:r>
              <w:rPr>
                <w:rFonts w:ascii="Arial" w:cs="Arial" w:eastAsia="Arial" w:hAnsi="Arial"/>
                <w:sz w:val="15"/>
                <w:szCs w:val="15"/>
                <w:color w:val="auto"/>
              </w:rPr>
              <w:t>$</w:t>
            </w:r>
          </w:p>
        </w:tc>
        <w:tc>
          <w:tcPr>
            <w:tcW w:w="1480" w:type="dxa"/>
            <w:vAlign w:val="bottom"/>
            <w:tcBorders>
              <w:bottom w:val="single" w:sz="8" w:color="34657F"/>
            </w:tcBorders>
            <w:shd w:val="clear" w:color="auto" w:fill="D1DDE6"/>
          </w:tcPr>
          <w:p>
            <w:pPr>
              <w:jc w:val="center"/>
              <w:ind w:right="243"/>
              <w:spacing w:after="0"/>
              <w:rPr>
                <w:sz w:val="20"/>
                <w:szCs w:val="20"/>
                <w:color w:val="auto"/>
              </w:rPr>
            </w:pPr>
            <w:r>
              <w:rPr>
                <w:rFonts w:ascii="Arial" w:cs="Arial" w:eastAsia="Arial" w:hAnsi="Arial"/>
                <w:sz w:val="15"/>
                <w:szCs w:val="15"/>
                <w:color w:val="auto"/>
              </w:rPr>
              <w:t>19,713,500</w:t>
            </w:r>
          </w:p>
        </w:tc>
        <w:tc>
          <w:tcPr>
            <w:tcW w:w="780" w:type="dxa"/>
            <w:vAlign w:val="bottom"/>
            <w:tcBorders>
              <w:bottom w:val="single" w:sz="8" w:color="34657F"/>
            </w:tcBorders>
            <w:shd w:val="clear" w:color="auto" w:fill="D1DDE6"/>
          </w:tcPr>
          <w:p>
            <w:pPr>
              <w:jc w:val="right"/>
              <w:ind w:right="103"/>
              <w:spacing w:after="0"/>
              <w:rPr>
                <w:sz w:val="20"/>
                <w:szCs w:val="20"/>
                <w:color w:val="auto"/>
              </w:rPr>
            </w:pPr>
            <w:r>
              <w:rPr>
                <w:rFonts w:ascii="Arial" w:cs="Arial" w:eastAsia="Arial" w:hAnsi="Arial"/>
                <w:sz w:val="15"/>
                <w:szCs w:val="15"/>
                <w:color w:val="auto"/>
              </w:rPr>
              <w:t>$</w:t>
            </w:r>
          </w:p>
        </w:tc>
        <w:tc>
          <w:tcPr>
            <w:tcW w:w="1300" w:type="dxa"/>
            <w:vAlign w:val="bottom"/>
            <w:tcBorders>
              <w:bottom w:val="single" w:sz="8" w:color="34657F"/>
            </w:tcBorders>
            <w:shd w:val="clear" w:color="auto" w:fill="D1DDE6"/>
          </w:tcPr>
          <w:p>
            <w:pPr>
              <w:jc w:val="center"/>
              <w:ind w:right="83"/>
              <w:spacing w:after="0"/>
              <w:rPr>
                <w:sz w:val="20"/>
                <w:szCs w:val="20"/>
                <w:color w:val="auto"/>
              </w:rPr>
            </w:pPr>
            <w:r>
              <w:rPr>
                <w:rFonts w:ascii="Arial" w:cs="Arial" w:eastAsia="Arial" w:hAnsi="Arial"/>
                <w:sz w:val="15"/>
                <w:szCs w:val="15"/>
                <w:color w:val="auto"/>
              </w:rPr>
              <w:t>16,550,000</w:t>
            </w:r>
          </w:p>
        </w:tc>
      </w:tr>
    </w:tbl>
    <w:p>
      <w:pPr>
        <w:spacing w:after="0" w:line="204" w:lineRule="exact"/>
        <w:rPr>
          <w:sz w:val="20"/>
          <w:szCs w:val="20"/>
          <w:color w:val="auto"/>
        </w:rPr>
      </w:pPr>
    </w:p>
    <w:p>
      <w:pPr>
        <w:ind w:left="380" w:right="120" w:hanging="377"/>
        <w:spacing w:after="0" w:line="253" w:lineRule="auto"/>
        <w:tabs>
          <w:tab w:leader="none" w:pos="380" w:val="left"/>
        </w:tabs>
        <w:numPr>
          <w:ilvl w:val="0"/>
          <w:numId w:val="87"/>
        </w:numPr>
        <w:rPr>
          <w:rFonts w:ascii="Arial" w:cs="Arial" w:eastAsia="Arial" w:hAnsi="Arial"/>
          <w:sz w:val="17"/>
          <w:szCs w:val="17"/>
          <w:color w:val="auto"/>
        </w:rPr>
      </w:pPr>
      <w:r>
        <w:rPr>
          <w:rFonts w:ascii="Arial" w:cs="Arial" w:eastAsia="Arial" w:hAnsi="Arial"/>
          <w:sz w:val="17"/>
          <w:szCs w:val="17"/>
          <w:color w:val="auto"/>
        </w:rPr>
        <w:t xml:space="preserve">Audit fees for 2018 and 2017 reflect fees of $15,400,000 and $12,900,000, respectively, for the consolidated financial statement audits and include the audit of internal controls pursuant to Section 404 of the Sarbanes-Oxley Act of 2002. Audit fees for 2018 and 2017 also include $1,834,000 and $1,544,000, respectively, for foreign statutory audits. Fees for foreign statutory audits are reported in the year in which the audits are performed. For example, foreign statutory audit fees reported in 2018 relate to audits of the Company's foreign entities for the fiscal year ended 2017. The remaining 2018 audit fees primarily relate to audit services associated with the Company's acquisition of Orbital ATK, services associated with the Company's adoption of Accounting Standards Update (ASU) 2014-09, </w:t>
      </w:r>
      <w:r>
        <w:rPr>
          <w:rFonts w:ascii="Arial" w:cs="Arial" w:eastAsia="Arial" w:hAnsi="Arial"/>
          <w:sz w:val="17"/>
          <w:szCs w:val="17"/>
          <w:i w:val="1"/>
          <w:iCs w:val="1"/>
          <w:color w:val="auto"/>
        </w:rPr>
        <w:t>Revenue from Contracts with Customers (Topic 606)</w:t>
      </w:r>
      <w:r>
        <w:rPr>
          <w:rFonts w:ascii="Arial" w:cs="Arial" w:eastAsia="Arial" w:hAnsi="Arial"/>
          <w:sz w:val="17"/>
          <w:szCs w:val="17"/>
          <w:color w:val="auto"/>
        </w:rPr>
        <w:t xml:space="preserve">, and adoption of ASU 2016-02, </w:t>
      </w:r>
      <w:r>
        <w:rPr>
          <w:rFonts w:ascii="Arial" w:cs="Arial" w:eastAsia="Arial" w:hAnsi="Arial"/>
          <w:sz w:val="17"/>
          <w:szCs w:val="17"/>
          <w:i w:val="1"/>
          <w:iCs w:val="1"/>
          <w:color w:val="auto"/>
        </w:rPr>
        <w:t>Leases (Topic 842)</w:t>
      </w:r>
      <w:r>
        <w:rPr>
          <w:rFonts w:ascii="Arial" w:cs="Arial" w:eastAsia="Arial" w:hAnsi="Arial"/>
          <w:sz w:val="17"/>
          <w:szCs w:val="17"/>
          <w:color w:val="auto"/>
        </w:rPr>
        <w:t>, and services associated with the pension accounting method change and Preferability Letter.</w:t>
      </w:r>
    </w:p>
    <w:p>
      <w:pPr>
        <w:spacing w:after="0" w:line="70" w:lineRule="exact"/>
        <w:rPr>
          <w:rFonts w:ascii="Arial" w:cs="Arial" w:eastAsia="Arial" w:hAnsi="Arial"/>
          <w:sz w:val="17"/>
          <w:szCs w:val="17"/>
          <w:color w:val="auto"/>
        </w:rPr>
      </w:pPr>
    </w:p>
    <w:p>
      <w:pPr>
        <w:ind w:left="380" w:right="220" w:hanging="377"/>
        <w:spacing w:after="0" w:line="257" w:lineRule="auto"/>
        <w:tabs>
          <w:tab w:leader="none" w:pos="380" w:val="left"/>
        </w:tabs>
        <w:numPr>
          <w:ilvl w:val="0"/>
          <w:numId w:val="87"/>
        </w:numPr>
        <w:rPr>
          <w:rFonts w:ascii="Arial" w:cs="Arial" w:eastAsia="Arial" w:hAnsi="Arial"/>
          <w:sz w:val="17"/>
          <w:szCs w:val="17"/>
          <w:color w:val="auto"/>
        </w:rPr>
      </w:pPr>
      <w:r>
        <w:rPr>
          <w:rFonts w:ascii="Arial" w:cs="Arial" w:eastAsia="Arial" w:hAnsi="Arial"/>
          <w:sz w:val="17"/>
          <w:szCs w:val="17"/>
          <w:color w:val="auto"/>
        </w:rPr>
        <w:t>Audit-related fees reflect fees for services that are reasonably related to the performance of the audit or review of the Company's financial statements, including fees related to independent assessment of controls concerning outsourcing activities. Audit-related fees exclude fees that totaled $1,377,000 and $1,423,000 for 2018 and 2017, respectively, related to benefit plan audits which are paid for by the plans.</w:t>
      </w:r>
    </w:p>
    <w:p>
      <w:pPr>
        <w:spacing w:after="0" w:line="64" w:lineRule="exact"/>
        <w:rPr>
          <w:rFonts w:ascii="Arial" w:cs="Arial" w:eastAsia="Arial" w:hAnsi="Arial"/>
          <w:sz w:val="17"/>
          <w:szCs w:val="17"/>
          <w:color w:val="auto"/>
        </w:rPr>
      </w:pPr>
    </w:p>
    <w:p>
      <w:pPr>
        <w:ind w:left="380" w:right="900" w:hanging="377"/>
        <w:spacing w:after="0" w:line="263" w:lineRule="auto"/>
        <w:tabs>
          <w:tab w:leader="none" w:pos="380" w:val="left"/>
        </w:tabs>
        <w:numPr>
          <w:ilvl w:val="0"/>
          <w:numId w:val="87"/>
        </w:numPr>
        <w:rPr>
          <w:rFonts w:ascii="Arial" w:cs="Arial" w:eastAsia="Arial" w:hAnsi="Arial"/>
          <w:sz w:val="17"/>
          <w:szCs w:val="17"/>
          <w:color w:val="auto"/>
        </w:rPr>
      </w:pPr>
      <w:r>
        <w:rPr>
          <w:rFonts w:ascii="Arial" w:cs="Arial" w:eastAsia="Arial" w:hAnsi="Arial"/>
          <w:sz w:val="17"/>
          <w:szCs w:val="17"/>
          <w:color w:val="auto"/>
        </w:rPr>
        <w:t>Tax-related fees during 2018 and 2017 reflect fees of $507,000 and $637,000, respectively, for services concerning foreign income tax compliance, foreign Value Added Tax compliance and other tax matters.</w:t>
      </w:r>
    </w:p>
    <w:p>
      <w:pPr>
        <w:spacing w:after="0" w:line="185" w:lineRule="exact"/>
        <w:rPr>
          <w:sz w:val="20"/>
          <w:szCs w:val="20"/>
          <w:color w:val="auto"/>
        </w:rPr>
      </w:pPr>
    </w:p>
    <w:p>
      <w:pPr>
        <w:ind w:left="20"/>
        <w:spacing w:after="0"/>
        <w:rPr>
          <w:sz w:val="20"/>
          <w:szCs w:val="20"/>
          <w:color w:val="auto"/>
        </w:rPr>
      </w:pPr>
      <w:r>
        <w:rPr>
          <w:rFonts w:ascii="Arial" w:cs="Arial" w:eastAsia="Arial" w:hAnsi="Arial"/>
          <w:sz w:val="24"/>
          <w:szCs w:val="24"/>
          <w:b w:val="1"/>
          <w:bCs w:val="1"/>
          <w:color w:val="auto"/>
        </w:rPr>
        <w:t>Policy on Audit Committee Pre-Approval of Audit and Permissible Non-Audit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38100</wp:posOffset>
            </wp:positionV>
            <wp:extent cx="7253605" cy="1651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pacing w:after="0" w:line="116" w:lineRule="exact"/>
        <w:rPr>
          <w:sz w:val="20"/>
          <w:szCs w:val="20"/>
          <w:color w:val="auto"/>
        </w:rPr>
      </w:pPr>
    </w:p>
    <w:p>
      <w:pPr>
        <w:jc w:val="both"/>
        <w:ind w:right="340"/>
        <w:spacing w:after="0" w:line="257" w:lineRule="auto"/>
        <w:rPr>
          <w:sz w:val="20"/>
          <w:szCs w:val="20"/>
          <w:color w:val="auto"/>
        </w:rPr>
      </w:pPr>
      <w:r>
        <w:rPr>
          <w:rFonts w:ascii="Arial" w:cs="Arial" w:eastAsia="Arial" w:hAnsi="Arial"/>
          <w:sz w:val="17"/>
          <w:szCs w:val="17"/>
          <w:color w:val="auto"/>
        </w:rPr>
        <w:t>It is the Audit Committee's policy to pre-approve all audit and permitted non-audit services provided by our independent auditor in order to provide reasonable assurance that the provision of these services does not impair the auditor's independence. Pre-approval may be given at any time. The Audit Committee has delegated pre-approval authority for any individual project up to $100,000 to the Chairperson of the Audit Committee.</w:t>
      </w:r>
    </w:p>
    <w:p>
      <w:pPr>
        <w:spacing w:after="0" w:line="64"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The decisions of the Chairperson to pre-approve a permitted service are reported to the Audit Committee at its next meeting. The independent auditor is required to periodically report to the full Audit Committee regarding the extent of services provided by the independent auditor in accordance with this pre-approval policy, as well as the fees for the services performed to date.</w:t>
      </w:r>
    </w:p>
    <w:p>
      <w:pPr>
        <w:spacing w:after="0" w:line="300" w:lineRule="exact"/>
        <w:rPr>
          <w:sz w:val="20"/>
          <w:szCs w:val="20"/>
          <w:color w:val="auto"/>
        </w:rPr>
      </w:pPr>
    </w:p>
    <w:p>
      <w:pPr>
        <w:jc w:val="right"/>
        <w:spacing w:after="0"/>
        <w:rPr>
          <w:sz w:val="20"/>
          <w:szCs w:val="20"/>
          <w:color w:val="auto"/>
        </w:rPr>
      </w:pPr>
      <w:r>
        <w:rPr>
          <w:rFonts w:ascii="Arial" w:cs="Arial" w:eastAsia="Arial" w:hAnsi="Arial"/>
          <w:sz w:val="14"/>
          <w:szCs w:val="14"/>
          <w:color w:val="34657F"/>
        </w:rPr>
        <w:t xml:space="preserve">NOTICE OF 2019 ANNUAL MEETING OF SHAREHOLDERS AND PROXY STATEMENT </w:t>
      </w:r>
      <w:r>
        <w:rPr>
          <w:rFonts w:ascii="Arial" w:cs="Arial" w:eastAsia="Arial" w:hAnsi="Arial"/>
          <w:sz w:val="14"/>
          <w:szCs w:val="14"/>
          <w:color w:val="000000"/>
        </w:rPr>
        <w:t>I 69</w:t>
      </w:r>
    </w:p>
    <w:p>
      <w:pPr>
        <w:sectPr>
          <w:pgSz w:w="11900" w:h="16838" w:orient="portrait"/>
          <w:cols w:equalWidth="0" w:num="1">
            <w:col w:w="11420"/>
          </w:cols>
          <w:pgMar w:left="240" w:top="543" w:right="239" w:bottom="1440" w:gutter="0" w:footer="0" w:header="0"/>
        </w:sectPr>
      </w:pPr>
    </w:p>
    <w:bookmarkStart w:id="75" w:name="page76"/>
    <w:bookmarkEnd w:id="75"/>
    <w:p>
      <w:pPr>
        <w:ind w:left="20"/>
        <w:spacing w:after="0"/>
        <w:rPr>
          <w:sz w:val="20"/>
          <w:szCs w:val="20"/>
          <w:color w:val="auto"/>
        </w:rPr>
      </w:pPr>
      <w:r>
        <w:rPr>
          <w:rFonts w:ascii="Arial" w:cs="Arial" w:eastAsia="Arial" w:hAnsi="Arial"/>
          <w:sz w:val="21"/>
          <w:szCs w:val="21"/>
          <w:b w:val="1"/>
          <w:bCs w:val="1"/>
          <w:color w:val="FFFFFF"/>
        </w:rPr>
        <w:t>PROPOSAL THREE: RATIFICATION OF APPOINTMENT OF INDEPENDENT AUDITOR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-148590</wp:posOffset>
            </wp:positionV>
            <wp:extent cx="7253605" cy="17907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53605" cy="179070"/>
                    </a:xfrm>
                    <a:prstGeom prst="rect">
                      <a:avLst/>
                    </a:prstGeom>
                    <a:noFill/>
                  </pic:spPr>
                </pic:pic>
              </a:graphicData>
            </a:graphic>
          </wp:anchor>
        </w:drawing>
      </w:r>
    </w:p>
    <w:p>
      <w:pPr>
        <w:spacing w:after="0" w:line="257" w:lineRule="exact"/>
        <w:rPr>
          <w:sz w:val="20"/>
          <w:szCs w:val="20"/>
          <w:color w:val="auto"/>
        </w:rPr>
      </w:pPr>
    </w:p>
    <w:p>
      <w:pPr>
        <w:ind w:right="140"/>
        <w:spacing w:after="0" w:line="263" w:lineRule="auto"/>
        <w:rPr>
          <w:sz w:val="20"/>
          <w:szCs w:val="20"/>
          <w:color w:val="auto"/>
        </w:rPr>
      </w:pPr>
      <w:r>
        <w:rPr>
          <w:rFonts w:ascii="Arial" w:cs="Arial" w:eastAsia="Arial" w:hAnsi="Arial"/>
          <w:sz w:val="17"/>
          <w:szCs w:val="17"/>
          <w:color w:val="auto"/>
        </w:rPr>
        <w:t>The Audit Committee approved all audit and non-audit services provided by Deloitte, the member firms of Deloitte Touche Tohmatsu Limited and their respective affiliates during 2018 and 2017, in each case before being engaged to provide those services.</w:t>
      </w:r>
    </w:p>
    <w:p>
      <w:pPr>
        <w:spacing w:after="0" w:line="3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Vote Required</w:t>
      </w:r>
    </w:p>
    <w:p>
      <w:pPr>
        <w:spacing w:after="0" w:line="103"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Approval of this proposal requires that the votes cast "for" the proposal exceed the votes cast "against" the proposal. Abstentions and broker non-votes will have no effect on this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119380</wp:posOffset>
            </wp:positionV>
            <wp:extent cx="7270115" cy="2114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70115" cy="211455"/>
                    </a:xfrm>
                    <a:prstGeom prst="rect">
                      <a:avLst/>
                    </a:prstGeom>
                    <a:noFill/>
                  </pic:spPr>
                </pic:pic>
              </a:graphicData>
            </a:graphic>
          </wp:anchor>
        </w:drawing>
      </w: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34657F"/>
        </w:rPr>
        <w:t>THE BOARD OF DIRECTORS UNANIMOUSLY RECOMMENDS THAT YOU VOTE "FOR" PROPOSAL THREE.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70 </w:t>
      </w:r>
      <w:r>
        <w:rPr>
          <w:rFonts w:ascii="Arial" w:cs="Arial" w:eastAsia="Arial" w:hAnsi="Arial"/>
          <w:sz w:val="13"/>
          <w:szCs w:val="13"/>
          <w:color w:val="auto"/>
        </w:rPr>
        <w:t>I</w:t>
      </w:r>
      <w:r>
        <w:rPr>
          <w:rFonts w:ascii="Arial" w:cs="Arial" w:eastAsia="Arial" w:hAnsi="Arial"/>
          <w:sz w:val="17"/>
          <w:szCs w:val="17"/>
          <w:color w:val="auto"/>
        </w:rPr>
        <w:t xml:space="preserve"> </w:t>
      </w:r>
      <w:r>
        <w:rPr>
          <w:rFonts w:ascii="Arial" w:cs="Arial" w:eastAsia="Arial" w:hAnsi="Arial"/>
          <w:sz w:val="13"/>
          <w:szCs w:val="13"/>
          <w:color w:val="34657F"/>
        </w:rPr>
        <w:t>NOTICE OF 2019 ANNUAL MEETING OF SHAREHOLDERS AND PROXY STATEMENT</w:t>
      </w:r>
    </w:p>
    <w:p>
      <w:pPr>
        <w:sectPr>
          <w:pgSz w:w="11900" w:h="16838" w:orient="portrait"/>
          <w:cols w:equalWidth="0" w:num="1">
            <w:col w:w="11400"/>
          </w:cols>
          <w:pgMar w:left="240" w:top="543" w:right="259" w:bottom="1440" w:gutter="0" w:footer="0" w:header="0"/>
        </w:sectPr>
      </w:pPr>
    </w:p>
    <w:bookmarkStart w:id="76" w:name="page77"/>
    <w:bookmarkEnd w:id="76"/>
    <w:p>
      <w:pPr>
        <w:ind w:left="20"/>
        <w:spacing w:after="0"/>
        <w:rPr>
          <w:sz w:val="20"/>
          <w:szCs w:val="20"/>
          <w:color w:val="auto"/>
        </w:rPr>
      </w:pPr>
      <w:r>
        <w:rPr>
          <w:rFonts w:ascii="Arial" w:cs="Arial" w:eastAsia="Arial" w:hAnsi="Arial"/>
          <w:sz w:val="21"/>
          <w:szCs w:val="21"/>
          <w:b w:val="1"/>
          <w:bCs w:val="1"/>
          <w:color w:val="FFFFFF"/>
          <w:shd w:val="clear" w:color="auto" w:fill="33647F"/>
        </w:rPr>
        <w:drawing>
          <wp:anchor simplePos="0" relativeHeight="251657728" behindDoc="1" locked="0" layoutInCell="0" allowOverlap="1">
            <wp:simplePos x="0" y="0"/>
            <wp:positionH relativeFrom="page">
              <wp:posOffset>154305</wp:posOffset>
            </wp:positionH>
            <wp:positionV relativeFrom="page">
              <wp:posOffset>365760</wp:posOffset>
            </wp:positionV>
            <wp:extent cx="7253605" cy="58610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53605" cy="586105"/>
                    </a:xfrm>
                    <a:prstGeom prst="rect">
                      <a:avLst/>
                    </a:prstGeom>
                    <a:noFill/>
                  </pic:spPr>
                </pic:pic>
              </a:graphicData>
            </a:graphic>
          </wp:anchor>
        </w:drawing>
        <w:t>AUDIT COMMITTEE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40"/>
        <w:spacing w:after="0" w:line="255" w:lineRule="auto"/>
        <w:rPr>
          <w:sz w:val="20"/>
          <w:szCs w:val="20"/>
          <w:color w:val="auto"/>
        </w:rPr>
      </w:pPr>
      <w:r>
        <w:rPr>
          <w:rFonts w:ascii="Arial" w:cs="Arial" w:eastAsia="Arial" w:hAnsi="Arial"/>
          <w:sz w:val="17"/>
          <w:szCs w:val="17"/>
          <w:color w:val="auto"/>
        </w:rPr>
        <w:t>The Audit Committee of the Board of Directors is responsible for assisting the Board of Directors in fulfilling its oversight responsibilities over the Company's accounting, auditing and financial reporting processes and financial risk assessment and management process, and for monitoring compliance with certain regulatory and compliance matters. The Audit Committee's written charter describes the Audit Committee's responsibilities and has been approved by the Board of Directors.</w:t>
      </w:r>
    </w:p>
    <w:p>
      <w:pPr>
        <w:spacing w:after="0" w:line="67" w:lineRule="exact"/>
        <w:rPr>
          <w:sz w:val="20"/>
          <w:szCs w:val="20"/>
          <w:color w:val="auto"/>
        </w:rPr>
      </w:pPr>
    </w:p>
    <w:p>
      <w:pPr>
        <w:ind w:right="780"/>
        <w:spacing w:after="0" w:line="263" w:lineRule="auto"/>
        <w:rPr>
          <w:sz w:val="20"/>
          <w:szCs w:val="20"/>
          <w:color w:val="auto"/>
        </w:rPr>
      </w:pPr>
      <w:r>
        <w:rPr>
          <w:rFonts w:ascii="Arial" w:cs="Arial" w:eastAsia="Arial" w:hAnsi="Arial"/>
          <w:sz w:val="17"/>
          <w:szCs w:val="17"/>
          <w:color w:val="auto"/>
        </w:rPr>
        <w:t>Management is responsible for preparing the Company's financial statements and for the financial reporting process, including evaluating the effectiveness of the Company's disclosure controls and procedures and internal control over financial reporting.</w:t>
      </w:r>
    </w:p>
    <w:p>
      <w:pPr>
        <w:spacing w:after="0" w:line="59" w:lineRule="exact"/>
        <w:rPr>
          <w:sz w:val="20"/>
          <w:szCs w:val="20"/>
          <w:color w:val="auto"/>
        </w:rPr>
      </w:pPr>
    </w:p>
    <w:p>
      <w:pPr>
        <w:ind w:right="740"/>
        <w:spacing w:after="0" w:line="257" w:lineRule="auto"/>
        <w:rPr>
          <w:sz w:val="20"/>
          <w:szCs w:val="20"/>
          <w:color w:val="auto"/>
        </w:rPr>
      </w:pPr>
      <w:r>
        <w:rPr>
          <w:rFonts w:ascii="Arial" w:cs="Arial" w:eastAsia="Arial" w:hAnsi="Arial"/>
          <w:sz w:val="17"/>
          <w:szCs w:val="17"/>
          <w:color w:val="auto"/>
        </w:rPr>
        <w:t>Deloitte &amp; Touche LLP (Deloitte), the Company's independent auditor, is responsible for performing an independent audit of the Company's consolidated financial statements and expressing an opinion on the conformity of the financial statements with accounting principles generally accepted in the United States of America, and on the effectiveness of the Company's internal control over financial reporting.</w:t>
      </w:r>
    </w:p>
    <w:p>
      <w:pPr>
        <w:spacing w:after="0" w:line="64" w:lineRule="exact"/>
        <w:rPr>
          <w:sz w:val="20"/>
          <w:szCs w:val="20"/>
          <w:color w:val="auto"/>
        </w:rPr>
      </w:pPr>
    </w:p>
    <w:p>
      <w:pPr>
        <w:ind w:right="80"/>
        <w:spacing w:after="0" w:line="253" w:lineRule="auto"/>
        <w:rPr>
          <w:sz w:val="20"/>
          <w:szCs w:val="20"/>
          <w:color w:val="auto"/>
        </w:rPr>
      </w:pPr>
      <w:r>
        <w:rPr>
          <w:rFonts w:ascii="Arial" w:cs="Arial" w:eastAsia="Arial" w:hAnsi="Arial"/>
          <w:sz w:val="17"/>
          <w:szCs w:val="17"/>
          <w:color w:val="auto"/>
        </w:rPr>
        <w:t>In connection with the preparation of the Company's financial statements as of and for the year ended December 31, 2018, the Audit Committee reviewed and discussed the audited financial statements with the Company's Chief Executive Officer, Chief Financial Officer and Deloitte. The Audit Committee also discussed with Deloitte the communications required under applicable professional auditing standards and regulations, including the matters required to be discussed by Auditing Standard No. 1301, Communications with Audit Committees, as adopted by the Public Company Accounting Oversight Board (PCAOB) and, with and without management present, discussed and reviewed the results of Deloitte's examination of the financial statements. Additionally, the Audit Committee discussed with the Company's internal auditors the results of their audits completed during 2018.</w:t>
      </w:r>
    </w:p>
    <w:p>
      <w:pPr>
        <w:spacing w:after="0" w:line="70" w:lineRule="exact"/>
        <w:rPr>
          <w:sz w:val="20"/>
          <w:szCs w:val="20"/>
          <w:color w:val="auto"/>
        </w:rPr>
      </w:pPr>
    </w:p>
    <w:p>
      <w:pPr>
        <w:ind w:right="100"/>
        <w:spacing w:after="0" w:line="257" w:lineRule="auto"/>
        <w:rPr>
          <w:sz w:val="20"/>
          <w:szCs w:val="20"/>
          <w:color w:val="auto"/>
        </w:rPr>
      </w:pPr>
      <w:r>
        <w:rPr>
          <w:rFonts w:ascii="Arial" w:cs="Arial" w:eastAsia="Arial" w:hAnsi="Arial"/>
          <w:sz w:val="17"/>
          <w:szCs w:val="17"/>
          <w:color w:val="auto"/>
        </w:rPr>
        <w:t>The Audit Committee received the written disclosures and the letter from Deloitte required by the applicable requirements of the PCAOB regarding the independent auditor's communications with the Audit Committee concerning independence. In addition, the Audit Committee discussed with Deloitte that firm's independence from the Company.</w:t>
      </w:r>
    </w:p>
    <w:p>
      <w:pPr>
        <w:spacing w:after="0" w:line="64" w:lineRule="exact"/>
        <w:rPr>
          <w:sz w:val="20"/>
          <w:szCs w:val="20"/>
          <w:color w:val="auto"/>
        </w:rPr>
      </w:pPr>
    </w:p>
    <w:p>
      <w:pPr>
        <w:ind w:right="100"/>
        <w:spacing w:after="0" w:line="255" w:lineRule="auto"/>
        <w:rPr>
          <w:sz w:val="20"/>
          <w:szCs w:val="20"/>
          <w:color w:val="auto"/>
        </w:rPr>
      </w:pPr>
      <w:r>
        <w:rPr>
          <w:rFonts w:ascii="Arial" w:cs="Arial" w:eastAsia="Arial" w:hAnsi="Arial"/>
          <w:sz w:val="17"/>
          <w:szCs w:val="17"/>
          <w:color w:val="auto"/>
        </w:rPr>
        <w:t>Based on the Audit Committee's review and discussions described in this report, the Audit Committee recommended to the Board of Directors that the audited financial statements for the year ended December 31, 2018 be included in the Company's Annual Report on Form 10-K for the year ended December 31, 2018 for filing with the SEC. The Audit Committee also reappointed Deloitte to serve as the Company's independent auditor for 2019, and requested that this appointment be submitted to shareholders for ratification at the Annual Meeting.</w:t>
      </w:r>
    </w:p>
    <w:p>
      <w:pPr>
        <w:spacing w:after="0" w:line="48"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AUDIT COMMITTEE</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WILLIAM H. HERNANDEZ, CHAIRPERSON</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ANN M. FUDGE</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MADELEINE A. KLEINER</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JAMES S. TURLEY</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MARK A. WELSH III</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right"/>
        <w:spacing w:after="0"/>
        <w:rPr>
          <w:sz w:val="20"/>
          <w:szCs w:val="20"/>
          <w:color w:val="auto"/>
        </w:rPr>
      </w:pPr>
      <w:r>
        <w:rPr>
          <w:rFonts w:ascii="Arial" w:cs="Arial" w:eastAsia="Arial" w:hAnsi="Arial"/>
          <w:sz w:val="14"/>
          <w:szCs w:val="14"/>
          <w:color w:val="34657F"/>
        </w:rPr>
        <w:t xml:space="preserve">NOTICE OF 2019 ANNUAL MEETING OF SHAREHOLDERS AND PROXY STATEMENT </w:t>
      </w:r>
      <w:r>
        <w:rPr>
          <w:rFonts w:ascii="Arial" w:cs="Arial" w:eastAsia="Arial" w:hAnsi="Arial"/>
          <w:sz w:val="14"/>
          <w:szCs w:val="14"/>
          <w:color w:val="000000"/>
        </w:rPr>
        <w:t>I 71</w:t>
      </w:r>
    </w:p>
    <w:p>
      <w:pPr>
        <w:sectPr>
          <w:pgSz w:w="11900" w:h="16838" w:orient="portrait"/>
          <w:cols w:equalWidth="0" w:num="1">
            <w:col w:w="11420"/>
          </w:cols>
          <w:pgMar w:left="240" w:top="671" w:right="239" w:bottom="1440" w:gutter="0" w:footer="0" w:header="0"/>
        </w:sectPr>
      </w:pPr>
    </w:p>
    <w:bookmarkStart w:id="77" w:name="page78"/>
    <w:bookmarkEnd w:id="77"/>
    <w:p>
      <w:pPr>
        <w:ind w:left="20"/>
        <w:spacing w:after="0"/>
        <w:rPr>
          <w:sz w:val="20"/>
          <w:szCs w:val="20"/>
          <w:color w:val="auto"/>
        </w:rPr>
      </w:pPr>
      <w:r>
        <w:rPr>
          <w:rFonts w:ascii="Arial" w:cs="Arial" w:eastAsia="Arial" w:hAnsi="Arial"/>
          <w:sz w:val="21"/>
          <w:szCs w:val="21"/>
          <w:b w:val="1"/>
          <w:bCs w:val="1"/>
          <w:color w:val="FFFFFF"/>
        </w:rPr>
        <w:drawing>
          <wp:anchor simplePos="0" relativeHeight="251657728" behindDoc="1" locked="0" layoutInCell="0" allowOverlap="1">
            <wp:simplePos x="0" y="0"/>
            <wp:positionH relativeFrom="page">
              <wp:posOffset>154305</wp:posOffset>
            </wp:positionH>
            <wp:positionV relativeFrom="page">
              <wp:posOffset>365760</wp:posOffset>
            </wp:positionV>
            <wp:extent cx="7253605" cy="3092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53605" cy="309245"/>
                    </a:xfrm>
                    <a:prstGeom prst="rect">
                      <a:avLst/>
                    </a:prstGeom>
                    <a:noFill/>
                  </pic:spPr>
                </pic:pic>
              </a:graphicData>
            </a:graphic>
          </wp:anchor>
        </w:drawing>
        <w:t>PROPOSAL FOUR: SHAREHOLDER PROPOSAL</w:t>
      </w:r>
    </w:p>
    <w:p>
      <w:pPr>
        <w:spacing w:after="0" w:line="380" w:lineRule="exact"/>
        <w:rPr>
          <w:sz w:val="20"/>
          <w:szCs w:val="20"/>
          <w:color w:val="auto"/>
        </w:rPr>
      </w:pPr>
    </w:p>
    <w:p>
      <w:pPr>
        <w:spacing w:after="0" w:line="254" w:lineRule="auto"/>
        <w:rPr>
          <w:sz w:val="20"/>
          <w:szCs w:val="20"/>
          <w:color w:val="auto"/>
        </w:rPr>
      </w:pPr>
      <w:r>
        <w:rPr>
          <w:rFonts w:ascii="Arial" w:cs="Arial" w:eastAsia="Arial" w:hAnsi="Arial"/>
          <w:sz w:val="17"/>
          <w:szCs w:val="17"/>
          <w:color w:val="auto"/>
        </w:rPr>
        <w:t>The Sisters of St. Dominic of Caldwell New Jersey, 75 South Fullerton Avenue, Montclair, NJ 07042, a beneficial owner of 137 shares of common stock of the Company, the Sisters of St. Francis of Philadelphia, 609 S. Convent Road, Aston, PA 19014, a beneficial owner of 46 shares of common stock of the Company, and the School Sisters of Notre Dame Cooperative Investment Fund, 345 Belden Hill Road, Wilton, CT 06897, a beneficial owner of 88 shares of common stock of the Company, the co-proponents of a shareholder proposal, have each stated that it intends to present a proposal at the Annual Meeting. The proposal and supporting statement, for which the Board of Directors accepts no responsibility, is set forth below. The Board of Directors opposes the shareholder proposal for the reasons stated below.</w:t>
      </w:r>
    </w:p>
    <w:p>
      <w:pPr>
        <w:spacing w:after="0" w:line="193" w:lineRule="exact"/>
        <w:rPr>
          <w:sz w:val="20"/>
          <w:szCs w:val="20"/>
          <w:color w:val="auto"/>
        </w:rPr>
      </w:pPr>
    </w:p>
    <w:p>
      <w:pPr>
        <w:ind w:left="20"/>
        <w:spacing w:after="0"/>
        <w:rPr>
          <w:sz w:val="20"/>
          <w:szCs w:val="20"/>
          <w:color w:val="auto"/>
        </w:rPr>
      </w:pPr>
      <w:r>
        <w:rPr>
          <w:rFonts w:ascii="Arial" w:cs="Arial" w:eastAsia="Arial" w:hAnsi="Arial"/>
          <w:sz w:val="24"/>
          <w:szCs w:val="24"/>
          <w:b w:val="1"/>
          <w:bCs w:val="1"/>
          <w:color w:val="auto"/>
        </w:rPr>
        <w:t>Proposal Four: Shareholder Proposal Regarding Human Rights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38100</wp:posOffset>
            </wp:positionV>
            <wp:extent cx="7253605" cy="1651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Report on Implementation of Human Rights Policy</w:t>
      </w:r>
    </w:p>
    <w:p>
      <w:pPr>
        <w:spacing w:after="0" w:line="2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2019 - Northrop Grumman Corporation</w:t>
      </w:r>
    </w:p>
    <w:p>
      <w:pPr>
        <w:spacing w:after="0" w:line="67" w:lineRule="exact"/>
        <w:rPr>
          <w:sz w:val="20"/>
          <w:szCs w:val="20"/>
          <w:color w:val="auto"/>
        </w:rPr>
      </w:pPr>
    </w:p>
    <w:p>
      <w:pPr>
        <w:ind w:right="100"/>
        <w:spacing w:after="0" w:line="260"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Corporations have a responsibility to respect human rights within company-owned operations and through business relationships under the</w:t>
      </w:r>
      <w:r>
        <w:rPr>
          <w:rFonts w:ascii="Arial" w:cs="Arial" w:eastAsia="Arial" w:hAnsi="Arial"/>
          <w:sz w:val="17"/>
          <w:szCs w:val="17"/>
          <w:b w:val="1"/>
          <w:bCs w:val="1"/>
          <w:color w:val="auto"/>
        </w:rPr>
        <w:t xml:space="preserve"> </w:t>
      </w:r>
      <w:r>
        <w:rPr>
          <w:rFonts w:ascii="Arial" w:cs="Arial" w:eastAsia="Arial" w:hAnsi="Arial"/>
          <w:sz w:val="17"/>
          <w:szCs w:val="17"/>
          <w:color w:val="auto"/>
        </w:rPr>
        <w:t>UN Guiding Principles on Business and Human Rights (UNGPs). To meet this responsibility, companies are expected to conduct human rights due diligence to assess, identify, prevent, mitigate, and remedy adverse human rights impacts. Due diligence should address any human rights impacts a company causes or contributes to through its own business activities and those which are directly linked to its products or services. Meaningful implementation of a human rights policy requires effective due diligence systems.</w:t>
      </w:r>
    </w:p>
    <w:p>
      <w:pPr>
        <w:spacing w:after="0" w:line="64" w:lineRule="exact"/>
        <w:rPr>
          <w:sz w:val="20"/>
          <w:szCs w:val="20"/>
          <w:color w:val="auto"/>
        </w:rPr>
      </w:pPr>
    </w:p>
    <w:p>
      <w:pPr>
        <w:ind w:right="20"/>
        <w:spacing w:after="0" w:line="255" w:lineRule="auto"/>
        <w:rPr>
          <w:sz w:val="20"/>
          <w:szCs w:val="20"/>
          <w:color w:val="auto"/>
        </w:rPr>
      </w:pPr>
      <w:r>
        <w:rPr>
          <w:rFonts w:ascii="Arial" w:cs="Arial" w:eastAsia="Arial" w:hAnsi="Arial"/>
          <w:sz w:val="17"/>
          <w:szCs w:val="17"/>
          <w:color w:val="auto"/>
        </w:rPr>
        <w:t>Northrop Grumman is the third largest government contractor in the United States, and the U.S. Government accounts for 85% of the company’s 2017 sales. Developing products and services for the Department of Defense (DoD), the Intelligence Community, and other agencies whose activities may be linked to human rights violations may expose Northrop Grumman to legal, financial, and reputational risks. Therefore, it is essential for the company to conduct human rights due diligence to evaluate and mitigate human rights risks associated with its government contracts.</w:t>
      </w:r>
    </w:p>
    <w:p>
      <w:pPr>
        <w:spacing w:after="0" w:line="67" w:lineRule="exact"/>
        <w:rPr>
          <w:sz w:val="20"/>
          <w:szCs w:val="20"/>
          <w:color w:val="auto"/>
        </w:rPr>
      </w:pPr>
    </w:p>
    <w:p>
      <w:pPr>
        <w:ind w:right="40"/>
        <w:spacing w:after="0" w:line="253" w:lineRule="auto"/>
        <w:rPr>
          <w:sz w:val="20"/>
          <w:szCs w:val="20"/>
          <w:color w:val="auto"/>
        </w:rPr>
      </w:pPr>
      <w:r>
        <w:rPr>
          <w:rFonts w:ascii="Arial" w:cs="Arial" w:eastAsia="Arial" w:hAnsi="Arial"/>
          <w:sz w:val="17"/>
          <w:szCs w:val="17"/>
          <w:color w:val="auto"/>
        </w:rPr>
        <w:t>In February 2018, Northrop Grumman was awarded a $95 million contract with the Department of Homeland Security’s (DHS) Office of Biometric Identity Management to develop technology for the Homeland Advanced Recognition Technology (HART) database.</w:t>
      </w:r>
      <w:r>
        <w:rPr>
          <w:rFonts w:ascii="Arial" w:cs="Arial" w:eastAsia="Arial" w:hAnsi="Arial"/>
          <w:sz w:val="14"/>
          <w:szCs w:val="14"/>
          <w:color w:val="auto"/>
        </w:rPr>
        <w:t>1</w:t>
      </w:r>
      <w:r>
        <w:rPr>
          <w:rFonts w:ascii="Arial" w:cs="Arial" w:eastAsia="Arial" w:hAnsi="Arial"/>
          <w:sz w:val="17"/>
          <w:szCs w:val="17"/>
          <w:color w:val="auto"/>
        </w:rPr>
        <w:t xml:space="preserve"> This database will expand the capacity of DHS to collect, store, and share biometric data, such as facial images, fingerprints, iris images, and voice, as well as biographical data, including personal identification numbers, citizenship status, and nationality.</w:t>
      </w:r>
      <w:r>
        <w:rPr>
          <w:rFonts w:ascii="Arial" w:cs="Arial" w:eastAsia="Arial" w:hAnsi="Arial"/>
          <w:sz w:val="14"/>
          <w:szCs w:val="14"/>
          <w:color w:val="auto"/>
        </w:rPr>
        <w:t>2</w:t>
      </w:r>
      <w:r>
        <w:rPr>
          <w:rFonts w:ascii="Arial" w:cs="Arial" w:eastAsia="Arial" w:hAnsi="Arial"/>
          <w:sz w:val="17"/>
          <w:szCs w:val="17"/>
          <w:color w:val="auto"/>
        </w:rPr>
        <w:t xml:space="preserve"> There are concerns that the algorithms used to identify facial images that may be stored in the database have inherent racial bias.</w:t>
      </w:r>
      <w:r>
        <w:rPr>
          <w:rFonts w:ascii="Arial" w:cs="Arial" w:eastAsia="Arial" w:hAnsi="Arial"/>
          <w:sz w:val="14"/>
          <w:szCs w:val="14"/>
          <w:color w:val="auto"/>
        </w:rPr>
        <w:t>3</w:t>
      </w:r>
      <w:r>
        <w:rPr>
          <w:rFonts w:ascii="Arial" w:cs="Arial" w:eastAsia="Arial" w:hAnsi="Arial"/>
          <w:sz w:val="17"/>
          <w:szCs w:val="17"/>
          <w:color w:val="auto"/>
        </w:rPr>
        <w:t xml:space="preserve"> The HART database will amplify the surveillance capabilities of government agencies, presenting risks to privacy and First Amendment rights and causing harm to immigrant communities. Through the provision of services through the DHS contract, Northrop Grumman may be linked or contribute to these adverse human rights impacts.</w:t>
      </w:r>
    </w:p>
    <w:p>
      <w:pPr>
        <w:spacing w:after="0" w:line="70" w:lineRule="exact"/>
        <w:rPr>
          <w:sz w:val="20"/>
          <w:szCs w:val="20"/>
          <w:color w:val="auto"/>
        </w:rPr>
      </w:pPr>
    </w:p>
    <w:p>
      <w:pPr>
        <w:ind w:right="280"/>
        <w:spacing w:after="0" w:line="255" w:lineRule="auto"/>
        <w:rPr>
          <w:sz w:val="20"/>
          <w:szCs w:val="20"/>
          <w:color w:val="auto"/>
        </w:rPr>
      </w:pPr>
      <w:r>
        <w:rPr>
          <w:rFonts w:ascii="Arial" w:cs="Arial" w:eastAsia="Arial" w:hAnsi="Arial"/>
          <w:sz w:val="17"/>
          <w:szCs w:val="17"/>
          <w:color w:val="auto"/>
        </w:rPr>
        <w:t>While Northrop Grumman adopted a Human Rights Policy in 2013, it does not disclose how the policy is operationalized to reduce the risks that the company may cause or contribute to adverse human rights impacts. Investors are unable to assess how Northrop Grumman embeds respect for human rights into the process for vetting and implementing contracts with the U.S. Government or foreign governments, or the effectiveness of any systems which may be in place to prevent or mitigate human rights risks.</w:t>
      </w:r>
    </w:p>
    <w:p>
      <w:pPr>
        <w:spacing w:after="0" w:line="47" w:lineRule="exact"/>
        <w:rPr>
          <w:sz w:val="20"/>
          <w:szCs w:val="20"/>
          <w:color w:val="auto"/>
        </w:rPr>
      </w:pPr>
    </w:p>
    <w:p>
      <w:pPr>
        <w:ind w:right="380"/>
        <w:spacing w:after="0" w:line="287" w:lineRule="auto"/>
        <w:rPr>
          <w:sz w:val="20"/>
          <w:szCs w:val="20"/>
          <w:color w:val="auto"/>
        </w:rPr>
      </w:pPr>
      <w:r>
        <w:rPr>
          <w:rFonts w:ascii="Arial" w:cs="Arial" w:eastAsia="Arial" w:hAnsi="Arial"/>
          <w:sz w:val="17"/>
          <w:szCs w:val="17"/>
          <w:b w:val="1"/>
          <w:bCs w:val="1"/>
          <w:color w:val="auto"/>
        </w:rPr>
        <w:t>Resolved</w:t>
      </w:r>
      <w:r>
        <w:rPr>
          <w:rFonts w:ascii="Arial" w:cs="Arial" w:eastAsia="Arial" w:hAnsi="Arial"/>
          <w:sz w:val="17"/>
          <w:szCs w:val="17"/>
          <w:color w:val="auto"/>
        </w:rPr>
        <w:t>: Shareholders request that the Board of Directors prepare a report, at reasonable cost and omitting proprietary information, on Northrop</w:t>
      </w:r>
      <w:r>
        <w:rPr>
          <w:rFonts w:ascii="Arial" w:cs="Arial" w:eastAsia="Arial" w:hAnsi="Arial"/>
          <w:sz w:val="17"/>
          <w:szCs w:val="17"/>
          <w:b w:val="1"/>
          <w:bCs w:val="1"/>
          <w:color w:val="auto"/>
        </w:rPr>
        <w:t xml:space="preserve"> </w:t>
      </w:r>
      <w:r>
        <w:rPr>
          <w:rFonts w:ascii="Arial" w:cs="Arial" w:eastAsia="Arial" w:hAnsi="Arial"/>
          <w:sz w:val="17"/>
          <w:szCs w:val="17"/>
          <w:color w:val="auto"/>
        </w:rPr>
        <w:t>Grumman’s management systems and processes to implement its Human Rights Policy.</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Supporting Statement</w:t>
      </w:r>
      <w:r>
        <w:rPr>
          <w:rFonts w:ascii="Arial" w:cs="Arial" w:eastAsia="Arial" w:hAnsi="Arial"/>
          <w:sz w:val="17"/>
          <w:szCs w:val="17"/>
          <w:color w:val="auto"/>
        </w:rPr>
        <w:t>: We recommend the report include:</w:t>
      </w:r>
    </w:p>
    <w:p>
      <w:pPr>
        <w:spacing w:after="0" w:line="18" w:lineRule="exact"/>
        <w:rPr>
          <w:sz w:val="20"/>
          <w:szCs w:val="20"/>
          <w:color w:val="auto"/>
        </w:rPr>
      </w:pPr>
    </w:p>
    <w:p>
      <w:pPr>
        <w:ind w:left="620" w:hanging="310"/>
        <w:spacing w:after="0"/>
        <w:tabs>
          <w:tab w:leader="none" w:pos="620" w:val="left"/>
        </w:tabs>
        <w:numPr>
          <w:ilvl w:val="0"/>
          <w:numId w:val="88"/>
        </w:numPr>
        <w:rPr>
          <w:rFonts w:ascii="Arial" w:cs="Arial" w:eastAsia="Arial" w:hAnsi="Arial"/>
          <w:sz w:val="21"/>
          <w:szCs w:val="21"/>
          <w:color w:val="34657F"/>
        </w:rPr>
      </w:pPr>
      <w:r>
        <w:rPr>
          <w:rFonts w:ascii="Arial" w:cs="Arial" w:eastAsia="Arial" w:hAnsi="Arial"/>
          <w:sz w:val="17"/>
          <w:szCs w:val="17"/>
          <w:color w:val="auto"/>
        </w:rPr>
        <w:t>The company’s human rights due diligence process and indicators used to assess effectiveness;</w:t>
      </w:r>
    </w:p>
    <w:p>
      <w:pPr>
        <w:spacing w:after="0" w:line="22" w:lineRule="exact"/>
        <w:rPr>
          <w:rFonts w:ascii="Arial" w:cs="Arial" w:eastAsia="Arial" w:hAnsi="Arial"/>
          <w:sz w:val="21"/>
          <w:szCs w:val="21"/>
          <w:color w:val="34657F"/>
        </w:rPr>
      </w:pPr>
    </w:p>
    <w:p>
      <w:pPr>
        <w:ind w:left="620" w:hanging="310"/>
        <w:spacing w:after="0" w:line="219" w:lineRule="auto"/>
        <w:tabs>
          <w:tab w:leader="none" w:pos="620" w:val="left"/>
        </w:tabs>
        <w:numPr>
          <w:ilvl w:val="0"/>
          <w:numId w:val="88"/>
        </w:numPr>
        <w:rPr>
          <w:rFonts w:ascii="Arial" w:cs="Arial" w:eastAsia="Arial" w:hAnsi="Arial"/>
          <w:sz w:val="21"/>
          <w:szCs w:val="21"/>
          <w:color w:val="34657F"/>
        </w:rPr>
      </w:pPr>
      <w:r>
        <w:rPr>
          <w:rFonts w:ascii="Arial" w:cs="Arial" w:eastAsia="Arial" w:hAnsi="Arial"/>
          <w:sz w:val="17"/>
          <w:szCs w:val="17"/>
          <w:color w:val="auto"/>
        </w:rPr>
        <w:t>The role of the Board in oversight of human rights risks; and</w:t>
      </w:r>
    </w:p>
    <w:p>
      <w:pPr>
        <w:spacing w:after="0" w:line="23" w:lineRule="exact"/>
        <w:rPr>
          <w:rFonts w:ascii="Arial" w:cs="Arial" w:eastAsia="Arial" w:hAnsi="Arial"/>
          <w:sz w:val="21"/>
          <w:szCs w:val="21"/>
          <w:color w:val="34657F"/>
        </w:rPr>
      </w:pPr>
    </w:p>
    <w:p>
      <w:pPr>
        <w:ind w:left="620" w:hanging="310"/>
        <w:spacing w:after="0" w:line="219" w:lineRule="auto"/>
        <w:tabs>
          <w:tab w:leader="none" w:pos="620" w:val="left"/>
        </w:tabs>
        <w:numPr>
          <w:ilvl w:val="0"/>
          <w:numId w:val="88"/>
        </w:numPr>
        <w:rPr>
          <w:rFonts w:ascii="Arial" w:cs="Arial" w:eastAsia="Arial" w:hAnsi="Arial"/>
          <w:sz w:val="21"/>
          <w:szCs w:val="21"/>
          <w:color w:val="34657F"/>
        </w:rPr>
      </w:pPr>
      <w:r>
        <w:rPr>
          <w:rFonts w:ascii="Arial" w:cs="Arial" w:eastAsia="Arial" w:hAnsi="Arial"/>
          <w:sz w:val="17"/>
          <w:szCs w:val="17"/>
          <w:color w:val="auto"/>
        </w:rPr>
        <w:t>Systems to embed respect for human rights into business decision-making processes for its operations, contracts, and supply chain.</w:t>
      </w:r>
    </w:p>
    <w:p>
      <w:pPr>
        <w:spacing w:after="0" w:line="91"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____________________________</w:t>
      </w:r>
    </w:p>
    <w:p>
      <w:pPr>
        <w:spacing w:after="0" w:line="10" w:lineRule="exact"/>
        <w:rPr>
          <w:sz w:val="20"/>
          <w:szCs w:val="20"/>
          <w:color w:val="auto"/>
        </w:rPr>
      </w:pPr>
    </w:p>
    <w:p>
      <w:pPr>
        <w:ind w:firstLine="3"/>
        <w:spacing w:after="0" w:line="251" w:lineRule="auto"/>
        <w:tabs>
          <w:tab w:leader="none" w:pos="126" w:val="left"/>
        </w:tabs>
        <w:numPr>
          <w:ilvl w:val="0"/>
          <w:numId w:val="89"/>
        </w:numPr>
        <w:rPr>
          <w:rFonts w:ascii="Arial" w:cs="Arial" w:eastAsia="Arial" w:hAnsi="Arial"/>
          <w:sz w:val="14"/>
          <w:szCs w:val="14"/>
          <w:color w:val="auto"/>
        </w:rPr>
      </w:pPr>
      <w:r>
        <w:rPr>
          <w:rFonts w:ascii="Arial" w:cs="Arial" w:eastAsia="Arial" w:hAnsi="Arial"/>
          <w:sz w:val="17"/>
          <w:szCs w:val="17"/>
          <w:color w:val="auto"/>
        </w:rPr>
        <w:t>https://news.northropgrumman.com/news/releases/northrop-grumman-wins-95-million-award-from-department-of-homeland-security-to-develop-next-generation-biometric-identification-services-system</w:t>
      </w:r>
    </w:p>
    <w:p>
      <w:pPr>
        <w:spacing w:after="0" w:line="1"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4"/>
          <w:szCs w:val="14"/>
          <w:color w:val="auto"/>
        </w:rPr>
        <w:t xml:space="preserve">2 </w:t>
      </w:r>
      <w:r>
        <w:rPr>
          <w:rFonts w:ascii="Arial" w:cs="Arial" w:eastAsia="Arial" w:hAnsi="Arial"/>
          <w:sz w:val="17"/>
          <w:szCs w:val="17"/>
          <w:color w:val="auto"/>
        </w:rPr>
        <w:t>https://www.federalregister.gov/documents/2018/04/24/2018-08453/privacy-act-of-1974-system-of-records</w:t>
      </w:r>
    </w:p>
    <w:p>
      <w:pPr>
        <w:spacing w:after="0" w:line="9"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4"/>
          <w:szCs w:val="14"/>
          <w:color w:val="auto"/>
        </w:rPr>
        <w:t xml:space="preserve">3 </w:t>
      </w:r>
      <w:r>
        <w:rPr>
          <w:rFonts w:ascii="Arial" w:cs="Arial" w:eastAsia="Arial" w:hAnsi="Arial"/>
          <w:sz w:val="17"/>
          <w:szCs w:val="17"/>
          <w:color w:val="auto"/>
        </w:rPr>
        <w:t>https://www.aclu.org/blog/privacy-technology/surveillance-technologies/amazons-face-recognition-falsely-matched-28</w:t>
      </w:r>
    </w:p>
    <w:p>
      <w:pPr>
        <w:spacing w:after="0" w:line="213" w:lineRule="exact"/>
        <w:rPr>
          <w:sz w:val="20"/>
          <w:szCs w:val="20"/>
          <w:color w:val="auto"/>
        </w:rPr>
      </w:pPr>
    </w:p>
    <w:p>
      <w:pPr>
        <w:ind w:left="20"/>
        <w:spacing w:after="0"/>
        <w:rPr>
          <w:sz w:val="20"/>
          <w:szCs w:val="20"/>
          <w:color w:val="auto"/>
        </w:rPr>
      </w:pPr>
      <w:r>
        <w:rPr>
          <w:rFonts w:ascii="Arial" w:cs="Arial" w:eastAsia="Arial" w:hAnsi="Arial"/>
          <w:sz w:val="24"/>
          <w:szCs w:val="24"/>
          <w:b w:val="1"/>
          <w:bCs w:val="1"/>
          <w:color w:val="auto"/>
        </w:rPr>
        <w:t>Board of Directors' Statement in Opposition to Proposal Four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38100</wp:posOffset>
            </wp:positionV>
            <wp:extent cx="7253605" cy="1651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color w:val="auto"/>
        </w:rPr>
        <w:t>The Board of Directors recommends a vote AGAINST Proposal Four.</w:t>
      </w:r>
    </w:p>
    <w:p>
      <w:pPr>
        <w:spacing w:after="0" w:line="317"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72 </w:t>
      </w:r>
      <w:r>
        <w:rPr>
          <w:rFonts w:ascii="Arial" w:cs="Arial" w:eastAsia="Arial" w:hAnsi="Arial"/>
          <w:sz w:val="13"/>
          <w:szCs w:val="13"/>
          <w:color w:val="auto"/>
        </w:rPr>
        <w:t>I</w:t>
      </w:r>
      <w:r>
        <w:rPr>
          <w:rFonts w:ascii="Arial" w:cs="Arial" w:eastAsia="Arial" w:hAnsi="Arial"/>
          <w:sz w:val="17"/>
          <w:szCs w:val="17"/>
          <w:color w:val="auto"/>
        </w:rPr>
        <w:t xml:space="preserve"> </w:t>
      </w:r>
      <w:r>
        <w:rPr>
          <w:rFonts w:ascii="Arial" w:cs="Arial" w:eastAsia="Arial" w:hAnsi="Arial"/>
          <w:sz w:val="13"/>
          <w:szCs w:val="13"/>
          <w:color w:val="34657F"/>
        </w:rPr>
        <w:t>NOTICE OF 2019 ANNUAL MEETING OF SHAREHOLDERS AND PROXY STATEMENT</w:t>
      </w:r>
    </w:p>
    <w:p>
      <w:pPr>
        <w:sectPr>
          <w:pgSz w:w="11900" w:h="16838" w:orient="portrait"/>
          <w:cols w:equalWidth="0" w:num="1">
            <w:col w:w="11400"/>
          </w:cols>
          <w:pgMar w:left="240" w:top="671" w:right="259" w:bottom="1440" w:gutter="0" w:footer="0" w:header="0"/>
        </w:sectPr>
      </w:pPr>
    </w:p>
    <w:bookmarkStart w:id="78" w:name="page79"/>
    <w:bookmarkEnd w:id="78"/>
    <w:p>
      <w:pPr>
        <w:ind w:left="20"/>
        <w:spacing w:after="0"/>
        <w:rPr>
          <w:sz w:val="20"/>
          <w:szCs w:val="20"/>
          <w:color w:val="auto"/>
        </w:rPr>
      </w:pPr>
      <w:r>
        <w:rPr>
          <w:rFonts w:ascii="Arial" w:cs="Arial" w:eastAsia="Arial" w:hAnsi="Arial"/>
          <w:sz w:val="21"/>
          <w:szCs w:val="21"/>
          <w:b w:val="1"/>
          <w:bCs w:val="1"/>
          <w:color w:val="FFFFFF"/>
        </w:rPr>
        <w:drawing>
          <wp:anchor simplePos="0" relativeHeight="251657728" behindDoc="1" locked="0" layoutInCell="0" allowOverlap="1">
            <wp:simplePos x="0" y="0"/>
            <wp:positionH relativeFrom="page">
              <wp:posOffset>154305</wp:posOffset>
            </wp:positionH>
            <wp:positionV relativeFrom="page">
              <wp:posOffset>365760</wp:posOffset>
            </wp:positionV>
            <wp:extent cx="7253605" cy="3092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53605" cy="309245"/>
                    </a:xfrm>
                    <a:prstGeom prst="rect">
                      <a:avLst/>
                    </a:prstGeom>
                    <a:noFill/>
                  </pic:spPr>
                </pic:pic>
              </a:graphicData>
            </a:graphic>
          </wp:anchor>
        </w:drawing>
        <w:t>PROPOSAL FOUR: SHAREHOLDER PROPOSAL</w:t>
      </w:r>
    </w:p>
    <w:p>
      <w:pPr>
        <w:spacing w:after="0" w:line="380" w:lineRule="exact"/>
        <w:rPr>
          <w:sz w:val="20"/>
          <w:szCs w:val="20"/>
          <w:color w:val="auto"/>
        </w:rPr>
      </w:pPr>
    </w:p>
    <w:p>
      <w:pPr>
        <w:ind w:right="100"/>
        <w:spacing w:after="0" w:line="263" w:lineRule="auto"/>
        <w:rPr>
          <w:sz w:val="20"/>
          <w:szCs w:val="20"/>
          <w:color w:val="auto"/>
        </w:rPr>
      </w:pPr>
      <w:r>
        <w:rPr>
          <w:rFonts w:ascii="Arial" w:cs="Arial" w:eastAsia="Arial" w:hAnsi="Arial"/>
          <w:sz w:val="17"/>
          <w:szCs w:val="17"/>
          <w:color w:val="auto"/>
        </w:rPr>
        <w:t>The Company is strongly committed to supporting and maintaining the highest standards of ethical conduct and respect for human rights. This respect is embedded in the Company’s culture, and reflected in the Company’s Human Rights Policy adopted in 2013.</w:t>
      </w:r>
    </w:p>
    <w:p>
      <w:pPr>
        <w:spacing w:after="0" w:line="59" w:lineRule="exact"/>
        <w:rPr>
          <w:sz w:val="20"/>
          <w:szCs w:val="20"/>
          <w:color w:val="auto"/>
        </w:rPr>
      </w:pPr>
    </w:p>
    <w:p>
      <w:pPr>
        <w:spacing w:after="0"/>
        <w:rPr>
          <w:sz w:val="20"/>
          <w:szCs w:val="20"/>
          <w:color w:val="auto"/>
        </w:rPr>
      </w:pPr>
      <w:r>
        <w:rPr>
          <w:rFonts w:ascii="Arial" w:cs="Arial" w:eastAsia="Arial" w:hAnsi="Arial"/>
          <w:sz w:val="17"/>
          <w:szCs w:val="17"/>
          <w:color w:val="auto"/>
        </w:rPr>
        <w:t>The Human Rights Policy, by its nature, reflects our policies and addresses how they are implemented. For example, the Policy provides that:</w:t>
      </w:r>
    </w:p>
    <w:p>
      <w:pPr>
        <w:spacing w:after="0" w:line="112" w:lineRule="exact"/>
        <w:rPr>
          <w:sz w:val="20"/>
          <w:szCs w:val="20"/>
          <w:color w:val="auto"/>
        </w:rPr>
      </w:pPr>
    </w:p>
    <w:p>
      <w:pPr>
        <w:jc w:val="both"/>
        <w:ind w:left="320" w:hanging="317"/>
        <w:spacing w:after="0" w:line="270" w:lineRule="auto"/>
        <w:tabs>
          <w:tab w:leader="none" w:pos="320" w:val="left"/>
        </w:tabs>
        <w:numPr>
          <w:ilvl w:val="0"/>
          <w:numId w:val="90"/>
        </w:numPr>
        <w:rPr>
          <w:rFonts w:ascii="Arial" w:cs="Arial" w:eastAsia="Arial" w:hAnsi="Arial"/>
          <w:sz w:val="21"/>
          <w:szCs w:val="21"/>
          <w:color w:val="34657F"/>
        </w:rPr>
      </w:pPr>
      <w:r>
        <w:rPr>
          <w:rFonts w:ascii="Arial" w:cs="Arial" w:eastAsia="Arial" w:hAnsi="Arial"/>
          <w:sz w:val="17"/>
          <w:szCs w:val="17"/>
          <w:color w:val="auto"/>
        </w:rPr>
        <w:t>The Company treats employees, suppliers, customers and competitors with dignity and respect. The Company does not tolerate any discrimination in employment based on an individual’s protected status. Northrop Grumman does not tolerate the use of child labor, forced labor, bonded labor, or human trafficking.</w:t>
      </w:r>
    </w:p>
    <w:p>
      <w:pPr>
        <w:spacing w:after="0" w:line="19" w:lineRule="exact"/>
        <w:rPr>
          <w:rFonts w:ascii="Arial" w:cs="Arial" w:eastAsia="Arial" w:hAnsi="Arial"/>
          <w:sz w:val="21"/>
          <w:szCs w:val="21"/>
          <w:color w:val="34657F"/>
        </w:rPr>
      </w:pPr>
    </w:p>
    <w:p>
      <w:pPr>
        <w:ind w:left="320" w:hanging="317"/>
        <w:spacing w:after="0" w:line="253" w:lineRule="auto"/>
        <w:tabs>
          <w:tab w:leader="none" w:pos="320" w:val="left"/>
        </w:tabs>
        <w:numPr>
          <w:ilvl w:val="0"/>
          <w:numId w:val="90"/>
        </w:numPr>
        <w:rPr>
          <w:rFonts w:ascii="Arial" w:cs="Arial" w:eastAsia="Arial" w:hAnsi="Arial"/>
          <w:sz w:val="21"/>
          <w:szCs w:val="21"/>
          <w:color w:val="34657F"/>
        </w:rPr>
      </w:pPr>
      <w:r>
        <w:rPr>
          <w:rFonts w:ascii="Arial" w:cs="Arial" w:eastAsia="Arial" w:hAnsi="Arial"/>
          <w:sz w:val="17"/>
          <w:szCs w:val="17"/>
          <w:color w:val="auto"/>
        </w:rPr>
        <w:t>Northrop Grumman is committed to the highest standards of ethical and business conduct as it relates to the procurement of goods and services. The Company expects suppliers to conduct themselves in a manner consistent with the values set forth in our Standards of Business Conduct.</w:t>
      </w:r>
    </w:p>
    <w:p>
      <w:pPr>
        <w:spacing w:after="0" w:line="26" w:lineRule="exact"/>
        <w:rPr>
          <w:rFonts w:ascii="Arial" w:cs="Arial" w:eastAsia="Arial" w:hAnsi="Arial"/>
          <w:sz w:val="21"/>
          <w:szCs w:val="21"/>
          <w:color w:val="34657F"/>
        </w:rPr>
      </w:pPr>
    </w:p>
    <w:p>
      <w:pPr>
        <w:ind w:left="320" w:hanging="317"/>
        <w:spacing w:after="0" w:line="253" w:lineRule="auto"/>
        <w:tabs>
          <w:tab w:leader="none" w:pos="320" w:val="left"/>
        </w:tabs>
        <w:numPr>
          <w:ilvl w:val="0"/>
          <w:numId w:val="90"/>
        </w:numPr>
        <w:rPr>
          <w:rFonts w:ascii="Arial" w:cs="Arial" w:eastAsia="Arial" w:hAnsi="Arial"/>
          <w:sz w:val="21"/>
          <w:szCs w:val="21"/>
          <w:color w:val="34657F"/>
        </w:rPr>
      </w:pPr>
      <w:r>
        <w:rPr>
          <w:rFonts w:ascii="Arial" w:cs="Arial" w:eastAsia="Arial" w:hAnsi="Arial"/>
          <w:sz w:val="17"/>
          <w:szCs w:val="17"/>
          <w:color w:val="auto"/>
        </w:rPr>
        <w:t>Employees who believe there may have been a violation of this policy should report it through established channels, including to their supervisor, Business Conduct Officer, the Law Department or Human Resources, or the OpenLine.</w:t>
      </w:r>
    </w:p>
    <w:p>
      <w:pPr>
        <w:ind w:left="320" w:hanging="317"/>
        <w:spacing w:after="0"/>
        <w:tabs>
          <w:tab w:leader="none" w:pos="320" w:val="left"/>
        </w:tabs>
        <w:numPr>
          <w:ilvl w:val="0"/>
          <w:numId w:val="90"/>
        </w:numPr>
        <w:rPr>
          <w:rFonts w:ascii="Arial" w:cs="Arial" w:eastAsia="Arial" w:hAnsi="Arial"/>
          <w:sz w:val="21"/>
          <w:szCs w:val="21"/>
          <w:color w:val="34657F"/>
        </w:rPr>
      </w:pPr>
      <w:r>
        <w:rPr>
          <w:rFonts w:ascii="Arial" w:cs="Arial" w:eastAsia="Arial" w:hAnsi="Arial"/>
          <w:sz w:val="17"/>
          <w:szCs w:val="17"/>
          <w:color w:val="auto"/>
        </w:rPr>
        <w:t>Northrop Grumman will periodically review this policy to determine whether revisions are appropriate.</w:t>
      </w:r>
    </w:p>
    <w:p>
      <w:pPr>
        <w:spacing w:after="0" w:line="90" w:lineRule="exact"/>
        <w:rPr>
          <w:sz w:val="20"/>
          <w:szCs w:val="20"/>
          <w:color w:val="auto"/>
        </w:rPr>
      </w:pPr>
    </w:p>
    <w:p>
      <w:pPr>
        <w:ind w:right="280"/>
        <w:spacing w:after="0" w:line="263" w:lineRule="auto"/>
        <w:rPr>
          <w:sz w:val="20"/>
          <w:szCs w:val="20"/>
          <w:color w:val="auto"/>
        </w:rPr>
      </w:pPr>
      <w:r>
        <w:rPr>
          <w:rFonts w:ascii="Arial" w:cs="Arial" w:eastAsia="Arial" w:hAnsi="Arial"/>
          <w:sz w:val="17"/>
          <w:szCs w:val="17"/>
          <w:color w:val="auto"/>
        </w:rPr>
        <w:t>The Company’s Standards of Business Conduct also reflect our commitment to human rights. Our Standards of Business Conduct, which applies to our directors, officers, employees, consultants and contractors, provide, among other things, for:</w:t>
      </w:r>
    </w:p>
    <w:p>
      <w:pPr>
        <w:spacing w:after="0" w:line="48" w:lineRule="exact"/>
        <w:rPr>
          <w:sz w:val="20"/>
          <w:szCs w:val="20"/>
          <w:color w:val="auto"/>
        </w:rPr>
      </w:pPr>
    </w:p>
    <w:p>
      <w:pPr>
        <w:ind w:left="320" w:hanging="317"/>
        <w:spacing w:after="0"/>
        <w:tabs>
          <w:tab w:leader="none" w:pos="320" w:val="left"/>
        </w:tabs>
        <w:numPr>
          <w:ilvl w:val="0"/>
          <w:numId w:val="91"/>
        </w:numPr>
        <w:rPr>
          <w:rFonts w:ascii="Arial" w:cs="Arial" w:eastAsia="Arial" w:hAnsi="Arial"/>
          <w:sz w:val="21"/>
          <w:szCs w:val="21"/>
          <w:color w:val="34657F"/>
        </w:rPr>
      </w:pPr>
      <w:r>
        <w:rPr>
          <w:rFonts w:ascii="Arial" w:cs="Arial" w:eastAsia="Arial" w:hAnsi="Arial"/>
          <w:sz w:val="17"/>
          <w:szCs w:val="17"/>
          <w:color w:val="auto"/>
        </w:rPr>
        <w:t>The Company’s commitment to a culture that values and fosters diversity and inclusion.</w:t>
      </w:r>
    </w:p>
    <w:p>
      <w:pPr>
        <w:spacing w:after="0" w:line="38" w:lineRule="exact"/>
        <w:rPr>
          <w:rFonts w:ascii="Arial" w:cs="Arial" w:eastAsia="Arial" w:hAnsi="Arial"/>
          <w:sz w:val="21"/>
          <w:szCs w:val="21"/>
          <w:color w:val="34657F"/>
        </w:rPr>
      </w:pPr>
    </w:p>
    <w:p>
      <w:pPr>
        <w:jc w:val="both"/>
        <w:ind w:left="320" w:hanging="317"/>
        <w:spacing w:after="0" w:line="270" w:lineRule="auto"/>
        <w:tabs>
          <w:tab w:leader="none" w:pos="320" w:val="left"/>
        </w:tabs>
        <w:numPr>
          <w:ilvl w:val="0"/>
          <w:numId w:val="91"/>
        </w:numPr>
        <w:rPr>
          <w:rFonts w:ascii="Arial" w:cs="Arial" w:eastAsia="Arial" w:hAnsi="Arial"/>
          <w:sz w:val="21"/>
          <w:szCs w:val="21"/>
          <w:color w:val="34657F"/>
        </w:rPr>
      </w:pPr>
      <w:r>
        <w:rPr>
          <w:rFonts w:ascii="Arial" w:cs="Arial" w:eastAsia="Arial" w:hAnsi="Arial"/>
          <w:sz w:val="17"/>
          <w:szCs w:val="17"/>
          <w:color w:val="auto"/>
        </w:rPr>
        <w:t>The Company will not tolerate discrimination on the basis of race or ethnicity, color, national origin, ancestry, sex, gender, identity or expression, sexual orientation, marital or parental status, pregnancy or childbirth or related conditions, religion, creed, age, disability, genetic information, veteran status or any other protected status.</w:t>
      </w:r>
    </w:p>
    <w:p>
      <w:pPr>
        <w:ind w:left="320" w:hanging="317"/>
        <w:spacing w:after="0"/>
        <w:tabs>
          <w:tab w:leader="none" w:pos="320" w:val="left"/>
        </w:tabs>
        <w:numPr>
          <w:ilvl w:val="0"/>
          <w:numId w:val="91"/>
        </w:numPr>
        <w:rPr>
          <w:rFonts w:ascii="Arial" w:cs="Arial" w:eastAsia="Arial" w:hAnsi="Arial"/>
          <w:sz w:val="21"/>
          <w:szCs w:val="21"/>
          <w:color w:val="34657F"/>
        </w:rPr>
      </w:pPr>
      <w:r>
        <w:rPr>
          <w:rFonts w:ascii="Arial" w:cs="Arial" w:eastAsia="Arial" w:hAnsi="Arial"/>
          <w:sz w:val="17"/>
          <w:szCs w:val="17"/>
          <w:color w:val="auto"/>
        </w:rPr>
        <w:t>Reasonable accommodations for qualified persons based on disabilities, religious beliefs and pregnancy/childbirth.</w:t>
      </w:r>
    </w:p>
    <w:p>
      <w:pPr>
        <w:spacing w:after="0" w:line="22" w:lineRule="exact"/>
        <w:rPr>
          <w:rFonts w:ascii="Arial" w:cs="Arial" w:eastAsia="Arial" w:hAnsi="Arial"/>
          <w:sz w:val="21"/>
          <w:szCs w:val="21"/>
          <w:color w:val="34657F"/>
        </w:rPr>
      </w:pPr>
    </w:p>
    <w:p>
      <w:pPr>
        <w:ind w:left="320" w:hanging="317"/>
        <w:spacing w:after="0" w:line="219" w:lineRule="auto"/>
        <w:tabs>
          <w:tab w:leader="none" w:pos="320" w:val="left"/>
        </w:tabs>
        <w:numPr>
          <w:ilvl w:val="0"/>
          <w:numId w:val="91"/>
        </w:numPr>
        <w:rPr>
          <w:rFonts w:ascii="Arial" w:cs="Arial" w:eastAsia="Arial" w:hAnsi="Arial"/>
          <w:sz w:val="21"/>
          <w:szCs w:val="21"/>
          <w:color w:val="34657F"/>
        </w:rPr>
      </w:pPr>
      <w:r>
        <w:rPr>
          <w:rFonts w:ascii="Arial" w:cs="Arial" w:eastAsia="Arial" w:hAnsi="Arial"/>
          <w:sz w:val="17"/>
          <w:szCs w:val="17"/>
          <w:color w:val="auto"/>
        </w:rPr>
        <w:t>A workplace where everyone is treated with dignity and respect.</w:t>
      </w:r>
    </w:p>
    <w:p>
      <w:pPr>
        <w:spacing w:after="0" w:line="23" w:lineRule="exact"/>
        <w:rPr>
          <w:rFonts w:ascii="Arial" w:cs="Arial" w:eastAsia="Arial" w:hAnsi="Arial"/>
          <w:sz w:val="21"/>
          <w:szCs w:val="21"/>
          <w:color w:val="34657F"/>
        </w:rPr>
      </w:pPr>
    </w:p>
    <w:p>
      <w:pPr>
        <w:ind w:left="320" w:hanging="317"/>
        <w:spacing w:after="0" w:line="219" w:lineRule="auto"/>
        <w:tabs>
          <w:tab w:leader="none" w:pos="320" w:val="left"/>
        </w:tabs>
        <w:numPr>
          <w:ilvl w:val="0"/>
          <w:numId w:val="91"/>
        </w:numPr>
        <w:rPr>
          <w:rFonts w:ascii="Arial" w:cs="Arial" w:eastAsia="Arial" w:hAnsi="Arial"/>
          <w:sz w:val="21"/>
          <w:szCs w:val="21"/>
          <w:color w:val="34657F"/>
        </w:rPr>
      </w:pPr>
      <w:r>
        <w:rPr>
          <w:rFonts w:ascii="Arial" w:cs="Arial" w:eastAsia="Arial" w:hAnsi="Arial"/>
          <w:sz w:val="17"/>
          <w:szCs w:val="17"/>
          <w:color w:val="auto"/>
        </w:rPr>
        <w:t>Protecting the privacy of others, including the protection of personal information of our employees, contractors, customers and suppliers.</w:t>
      </w:r>
    </w:p>
    <w:p>
      <w:pPr>
        <w:spacing w:after="0" w:line="39" w:lineRule="exact"/>
        <w:rPr>
          <w:rFonts w:ascii="Arial" w:cs="Arial" w:eastAsia="Arial" w:hAnsi="Arial"/>
          <w:sz w:val="21"/>
          <w:szCs w:val="21"/>
          <w:color w:val="34657F"/>
        </w:rPr>
      </w:pPr>
    </w:p>
    <w:p>
      <w:pPr>
        <w:jc w:val="both"/>
        <w:ind w:left="320" w:hanging="317"/>
        <w:spacing w:after="0" w:line="270" w:lineRule="auto"/>
        <w:tabs>
          <w:tab w:leader="none" w:pos="320" w:val="left"/>
        </w:tabs>
        <w:numPr>
          <w:ilvl w:val="0"/>
          <w:numId w:val="91"/>
        </w:numPr>
        <w:rPr>
          <w:rFonts w:ascii="Arial" w:cs="Arial" w:eastAsia="Arial" w:hAnsi="Arial"/>
          <w:sz w:val="21"/>
          <w:szCs w:val="21"/>
          <w:color w:val="34657F"/>
        </w:rPr>
      </w:pPr>
      <w:r>
        <w:rPr>
          <w:rFonts w:ascii="Arial" w:cs="Arial" w:eastAsia="Arial" w:hAnsi="Arial"/>
          <w:sz w:val="17"/>
          <w:szCs w:val="17"/>
          <w:color w:val="auto"/>
        </w:rPr>
        <w:t>Supporting and enhancing the communities in which our employees live and work, including maintaining outreach programs and partnering with local organizations. The Company does not provide funding or support to organizations that improperly discriminate against others or take positions or actions contrary to our Company values.</w:t>
      </w:r>
    </w:p>
    <w:p>
      <w:pPr>
        <w:spacing w:after="0" w:line="19" w:lineRule="exact"/>
        <w:rPr>
          <w:rFonts w:ascii="Arial" w:cs="Arial" w:eastAsia="Arial" w:hAnsi="Arial"/>
          <w:sz w:val="21"/>
          <w:szCs w:val="21"/>
          <w:color w:val="34657F"/>
        </w:rPr>
      </w:pPr>
    </w:p>
    <w:p>
      <w:pPr>
        <w:jc w:val="both"/>
        <w:ind w:left="320" w:hanging="317"/>
        <w:spacing w:after="0" w:line="280" w:lineRule="auto"/>
        <w:tabs>
          <w:tab w:leader="none" w:pos="320" w:val="left"/>
        </w:tabs>
        <w:numPr>
          <w:ilvl w:val="0"/>
          <w:numId w:val="91"/>
        </w:numPr>
        <w:rPr>
          <w:rFonts w:ascii="Arial" w:cs="Arial" w:eastAsia="Arial" w:hAnsi="Arial"/>
          <w:sz w:val="21"/>
          <w:szCs w:val="21"/>
          <w:color w:val="34657F"/>
        </w:rPr>
      </w:pPr>
      <w:r>
        <w:rPr>
          <w:rFonts w:ascii="Arial" w:cs="Arial" w:eastAsia="Arial" w:hAnsi="Arial"/>
          <w:sz w:val="17"/>
          <w:szCs w:val="17"/>
          <w:color w:val="auto"/>
        </w:rPr>
        <w:t>Our policies, practices and procedures reflect a strong commitment to human rights as set forth in the Universal Declaration of Human Rights. The Company does not condone the use of child or forced labor, indentured servitude, human trafficking or other violations of human rights. The Company expects its partners and suppliers to share this commitment and adopt and enforce principles similar to those in our Human Rights Policy.</w:t>
      </w:r>
    </w:p>
    <w:p>
      <w:pPr>
        <w:spacing w:after="0" w:line="60" w:lineRule="exact"/>
        <w:rPr>
          <w:sz w:val="20"/>
          <w:szCs w:val="20"/>
          <w:color w:val="auto"/>
        </w:rPr>
      </w:pPr>
    </w:p>
    <w:p>
      <w:pPr>
        <w:ind w:right="420"/>
        <w:spacing w:after="0" w:line="263" w:lineRule="auto"/>
        <w:rPr>
          <w:sz w:val="20"/>
          <w:szCs w:val="20"/>
          <w:color w:val="auto"/>
        </w:rPr>
      </w:pPr>
      <w:r>
        <w:rPr>
          <w:rFonts w:ascii="Arial" w:cs="Arial" w:eastAsia="Arial" w:hAnsi="Arial"/>
          <w:sz w:val="17"/>
          <w:szCs w:val="17"/>
          <w:color w:val="auto"/>
        </w:rPr>
        <w:t>Like Proponents, the Board of Directors recognizes the importance of working to ensure that those seeking to do business with the Company also respect basic human rights. The Company states as follows in its most recent Corporate Responsibility Report:</w:t>
      </w:r>
    </w:p>
    <w:p>
      <w:pPr>
        <w:spacing w:after="0" w:line="59" w:lineRule="exact"/>
        <w:rPr>
          <w:sz w:val="20"/>
          <w:szCs w:val="20"/>
          <w:color w:val="auto"/>
        </w:rPr>
      </w:pPr>
    </w:p>
    <w:p>
      <w:pPr>
        <w:ind w:left="620" w:right="140"/>
        <w:spacing w:after="0" w:line="255" w:lineRule="auto"/>
        <w:rPr>
          <w:sz w:val="20"/>
          <w:szCs w:val="20"/>
          <w:color w:val="auto"/>
        </w:rPr>
      </w:pPr>
      <w:r>
        <w:rPr>
          <w:rFonts w:ascii="Arial" w:cs="Arial" w:eastAsia="Arial" w:hAnsi="Arial"/>
          <w:sz w:val="17"/>
          <w:szCs w:val="17"/>
          <w:color w:val="auto"/>
        </w:rPr>
        <w:t>We expect our suppliers will treat others with dignity and respect, encourage diversity, remain receptive to diverse opinions, promote equal opportunity and foster an inclusive and ethical culture. They must refrain from violating the rights of others and address any adverse human rights impact on their operations. This includes child labor, human trafficking, harassment, nondiscrimination, wage and benefit compensation and social dialog.</w:t>
      </w:r>
    </w:p>
    <w:p>
      <w:pPr>
        <w:spacing w:after="0" w:line="67" w:lineRule="exact"/>
        <w:rPr>
          <w:sz w:val="20"/>
          <w:szCs w:val="20"/>
          <w:color w:val="auto"/>
        </w:rPr>
      </w:pPr>
    </w:p>
    <w:p>
      <w:pPr>
        <w:ind w:right="140"/>
        <w:spacing w:after="0" w:line="254" w:lineRule="auto"/>
        <w:rPr>
          <w:sz w:val="20"/>
          <w:szCs w:val="20"/>
          <w:color w:val="auto"/>
        </w:rPr>
      </w:pPr>
      <w:r>
        <w:rPr>
          <w:rFonts w:ascii="Arial" w:cs="Arial" w:eastAsia="Arial" w:hAnsi="Arial"/>
          <w:sz w:val="17"/>
          <w:szCs w:val="17"/>
          <w:color w:val="auto"/>
        </w:rPr>
        <w:t>The Company maintains a Supplier Standards of Business Conduct that also makes clear our commitment to ethical conduct and social responsibility at all tiers of our supply base. These standards are based, in part, on the supplier codes from the Defense Industry Initiative and the International Forum on Business Ethical Conduct. The Company’s suppliers receive an annual notification about our policies and values. The Company asks our suppliers and those who work with them, including employees and subcontractors, to comply with our Supplier Standards of Business Conduct. The Company regularly communicates our commitments to our suppliers regarding social responsibility and regulatory areas, including EEO/Affirmative Action, conflict minerals, counterfeit parts, anti-human trafficking and cybersecurity.</w:t>
      </w:r>
    </w:p>
    <w:p>
      <w:pPr>
        <w:spacing w:after="0" w:line="66" w:lineRule="exact"/>
        <w:rPr>
          <w:sz w:val="20"/>
          <w:szCs w:val="20"/>
          <w:color w:val="auto"/>
        </w:rPr>
      </w:pPr>
    </w:p>
    <w:p>
      <w:pPr>
        <w:ind w:right="20"/>
        <w:spacing w:after="0" w:line="263" w:lineRule="auto"/>
        <w:rPr>
          <w:sz w:val="20"/>
          <w:szCs w:val="20"/>
          <w:color w:val="auto"/>
        </w:rPr>
      </w:pPr>
      <w:r>
        <w:rPr>
          <w:rFonts w:ascii="Arial" w:cs="Arial" w:eastAsia="Arial" w:hAnsi="Arial"/>
          <w:sz w:val="17"/>
          <w:szCs w:val="17"/>
          <w:color w:val="auto"/>
        </w:rPr>
        <w:t>The Company also publishes several times a year an Ethics Newsletter that is disseminated to all employees. In June 2018, the focus of the newsletter was Human Rights, and the importance of human rights to all aspects of our business.</w:t>
      </w:r>
    </w:p>
    <w:p>
      <w:pPr>
        <w:spacing w:after="0" w:line="59" w:lineRule="exact"/>
        <w:rPr>
          <w:sz w:val="20"/>
          <w:szCs w:val="20"/>
          <w:color w:val="auto"/>
        </w:rPr>
      </w:pPr>
    </w:p>
    <w:p>
      <w:pPr>
        <w:spacing w:after="0"/>
        <w:rPr>
          <w:sz w:val="20"/>
          <w:szCs w:val="20"/>
          <w:color w:val="auto"/>
        </w:rPr>
      </w:pPr>
      <w:r>
        <w:rPr>
          <w:rFonts w:ascii="Arial" w:cs="Arial" w:eastAsia="Arial" w:hAnsi="Arial"/>
          <w:sz w:val="17"/>
          <w:szCs w:val="17"/>
          <w:color w:val="auto"/>
        </w:rPr>
        <w:t>The Company continued to win numerous awards in 2018 recognizing our outstanding ethical culture and respect for human rights. They included:</w:t>
      </w:r>
    </w:p>
    <w:p>
      <w:pPr>
        <w:spacing w:after="0" w:line="75" w:lineRule="exact"/>
        <w:rPr>
          <w:sz w:val="20"/>
          <w:szCs w:val="20"/>
          <w:color w:val="auto"/>
        </w:rPr>
      </w:pPr>
    </w:p>
    <w:p>
      <w:pPr>
        <w:ind w:left="320" w:hanging="317"/>
        <w:spacing w:after="0"/>
        <w:tabs>
          <w:tab w:leader="none" w:pos="320" w:val="left"/>
        </w:tabs>
        <w:numPr>
          <w:ilvl w:val="0"/>
          <w:numId w:val="92"/>
        </w:numPr>
        <w:rPr>
          <w:rFonts w:ascii="Arial" w:cs="Arial" w:eastAsia="Arial" w:hAnsi="Arial"/>
          <w:sz w:val="21"/>
          <w:szCs w:val="21"/>
          <w:color w:val="34657F"/>
        </w:rPr>
      </w:pPr>
      <w:r>
        <w:rPr>
          <w:rFonts w:ascii="Arial" w:cs="Arial" w:eastAsia="Arial" w:hAnsi="Arial"/>
          <w:sz w:val="17"/>
          <w:szCs w:val="17"/>
          <w:color w:val="auto"/>
        </w:rPr>
        <w:t>Catalyst Award for Northrop Grumman’s “Building the Best Culture, Leveraging the Power of Women” Initiative;</w:t>
      </w:r>
    </w:p>
    <w:p>
      <w:pPr>
        <w:spacing w:after="0" w:line="38" w:lineRule="exact"/>
        <w:rPr>
          <w:rFonts w:ascii="Arial" w:cs="Arial" w:eastAsia="Arial" w:hAnsi="Arial"/>
          <w:sz w:val="21"/>
          <w:szCs w:val="21"/>
          <w:color w:val="34657F"/>
        </w:rPr>
      </w:pPr>
    </w:p>
    <w:p>
      <w:pPr>
        <w:ind w:left="320" w:hanging="317"/>
        <w:spacing w:after="0" w:line="253" w:lineRule="auto"/>
        <w:tabs>
          <w:tab w:leader="none" w:pos="320" w:val="left"/>
        </w:tabs>
        <w:numPr>
          <w:ilvl w:val="0"/>
          <w:numId w:val="92"/>
        </w:numPr>
        <w:rPr>
          <w:rFonts w:ascii="Arial" w:cs="Arial" w:eastAsia="Arial" w:hAnsi="Arial"/>
          <w:sz w:val="21"/>
          <w:szCs w:val="21"/>
          <w:color w:val="34657F"/>
        </w:rPr>
      </w:pPr>
      <w:r>
        <w:rPr>
          <w:rFonts w:ascii="Arial" w:cs="Arial" w:eastAsia="Arial" w:hAnsi="Arial"/>
          <w:sz w:val="17"/>
          <w:szCs w:val="17"/>
          <w:color w:val="auto"/>
        </w:rPr>
        <w:t>Among Top 50 Companies for Diversity, No. 1 for Veterans and No. 2 for Diversity Councils and People with Disabilities as recognized by DiversityInc;</w:t>
      </w:r>
    </w:p>
    <w:p>
      <w:pPr>
        <w:spacing w:after="0" w:line="237" w:lineRule="exact"/>
        <w:rPr>
          <w:sz w:val="20"/>
          <w:szCs w:val="20"/>
          <w:color w:val="auto"/>
        </w:rPr>
      </w:pPr>
    </w:p>
    <w:p>
      <w:pPr>
        <w:jc w:val="right"/>
        <w:spacing w:after="0"/>
        <w:rPr>
          <w:sz w:val="20"/>
          <w:szCs w:val="20"/>
          <w:color w:val="auto"/>
        </w:rPr>
      </w:pPr>
      <w:r>
        <w:rPr>
          <w:rFonts w:ascii="Arial" w:cs="Arial" w:eastAsia="Arial" w:hAnsi="Arial"/>
          <w:sz w:val="14"/>
          <w:szCs w:val="14"/>
          <w:color w:val="34657F"/>
        </w:rPr>
        <w:t xml:space="preserve">NOTICE OF 2019 ANNUAL MEETING OF SHAREHOLDERS AND PROXY STATEMENT </w:t>
      </w:r>
      <w:r>
        <w:rPr>
          <w:rFonts w:ascii="Arial" w:cs="Arial" w:eastAsia="Arial" w:hAnsi="Arial"/>
          <w:sz w:val="14"/>
          <w:szCs w:val="14"/>
          <w:color w:val="000000"/>
        </w:rPr>
        <w:t>I 73</w:t>
      </w:r>
    </w:p>
    <w:p>
      <w:pPr>
        <w:sectPr>
          <w:pgSz w:w="11900" w:h="16838" w:orient="portrait"/>
          <w:cols w:equalWidth="0" w:num="1">
            <w:col w:w="11420"/>
          </w:cols>
          <w:pgMar w:left="240" w:top="671" w:right="239" w:bottom="1440" w:gutter="0" w:footer="0" w:header="0"/>
        </w:sectPr>
      </w:pPr>
    </w:p>
    <w:bookmarkStart w:id="79" w:name="page80"/>
    <w:bookmarkEnd w:id="79"/>
    <w:p>
      <w:pPr>
        <w:ind w:left="20"/>
        <w:spacing w:after="0"/>
        <w:rPr>
          <w:sz w:val="20"/>
          <w:szCs w:val="20"/>
          <w:color w:val="auto"/>
        </w:rPr>
      </w:pPr>
      <w:r>
        <w:rPr>
          <w:rFonts w:ascii="Arial" w:cs="Arial" w:eastAsia="Arial" w:hAnsi="Arial"/>
          <w:sz w:val="21"/>
          <w:szCs w:val="21"/>
          <w:b w:val="1"/>
          <w:bCs w:val="1"/>
          <w:color w:val="FFFFFF"/>
        </w:rPr>
        <w:drawing>
          <wp:anchor simplePos="0" relativeHeight="251657728" behindDoc="1" locked="0" layoutInCell="0" allowOverlap="1">
            <wp:simplePos x="0" y="0"/>
            <wp:positionH relativeFrom="page">
              <wp:posOffset>154305</wp:posOffset>
            </wp:positionH>
            <wp:positionV relativeFrom="page">
              <wp:posOffset>365760</wp:posOffset>
            </wp:positionV>
            <wp:extent cx="7253605" cy="3092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53605" cy="309245"/>
                    </a:xfrm>
                    <a:prstGeom prst="rect">
                      <a:avLst/>
                    </a:prstGeom>
                    <a:noFill/>
                  </pic:spPr>
                </pic:pic>
              </a:graphicData>
            </a:graphic>
          </wp:anchor>
        </w:drawing>
        <w:t>PROPOSAL FOUR: SHAREHOLDER PROPOSAL</w:t>
      </w:r>
    </w:p>
    <w:p>
      <w:pPr>
        <w:spacing w:after="0" w:line="368" w:lineRule="exact"/>
        <w:rPr>
          <w:sz w:val="20"/>
          <w:szCs w:val="20"/>
          <w:color w:val="auto"/>
        </w:rPr>
      </w:pPr>
    </w:p>
    <w:p>
      <w:pPr>
        <w:ind w:left="320" w:hanging="317"/>
        <w:spacing w:after="0"/>
        <w:tabs>
          <w:tab w:leader="none" w:pos="320" w:val="left"/>
        </w:tabs>
        <w:numPr>
          <w:ilvl w:val="0"/>
          <w:numId w:val="93"/>
        </w:numPr>
        <w:rPr>
          <w:rFonts w:ascii="Arial" w:cs="Arial" w:eastAsia="Arial" w:hAnsi="Arial"/>
          <w:sz w:val="21"/>
          <w:szCs w:val="21"/>
          <w:color w:val="34657F"/>
        </w:rPr>
      </w:pPr>
      <w:r>
        <w:rPr>
          <w:rFonts w:ascii="Arial" w:cs="Arial" w:eastAsia="Arial" w:hAnsi="Arial"/>
          <w:sz w:val="17"/>
          <w:szCs w:val="17"/>
          <w:color w:val="auto"/>
        </w:rPr>
        <w:t>Among the Best Place to Work for People with Disabilities Employer of the Year: Inspire Award from the Disability Equality Index;</w:t>
      </w:r>
    </w:p>
    <w:p>
      <w:pPr>
        <w:spacing w:after="0" w:line="22" w:lineRule="exact"/>
        <w:rPr>
          <w:rFonts w:ascii="Arial" w:cs="Arial" w:eastAsia="Arial" w:hAnsi="Arial"/>
          <w:sz w:val="21"/>
          <w:szCs w:val="21"/>
          <w:color w:val="34657F"/>
        </w:rPr>
      </w:pPr>
    </w:p>
    <w:p>
      <w:pPr>
        <w:ind w:left="320" w:hanging="317"/>
        <w:spacing w:after="0" w:line="219" w:lineRule="auto"/>
        <w:tabs>
          <w:tab w:leader="none" w:pos="320" w:val="left"/>
        </w:tabs>
        <w:numPr>
          <w:ilvl w:val="0"/>
          <w:numId w:val="93"/>
        </w:numPr>
        <w:rPr>
          <w:rFonts w:ascii="Arial" w:cs="Arial" w:eastAsia="Arial" w:hAnsi="Arial"/>
          <w:sz w:val="21"/>
          <w:szCs w:val="21"/>
          <w:color w:val="34657F"/>
        </w:rPr>
      </w:pPr>
      <w:r>
        <w:rPr>
          <w:rFonts w:ascii="Arial" w:cs="Arial" w:eastAsia="Arial" w:hAnsi="Arial"/>
          <w:sz w:val="17"/>
          <w:szCs w:val="17"/>
          <w:color w:val="auto"/>
        </w:rPr>
        <w:t>Among the Best for Vets Employers by Military Times;</w:t>
      </w:r>
    </w:p>
    <w:p>
      <w:pPr>
        <w:spacing w:after="0" w:line="23" w:lineRule="exact"/>
        <w:rPr>
          <w:rFonts w:ascii="Arial" w:cs="Arial" w:eastAsia="Arial" w:hAnsi="Arial"/>
          <w:sz w:val="21"/>
          <w:szCs w:val="21"/>
          <w:color w:val="34657F"/>
        </w:rPr>
      </w:pPr>
    </w:p>
    <w:p>
      <w:pPr>
        <w:ind w:left="320" w:hanging="317"/>
        <w:spacing w:after="0" w:line="219" w:lineRule="auto"/>
        <w:tabs>
          <w:tab w:leader="none" w:pos="320" w:val="left"/>
        </w:tabs>
        <w:numPr>
          <w:ilvl w:val="0"/>
          <w:numId w:val="93"/>
        </w:numPr>
        <w:rPr>
          <w:rFonts w:ascii="Arial" w:cs="Arial" w:eastAsia="Arial" w:hAnsi="Arial"/>
          <w:sz w:val="21"/>
          <w:szCs w:val="21"/>
          <w:color w:val="34657F"/>
        </w:rPr>
      </w:pPr>
      <w:r>
        <w:rPr>
          <w:rFonts w:ascii="Arial" w:cs="Arial" w:eastAsia="Arial" w:hAnsi="Arial"/>
          <w:sz w:val="17"/>
          <w:szCs w:val="17"/>
          <w:color w:val="auto"/>
        </w:rPr>
        <w:t>Among Best Places to Work for LGBT Equality by the Human Rights Campaign;</w:t>
      </w:r>
    </w:p>
    <w:p>
      <w:pPr>
        <w:spacing w:after="0" w:line="23" w:lineRule="exact"/>
        <w:rPr>
          <w:rFonts w:ascii="Arial" w:cs="Arial" w:eastAsia="Arial" w:hAnsi="Arial"/>
          <w:sz w:val="21"/>
          <w:szCs w:val="21"/>
          <w:color w:val="34657F"/>
        </w:rPr>
      </w:pPr>
    </w:p>
    <w:p>
      <w:pPr>
        <w:ind w:left="320" w:hanging="317"/>
        <w:spacing w:after="0" w:line="219" w:lineRule="auto"/>
        <w:tabs>
          <w:tab w:leader="none" w:pos="320" w:val="left"/>
        </w:tabs>
        <w:numPr>
          <w:ilvl w:val="0"/>
          <w:numId w:val="93"/>
        </w:numPr>
        <w:rPr>
          <w:rFonts w:ascii="Arial" w:cs="Arial" w:eastAsia="Arial" w:hAnsi="Arial"/>
          <w:sz w:val="21"/>
          <w:szCs w:val="21"/>
          <w:color w:val="34657F"/>
        </w:rPr>
      </w:pPr>
      <w:r>
        <w:rPr>
          <w:rFonts w:ascii="Arial" w:cs="Arial" w:eastAsia="Arial" w:hAnsi="Arial"/>
          <w:sz w:val="17"/>
          <w:szCs w:val="17"/>
          <w:color w:val="auto"/>
        </w:rPr>
        <w:t>Among the “Best of the Best” for Top Veteran-Friendly Companies and Top Supplier Diversity Programs by U.S. Veterans Magazine; and</w:t>
      </w:r>
    </w:p>
    <w:p>
      <w:pPr>
        <w:spacing w:after="0" w:line="23" w:lineRule="exact"/>
        <w:rPr>
          <w:rFonts w:ascii="Arial" w:cs="Arial" w:eastAsia="Arial" w:hAnsi="Arial"/>
          <w:sz w:val="21"/>
          <w:szCs w:val="21"/>
          <w:color w:val="34657F"/>
        </w:rPr>
      </w:pPr>
    </w:p>
    <w:p>
      <w:pPr>
        <w:ind w:left="320" w:hanging="317"/>
        <w:spacing w:after="0" w:line="219" w:lineRule="auto"/>
        <w:tabs>
          <w:tab w:leader="none" w:pos="320" w:val="left"/>
        </w:tabs>
        <w:numPr>
          <w:ilvl w:val="0"/>
          <w:numId w:val="93"/>
        </w:numPr>
        <w:rPr>
          <w:rFonts w:ascii="Arial" w:cs="Arial" w:eastAsia="Arial" w:hAnsi="Arial"/>
          <w:sz w:val="21"/>
          <w:szCs w:val="21"/>
          <w:color w:val="34657F"/>
        </w:rPr>
      </w:pPr>
      <w:r>
        <w:rPr>
          <w:rFonts w:ascii="Arial" w:cs="Arial" w:eastAsia="Arial" w:hAnsi="Arial"/>
          <w:sz w:val="17"/>
          <w:szCs w:val="17"/>
          <w:color w:val="auto"/>
        </w:rPr>
        <w:t>Among the 100 Best Corporate Citizens by Corporate Responsibility Magazine.</w:t>
      </w:r>
    </w:p>
    <w:p>
      <w:pPr>
        <w:spacing w:after="0" w:line="91" w:lineRule="exact"/>
        <w:rPr>
          <w:sz w:val="20"/>
          <w:szCs w:val="20"/>
          <w:color w:val="auto"/>
        </w:rPr>
      </w:pPr>
    </w:p>
    <w:p>
      <w:pPr>
        <w:ind w:right="60"/>
        <w:spacing w:after="0" w:line="257" w:lineRule="auto"/>
        <w:rPr>
          <w:sz w:val="20"/>
          <w:szCs w:val="20"/>
          <w:color w:val="auto"/>
        </w:rPr>
      </w:pPr>
      <w:r>
        <w:rPr>
          <w:rFonts w:ascii="Arial" w:cs="Arial" w:eastAsia="Arial" w:hAnsi="Arial"/>
          <w:sz w:val="17"/>
          <w:szCs w:val="17"/>
          <w:color w:val="auto"/>
        </w:rPr>
        <w:t>The Company is committed to respecting human rights and has been transparent about both the Company’s policies and how they are implemented. Management holds all employees accountable for protecting and enhancing our culture, including the respect for human rights, and does so subject to active oversight by our Board of Directors.</w:t>
      </w:r>
    </w:p>
    <w:p>
      <w:pPr>
        <w:spacing w:after="0" w:line="64" w:lineRule="exact"/>
        <w:rPr>
          <w:sz w:val="20"/>
          <w:szCs w:val="20"/>
          <w:color w:val="auto"/>
        </w:rPr>
      </w:pPr>
    </w:p>
    <w:p>
      <w:pPr>
        <w:ind w:right="140"/>
        <w:spacing w:after="0" w:line="257" w:lineRule="auto"/>
        <w:rPr>
          <w:sz w:val="20"/>
          <w:szCs w:val="20"/>
          <w:color w:val="auto"/>
        </w:rPr>
      </w:pPr>
      <w:r>
        <w:rPr>
          <w:rFonts w:ascii="Arial" w:cs="Arial" w:eastAsia="Arial" w:hAnsi="Arial"/>
          <w:sz w:val="17"/>
          <w:szCs w:val="17"/>
          <w:color w:val="auto"/>
        </w:rPr>
        <w:t>The Board of Directors believes, however, that this Proposal Four is both unnecessary (we are already committed to robust human rights policies and transparency in how they are implemented) and inappropriate, suggesting unworkable requirements on the day-to-day operations - of the Company and our customers - through a shareholder proposal.</w:t>
      </w:r>
    </w:p>
    <w:p>
      <w:pPr>
        <w:spacing w:after="0" w:line="64" w:lineRule="exact"/>
        <w:rPr>
          <w:sz w:val="20"/>
          <w:szCs w:val="20"/>
          <w:color w:val="auto"/>
        </w:rPr>
      </w:pPr>
    </w:p>
    <w:p>
      <w:pPr>
        <w:spacing w:after="0" w:line="254" w:lineRule="auto"/>
        <w:rPr>
          <w:sz w:val="20"/>
          <w:szCs w:val="20"/>
          <w:color w:val="auto"/>
        </w:rPr>
      </w:pPr>
      <w:r>
        <w:rPr>
          <w:rFonts w:ascii="Arial" w:cs="Arial" w:eastAsia="Arial" w:hAnsi="Arial"/>
          <w:sz w:val="17"/>
          <w:szCs w:val="17"/>
          <w:color w:val="auto"/>
        </w:rPr>
        <w:t>The essence of this proposal appears to us to be aimed not so much at our conduct, but rather at the conduct of the US Government. The focus of Proponents' concern seems to be how our customers will or might use the products we provide and the indirect consequences of the manner in which the US Government deploys them at a given point in time and under various circumstances. To be sure, the Company can and does take seriously the potential consequences of its products and the identity of the customers to whom we can and will sell them. The Company’s management systems and processes (on which Proponents seek a report) cannot, however, resolve Proponents’ apparent underlying concerns that the Government might use our products in a way that is unacceptable to Proponents.</w:t>
      </w:r>
    </w:p>
    <w:p>
      <w:pPr>
        <w:spacing w:after="0" w:line="66" w:lineRule="exact"/>
        <w:rPr>
          <w:sz w:val="20"/>
          <w:szCs w:val="20"/>
          <w:color w:val="auto"/>
        </w:rPr>
      </w:pPr>
    </w:p>
    <w:p>
      <w:pPr>
        <w:ind w:right="980"/>
        <w:spacing w:after="0" w:line="263" w:lineRule="auto"/>
        <w:rPr>
          <w:sz w:val="20"/>
          <w:szCs w:val="20"/>
          <w:color w:val="auto"/>
        </w:rPr>
      </w:pPr>
      <w:r>
        <w:rPr>
          <w:rFonts w:ascii="Arial" w:cs="Arial" w:eastAsia="Arial" w:hAnsi="Arial"/>
          <w:sz w:val="17"/>
          <w:szCs w:val="17"/>
          <w:color w:val="auto"/>
        </w:rPr>
        <w:t>In addition, we note that much of the relevant information regarding our human rights policy is already publicly available on our website for shareholders to review. Such information includes, for example, our Corporate Responsibility Report, as well as information regarding:</w:t>
      </w:r>
    </w:p>
    <w:p>
      <w:pPr>
        <w:spacing w:after="0" w:line="48" w:lineRule="exact"/>
        <w:rPr>
          <w:sz w:val="20"/>
          <w:szCs w:val="20"/>
          <w:color w:val="auto"/>
        </w:rPr>
      </w:pPr>
    </w:p>
    <w:p>
      <w:pPr>
        <w:ind w:left="320" w:hanging="317"/>
        <w:spacing w:after="0"/>
        <w:tabs>
          <w:tab w:leader="none" w:pos="320" w:val="left"/>
        </w:tabs>
        <w:numPr>
          <w:ilvl w:val="0"/>
          <w:numId w:val="94"/>
        </w:numPr>
        <w:rPr>
          <w:rFonts w:ascii="Arial" w:cs="Arial" w:eastAsia="Arial" w:hAnsi="Arial"/>
          <w:sz w:val="21"/>
          <w:szCs w:val="21"/>
          <w:color w:val="34657F"/>
        </w:rPr>
      </w:pPr>
      <w:r>
        <w:rPr>
          <w:rFonts w:ascii="Arial" w:cs="Arial" w:eastAsia="Arial" w:hAnsi="Arial"/>
          <w:sz w:val="17"/>
          <w:szCs w:val="17"/>
          <w:color w:val="auto"/>
        </w:rPr>
        <w:t>Environmental, Social and Governance Performance Data</w:t>
      </w:r>
    </w:p>
    <w:p>
      <w:pPr>
        <w:spacing w:after="0" w:line="22" w:lineRule="exact"/>
        <w:rPr>
          <w:rFonts w:ascii="Arial" w:cs="Arial" w:eastAsia="Arial" w:hAnsi="Arial"/>
          <w:sz w:val="21"/>
          <w:szCs w:val="21"/>
          <w:color w:val="34657F"/>
        </w:rPr>
      </w:pPr>
    </w:p>
    <w:p>
      <w:pPr>
        <w:ind w:left="320" w:hanging="317"/>
        <w:spacing w:after="0" w:line="219" w:lineRule="auto"/>
        <w:tabs>
          <w:tab w:leader="none" w:pos="320" w:val="left"/>
        </w:tabs>
        <w:numPr>
          <w:ilvl w:val="0"/>
          <w:numId w:val="94"/>
        </w:numPr>
        <w:rPr>
          <w:rFonts w:ascii="Arial" w:cs="Arial" w:eastAsia="Arial" w:hAnsi="Arial"/>
          <w:sz w:val="21"/>
          <w:szCs w:val="21"/>
          <w:color w:val="34657F"/>
        </w:rPr>
      </w:pPr>
      <w:r>
        <w:rPr>
          <w:rFonts w:ascii="Arial" w:cs="Arial" w:eastAsia="Arial" w:hAnsi="Arial"/>
          <w:sz w:val="17"/>
          <w:szCs w:val="17"/>
          <w:color w:val="auto"/>
        </w:rPr>
        <w:t>Anti-Human Trafficking and Slavery Statement</w:t>
      </w:r>
    </w:p>
    <w:p>
      <w:pPr>
        <w:spacing w:after="0" w:line="23" w:lineRule="exact"/>
        <w:rPr>
          <w:rFonts w:ascii="Arial" w:cs="Arial" w:eastAsia="Arial" w:hAnsi="Arial"/>
          <w:sz w:val="21"/>
          <w:szCs w:val="21"/>
          <w:color w:val="34657F"/>
        </w:rPr>
      </w:pPr>
    </w:p>
    <w:p>
      <w:pPr>
        <w:ind w:left="320" w:hanging="317"/>
        <w:spacing w:after="0" w:line="219" w:lineRule="auto"/>
        <w:tabs>
          <w:tab w:leader="none" w:pos="320" w:val="left"/>
        </w:tabs>
        <w:numPr>
          <w:ilvl w:val="0"/>
          <w:numId w:val="94"/>
        </w:numPr>
        <w:rPr>
          <w:rFonts w:ascii="Arial" w:cs="Arial" w:eastAsia="Arial" w:hAnsi="Arial"/>
          <w:sz w:val="21"/>
          <w:szCs w:val="21"/>
          <w:color w:val="34657F"/>
        </w:rPr>
      </w:pPr>
      <w:r>
        <w:rPr>
          <w:rFonts w:ascii="Arial" w:cs="Arial" w:eastAsia="Arial" w:hAnsi="Arial"/>
          <w:sz w:val="17"/>
          <w:szCs w:val="17"/>
          <w:color w:val="auto"/>
        </w:rPr>
        <w:t>Anti-Corruption Compliance</w:t>
      </w:r>
    </w:p>
    <w:p>
      <w:pPr>
        <w:spacing w:after="0" w:line="23" w:lineRule="exact"/>
        <w:rPr>
          <w:rFonts w:ascii="Arial" w:cs="Arial" w:eastAsia="Arial" w:hAnsi="Arial"/>
          <w:sz w:val="21"/>
          <w:szCs w:val="21"/>
          <w:color w:val="34657F"/>
        </w:rPr>
      </w:pPr>
    </w:p>
    <w:p>
      <w:pPr>
        <w:ind w:left="320" w:hanging="317"/>
        <w:spacing w:after="0" w:line="219" w:lineRule="auto"/>
        <w:tabs>
          <w:tab w:leader="none" w:pos="320" w:val="left"/>
        </w:tabs>
        <w:numPr>
          <w:ilvl w:val="0"/>
          <w:numId w:val="94"/>
        </w:numPr>
        <w:rPr>
          <w:rFonts w:ascii="Arial" w:cs="Arial" w:eastAsia="Arial" w:hAnsi="Arial"/>
          <w:sz w:val="21"/>
          <w:szCs w:val="21"/>
          <w:color w:val="34657F"/>
        </w:rPr>
      </w:pPr>
      <w:r>
        <w:rPr>
          <w:rFonts w:ascii="Arial" w:cs="Arial" w:eastAsia="Arial" w:hAnsi="Arial"/>
          <w:sz w:val="17"/>
          <w:szCs w:val="17"/>
          <w:color w:val="auto"/>
        </w:rPr>
        <w:t>Conflicts Minerals Statement</w:t>
      </w:r>
    </w:p>
    <w:p>
      <w:pPr>
        <w:spacing w:after="0" w:line="23" w:lineRule="exact"/>
        <w:rPr>
          <w:rFonts w:ascii="Arial" w:cs="Arial" w:eastAsia="Arial" w:hAnsi="Arial"/>
          <w:sz w:val="21"/>
          <w:szCs w:val="21"/>
          <w:color w:val="34657F"/>
        </w:rPr>
      </w:pPr>
    </w:p>
    <w:p>
      <w:pPr>
        <w:ind w:left="320" w:hanging="317"/>
        <w:spacing w:after="0" w:line="219" w:lineRule="auto"/>
        <w:tabs>
          <w:tab w:leader="none" w:pos="320" w:val="left"/>
        </w:tabs>
        <w:numPr>
          <w:ilvl w:val="0"/>
          <w:numId w:val="94"/>
        </w:numPr>
        <w:rPr>
          <w:rFonts w:ascii="Arial" w:cs="Arial" w:eastAsia="Arial" w:hAnsi="Arial"/>
          <w:sz w:val="21"/>
          <w:szCs w:val="21"/>
          <w:color w:val="34657F"/>
        </w:rPr>
      </w:pPr>
      <w:r>
        <w:rPr>
          <w:rFonts w:ascii="Arial" w:cs="Arial" w:eastAsia="Arial" w:hAnsi="Arial"/>
          <w:sz w:val="17"/>
          <w:szCs w:val="17"/>
          <w:color w:val="auto"/>
        </w:rPr>
        <w:t>Environmental Sustainability</w:t>
      </w:r>
    </w:p>
    <w:p>
      <w:pPr>
        <w:spacing w:after="0" w:line="23" w:lineRule="exact"/>
        <w:rPr>
          <w:rFonts w:ascii="Arial" w:cs="Arial" w:eastAsia="Arial" w:hAnsi="Arial"/>
          <w:sz w:val="21"/>
          <w:szCs w:val="21"/>
          <w:color w:val="34657F"/>
        </w:rPr>
      </w:pPr>
    </w:p>
    <w:p>
      <w:pPr>
        <w:ind w:left="320" w:hanging="317"/>
        <w:spacing w:after="0" w:line="219" w:lineRule="auto"/>
        <w:tabs>
          <w:tab w:leader="none" w:pos="320" w:val="left"/>
        </w:tabs>
        <w:numPr>
          <w:ilvl w:val="0"/>
          <w:numId w:val="94"/>
        </w:numPr>
        <w:rPr>
          <w:rFonts w:ascii="Arial" w:cs="Arial" w:eastAsia="Arial" w:hAnsi="Arial"/>
          <w:sz w:val="21"/>
          <w:szCs w:val="21"/>
          <w:color w:val="34657F"/>
        </w:rPr>
      </w:pPr>
      <w:r>
        <w:rPr>
          <w:rFonts w:ascii="Arial" w:cs="Arial" w:eastAsia="Arial" w:hAnsi="Arial"/>
          <w:sz w:val="17"/>
          <w:szCs w:val="17"/>
          <w:color w:val="auto"/>
        </w:rPr>
        <w:t>Environmental Recognition</w:t>
      </w:r>
    </w:p>
    <w:p>
      <w:pPr>
        <w:spacing w:after="0" w:line="23" w:lineRule="exact"/>
        <w:rPr>
          <w:rFonts w:ascii="Arial" w:cs="Arial" w:eastAsia="Arial" w:hAnsi="Arial"/>
          <w:sz w:val="21"/>
          <w:szCs w:val="21"/>
          <w:color w:val="34657F"/>
        </w:rPr>
      </w:pPr>
    </w:p>
    <w:p>
      <w:pPr>
        <w:ind w:left="320" w:hanging="317"/>
        <w:spacing w:after="0" w:line="219" w:lineRule="auto"/>
        <w:tabs>
          <w:tab w:leader="none" w:pos="320" w:val="left"/>
        </w:tabs>
        <w:numPr>
          <w:ilvl w:val="0"/>
          <w:numId w:val="94"/>
        </w:numPr>
        <w:rPr>
          <w:rFonts w:ascii="Arial" w:cs="Arial" w:eastAsia="Arial" w:hAnsi="Arial"/>
          <w:sz w:val="21"/>
          <w:szCs w:val="21"/>
          <w:color w:val="34657F"/>
        </w:rPr>
      </w:pPr>
      <w:r>
        <w:rPr>
          <w:rFonts w:ascii="Arial" w:cs="Arial" w:eastAsia="Arial" w:hAnsi="Arial"/>
          <w:sz w:val="17"/>
          <w:szCs w:val="17"/>
          <w:color w:val="auto"/>
        </w:rPr>
        <w:t>Global Supplier Diversity Program</w:t>
      </w:r>
    </w:p>
    <w:p>
      <w:pPr>
        <w:spacing w:after="0" w:line="23" w:lineRule="exact"/>
        <w:rPr>
          <w:rFonts w:ascii="Arial" w:cs="Arial" w:eastAsia="Arial" w:hAnsi="Arial"/>
          <w:sz w:val="21"/>
          <w:szCs w:val="21"/>
          <w:color w:val="34657F"/>
        </w:rPr>
      </w:pPr>
    </w:p>
    <w:p>
      <w:pPr>
        <w:ind w:left="320" w:hanging="317"/>
        <w:spacing w:after="0" w:line="219" w:lineRule="auto"/>
        <w:tabs>
          <w:tab w:leader="none" w:pos="320" w:val="left"/>
        </w:tabs>
        <w:numPr>
          <w:ilvl w:val="0"/>
          <w:numId w:val="94"/>
        </w:numPr>
        <w:rPr>
          <w:rFonts w:ascii="Arial" w:cs="Arial" w:eastAsia="Arial" w:hAnsi="Arial"/>
          <w:sz w:val="21"/>
          <w:szCs w:val="21"/>
          <w:color w:val="34657F"/>
        </w:rPr>
      </w:pPr>
      <w:r>
        <w:rPr>
          <w:rFonts w:ascii="Arial" w:cs="Arial" w:eastAsia="Arial" w:hAnsi="Arial"/>
          <w:sz w:val="17"/>
          <w:szCs w:val="17"/>
          <w:color w:val="auto"/>
        </w:rPr>
        <w:t>Supplier Standards of Business Conduct</w:t>
      </w:r>
    </w:p>
    <w:p>
      <w:pPr>
        <w:spacing w:after="0" w:line="23" w:lineRule="exact"/>
        <w:rPr>
          <w:rFonts w:ascii="Arial" w:cs="Arial" w:eastAsia="Arial" w:hAnsi="Arial"/>
          <w:sz w:val="21"/>
          <w:szCs w:val="21"/>
          <w:color w:val="34657F"/>
        </w:rPr>
      </w:pPr>
    </w:p>
    <w:p>
      <w:pPr>
        <w:ind w:left="320" w:hanging="317"/>
        <w:spacing w:after="0" w:line="219" w:lineRule="auto"/>
        <w:tabs>
          <w:tab w:leader="none" w:pos="320" w:val="left"/>
        </w:tabs>
        <w:numPr>
          <w:ilvl w:val="0"/>
          <w:numId w:val="94"/>
        </w:numPr>
        <w:rPr>
          <w:rFonts w:ascii="Arial" w:cs="Arial" w:eastAsia="Arial" w:hAnsi="Arial"/>
          <w:sz w:val="21"/>
          <w:szCs w:val="21"/>
          <w:color w:val="34657F"/>
        </w:rPr>
      </w:pPr>
      <w:r>
        <w:rPr>
          <w:rFonts w:ascii="Arial" w:cs="Arial" w:eastAsia="Arial" w:hAnsi="Arial"/>
          <w:sz w:val="17"/>
          <w:szCs w:val="17"/>
          <w:color w:val="auto"/>
        </w:rPr>
        <w:t>Operation IMPACT</w:t>
      </w:r>
    </w:p>
    <w:p>
      <w:pPr>
        <w:spacing w:after="0" w:line="91" w:lineRule="exact"/>
        <w:rPr>
          <w:sz w:val="20"/>
          <w:szCs w:val="20"/>
          <w:color w:val="auto"/>
        </w:rPr>
      </w:pPr>
    </w:p>
    <w:p>
      <w:pPr>
        <w:jc w:val="both"/>
        <w:ind w:right="200"/>
        <w:spacing w:after="0" w:line="257" w:lineRule="auto"/>
        <w:rPr>
          <w:sz w:val="20"/>
          <w:szCs w:val="20"/>
          <w:color w:val="auto"/>
        </w:rPr>
      </w:pPr>
      <w:r>
        <w:rPr>
          <w:rFonts w:ascii="Arial" w:cs="Arial" w:eastAsia="Arial" w:hAnsi="Arial"/>
          <w:sz w:val="17"/>
          <w:szCs w:val="17"/>
          <w:color w:val="auto"/>
        </w:rPr>
        <w:t>It is also important to note that the specific management systems and processes on which Proponents seek a report implicate daily operations and a wide array of business considerations. By seeking to micromanage these processes, the Proposal would infringe on the Company’s ability to run its day-to-day business operations.</w:t>
      </w:r>
    </w:p>
    <w:p>
      <w:pPr>
        <w:spacing w:after="0" w:line="64" w:lineRule="exact"/>
        <w:rPr>
          <w:sz w:val="20"/>
          <w:szCs w:val="20"/>
          <w:color w:val="auto"/>
        </w:rPr>
      </w:pPr>
    </w:p>
    <w:p>
      <w:pPr>
        <w:ind w:right="60"/>
        <w:spacing w:after="0" w:line="254" w:lineRule="auto"/>
        <w:rPr>
          <w:sz w:val="20"/>
          <w:szCs w:val="20"/>
          <w:color w:val="auto"/>
        </w:rPr>
      </w:pPr>
      <w:r>
        <w:rPr>
          <w:rFonts w:ascii="Arial" w:cs="Arial" w:eastAsia="Arial" w:hAnsi="Arial"/>
          <w:sz w:val="17"/>
          <w:szCs w:val="17"/>
          <w:color w:val="auto"/>
        </w:rPr>
        <w:t>The Board of Directors and Company management share Proponents’ concern for human rights. The Company has previously adopted a strong human rights policy and continually evaluates our programs to implement that policy. The Board of Directors has considered this proposal and appreciates the feedback from Proponents. However, the Board does not believe that the report proposed by Proponents will provide any enhancements to our current human rights policies. To the contrary, the Board believes that this Proposal Four is neither necessary nor an appropriate way to ensure the Company meets its responsibilities. The Board believes strongly that the proposal is not in the best interests of the Company and our shareholders. The Board therefore opposes this proposal and recommends that it should not be adopted.</w:t>
      </w:r>
    </w:p>
    <w:p>
      <w:pPr>
        <w:spacing w:after="0" w:line="4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Vote Required</w:t>
      </w:r>
    </w:p>
    <w:p>
      <w:pPr>
        <w:spacing w:after="0" w:line="103"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Approval of this proposal requires that the votes cast "for" the proposal exceed the votes cast "against" the proposal. Abstentions and broker non-votes will have no effect on this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119380</wp:posOffset>
            </wp:positionV>
            <wp:extent cx="7270115" cy="2114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70115" cy="211455"/>
                    </a:xfrm>
                    <a:prstGeom prst="rect">
                      <a:avLst/>
                    </a:prstGeom>
                    <a:noFill/>
                  </pic:spPr>
                </pic:pic>
              </a:graphicData>
            </a:graphic>
          </wp:anchor>
        </w:drawing>
      </w: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34657F"/>
        </w:rPr>
        <w:t>THE BOARD OF DIRECTORS UNANIMOUSLY RECOMMENDS THAT YOU VOTE "AGAINST" PROPOSAL FOUR.</w:t>
      </w:r>
    </w:p>
    <w:p>
      <w:pPr>
        <w:spacing w:after="0" w:line="354"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74 </w:t>
      </w:r>
      <w:r>
        <w:rPr>
          <w:rFonts w:ascii="Arial" w:cs="Arial" w:eastAsia="Arial" w:hAnsi="Arial"/>
          <w:sz w:val="13"/>
          <w:szCs w:val="13"/>
          <w:color w:val="auto"/>
        </w:rPr>
        <w:t>I</w:t>
      </w:r>
      <w:r>
        <w:rPr>
          <w:rFonts w:ascii="Arial" w:cs="Arial" w:eastAsia="Arial" w:hAnsi="Arial"/>
          <w:sz w:val="17"/>
          <w:szCs w:val="17"/>
          <w:color w:val="auto"/>
        </w:rPr>
        <w:t xml:space="preserve"> </w:t>
      </w:r>
      <w:r>
        <w:rPr>
          <w:rFonts w:ascii="Arial" w:cs="Arial" w:eastAsia="Arial" w:hAnsi="Arial"/>
          <w:sz w:val="13"/>
          <w:szCs w:val="13"/>
          <w:color w:val="34657F"/>
        </w:rPr>
        <w:t>NOTICE OF 2019 ANNUAL MEETING OF SHAREHOLDERS AND PROXY STATEMENT</w:t>
      </w:r>
    </w:p>
    <w:p>
      <w:pPr>
        <w:sectPr>
          <w:pgSz w:w="11900" w:h="16838" w:orient="portrait"/>
          <w:cols w:equalWidth="0" w:num="1">
            <w:col w:w="11400"/>
          </w:cols>
          <w:pgMar w:left="240" w:top="671" w:right="259" w:bottom="1440" w:gutter="0" w:footer="0" w:header="0"/>
        </w:sectPr>
      </w:pPr>
    </w:p>
    <w:bookmarkStart w:id="80" w:name="page81"/>
    <w:bookmarkEnd w:id="80"/>
    <w:p>
      <w:pPr>
        <w:ind w:left="20"/>
        <w:spacing w:after="0"/>
        <w:rPr>
          <w:sz w:val="20"/>
          <w:szCs w:val="20"/>
          <w:color w:val="auto"/>
        </w:rPr>
      </w:pPr>
      <w:r>
        <w:rPr>
          <w:rFonts w:ascii="Arial" w:cs="Arial" w:eastAsia="Arial" w:hAnsi="Arial"/>
          <w:sz w:val="21"/>
          <w:szCs w:val="21"/>
          <w:b w:val="1"/>
          <w:bCs w:val="1"/>
          <w:color w:val="FFFFFF"/>
          <w:shd w:val="clear" w:color="auto" w:fill="34657F"/>
        </w:rPr>
        <w:drawing>
          <wp:anchor simplePos="0" relativeHeight="251657728" behindDoc="1" locked="0" layoutInCell="0" allowOverlap="1">
            <wp:simplePos x="0" y="0"/>
            <wp:positionH relativeFrom="page">
              <wp:posOffset>154305</wp:posOffset>
            </wp:positionH>
            <wp:positionV relativeFrom="page">
              <wp:posOffset>365760</wp:posOffset>
            </wp:positionV>
            <wp:extent cx="7253605" cy="58610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53605" cy="586105"/>
                    </a:xfrm>
                    <a:prstGeom prst="rect">
                      <a:avLst/>
                    </a:prstGeom>
                    <a:noFill/>
                  </pic:spPr>
                </pic:pic>
              </a:graphicData>
            </a:graphic>
          </wp:anchor>
        </w:drawing>
        <w:t>PROPOSAL FIVE: SHAREHOLDER PROPOSAL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320"/>
        <w:spacing w:after="0" w:line="255" w:lineRule="auto"/>
        <w:rPr>
          <w:sz w:val="20"/>
          <w:szCs w:val="20"/>
          <w:color w:val="auto"/>
        </w:rPr>
      </w:pPr>
      <w:r>
        <w:rPr>
          <w:rFonts w:ascii="Arial" w:cs="Arial" w:eastAsia="Arial" w:hAnsi="Arial"/>
          <w:sz w:val="17"/>
          <w:szCs w:val="17"/>
          <w:color w:val="auto"/>
        </w:rPr>
        <w:t>Mr. John Chevedden, 2215 Nelson Avenue, No. 205, Redondo Beach, California 90278, a beneficial owner of 50 shares of common stock of the Company, the proponent of a shareholder proposal, has stated that he intends to present a proposal at the Annual Meeting. The proposal and supporting statement, for which the Board of Directors accepts no responsibility, is set forth below. The Board of Directors opposes the shareholder proposal for the reasons stated below.</w:t>
      </w:r>
    </w:p>
    <w:p>
      <w:pPr>
        <w:spacing w:after="0" w:line="193" w:lineRule="exact"/>
        <w:rPr>
          <w:sz w:val="20"/>
          <w:szCs w:val="20"/>
          <w:color w:val="auto"/>
        </w:rPr>
      </w:pPr>
    </w:p>
    <w:p>
      <w:pPr>
        <w:ind w:left="20"/>
        <w:spacing w:after="0"/>
        <w:rPr>
          <w:sz w:val="20"/>
          <w:szCs w:val="20"/>
          <w:color w:val="auto"/>
        </w:rPr>
      </w:pPr>
      <w:r>
        <w:rPr>
          <w:rFonts w:ascii="Arial" w:cs="Arial" w:eastAsia="Arial" w:hAnsi="Arial"/>
          <w:sz w:val="24"/>
          <w:szCs w:val="24"/>
          <w:b w:val="1"/>
          <w:bCs w:val="1"/>
          <w:color w:val="auto"/>
        </w:rPr>
        <w:t>Proposal Five: Shareholder Proposal Regarding Independent Board Chairman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38100</wp:posOffset>
            </wp:positionV>
            <wp:extent cx="7253605" cy="1651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pacing w:after="0" w:line="142" w:lineRule="exact"/>
        <w:rPr>
          <w:sz w:val="20"/>
          <w:szCs w:val="20"/>
          <w:color w:val="auto"/>
        </w:rPr>
      </w:pPr>
    </w:p>
    <w:p>
      <w:pPr>
        <w:ind w:right="180"/>
        <w:spacing w:after="0" w:line="257" w:lineRule="auto"/>
        <w:rPr>
          <w:sz w:val="20"/>
          <w:szCs w:val="20"/>
          <w:color w:val="auto"/>
        </w:rPr>
      </w:pPr>
      <w:r>
        <w:rPr>
          <w:rFonts w:ascii="Arial" w:cs="Arial" w:eastAsia="Arial" w:hAnsi="Arial"/>
          <w:sz w:val="17"/>
          <w:szCs w:val="17"/>
          <w:color w:val="auto"/>
        </w:rPr>
        <w:t>Shareholders request our Board of Directors to adopt as a policy, and amend our governing documents as necessary, to require henceforth that the Chair of the Board of Directors, whenever possible, to be an independent member of the Board. The Board would have the discretion to phase in this policy for the next Chief Executive Officer transition, implemented so it does not violate any existing agreement.</w:t>
      </w:r>
    </w:p>
    <w:p>
      <w:pPr>
        <w:spacing w:after="0" w:line="193" w:lineRule="exact"/>
        <w:rPr>
          <w:sz w:val="20"/>
          <w:szCs w:val="20"/>
          <w:color w:val="auto"/>
        </w:rPr>
      </w:pPr>
    </w:p>
    <w:p>
      <w:pPr>
        <w:ind w:right="40"/>
        <w:spacing w:after="0" w:line="257" w:lineRule="auto"/>
        <w:rPr>
          <w:sz w:val="20"/>
          <w:szCs w:val="20"/>
          <w:color w:val="auto"/>
        </w:rPr>
      </w:pPr>
      <w:r>
        <w:rPr>
          <w:rFonts w:ascii="Arial" w:cs="Arial" w:eastAsia="Arial" w:hAnsi="Arial"/>
          <w:sz w:val="17"/>
          <w:szCs w:val="17"/>
          <w:color w:val="auto"/>
        </w:rPr>
        <w:t>If the Board determines that a Chairman, who was independent when selected is no longer independent, the Board shall select a new Chairman who satisfies the requirements of the policy within a reasonable amount of time. Compliance with this policy is waived if no independent director is available and willing to serve as Chairman. This proposal requests that all the necessary steps be taken to accomplish the above.</w:t>
      </w:r>
    </w:p>
    <w:p>
      <w:pPr>
        <w:spacing w:after="0" w:line="193" w:lineRule="exact"/>
        <w:rPr>
          <w:sz w:val="20"/>
          <w:szCs w:val="20"/>
          <w:color w:val="auto"/>
        </w:rPr>
      </w:pPr>
    </w:p>
    <w:p>
      <w:pPr>
        <w:ind w:right="400"/>
        <w:spacing w:after="0" w:line="263" w:lineRule="auto"/>
        <w:rPr>
          <w:sz w:val="20"/>
          <w:szCs w:val="20"/>
          <w:color w:val="auto"/>
        </w:rPr>
      </w:pPr>
      <w:r>
        <w:rPr>
          <w:rFonts w:ascii="Arial" w:cs="Arial" w:eastAsia="Arial" w:hAnsi="Arial"/>
          <w:sz w:val="17"/>
          <w:szCs w:val="17"/>
          <w:color w:val="auto"/>
        </w:rPr>
        <w:t>This proposal topic won 50%-plus support at 5 major U.S. companies in 2013 including 73%-support at Netflix. These 5 majority votes would have been still higher if all shareholders had access to independent proxy voting advice.</w:t>
      </w:r>
    </w:p>
    <w:p>
      <w:pPr>
        <w:spacing w:after="0" w:line="187" w:lineRule="exact"/>
        <w:rPr>
          <w:sz w:val="20"/>
          <w:szCs w:val="20"/>
          <w:color w:val="auto"/>
        </w:rPr>
      </w:pPr>
    </w:p>
    <w:p>
      <w:pPr>
        <w:jc w:val="both"/>
        <w:ind w:right="300"/>
        <w:spacing w:after="0" w:line="257" w:lineRule="auto"/>
        <w:rPr>
          <w:sz w:val="20"/>
          <w:szCs w:val="20"/>
          <w:color w:val="auto"/>
        </w:rPr>
      </w:pPr>
      <w:r>
        <w:rPr>
          <w:rFonts w:ascii="Arial" w:cs="Arial" w:eastAsia="Arial" w:hAnsi="Arial"/>
          <w:sz w:val="17"/>
          <w:szCs w:val="17"/>
          <w:color w:val="auto"/>
        </w:rPr>
        <w:t>An independent Chairman is best positioned to build up the strategic planning capabilities of our directors while our CEO addresses the challenging day-to-day issues facing the company. The roles of Chairman and CEO are fundamentally different and should be held by 2 directors, a CEO and a Chairman who is completely independent.</w:t>
      </w:r>
    </w:p>
    <w:p>
      <w:pPr>
        <w:spacing w:after="0" w:line="193" w:lineRule="exact"/>
        <w:rPr>
          <w:sz w:val="20"/>
          <w:szCs w:val="20"/>
          <w:color w:val="auto"/>
        </w:rPr>
      </w:pPr>
    </w:p>
    <w:p>
      <w:pPr>
        <w:jc w:val="both"/>
        <w:ind w:right="80"/>
        <w:spacing w:after="0" w:line="257" w:lineRule="auto"/>
        <w:rPr>
          <w:sz w:val="20"/>
          <w:szCs w:val="20"/>
          <w:color w:val="auto"/>
        </w:rPr>
      </w:pPr>
      <w:r>
        <w:rPr>
          <w:rFonts w:ascii="Arial" w:cs="Arial" w:eastAsia="Arial" w:hAnsi="Arial"/>
          <w:sz w:val="17"/>
          <w:szCs w:val="17"/>
          <w:color w:val="auto"/>
        </w:rPr>
        <w:t>This proposal is particularly important now because during the Chairman/CEO tenure of Wesley Bush the role of Lead Director was neglected. Donald Felsinger, the former Chairman/CEO of Sempra Energy, was Lead Director and was also on the executive pay committee while Mr. Bush was realizing as much as $41 million in annual pay.</w:t>
      </w:r>
    </w:p>
    <w:p>
      <w:pPr>
        <w:spacing w:after="0" w:line="193" w:lineRule="exact"/>
        <w:rPr>
          <w:sz w:val="20"/>
          <w:szCs w:val="20"/>
          <w:color w:val="auto"/>
        </w:rPr>
      </w:pPr>
    </w:p>
    <w:p>
      <w:pPr>
        <w:ind w:right="80"/>
        <w:spacing w:after="0" w:line="257" w:lineRule="auto"/>
        <w:rPr>
          <w:sz w:val="20"/>
          <w:szCs w:val="20"/>
          <w:color w:val="auto"/>
        </w:rPr>
      </w:pPr>
      <w:r>
        <w:rPr>
          <w:rFonts w:ascii="Arial" w:cs="Arial" w:eastAsia="Arial" w:hAnsi="Arial"/>
          <w:sz w:val="17"/>
          <w:szCs w:val="17"/>
          <w:color w:val="auto"/>
        </w:rPr>
        <w:t>A former Chairman/CEO is inclined to be friendly to a person in the same shoes as he was recently in - but this conflict of interest is not good for shareholders. It is noteable that just before Mr. Felsinger left Sempra Energy (as its Chairman and CEO) that this proposal topic received 55% support from Sempra shareholders.</w:t>
      </w:r>
    </w:p>
    <w:p>
      <w:pPr>
        <w:spacing w:after="0" w:line="193" w:lineRule="exact"/>
        <w:rPr>
          <w:sz w:val="20"/>
          <w:szCs w:val="20"/>
          <w:color w:val="auto"/>
        </w:rPr>
      </w:pPr>
    </w:p>
    <w:p>
      <w:pPr>
        <w:ind w:right="300"/>
        <w:spacing w:after="0" w:line="263" w:lineRule="auto"/>
        <w:rPr>
          <w:sz w:val="20"/>
          <w:szCs w:val="20"/>
          <w:color w:val="auto"/>
        </w:rPr>
      </w:pPr>
      <w:r>
        <w:rPr>
          <w:rFonts w:ascii="Arial" w:cs="Arial" w:eastAsia="Arial" w:hAnsi="Arial"/>
          <w:sz w:val="17"/>
          <w:szCs w:val="17"/>
          <w:color w:val="auto"/>
        </w:rPr>
        <w:t>An independent Chairman is best positioned to build up the strategic planning capabilities of our directors while our CEO addresses the challenging day-to-day issues facing the company.</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Please vote yes:</w:t>
      </w:r>
    </w:p>
    <w:p>
      <w:pPr>
        <w:spacing w:after="0" w:line="9" w:lineRule="exact"/>
        <w:rPr>
          <w:sz w:val="20"/>
          <w:szCs w:val="20"/>
          <w:color w:val="auto"/>
        </w:rPr>
      </w:pPr>
    </w:p>
    <w:p>
      <w:pPr>
        <w:ind w:left="4000"/>
        <w:spacing w:after="0"/>
        <w:rPr>
          <w:sz w:val="20"/>
          <w:szCs w:val="20"/>
          <w:color w:val="auto"/>
        </w:rPr>
      </w:pPr>
      <w:r>
        <w:rPr>
          <w:rFonts w:ascii="Arial" w:cs="Arial" w:eastAsia="Arial" w:hAnsi="Arial"/>
          <w:sz w:val="17"/>
          <w:szCs w:val="17"/>
          <w:b w:val="1"/>
          <w:bCs w:val="1"/>
          <w:color w:val="auto"/>
        </w:rPr>
        <w:t>Independent Board Chairman - Proposal 5</w:t>
      </w:r>
    </w:p>
    <w:p>
      <w:pPr>
        <w:spacing w:after="0" w:line="136" w:lineRule="exact"/>
        <w:rPr>
          <w:sz w:val="20"/>
          <w:szCs w:val="20"/>
          <w:color w:val="auto"/>
        </w:rPr>
      </w:pPr>
    </w:p>
    <w:p>
      <w:pPr>
        <w:ind w:left="20"/>
        <w:spacing w:after="0"/>
        <w:rPr>
          <w:sz w:val="20"/>
          <w:szCs w:val="20"/>
          <w:color w:val="auto"/>
        </w:rPr>
      </w:pPr>
      <w:r>
        <w:rPr>
          <w:rFonts w:ascii="Arial" w:cs="Arial" w:eastAsia="Arial" w:hAnsi="Arial"/>
          <w:sz w:val="24"/>
          <w:szCs w:val="24"/>
          <w:b w:val="1"/>
          <w:bCs w:val="1"/>
          <w:color w:val="auto"/>
        </w:rPr>
        <w:t>Board of Directors' Statement in Opposition to Proposal Five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38100</wp:posOffset>
            </wp:positionV>
            <wp:extent cx="7253605" cy="1651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pacing w:after="0" w:line="142" w:lineRule="exact"/>
        <w:rPr>
          <w:sz w:val="20"/>
          <w:szCs w:val="20"/>
          <w:color w:val="auto"/>
        </w:rPr>
      </w:pPr>
    </w:p>
    <w:p>
      <w:pPr>
        <w:ind w:right="80"/>
        <w:spacing w:after="0" w:line="253" w:lineRule="auto"/>
        <w:rPr>
          <w:sz w:val="20"/>
          <w:szCs w:val="20"/>
          <w:color w:val="auto"/>
        </w:rPr>
      </w:pPr>
      <w:r>
        <w:rPr>
          <w:rFonts w:ascii="Arial" w:cs="Arial" w:eastAsia="Arial" w:hAnsi="Arial"/>
          <w:sz w:val="17"/>
          <w:szCs w:val="17"/>
          <w:color w:val="auto"/>
        </w:rPr>
        <w:t>The Company’s shareholders have considered, and declined to provide majority support to, similar independent board chairman proposals five times since 2007, with only approximately 25% of votes cast in favor of the proposal when it was last presented at the 2015 Annual Meeting. The Board of Directors continues to oppose this proposal because it deprives the Board of important flexibility to determine the most effective leadership structure to serve the interests of the Company and its shareholders. The Board believes the Company and its shareholders are best served when the Board retains the opportunity to utilize its experience, knowledge and judgment, together with ongoing feedback from our shareholders, to determine which director is best suited to serve as Chair in light of the facts and circumstances at the time, allowing the Board to operate efficiently and effectively to protect and enhance long-term success and shareholder value.</w:t>
      </w:r>
    </w:p>
    <w:p>
      <w:pPr>
        <w:spacing w:after="0" w:line="70" w:lineRule="exact"/>
        <w:rPr>
          <w:sz w:val="20"/>
          <w:szCs w:val="20"/>
          <w:color w:val="auto"/>
        </w:rPr>
      </w:pPr>
    </w:p>
    <w:p>
      <w:pPr>
        <w:ind w:right="100"/>
        <w:spacing w:after="0" w:line="255" w:lineRule="auto"/>
        <w:rPr>
          <w:sz w:val="20"/>
          <w:szCs w:val="20"/>
          <w:color w:val="auto"/>
        </w:rPr>
      </w:pPr>
      <w:r>
        <w:rPr>
          <w:rFonts w:ascii="Arial" w:cs="Arial" w:eastAsia="Arial" w:hAnsi="Arial"/>
          <w:sz w:val="17"/>
          <w:szCs w:val="17"/>
          <w:color w:val="auto"/>
        </w:rPr>
        <w:t>Under our Principles of Corporate Governance, the Board has the authority to determine whether the positions of Chair and Chief Executive Officer should be held by the same or different persons. The Board has the flexibility to consider what is best for the Company and its shareholders, in light of all facts and circumstances known to the Board at the time. The Board considers a wide range of factors when determining the most effective leadership structure for the Board. These factors include:</w:t>
      </w:r>
    </w:p>
    <w:p>
      <w:pPr>
        <w:spacing w:after="0" w:line="55" w:lineRule="exact"/>
        <w:rPr>
          <w:sz w:val="20"/>
          <w:szCs w:val="20"/>
          <w:color w:val="auto"/>
        </w:rPr>
      </w:pPr>
    </w:p>
    <w:p>
      <w:pPr>
        <w:ind w:left="320" w:hanging="317"/>
        <w:spacing w:after="0"/>
        <w:tabs>
          <w:tab w:leader="none" w:pos="320" w:val="left"/>
        </w:tabs>
        <w:numPr>
          <w:ilvl w:val="0"/>
          <w:numId w:val="95"/>
        </w:numPr>
        <w:rPr>
          <w:rFonts w:ascii="Arial" w:cs="Arial" w:eastAsia="Arial" w:hAnsi="Arial"/>
          <w:sz w:val="21"/>
          <w:szCs w:val="21"/>
          <w:color w:val="34657F"/>
        </w:rPr>
      </w:pPr>
      <w:r>
        <w:rPr>
          <w:rFonts w:ascii="Arial" w:cs="Arial" w:eastAsia="Arial" w:hAnsi="Arial"/>
          <w:sz w:val="17"/>
          <w:szCs w:val="17"/>
          <w:color w:val="auto"/>
        </w:rPr>
        <w:t>the role of the Board and the responsibilities of the Lead Independent Director and the Chair;</w:t>
      </w:r>
    </w:p>
    <w:p>
      <w:pPr>
        <w:spacing w:after="0" w:line="22" w:lineRule="exact"/>
        <w:rPr>
          <w:rFonts w:ascii="Arial" w:cs="Arial" w:eastAsia="Arial" w:hAnsi="Arial"/>
          <w:sz w:val="21"/>
          <w:szCs w:val="21"/>
          <w:color w:val="34657F"/>
        </w:rPr>
      </w:pPr>
    </w:p>
    <w:p>
      <w:pPr>
        <w:ind w:left="320" w:hanging="317"/>
        <w:spacing w:after="0" w:line="219" w:lineRule="auto"/>
        <w:tabs>
          <w:tab w:leader="none" w:pos="320" w:val="left"/>
        </w:tabs>
        <w:numPr>
          <w:ilvl w:val="0"/>
          <w:numId w:val="95"/>
        </w:numPr>
        <w:rPr>
          <w:rFonts w:ascii="Arial" w:cs="Arial" w:eastAsia="Arial" w:hAnsi="Arial"/>
          <w:sz w:val="21"/>
          <w:szCs w:val="21"/>
          <w:color w:val="34657F"/>
        </w:rPr>
      </w:pPr>
      <w:r>
        <w:rPr>
          <w:rFonts w:ascii="Arial" w:cs="Arial" w:eastAsia="Arial" w:hAnsi="Arial"/>
          <w:sz w:val="17"/>
          <w:szCs w:val="17"/>
          <w:color w:val="auto"/>
        </w:rPr>
        <w:t>the experience of the management team;</w:t>
      </w:r>
    </w:p>
    <w:p>
      <w:pPr>
        <w:spacing w:after="0" w:line="23" w:lineRule="exact"/>
        <w:rPr>
          <w:rFonts w:ascii="Arial" w:cs="Arial" w:eastAsia="Arial" w:hAnsi="Arial"/>
          <w:sz w:val="21"/>
          <w:szCs w:val="21"/>
          <w:color w:val="34657F"/>
        </w:rPr>
      </w:pPr>
    </w:p>
    <w:p>
      <w:pPr>
        <w:ind w:left="320" w:hanging="317"/>
        <w:spacing w:after="0" w:line="219" w:lineRule="auto"/>
        <w:tabs>
          <w:tab w:leader="none" w:pos="320" w:val="left"/>
        </w:tabs>
        <w:numPr>
          <w:ilvl w:val="0"/>
          <w:numId w:val="95"/>
        </w:numPr>
        <w:rPr>
          <w:rFonts w:ascii="Arial" w:cs="Arial" w:eastAsia="Arial" w:hAnsi="Arial"/>
          <w:sz w:val="21"/>
          <w:szCs w:val="21"/>
          <w:color w:val="34657F"/>
        </w:rPr>
      </w:pPr>
      <w:r>
        <w:rPr>
          <w:rFonts w:ascii="Arial" w:cs="Arial" w:eastAsia="Arial" w:hAnsi="Arial"/>
          <w:sz w:val="17"/>
          <w:szCs w:val="17"/>
          <w:color w:val="auto"/>
        </w:rPr>
        <w:t>the particular challenges facing the Company, both at the time and in the near future;</w:t>
      </w:r>
    </w:p>
    <w:p>
      <w:pPr>
        <w:spacing w:after="0" w:line="23" w:lineRule="exact"/>
        <w:rPr>
          <w:rFonts w:ascii="Arial" w:cs="Arial" w:eastAsia="Arial" w:hAnsi="Arial"/>
          <w:sz w:val="21"/>
          <w:szCs w:val="21"/>
          <w:color w:val="34657F"/>
        </w:rPr>
      </w:pPr>
    </w:p>
    <w:p>
      <w:pPr>
        <w:ind w:left="320" w:hanging="317"/>
        <w:spacing w:after="0" w:line="219" w:lineRule="auto"/>
        <w:tabs>
          <w:tab w:leader="none" w:pos="320" w:val="left"/>
        </w:tabs>
        <w:numPr>
          <w:ilvl w:val="0"/>
          <w:numId w:val="95"/>
        </w:numPr>
        <w:rPr>
          <w:rFonts w:ascii="Arial" w:cs="Arial" w:eastAsia="Arial" w:hAnsi="Arial"/>
          <w:sz w:val="21"/>
          <w:szCs w:val="21"/>
          <w:color w:val="34657F"/>
        </w:rPr>
      </w:pPr>
      <w:r>
        <w:rPr>
          <w:rFonts w:ascii="Arial" w:cs="Arial" w:eastAsia="Arial" w:hAnsi="Arial"/>
          <w:sz w:val="17"/>
          <w:szCs w:val="17"/>
          <w:color w:val="auto"/>
        </w:rPr>
        <w:t>the evolving environment in which we operate and the requirements on management and the Board;</w:t>
      </w:r>
    </w:p>
    <w:p>
      <w:pPr>
        <w:spacing w:after="0" w:line="250" w:lineRule="exact"/>
        <w:rPr>
          <w:sz w:val="20"/>
          <w:szCs w:val="20"/>
          <w:color w:val="auto"/>
        </w:rPr>
      </w:pPr>
    </w:p>
    <w:p>
      <w:pPr>
        <w:jc w:val="right"/>
        <w:spacing w:after="0"/>
        <w:rPr>
          <w:sz w:val="20"/>
          <w:szCs w:val="20"/>
          <w:color w:val="auto"/>
        </w:rPr>
      </w:pPr>
      <w:r>
        <w:rPr>
          <w:rFonts w:ascii="Arial" w:cs="Arial" w:eastAsia="Arial" w:hAnsi="Arial"/>
          <w:sz w:val="14"/>
          <w:szCs w:val="14"/>
          <w:color w:val="34657F"/>
        </w:rPr>
        <w:t xml:space="preserve">NOTICE OF 2019 ANNUAL MEETING OF SHAREHOLDERS AND PROXY STATEMENT </w:t>
      </w:r>
      <w:r>
        <w:rPr>
          <w:rFonts w:ascii="Arial" w:cs="Arial" w:eastAsia="Arial" w:hAnsi="Arial"/>
          <w:sz w:val="14"/>
          <w:szCs w:val="14"/>
          <w:color w:val="000000"/>
        </w:rPr>
        <w:t>I 75</w:t>
      </w:r>
    </w:p>
    <w:p>
      <w:pPr>
        <w:sectPr>
          <w:pgSz w:w="11900" w:h="16838" w:orient="portrait"/>
          <w:cols w:equalWidth="0" w:num="1">
            <w:col w:w="11420"/>
          </w:cols>
          <w:pgMar w:left="240" w:top="671" w:right="239" w:bottom="1440" w:gutter="0" w:footer="0" w:header="0"/>
        </w:sectPr>
      </w:pPr>
    </w:p>
    <w:bookmarkStart w:id="81" w:name="page82"/>
    <w:bookmarkEnd w:id="81"/>
    <w:p>
      <w:pPr>
        <w:ind w:left="20"/>
        <w:spacing w:after="0"/>
        <w:rPr>
          <w:sz w:val="20"/>
          <w:szCs w:val="20"/>
          <w:color w:val="auto"/>
        </w:rPr>
      </w:pPr>
      <w:r>
        <w:rPr>
          <w:rFonts w:ascii="Arial" w:cs="Arial" w:eastAsia="Arial" w:hAnsi="Arial"/>
          <w:sz w:val="21"/>
          <w:szCs w:val="21"/>
          <w:b w:val="1"/>
          <w:bCs w:val="1"/>
          <w:color w:val="FFFFFF"/>
          <w:shd w:val="clear" w:color="auto" w:fill="34657F"/>
        </w:rPr>
        <w:drawing>
          <wp:anchor simplePos="0" relativeHeight="251657728" behindDoc="1" locked="0" layoutInCell="0" allowOverlap="1">
            <wp:simplePos x="0" y="0"/>
            <wp:positionH relativeFrom="page">
              <wp:posOffset>154305</wp:posOffset>
            </wp:positionH>
            <wp:positionV relativeFrom="page">
              <wp:posOffset>365760</wp:posOffset>
            </wp:positionV>
            <wp:extent cx="7253605" cy="58610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53605" cy="586105"/>
                    </a:xfrm>
                    <a:prstGeom prst="rect">
                      <a:avLst/>
                    </a:prstGeom>
                    <a:noFill/>
                  </pic:spPr>
                </pic:pic>
              </a:graphicData>
            </a:graphic>
          </wp:anchor>
        </w:drawing>
        <w:t>PROPOSAL FIVE: SHAREHOLDER PROPOSAL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320" w:hanging="317"/>
        <w:spacing w:after="0"/>
        <w:tabs>
          <w:tab w:leader="none" w:pos="320" w:val="left"/>
        </w:tabs>
        <w:numPr>
          <w:ilvl w:val="0"/>
          <w:numId w:val="96"/>
        </w:numPr>
        <w:rPr>
          <w:rFonts w:ascii="Arial" w:cs="Arial" w:eastAsia="Arial" w:hAnsi="Arial"/>
          <w:sz w:val="21"/>
          <w:szCs w:val="21"/>
          <w:color w:val="34657F"/>
        </w:rPr>
      </w:pPr>
      <w:r>
        <w:rPr>
          <w:rFonts w:ascii="Arial" w:cs="Arial" w:eastAsia="Arial" w:hAnsi="Arial"/>
          <w:sz w:val="17"/>
          <w:szCs w:val="17"/>
          <w:color w:val="auto"/>
        </w:rPr>
        <w:t>the importance of presenting one leadership “face” to our customers; and</w:t>
      </w:r>
    </w:p>
    <w:p>
      <w:pPr>
        <w:spacing w:after="0" w:line="38" w:lineRule="exact"/>
        <w:rPr>
          <w:rFonts w:ascii="Arial" w:cs="Arial" w:eastAsia="Arial" w:hAnsi="Arial"/>
          <w:sz w:val="21"/>
          <w:szCs w:val="21"/>
          <w:color w:val="34657F"/>
        </w:rPr>
      </w:pPr>
    </w:p>
    <w:p>
      <w:pPr>
        <w:ind w:left="320" w:right="80" w:hanging="317"/>
        <w:spacing w:after="0" w:line="253" w:lineRule="auto"/>
        <w:tabs>
          <w:tab w:leader="none" w:pos="320" w:val="left"/>
        </w:tabs>
        <w:numPr>
          <w:ilvl w:val="0"/>
          <w:numId w:val="96"/>
        </w:numPr>
        <w:rPr>
          <w:rFonts w:ascii="Arial" w:cs="Arial" w:eastAsia="Arial" w:hAnsi="Arial"/>
          <w:sz w:val="21"/>
          <w:szCs w:val="21"/>
          <w:color w:val="34657F"/>
        </w:rPr>
      </w:pPr>
      <w:r>
        <w:rPr>
          <w:rFonts w:ascii="Arial" w:cs="Arial" w:eastAsia="Arial" w:hAnsi="Arial"/>
          <w:sz w:val="17"/>
          <w:szCs w:val="17"/>
          <w:color w:val="auto"/>
        </w:rPr>
        <w:t>the importance of promoting a clear, unified strategic vision for the Company, assuring that strategies adopted by the Board are well-positioned for execution by management.</w:t>
      </w:r>
    </w:p>
    <w:p>
      <w:pPr>
        <w:spacing w:after="0" w:line="78" w:lineRule="exact"/>
        <w:rPr>
          <w:sz w:val="20"/>
          <w:szCs w:val="20"/>
          <w:color w:val="auto"/>
        </w:rPr>
      </w:pPr>
    </w:p>
    <w:p>
      <w:pPr>
        <w:ind w:right="60"/>
        <w:spacing w:after="0" w:line="253" w:lineRule="auto"/>
        <w:rPr>
          <w:sz w:val="20"/>
          <w:szCs w:val="20"/>
          <w:color w:val="auto"/>
        </w:rPr>
      </w:pPr>
      <w:r>
        <w:rPr>
          <w:rFonts w:ascii="Arial" w:cs="Arial" w:eastAsia="Arial" w:hAnsi="Arial"/>
          <w:sz w:val="17"/>
          <w:szCs w:val="17"/>
          <w:color w:val="auto"/>
        </w:rPr>
        <w:t>The Board has previously and effectively used this flexibility to separate the role of Chair and CEO during leadership transitions, and most recently, with the CEO transition from Mr. Bush to Ms. Warden, with Mr. Bush continuing as Board Chair. The practice of separating the roles during leadership transitions so that a company’s former CEO or another experienced director can continue to provide perspective to a new CEO is a proven, successful approach among companies and can help to facilitate a seamless leadership transition. It is one example of the advantages to our Company and shareholders of our current Bylaws, which enable the Board to determine the best construct for the Company for the time. Under today’s circumstances, and considering in particular Mr. Bush’s recent service as our CEO, the Board has determined the Company is best served if Mr. Bush continues as Chairman and if Mr. Felsinger continues as Lead Independent Director, further enhancing the Board’s effective exercise of independent judgment and oversight of management. Prior to Mr. Bush’s retirement as Chair in July 2019, the Board will re-evaluate and, based on the circumstances as they have evolved, determine the appropriate Board leadership structure.</w:t>
      </w:r>
    </w:p>
    <w:p>
      <w:pPr>
        <w:spacing w:after="0" w:line="68" w:lineRule="exact"/>
        <w:rPr>
          <w:sz w:val="20"/>
          <w:szCs w:val="20"/>
          <w:color w:val="auto"/>
        </w:rPr>
      </w:pPr>
    </w:p>
    <w:p>
      <w:pPr>
        <w:ind w:right="20"/>
        <w:spacing w:after="0" w:line="254" w:lineRule="auto"/>
        <w:rPr>
          <w:sz w:val="20"/>
          <w:szCs w:val="20"/>
          <w:color w:val="auto"/>
        </w:rPr>
      </w:pPr>
      <w:r>
        <w:rPr>
          <w:rFonts w:ascii="Arial" w:cs="Arial" w:eastAsia="Arial" w:hAnsi="Arial"/>
          <w:sz w:val="17"/>
          <w:szCs w:val="17"/>
          <w:color w:val="auto"/>
        </w:rPr>
        <w:t>When the Chair is not independent, the Company’s Bylaws specifically provide that the independent directors of the Board may designate a Lead Independent Director from among them. The Board has repeatedly exercised that authority and Mr. Felsinger currently serves as our Lead Independent Director. During his tenure as Lead Independent Director, Mr. Felsinger has engaged with investors and demonstrated strong leadership skills, independent thinking and a deep understanding of our business and our shareholders’ interests. Indeed, he was recognized by the NACD as the Director of the Year for 2016, during his service as our Lead Independent Director.</w:t>
      </w:r>
    </w:p>
    <w:p>
      <w:pPr>
        <w:spacing w:after="0" w:line="68" w:lineRule="exact"/>
        <w:rPr>
          <w:sz w:val="20"/>
          <w:szCs w:val="20"/>
          <w:color w:val="auto"/>
        </w:rPr>
      </w:pPr>
    </w:p>
    <w:p>
      <w:pPr>
        <w:ind w:right="120"/>
        <w:spacing w:after="0" w:line="263" w:lineRule="auto"/>
        <w:rPr>
          <w:sz w:val="20"/>
          <w:szCs w:val="20"/>
          <w:color w:val="auto"/>
        </w:rPr>
      </w:pPr>
      <w:r>
        <w:rPr>
          <w:rFonts w:ascii="Arial" w:cs="Arial" w:eastAsia="Arial" w:hAnsi="Arial"/>
          <w:sz w:val="17"/>
          <w:szCs w:val="17"/>
          <w:color w:val="auto"/>
        </w:rPr>
        <w:t>Our Principles of Corporate Governance prescribe a strong role for our Lead Independent Director, who has significant authority with respect to the operation and functioning of the Board. Among other duties, the Principles of Corporate Governance specify that the Lead Independent Director shall:</w:t>
      </w:r>
    </w:p>
    <w:p>
      <w:pPr>
        <w:spacing w:after="0" w:line="48" w:lineRule="exact"/>
        <w:rPr>
          <w:sz w:val="20"/>
          <w:szCs w:val="20"/>
          <w:color w:val="auto"/>
        </w:rPr>
      </w:pPr>
    </w:p>
    <w:p>
      <w:pPr>
        <w:ind w:left="320" w:hanging="317"/>
        <w:spacing w:after="0"/>
        <w:tabs>
          <w:tab w:leader="none" w:pos="320" w:val="left"/>
        </w:tabs>
        <w:numPr>
          <w:ilvl w:val="0"/>
          <w:numId w:val="97"/>
        </w:numPr>
        <w:rPr>
          <w:rFonts w:ascii="Arial" w:cs="Arial" w:eastAsia="Arial" w:hAnsi="Arial"/>
          <w:sz w:val="21"/>
          <w:szCs w:val="21"/>
          <w:color w:val="34657F"/>
        </w:rPr>
      </w:pPr>
      <w:r>
        <w:rPr>
          <w:rFonts w:ascii="Arial" w:cs="Arial" w:eastAsia="Arial" w:hAnsi="Arial"/>
          <w:sz w:val="17"/>
          <w:szCs w:val="17"/>
          <w:color w:val="auto"/>
        </w:rPr>
        <w:t>approve meeting agendas and information sent to the Board;</w:t>
      </w:r>
    </w:p>
    <w:p>
      <w:pPr>
        <w:spacing w:after="0" w:line="22" w:lineRule="exact"/>
        <w:rPr>
          <w:rFonts w:ascii="Arial" w:cs="Arial" w:eastAsia="Arial" w:hAnsi="Arial"/>
          <w:sz w:val="21"/>
          <w:szCs w:val="21"/>
          <w:color w:val="34657F"/>
        </w:rPr>
      </w:pPr>
    </w:p>
    <w:p>
      <w:pPr>
        <w:ind w:left="320" w:hanging="317"/>
        <w:spacing w:after="0" w:line="219" w:lineRule="auto"/>
        <w:tabs>
          <w:tab w:leader="none" w:pos="320" w:val="left"/>
        </w:tabs>
        <w:numPr>
          <w:ilvl w:val="0"/>
          <w:numId w:val="97"/>
        </w:numPr>
        <w:rPr>
          <w:rFonts w:ascii="Arial" w:cs="Arial" w:eastAsia="Arial" w:hAnsi="Arial"/>
          <w:sz w:val="21"/>
          <w:szCs w:val="21"/>
          <w:color w:val="34657F"/>
        </w:rPr>
      </w:pPr>
      <w:r>
        <w:rPr>
          <w:rFonts w:ascii="Arial" w:cs="Arial" w:eastAsia="Arial" w:hAnsi="Arial"/>
          <w:sz w:val="17"/>
          <w:szCs w:val="17"/>
          <w:color w:val="auto"/>
        </w:rPr>
        <w:t>approve the schedule of Board meetings;</w:t>
      </w:r>
    </w:p>
    <w:p>
      <w:pPr>
        <w:spacing w:after="0" w:line="23" w:lineRule="exact"/>
        <w:rPr>
          <w:rFonts w:ascii="Arial" w:cs="Arial" w:eastAsia="Arial" w:hAnsi="Arial"/>
          <w:sz w:val="21"/>
          <w:szCs w:val="21"/>
          <w:color w:val="34657F"/>
        </w:rPr>
      </w:pPr>
    </w:p>
    <w:p>
      <w:pPr>
        <w:ind w:left="320" w:hanging="317"/>
        <w:spacing w:after="0" w:line="219" w:lineRule="auto"/>
        <w:tabs>
          <w:tab w:leader="none" w:pos="320" w:val="left"/>
        </w:tabs>
        <w:numPr>
          <w:ilvl w:val="0"/>
          <w:numId w:val="97"/>
        </w:numPr>
        <w:rPr>
          <w:rFonts w:ascii="Arial" w:cs="Arial" w:eastAsia="Arial" w:hAnsi="Arial"/>
          <w:sz w:val="21"/>
          <w:szCs w:val="21"/>
          <w:color w:val="34657F"/>
        </w:rPr>
      </w:pPr>
      <w:r>
        <w:rPr>
          <w:rFonts w:ascii="Arial" w:cs="Arial" w:eastAsia="Arial" w:hAnsi="Arial"/>
          <w:sz w:val="17"/>
          <w:szCs w:val="17"/>
          <w:color w:val="auto"/>
        </w:rPr>
        <w:t>call and chair meetings of the independent directors (a regular occurrence at our in-person meetings);</w:t>
      </w:r>
    </w:p>
    <w:p>
      <w:pPr>
        <w:spacing w:after="0" w:line="39" w:lineRule="exact"/>
        <w:rPr>
          <w:rFonts w:ascii="Arial" w:cs="Arial" w:eastAsia="Arial" w:hAnsi="Arial"/>
          <w:sz w:val="21"/>
          <w:szCs w:val="21"/>
          <w:color w:val="34657F"/>
        </w:rPr>
      </w:pPr>
    </w:p>
    <w:p>
      <w:pPr>
        <w:ind w:left="320" w:right="20" w:hanging="317"/>
        <w:spacing w:after="0" w:line="253" w:lineRule="auto"/>
        <w:tabs>
          <w:tab w:leader="none" w:pos="320" w:val="left"/>
        </w:tabs>
        <w:numPr>
          <w:ilvl w:val="0"/>
          <w:numId w:val="97"/>
        </w:numPr>
        <w:rPr>
          <w:rFonts w:ascii="Arial" w:cs="Arial" w:eastAsia="Arial" w:hAnsi="Arial"/>
          <w:sz w:val="21"/>
          <w:szCs w:val="21"/>
          <w:color w:val="34657F"/>
        </w:rPr>
      </w:pPr>
      <w:r>
        <w:rPr>
          <w:rFonts w:ascii="Arial" w:cs="Arial" w:eastAsia="Arial" w:hAnsi="Arial"/>
          <w:sz w:val="17"/>
          <w:szCs w:val="17"/>
          <w:color w:val="auto"/>
        </w:rPr>
        <w:t>interview Board candidates (along with the Chair and the Chair of the Governance Committee) and help ensure a robust succession plan for Board committees and Board composition;</w:t>
      </w:r>
    </w:p>
    <w:p>
      <w:pPr>
        <w:ind w:left="320" w:hanging="317"/>
        <w:spacing w:after="0"/>
        <w:tabs>
          <w:tab w:leader="none" w:pos="320" w:val="left"/>
        </w:tabs>
        <w:numPr>
          <w:ilvl w:val="0"/>
          <w:numId w:val="97"/>
        </w:numPr>
        <w:rPr>
          <w:rFonts w:ascii="Arial" w:cs="Arial" w:eastAsia="Arial" w:hAnsi="Arial"/>
          <w:sz w:val="21"/>
          <w:szCs w:val="21"/>
          <w:color w:val="34657F"/>
        </w:rPr>
      </w:pPr>
      <w:r>
        <w:rPr>
          <w:rFonts w:ascii="Arial" w:cs="Arial" w:eastAsia="Arial" w:hAnsi="Arial"/>
          <w:sz w:val="17"/>
          <w:szCs w:val="17"/>
          <w:color w:val="auto"/>
        </w:rPr>
        <w:t>preside at all meetings of the Board at which the Chair is not present, including executive sessions of the independent directors;</w:t>
      </w:r>
    </w:p>
    <w:p>
      <w:pPr>
        <w:spacing w:after="0" w:line="22" w:lineRule="exact"/>
        <w:rPr>
          <w:rFonts w:ascii="Arial" w:cs="Arial" w:eastAsia="Arial" w:hAnsi="Arial"/>
          <w:sz w:val="21"/>
          <w:szCs w:val="21"/>
          <w:color w:val="34657F"/>
        </w:rPr>
      </w:pPr>
    </w:p>
    <w:p>
      <w:pPr>
        <w:ind w:left="320" w:hanging="317"/>
        <w:spacing w:after="0" w:line="219" w:lineRule="auto"/>
        <w:tabs>
          <w:tab w:leader="none" w:pos="320" w:val="left"/>
        </w:tabs>
        <w:numPr>
          <w:ilvl w:val="0"/>
          <w:numId w:val="97"/>
        </w:numPr>
        <w:rPr>
          <w:rFonts w:ascii="Arial" w:cs="Arial" w:eastAsia="Arial" w:hAnsi="Arial"/>
          <w:sz w:val="21"/>
          <w:szCs w:val="21"/>
          <w:color w:val="34657F"/>
        </w:rPr>
      </w:pPr>
      <w:r>
        <w:rPr>
          <w:rFonts w:ascii="Arial" w:cs="Arial" w:eastAsia="Arial" w:hAnsi="Arial"/>
          <w:sz w:val="17"/>
          <w:szCs w:val="17"/>
          <w:color w:val="auto"/>
        </w:rPr>
        <w:t>serve as a liaison between the Chair and the independent directors; and</w:t>
      </w:r>
    </w:p>
    <w:p>
      <w:pPr>
        <w:spacing w:after="0" w:line="39" w:lineRule="exact"/>
        <w:rPr>
          <w:rFonts w:ascii="Arial" w:cs="Arial" w:eastAsia="Arial" w:hAnsi="Arial"/>
          <w:sz w:val="21"/>
          <w:szCs w:val="21"/>
          <w:color w:val="34657F"/>
        </w:rPr>
      </w:pPr>
    </w:p>
    <w:p>
      <w:pPr>
        <w:ind w:left="320" w:right="80" w:hanging="317"/>
        <w:spacing w:after="0" w:line="253" w:lineRule="auto"/>
        <w:tabs>
          <w:tab w:leader="none" w:pos="320" w:val="left"/>
        </w:tabs>
        <w:numPr>
          <w:ilvl w:val="0"/>
          <w:numId w:val="97"/>
        </w:numPr>
        <w:rPr>
          <w:rFonts w:ascii="Arial" w:cs="Arial" w:eastAsia="Arial" w:hAnsi="Arial"/>
          <w:sz w:val="21"/>
          <w:szCs w:val="21"/>
          <w:color w:val="34657F"/>
        </w:rPr>
      </w:pPr>
      <w:r>
        <w:rPr>
          <w:rFonts w:ascii="Arial" w:cs="Arial" w:eastAsia="Arial" w:hAnsi="Arial"/>
          <w:sz w:val="17"/>
          <w:szCs w:val="17"/>
          <w:color w:val="auto"/>
        </w:rPr>
        <w:t>meet with major shareholders, as requested. Any shareholder is able to communicate directly with the Lead Independent Director as described on page 24 of this Proxy Statement and on the Company’s website.</w:t>
      </w:r>
    </w:p>
    <w:p>
      <w:pPr>
        <w:spacing w:after="0" w:line="78" w:lineRule="exact"/>
        <w:rPr>
          <w:sz w:val="20"/>
          <w:szCs w:val="20"/>
          <w:color w:val="auto"/>
        </w:rPr>
      </w:pPr>
    </w:p>
    <w:p>
      <w:pPr>
        <w:spacing w:after="0"/>
        <w:rPr>
          <w:sz w:val="20"/>
          <w:szCs w:val="20"/>
          <w:color w:val="auto"/>
        </w:rPr>
      </w:pPr>
      <w:r>
        <w:rPr>
          <w:rFonts w:ascii="Arial" w:cs="Arial" w:eastAsia="Arial" w:hAnsi="Arial"/>
          <w:sz w:val="17"/>
          <w:szCs w:val="17"/>
          <w:color w:val="auto"/>
        </w:rPr>
        <w:t>In addition to the above responsibilities, the Lead Independent Director has in practice performed additional duties beyond those described in the</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Principles of Corporate Governance. The Lead Independent Director:</w:t>
      </w:r>
    </w:p>
    <w:p>
      <w:pPr>
        <w:spacing w:after="0" w:line="112" w:lineRule="exact"/>
        <w:rPr>
          <w:sz w:val="20"/>
          <w:szCs w:val="20"/>
          <w:color w:val="auto"/>
        </w:rPr>
      </w:pPr>
    </w:p>
    <w:p>
      <w:pPr>
        <w:ind w:left="320" w:right="40" w:hanging="317"/>
        <w:spacing w:after="0" w:line="253" w:lineRule="auto"/>
        <w:tabs>
          <w:tab w:leader="none" w:pos="320" w:val="left"/>
        </w:tabs>
        <w:numPr>
          <w:ilvl w:val="0"/>
          <w:numId w:val="98"/>
        </w:numPr>
        <w:rPr>
          <w:rFonts w:ascii="Arial" w:cs="Arial" w:eastAsia="Arial" w:hAnsi="Arial"/>
          <w:sz w:val="21"/>
          <w:szCs w:val="21"/>
          <w:color w:val="34657F"/>
        </w:rPr>
      </w:pPr>
      <w:r>
        <w:rPr>
          <w:rFonts w:ascii="Arial" w:cs="Arial" w:eastAsia="Arial" w:hAnsi="Arial"/>
          <w:sz w:val="17"/>
          <w:szCs w:val="17"/>
          <w:color w:val="auto"/>
        </w:rPr>
        <w:t>serves as a significant advisor to the Chair, providing guidance and direction to the Chair on a range of significant matters, including strategy, CEO succession, Board succession, shareholder communications and the content/nature of Board meetings;</w:t>
      </w:r>
    </w:p>
    <w:p>
      <w:pPr>
        <w:ind w:left="320" w:hanging="317"/>
        <w:spacing w:after="0"/>
        <w:tabs>
          <w:tab w:leader="none" w:pos="320" w:val="left"/>
        </w:tabs>
        <w:numPr>
          <w:ilvl w:val="0"/>
          <w:numId w:val="98"/>
        </w:numPr>
        <w:rPr>
          <w:rFonts w:ascii="Arial" w:cs="Arial" w:eastAsia="Arial" w:hAnsi="Arial"/>
          <w:sz w:val="21"/>
          <w:szCs w:val="21"/>
          <w:color w:val="34657F"/>
        </w:rPr>
      </w:pPr>
      <w:r>
        <w:rPr>
          <w:rFonts w:ascii="Arial" w:cs="Arial" w:eastAsia="Arial" w:hAnsi="Arial"/>
          <w:sz w:val="17"/>
          <w:szCs w:val="17"/>
          <w:color w:val="auto"/>
        </w:rPr>
        <w:t>has discussions on a regular basis with the Chair between Board meetings;</w:t>
      </w:r>
    </w:p>
    <w:p>
      <w:pPr>
        <w:spacing w:after="0" w:line="22" w:lineRule="exact"/>
        <w:rPr>
          <w:rFonts w:ascii="Arial" w:cs="Arial" w:eastAsia="Arial" w:hAnsi="Arial"/>
          <w:sz w:val="21"/>
          <w:szCs w:val="21"/>
          <w:color w:val="34657F"/>
        </w:rPr>
      </w:pPr>
    </w:p>
    <w:p>
      <w:pPr>
        <w:ind w:left="320" w:hanging="317"/>
        <w:spacing w:after="0" w:line="219" w:lineRule="auto"/>
        <w:tabs>
          <w:tab w:leader="none" w:pos="320" w:val="left"/>
        </w:tabs>
        <w:numPr>
          <w:ilvl w:val="0"/>
          <w:numId w:val="98"/>
        </w:numPr>
        <w:rPr>
          <w:rFonts w:ascii="Arial" w:cs="Arial" w:eastAsia="Arial" w:hAnsi="Arial"/>
          <w:sz w:val="21"/>
          <w:szCs w:val="21"/>
          <w:color w:val="34657F"/>
        </w:rPr>
      </w:pPr>
      <w:r>
        <w:rPr>
          <w:rFonts w:ascii="Arial" w:cs="Arial" w:eastAsia="Arial" w:hAnsi="Arial"/>
          <w:sz w:val="17"/>
          <w:szCs w:val="17"/>
          <w:color w:val="auto"/>
        </w:rPr>
        <w:t>supports and facilitates engagement between the CEO/senior management and independent directors; and</w:t>
      </w:r>
    </w:p>
    <w:p>
      <w:pPr>
        <w:spacing w:after="0" w:line="23" w:lineRule="exact"/>
        <w:rPr>
          <w:rFonts w:ascii="Arial" w:cs="Arial" w:eastAsia="Arial" w:hAnsi="Arial"/>
          <w:sz w:val="21"/>
          <w:szCs w:val="21"/>
          <w:color w:val="34657F"/>
        </w:rPr>
      </w:pPr>
    </w:p>
    <w:p>
      <w:pPr>
        <w:ind w:left="320" w:hanging="317"/>
        <w:spacing w:after="0" w:line="219" w:lineRule="auto"/>
        <w:tabs>
          <w:tab w:leader="none" w:pos="320" w:val="left"/>
        </w:tabs>
        <w:numPr>
          <w:ilvl w:val="0"/>
          <w:numId w:val="98"/>
        </w:numPr>
        <w:rPr>
          <w:rFonts w:ascii="Arial" w:cs="Arial" w:eastAsia="Arial" w:hAnsi="Arial"/>
          <w:sz w:val="21"/>
          <w:szCs w:val="21"/>
          <w:color w:val="34657F"/>
        </w:rPr>
      </w:pPr>
      <w:r>
        <w:rPr>
          <w:rFonts w:ascii="Arial" w:cs="Arial" w:eastAsia="Arial" w:hAnsi="Arial"/>
          <w:sz w:val="17"/>
          <w:szCs w:val="17"/>
          <w:color w:val="auto"/>
        </w:rPr>
        <w:t>chairs an executive session of independent directors at Board meetings.</w:t>
      </w:r>
    </w:p>
    <w:p>
      <w:pPr>
        <w:spacing w:after="0" w:line="91"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The designation of a Lead Independent Director by the independent directors of the Board demonstrates the Board’s continuing commitment to strong corporate governance, Board independence and the important role of the Lead Independent Director. In addition, there are several other structural safeguards that provide effective independent oversight by the Board. Eleven of the Company’s thirteen directors are independent, and the Board regularly holds scheduled sessions of the independent directors at each Board meeting, which are led by the Lead Independent Director. The Chairs and all members of the Committees - Audit, Compensation, Governance and Policy - are independent directors. The independent directors have ample opportunity to, and regularly do, assess the performance of the CEO and provide meaningful direction. The Board is responsible for the election of the CEO and oversees a robust succession planning process, closely involved in identifying and developing potential successors and effecting orderly CEO transitions.</w:t>
      </w:r>
    </w:p>
    <w:p>
      <w:pPr>
        <w:spacing w:after="0" w:line="69" w:lineRule="exact"/>
        <w:rPr>
          <w:sz w:val="20"/>
          <w:szCs w:val="20"/>
          <w:color w:val="auto"/>
        </w:rPr>
      </w:pPr>
    </w:p>
    <w:p>
      <w:pPr>
        <w:ind w:right="40"/>
        <w:spacing w:after="0" w:line="255" w:lineRule="auto"/>
        <w:rPr>
          <w:sz w:val="20"/>
          <w:szCs w:val="20"/>
          <w:color w:val="auto"/>
        </w:rPr>
      </w:pPr>
      <w:r>
        <w:rPr>
          <w:rFonts w:ascii="Arial" w:cs="Arial" w:eastAsia="Arial" w:hAnsi="Arial"/>
          <w:sz w:val="17"/>
          <w:szCs w:val="17"/>
          <w:color w:val="auto"/>
        </w:rPr>
        <w:t>The Company has adopted numerous other governance practices that further demonstrate our commitment to good corporate governance for our shareholders. We have adopted significant stock ownership guidelines for both our employees and our directors, eliminated change of control agreements, prohibited the hedging and pledging of Company stock, and implemented a strong recoupment policy, to name a few such examples. Our shareholders have approved separate management proposals granting the</w:t>
      </w:r>
    </w:p>
    <w:p>
      <w:pPr>
        <w:spacing w:after="0" w:line="297"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76 </w:t>
      </w:r>
      <w:r>
        <w:rPr>
          <w:rFonts w:ascii="Arial" w:cs="Arial" w:eastAsia="Arial" w:hAnsi="Arial"/>
          <w:sz w:val="13"/>
          <w:szCs w:val="13"/>
          <w:color w:val="auto"/>
        </w:rPr>
        <w:t>I</w:t>
      </w:r>
      <w:r>
        <w:rPr>
          <w:rFonts w:ascii="Arial" w:cs="Arial" w:eastAsia="Arial" w:hAnsi="Arial"/>
          <w:sz w:val="17"/>
          <w:szCs w:val="17"/>
          <w:color w:val="auto"/>
        </w:rPr>
        <w:t xml:space="preserve"> </w:t>
      </w:r>
      <w:r>
        <w:rPr>
          <w:rFonts w:ascii="Arial" w:cs="Arial" w:eastAsia="Arial" w:hAnsi="Arial"/>
          <w:sz w:val="13"/>
          <w:szCs w:val="13"/>
          <w:color w:val="34657F"/>
        </w:rPr>
        <w:t>NOTICE OF 2019 ANNUAL MEETING OF SHAREHOLDERS AND PROXY STATEMENT</w:t>
      </w:r>
    </w:p>
    <w:p>
      <w:pPr>
        <w:sectPr>
          <w:pgSz w:w="11900" w:h="16838" w:orient="portrait"/>
          <w:cols w:equalWidth="0" w:num="1">
            <w:col w:w="11400"/>
          </w:cols>
          <w:pgMar w:left="240" w:top="671" w:right="259" w:bottom="1440" w:gutter="0" w:footer="0" w:header="0"/>
        </w:sectPr>
      </w:pPr>
    </w:p>
    <w:bookmarkStart w:id="82" w:name="page83"/>
    <w:bookmarkEnd w:id="82"/>
    <w:p>
      <w:pPr>
        <w:ind w:left="20"/>
        <w:spacing w:after="0"/>
        <w:rPr>
          <w:sz w:val="20"/>
          <w:szCs w:val="20"/>
          <w:color w:val="auto"/>
        </w:rPr>
      </w:pPr>
      <w:r>
        <w:rPr>
          <w:rFonts w:ascii="Arial" w:cs="Arial" w:eastAsia="Arial" w:hAnsi="Arial"/>
          <w:sz w:val="21"/>
          <w:szCs w:val="21"/>
          <w:b w:val="1"/>
          <w:bCs w:val="1"/>
          <w:color w:val="FFFFFF"/>
          <w:shd w:val="clear" w:color="auto" w:fill="34657F"/>
        </w:rPr>
        <w:drawing>
          <wp:anchor simplePos="0" relativeHeight="251657728" behindDoc="1" locked="0" layoutInCell="0" allowOverlap="1">
            <wp:simplePos x="0" y="0"/>
            <wp:positionH relativeFrom="page">
              <wp:posOffset>154305</wp:posOffset>
            </wp:positionH>
            <wp:positionV relativeFrom="page">
              <wp:posOffset>365760</wp:posOffset>
            </wp:positionV>
            <wp:extent cx="7253605" cy="58610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53605" cy="586105"/>
                    </a:xfrm>
                    <a:prstGeom prst="rect">
                      <a:avLst/>
                    </a:prstGeom>
                    <a:noFill/>
                  </pic:spPr>
                </pic:pic>
              </a:graphicData>
            </a:graphic>
          </wp:anchor>
        </w:drawing>
        <w:t>PROPOSAL FIVE: SHAREHOLDER PROPOSAL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640"/>
        <w:spacing w:after="0" w:line="263" w:lineRule="auto"/>
        <w:rPr>
          <w:sz w:val="20"/>
          <w:szCs w:val="20"/>
          <w:color w:val="auto"/>
        </w:rPr>
      </w:pPr>
      <w:r>
        <w:rPr>
          <w:rFonts w:ascii="Arial" w:cs="Arial" w:eastAsia="Arial" w:hAnsi="Arial"/>
          <w:sz w:val="17"/>
          <w:szCs w:val="17"/>
          <w:color w:val="auto"/>
        </w:rPr>
        <w:t>right to call a special meeting and to act by written consent. Management routinely communicates with shareholders to understand and seek to address any concerns they may have or suggestions as to how we can continue to enhance our governance practices.</w:t>
      </w:r>
    </w:p>
    <w:p>
      <w:pPr>
        <w:spacing w:after="0" w:line="59" w:lineRule="exact"/>
        <w:rPr>
          <w:sz w:val="20"/>
          <w:szCs w:val="20"/>
          <w:color w:val="auto"/>
        </w:rPr>
      </w:pPr>
    </w:p>
    <w:p>
      <w:pPr>
        <w:ind w:right="180"/>
        <w:spacing w:after="0" w:line="255" w:lineRule="auto"/>
        <w:rPr>
          <w:sz w:val="20"/>
          <w:szCs w:val="20"/>
          <w:color w:val="auto"/>
        </w:rPr>
      </w:pPr>
      <w:r>
        <w:rPr>
          <w:rFonts w:ascii="Arial" w:cs="Arial" w:eastAsia="Arial" w:hAnsi="Arial"/>
          <w:sz w:val="17"/>
          <w:szCs w:val="17"/>
          <w:color w:val="auto"/>
        </w:rPr>
        <w:t>In addition, the Board has successfully recruited, and our shareholders have approved, a diverse group of accomplished, independent directors who bring a wide range of experiences to benefit the Company. The average tenure of our independent directors is 6.5 years, reflecting a healthy mix of tenure and new perspective. As part of its ongoing and active Board refreshment efforts, the Board has added four new independent directors, two of whom were women, in the last four years.</w:t>
      </w:r>
    </w:p>
    <w:p>
      <w:pPr>
        <w:spacing w:after="0" w:line="67" w:lineRule="exact"/>
        <w:rPr>
          <w:sz w:val="20"/>
          <w:szCs w:val="20"/>
          <w:color w:val="auto"/>
        </w:rPr>
      </w:pPr>
    </w:p>
    <w:p>
      <w:pPr>
        <w:ind w:right="20"/>
        <w:spacing w:after="0" w:line="255" w:lineRule="auto"/>
        <w:rPr>
          <w:sz w:val="20"/>
          <w:szCs w:val="20"/>
          <w:color w:val="auto"/>
        </w:rPr>
      </w:pPr>
      <w:r>
        <w:rPr>
          <w:rFonts w:ascii="Arial" w:cs="Arial" w:eastAsia="Arial" w:hAnsi="Arial"/>
          <w:sz w:val="17"/>
          <w:szCs w:val="17"/>
          <w:color w:val="auto"/>
        </w:rPr>
        <w:t>The Board believes that the Company’s balanced and flexible corporate governance structure, including a Lead Independent Director with well-defined, comprehensive and meaningful duties, and strong corporate governance practices, make it not only unnecessary, but ill-advised to adopt a policy that would mandate that the Chair be an independent director. The Board believes that adopting such a rule would only limit the Board’s ability to select the director it believes is best suited to serve as Chair of the Board, and is not in the best interests of the Company and its shareholders.</w:t>
      </w:r>
    </w:p>
    <w:p>
      <w:pPr>
        <w:spacing w:after="0" w:line="4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Vote Required</w:t>
      </w:r>
    </w:p>
    <w:p>
      <w:pPr>
        <w:spacing w:after="0" w:line="103" w:lineRule="exact"/>
        <w:rPr>
          <w:sz w:val="20"/>
          <w:szCs w:val="20"/>
          <w:color w:val="auto"/>
        </w:rPr>
      </w:pPr>
    </w:p>
    <w:p>
      <w:pPr>
        <w:ind w:right="20"/>
        <w:spacing w:after="0" w:line="263" w:lineRule="auto"/>
        <w:rPr>
          <w:sz w:val="20"/>
          <w:szCs w:val="20"/>
          <w:color w:val="auto"/>
        </w:rPr>
      </w:pPr>
      <w:r>
        <w:rPr>
          <w:rFonts w:ascii="Arial" w:cs="Arial" w:eastAsia="Arial" w:hAnsi="Arial"/>
          <w:sz w:val="17"/>
          <w:szCs w:val="17"/>
          <w:color w:val="auto"/>
        </w:rPr>
        <w:t>Approval of this proposal requires that the votes cast "for" the proposal exceed the votes cast "against" the proposal. Abstentions and broker non-votes will have no effect on this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119380</wp:posOffset>
            </wp:positionV>
            <wp:extent cx="7270115" cy="2114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70115" cy="211455"/>
                    </a:xfrm>
                    <a:prstGeom prst="rect">
                      <a:avLst/>
                    </a:prstGeom>
                    <a:noFill/>
                  </pic:spPr>
                </pic:pic>
              </a:graphicData>
            </a:graphic>
          </wp:anchor>
        </w:drawing>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34657F"/>
        </w:rPr>
        <w:t>THE BOARD OF DIRECTORS UNANIMOUSLY RECOMMENDS THAT YOU VOTE "AGAINST" PROPOSAL FIVE.</w:t>
      </w:r>
    </w:p>
    <w:p>
      <w:pPr>
        <w:spacing w:after="0" w:line="200" w:lineRule="exact"/>
        <w:rPr>
          <w:sz w:val="20"/>
          <w:szCs w:val="20"/>
          <w:color w:val="auto"/>
        </w:rPr>
      </w:pPr>
    </w:p>
    <w:p>
      <w:pPr>
        <w:spacing w:after="0" w:line="364" w:lineRule="exact"/>
        <w:rPr>
          <w:sz w:val="20"/>
          <w:szCs w:val="20"/>
          <w:color w:val="auto"/>
        </w:rPr>
      </w:pPr>
    </w:p>
    <w:p>
      <w:pPr>
        <w:jc w:val="right"/>
        <w:spacing w:after="0"/>
        <w:rPr>
          <w:sz w:val="20"/>
          <w:szCs w:val="20"/>
          <w:color w:val="auto"/>
        </w:rPr>
      </w:pPr>
      <w:r>
        <w:rPr>
          <w:rFonts w:ascii="Arial" w:cs="Arial" w:eastAsia="Arial" w:hAnsi="Arial"/>
          <w:sz w:val="14"/>
          <w:szCs w:val="14"/>
          <w:color w:val="34657F"/>
        </w:rPr>
        <w:t xml:space="preserve">NOTICE OF 2019 ANNUAL MEETING OF SHAREHOLDERS AND PROXY STATEMENT </w:t>
      </w:r>
      <w:r>
        <w:rPr>
          <w:rFonts w:ascii="Arial" w:cs="Arial" w:eastAsia="Arial" w:hAnsi="Arial"/>
          <w:sz w:val="14"/>
          <w:szCs w:val="14"/>
          <w:color w:val="000000"/>
        </w:rPr>
        <w:t>I 77</w:t>
      </w:r>
    </w:p>
    <w:p>
      <w:pPr>
        <w:sectPr>
          <w:pgSz w:w="11900" w:h="16838" w:orient="portrait"/>
          <w:cols w:equalWidth="0" w:num="1">
            <w:col w:w="11420"/>
          </w:cols>
          <w:pgMar w:left="240" w:top="671" w:right="239" w:bottom="1440" w:gutter="0" w:footer="0" w:header="0"/>
        </w:sectPr>
      </w:pPr>
    </w:p>
    <w:bookmarkStart w:id="83" w:name="page84"/>
    <w:bookmarkEnd w:id="83"/>
    <w:p>
      <w:pPr>
        <w:ind w:left="20"/>
        <w:spacing w:after="0"/>
        <w:rPr>
          <w:sz w:val="20"/>
          <w:szCs w:val="20"/>
          <w:color w:val="auto"/>
        </w:rPr>
      </w:pPr>
      <w:r>
        <w:rPr>
          <w:rFonts w:ascii="Arial" w:cs="Arial" w:eastAsia="Arial" w:hAnsi="Arial"/>
          <w:sz w:val="21"/>
          <w:szCs w:val="21"/>
          <w:b w:val="1"/>
          <w:bCs w:val="1"/>
          <w:color w:val="FFFFFF"/>
        </w:rPr>
        <w:drawing>
          <wp:anchor simplePos="0" relativeHeight="251657728" behindDoc="1" locked="0" layoutInCell="0" allowOverlap="1">
            <wp:simplePos x="0" y="0"/>
            <wp:positionH relativeFrom="page">
              <wp:posOffset>154305</wp:posOffset>
            </wp:positionH>
            <wp:positionV relativeFrom="page">
              <wp:posOffset>365760</wp:posOffset>
            </wp:positionV>
            <wp:extent cx="7253605" cy="58610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53605" cy="586105"/>
                    </a:xfrm>
                    <a:prstGeom prst="rect">
                      <a:avLst/>
                    </a:prstGeom>
                    <a:noFill/>
                  </pic:spPr>
                </pic:pic>
              </a:graphicData>
            </a:graphic>
          </wp:anchor>
        </w:drawing>
        <w:t>QUESTIONS AND ANSWERS ABOUT THE ANNUAL MEETING</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Why did I receive a "Notice of Internet Availability of Proxy Materials" but not a full set of proxy materials?</w:t>
      </w:r>
    </w:p>
    <w:p>
      <w:pPr>
        <w:spacing w:after="0" w:line="103" w:lineRule="exact"/>
        <w:rPr>
          <w:sz w:val="20"/>
          <w:szCs w:val="20"/>
          <w:color w:val="auto"/>
        </w:rPr>
      </w:pPr>
    </w:p>
    <w:p>
      <w:pPr>
        <w:ind w:right="440"/>
        <w:spacing w:after="0" w:line="255" w:lineRule="auto"/>
        <w:rPr>
          <w:sz w:val="20"/>
          <w:szCs w:val="20"/>
          <w:color w:val="auto"/>
        </w:rPr>
      </w:pPr>
      <w:r>
        <w:rPr>
          <w:rFonts w:ascii="Arial" w:cs="Arial" w:eastAsia="Arial" w:hAnsi="Arial"/>
          <w:sz w:val="17"/>
          <w:szCs w:val="17"/>
          <w:color w:val="auto"/>
        </w:rPr>
        <w:t>We distribute our proxy materials to shareholders via the internet under the "Notice and Access" approach permitted by the rules of the SEC. This approach reduces the environmental impact of the Annual Meeting and our distribution costs, while providing a timely and convenient method of accessing the proxy materials and voting. On March 29, 2019, we mailed a "Notice of Internet Availability of Proxy Materials" to participating shareholders, containing instructions on how to access the proxy materials on the internet.</w:t>
      </w:r>
    </w:p>
    <w:p>
      <w:pPr>
        <w:spacing w:after="0" w:line="4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Who is entitled to vote at the Annual Meeting?</w:t>
      </w:r>
    </w:p>
    <w:p>
      <w:pPr>
        <w:spacing w:after="0" w:line="103" w:lineRule="exact"/>
        <w:rPr>
          <w:sz w:val="20"/>
          <w:szCs w:val="20"/>
          <w:color w:val="auto"/>
        </w:rPr>
      </w:pPr>
    </w:p>
    <w:p>
      <w:pPr>
        <w:ind w:right="20"/>
        <w:spacing w:after="0" w:line="257" w:lineRule="auto"/>
        <w:rPr>
          <w:sz w:val="20"/>
          <w:szCs w:val="20"/>
          <w:color w:val="auto"/>
        </w:rPr>
      </w:pPr>
      <w:r>
        <w:rPr>
          <w:rFonts w:ascii="Arial" w:cs="Arial" w:eastAsia="Arial" w:hAnsi="Arial"/>
          <w:sz w:val="17"/>
          <w:szCs w:val="17"/>
          <w:color w:val="auto"/>
        </w:rPr>
        <w:t>You may vote your shares of our common stock if you owned your shares as of the close of business on March 19, 2019 (Record Date). As of the Record Date, there were 169,959,030 shares of our common stock outstanding. You may cast one vote for each share of common stock you hold as of the Record Date on all matters presented.</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How many votes must be present to hold the Annual Meeting?</w:t>
      </w:r>
    </w:p>
    <w:p>
      <w:pPr>
        <w:spacing w:after="0" w:line="103" w:lineRule="exact"/>
        <w:rPr>
          <w:sz w:val="20"/>
          <w:szCs w:val="20"/>
          <w:color w:val="auto"/>
        </w:rPr>
      </w:pPr>
    </w:p>
    <w:p>
      <w:pPr>
        <w:ind w:right="280"/>
        <w:spacing w:after="0" w:line="255" w:lineRule="auto"/>
        <w:rPr>
          <w:sz w:val="20"/>
          <w:szCs w:val="20"/>
          <w:color w:val="auto"/>
        </w:rPr>
      </w:pPr>
      <w:r>
        <w:rPr>
          <w:rFonts w:ascii="Arial" w:cs="Arial" w:eastAsia="Arial" w:hAnsi="Arial"/>
          <w:sz w:val="17"/>
          <w:szCs w:val="17"/>
          <w:color w:val="auto"/>
        </w:rPr>
        <w:t>The presence in person or by proxy of the holders of a majority of the shares entitled to vote at the Annual Meeting will constitute a quorum at the Annual Meeting. Persons returning executed proxy cards will be counted as present for purposes of establishing a quorum even if they abstain from voting on any or all proposals. Shares held by brokers who vote such shares on any proposal and broker non-votes will be counted as present for purposes of establishing a quorum.</w:t>
      </w:r>
    </w:p>
    <w:p>
      <w:pPr>
        <w:spacing w:after="0" w:line="4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How can I receive a paper copy of the proxy materials?</w:t>
      </w:r>
    </w:p>
    <w:p>
      <w:pPr>
        <w:spacing w:after="0" w:line="103" w:lineRule="exact"/>
        <w:rPr>
          <w:sz w:val="20"/>
          <w:szCs w:val="20"/>
          <w:color w:val="auto"/>
        </w:rPr>
      </w:pPr>
    </w:p>
    <w:p>
      <w:pPr>
        <w:ind w:right="100"/>
        <w:spacing w:after="0" w:line="255" w:lineRule="auto"/>
        <w:rPr>
          <w:sz w:val="20"/>
          <w:szCs w:val="20"/>
          <w:color w:val="auto"/>
        </w:rPr>
      </w:pPr>
      <w:r>
        <w:rPr>
          <w:rFonts w:ascii="Arial" w:cs="Arial" w:eastAsia="Arial" w:hAnsi="Arial"/>
          <w:sz w:val="17"/>
          <w:szCs w:val="17"/>
          <w:color w:val="auto"/>
        </w:rPr>
        <w:t>Instead of mailing a printed copy of this Proxy Statement and accompanying materials to each shareholder of record, we have elected to provide a Notice of Internet Availability of Proxy Materials (Notice) as permitted by the rules of the SEC. The Notice instructs you as to how you may access and review all of the proxy materials and how you may provide your proxy. If you would like to receive a printed or electronic copy of this Proxy Statement and accompanying materials, you must follow the instructions for requesting such materials included in the Notice.</w:t>
      </w:r>
    </w:p>
    <w:p>
      <w:pPr>
        <w:spacing w:after="0" w:line="4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What am I being asked to vote on and what are the Board of Directors' recommendations?</w:t>
      </w:r>
    </w:p>
    <w:p>
      <w:pPr>
        <w:spacing w:after="0" w:line="103" w:lineRule="exact"/>
        <w:rPr>
          <w:sz w:val="20"/>
          <w:szCs w:val="20"/>
          <w:color w:val="auto"/>
        </w:rPr>
      </w:pPr>
    </w:p>
    <w:p>
      <w:pPr>
        <w:ind w:right="460"/>
        <w:spacing w:after="0" w:line="263" w:lineRule="auto"/>
        <w:rPr>
          <w:sz w:val="20"/>
          <w:szCs w:val="20"/>
          <w:color w:val="auto"/>
        </w:rPr>
      </w:pPr>
      <w:r>
        <w:rPr>
          <w:rFonts w:ascii="Arial" w:cs="Arial" w:eastAsia="Arial" w:hAnsi="Arial"/>
          <w:sz w:val="17"/>
          <w:szCs w:val="17"/>
          <w:color w:val="auto"/>
        </w:rPr>
        <w:t>The following table lists the proposals scheduled to be voted on, the vote required for approval of each proposal and the effect of abstentions and broker non-votes: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3520" w:type="dxa"/>
            <w:vAlign w:val="bottom"/>
          </w:tcPr>
          <w:p>
            <w:pPr>
              <w:spacing w:after="0"/>
              <w:rPr>
                <w:sz w:val="15"/>
                <w:szCs w:val="15"/>
                <w:color w:val="auto"/>
              </w:rPr>
            </w:pPr>
          </w:p>
        </w:tc>
        <w:tc>
          <w:tcPr>
            <w:tcW w:w="1720" w:type="dxa"/>
            <w:vAlign w:val="bottom"/>
          </w:tcPr>
          <w:p>
            <w:pPr>
              <w:jc w:val="center"/>
              <w:spacing w:after="0"/>
              <w:rPr>
                <w:sz w:val="20"/>
                <w:szCs w:val="20"/>
                <w:color w:val="auto"/>
              </w:rPr>
            </w:pPr>
            <w:r>
              <w:rPr>
                <w:rFonts w:ascii="Arial" w:cs="Arial" w:eastAsia="Arial" w:hAnsi="Arial"/>
                <w:sz w:val="15"/>
                <w:szCs w:val="15"/>
                <w:b w:val="1"/>
                <w:bCs w:val="1"/>
                <w:color w:val="auto"/>
              </w:rPr>
              <w:t>Board</w:t>
            </w:r>
          </w:p>
        </w:tc>
        <w:tc>
          <w:tcPr>
            <w:tcW w:w="19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300" w:type="dxa"/>
            <w:vAlign w:val="bottom"/>
          </w:tcPr>
          <w:p>
            <w:pPr>
              <w:jc w:val="center"/>
              <w:spacing w:after="0"/>
              <w:rPr>
                <w:sz w:val="20"/>
                <w:szCs w:val="20"/>
                <w:color w:val="auto"/>
              </w:rPr>
            </w:pPr>
            <w:r>
              <w:rPr>
                <w:rFonts w:ascii="Arial" w:cs="Arial" w:eastAsia="Arial" w:hAnsi="Arial"/>
                <w:sz w:val="15"/>
                <w:szCs w:val="15"/>
                <w:b w:val="1"/>
                <w:bCs w:val="1"/>
                <w:color w:val="auto"/>
              </w:rPr>
              <w:t>Broker Non-</w:t>
            </w:r>
          </w:p>
        </w:tc>
        <w:tc>
          <w:tcPr>
            <w:tcW w:w="1700" w:type="dxa"/>
            <w:vAlign w:val="bottom"/>
          </w:tcPr>
          <w:p>
            <w:pPr>
              <w:jc w:val="center"/>
              <w:spacing w:after="0"/>
              <w:rPr>
                <w:sz w:val="20"/>
                <w:szCs w:val="20"/>
                <w:color w:val="auto"/>
              </w:rPr>
            </w:pPr>
            <w:r>
              <w:rPr>
                <w:rFonts w:ascii="Arial" w:cs="Arial" w:eastAsia="Arial" w:hAnsi="Arial"/>
                <w:sz w:val="15"/>
                <w:szCs w:val="15"/>
                <w:b w:val="1"/>
                <w:bCs w:val="1"/>
                <w:color w:val="auto"/>
              </w:rPr>
              <w:t>Unmarked Proxy</w:t>
            </w:r>
          </w:p>
        </w:tc>
      </w:tr>
      <w:tr>
        <w:trPr>
          <w:trHeight w:val="203"/>
        </w:trPr>
        <w:tc>
          <w:tcPr>
            <w:tcW w:w="3520" w:type="dxa"/>
            <w:vAlign w:val="bottom"/>
          </w:tcPr>
          <w:p>
            <w:pPr>
              <w:ind w:left="20"/>
              <w:spacing w:after="0"/>
              <w:rPr>
                <w:sz w:val="20"/>
                <w:szCs w:val="20"/>
                <w:color w:val="auto"/>
              </w:rPr>
            </w:pPr>
            <w:r>
              <w:rPr>
                <w:rFonts w:ascii="Arial" w:cs="Arial" w:eastAsia="Arial" w:hAnsi="Arial"/>
                <w:sz w:val="15"/>
                <w:szCs w:val="15"/>
                <w:b w:val="1"/>
                <w:bCs w:val="1"/>
                <w:color w:val="auto"/>
              </w:rPr>
              <w:t>Proposal</w:t>
            </w:r>
          </w:p>
        </w:tc>
        <w:tc>
          <w:tcPr>
            <w:tcW w:w="1720" w:type="dxa"/>
            <w:vAlign w:val="bottom"/>
          </w:tcPr>
          <w:p>
            <w:pPr>
              <w:jc w:val="center"/>
              <w:spacing w:after="0"/>
              <w:rPr>
                <w:sz w:val="20"/>
                <w:szCs w:val="20"/>
                <w:color w:val="auto"/>
              </w:rPr>
            </w:pPr>
            <w:r>
              <w:rPr>
                <w:rFonts w:ascii="Arial" w:cs="Arial" w:eastAsia="Arial" w:hAnsi="Arial"/>
                <w:sz w:val="15"/>
                <w:szCs w:val="15"/>
                <w:b w:val="1"/>
                <w:bCs w:val="1"/>
                <w:color w:val="auto"/>
              </w:rPr>
              <w:t>Recommendation</w:t>
            </w:r>
          </w:p>
        </w:tc>
        <w:tc>
          <w:tcPr>
            <w:tcW w:w="1900" w:type="dxa"/>
            <w:vAlign w:val="bottom"/>
          </w:tcPr>
          <w:p>
            <w:pPr>
              <w:jc w:val="center"/>
              <w:spacing w:after="0"/>
              <w:rPr>
                <w:sz w:val="20"/>
                <w:szCs w:val="20"/>
                <w:color w:val="auto"/>
              </w:rPr>
            </w:pPr>
            <w:r>
              <w:rPr>
                <w:rFonts w:ascii="Arial" w:cs="Arial" w:eastAsia="Arial" w:hAnsi="Arial"/>
                <w:sz w:val="15"/>
                <w:szCs w:val="15"/>
                <w:b w:val="1"/>
                <w:bCs w:val="1"/>
                <w:color w:val="auto"/>
              </w:rPr>
              <w:t>Vote Required</w:t>
            </w:r>
          </w:p>
        </w:tc>
        <w:tc>
          <w:tcPr>
            <w:tcW w:w="1280" w:type="dxa"/>
            <w:vAlign w:val="bottom"/>
          </w:tcPr>
          <w:p>
            <w:pPr>
              <w:jc w:val="center"/>
              <w:spacing w:after="0"/>
              <w:rPr>
                <w:sz w:val="20"/>
                <w:szCs w:val="20"/>
                <w:color w:val="auto"/>
              </w:rPr>
            </w:pPr>
            <w:r>
              <w:rPr>
                <w:rFonts w:ascii="Arial" w:cs="Arial" w:eastAsia="Arial" w:hAnsi="Arial"/>
                <w:sz w:val="15"/>
                <w:szCs w:val="15"/>
                <w:b w:val="1"/>
                <w:bCs w:val="1"/>
                <w:color w:val="auto"/>
              </w:rPr>
              <w:t>Abstentions</w:t>
            </w:r>
          </w:p>
        </w:tc>
        <w:tc>
          <w:tcPr>
            <w:tcW w:w="1300" w:type="dxa"/>
            <w:vAlign w:val="bottom"/>
          </w:tcPr>
          <w:p>
            <w:pPr>
              <w:jc w:val="center"/>
              <w:spacing w:after="0"/>
              <w:rPr>
                <w:sz w:val="20"/>
                <w:szCs w:val="20"/>
                <w:color w:val="auto"/>
              </w:rPr>
            </w:pPr>
            <w:r>
              <w:rPr>
                <w:rFonts w:ascii="Arial" w:cs="Arial" w:eastAsia="Arial" w:hAnsi="Arial"/>
                <w:sz w:val="15"/>
                <w:szCs w:val="15"/>
                <w:b w:val="1"/>
                <w:bCs w:val="1"/>
                <w:color w:val="auto"/>
              </w:rPr>
              <w:t>Votes</w:t>
            </w:r>
          </w:p>
        </w:tc>
        <w:tc>
          <w:tcPr>
            <w:tcW w:w="1700" w:type="dxa"/>
            <w:vAlign w:val="bottom"/>
          </w:tcPr>
          <w:p>
            <w:pPr>
              <w:jc w:val="center"/>
              <w:spacing w:after="0"/>
              <w:rPr>
                <w:sz w:val="20"/>
                <w:szCs w:val="20"/>
                <w:color w:val="auto"/>
              </w:rPr>
            </w:pPr>
            <w:r>
              <w:rPr>
                <w:rFonts w:ascii="Arial" w:cs="Arial" w:eastAsia="Arial" w:hAnsi="Arial"/>
                <w:sz w:val="15"/>
                <w:szCs w:val="15"/>
                <w:b w:val="1"/>
                <w:bCs w:val="1"/>
                <w:color w:val="auto"/>
              </w:rPr>
              <w:t>Cards</w:t>
            </w:r>
          </w:p>
        </w:tc>
      </w:tr>
      <w:tr>
        <w:trPr>
          <w:trHeight w:val="95"/>
        </w:trPr>
        <w:tc>
          <w:tcPr>
            <w:tcW w:w="3520" w:type="dxa"/>
            <w:vAlign w:val="bottom"/>
            <w:tcBorders>
              <w:bottom w:val="single" w:sz="8" w:color="34657F"/>
            </w:tcBorders>
          </w:tcPr>
          <w:p>
            <w:pPr>
              <w:spacing w:after="0"/>
              <w:rPr>
                <w:sz w:val="8"/>
                <w:szCs w:val="8"/>
                <w:color w:val="auto"/>
              </w:rPr>
            </w:pPr>
          </w:p>
        </w:tc>
        <w:tc>
          <w:tcPr>
            <w:tcW w:w="1720" w:type="dxa"/>
            <w:vAlign w:val="bottom"/>
            <w:tcBorders>
              <w:bottom w:val="single" w:sz="8" w:color="34657F"/>
            </w:tcBorders>
          </w:tcPr>
          <w:p>
            <w:pPr>
              <w:spacing w:after="0"/>
              <w:rPr>
                <w:sz w:val="8"/>
                <w:szCs w:val="8"/>
                <w:color w:val="auto"/>
              </w:rPr>
            </w:pPr>
          </w:p>
        </w:tc>
        <w:tc>
          <w:tcPr>
            <w:tcW w:w="1900" w:type="dxa"/>
            <w:vAlign w:val="bottom"/>
            <w:tcBorders>
              <w:bottom w:val="single" w:sz="8" w:color="34657F"/>
            </w:tcBorders>
          </w:tcPr>
          <w:p>
            <w:pPr>
              <w:spacing w:after="0"/>
              <w:rPr>
                <w:sz w:val="8"/>
                <w:szCs w:val="8"/>
                <w:color w:val="auto"/>
              </w:rPr>
            </w:pPr>
          </w:p>
        </w:tc>
        <w:tc>
          <w:tcPr>
            <w:tcW w:w="1280" w:type="dxa"/>
            <w:vAlign w:val="bottom"/>
            <w:tcBorders>
              <w:bottom w:val="single" w:sz="8" w:color="34657F"/>
            </w:tcBorders>
          </w:tcPr>
          <w:p>
            <w:pPr>
              <w:spacing w:after="0"/>
              <w:rPr>
                <w:sz w:val="8"/>
                <w:szCs w:val="8"/>
                <w:color w:val="auto"/>
              </w:rPr>
            </w:pPr>
          </w:p>
        </w:tc>
        <w:tc>
          <w:tcPr>
            <w:tcW w:w="1300" w:type="dxa"/>
            <w:vAlign w:val="bottom"/>
            <w:tcBorders>
              <w:bottom w:val="single" w:sz="8" w:color="34657F"/>
            </w:tcBorders>
          </w:tcPr>
          <w:p>
            <w:pPr>
              <w:spacing w:after="0"/>
              <w:rPr>
                <w:sz w:val="8"/>
                <w:szCs w:val="8"/>
                <w:color w:val="auto"/>
              </w:rPr>
            </w:pPr>
          </w:p>
        </w:tc>
        <w:tc>
          <w:tcPr>
            <w:tcW w:w="1700" w:type="dxa"/>
            <w:vAlign w:val="bottom"/>
            <w:tcBorders>
              <w:bottom w:val="single" w:sz="8" w:color="34657F"/>
            </w:tcBorders>
          </w:tcPr>
          <w:p>
            <w:pPr>
              <w:spacing w:after="0"/>
              <w:rPr>
                <w:sz w:val="8"/>
                <w:szCs w:val="8"/>
                <w:color w:val="auto"/>
              </w:rPr>
            </w:pPr>
          </w:p>
        </w:tc>
      </w:tr>
      <w:tr>
        <w:trPr>
          <w:trHeight w:val="205"/>
        </w:trPr>
        <w:tc>
          <w:tcPr>
            <w:tcW w:w="3520" w:type="dxa"/>
            <w:vAlign w:val="bottom"/>
          </w:tcPr>
          <w:p>
            <w:pPr>
              <w:ind w:left="20"/>
              <w:spacing w:after="0"/>
              <w:rPr>
                <w:sz w:val="20"/>
                <w:szCs w:val="20"/>
                <w:color w:val="auto"/>
              </w:rPr>
            </w:pPr>
            <w:r>
              <w:rPr>
                <w:rFonts w:ascii="Arial" w:cs="Arial" w:eastAsia="Arial" w:hAnsi="Arial"/>
                <w:sz w:val="15"/>
                <w:szCs w:val="15"/>
                <w:color w:val="auto"/>
              </w:rPr>
              <w:t>Election of Directors</w:t>
            </w:r>
          </w:p>
        </w:tc>
        <w:tc>
          <w:tcPr>
            <w:tcW w:w="1720" w:type="dxa"/>
            <w:vAlign w:val="bottom"/>
          </w:tcPr>
          <w:p>
            <w:pPr>
              <w:jc w:val="center"/>
              <w:spacing w:after="0"/>
              <w:rPr>
                <w:sz w:val="20"/>
                <w:szCs w:val="20"/>
                <w:color w:val="auto"/>
              </w:rPr>
            </w:pPr>
            <w:r>
              <w:rPr>
                <w:rFonts w:ascii="Arial" w:cs="Arial" w:eastAsia="Arial" w:hAnsi="Arial"/>
                <w:sz w:val="15"/>
                <w:szCs w:val="15"/>
                <w:b w:val="1"/>
                <w:bCs w:val="1"/>
                <w:color w:val="34657F"/>
              </w:rPr>
              <w:t>FOR</w:t>
            </w:r>
          </w:p>
        </w:tc>
        <w:tc>
          <w:tcPr>
            <w:tcW w:w="1900" w:type="dxa"/>
            <w:vAlign w:val="bottom"/>
          </w:tcPr>
          <w:p>
            <w:pPr>
              <w:jc w:val="center"/>
              <w:spacing w:after="0"/>
              <w:rPr>
                <w:sz w:val="20"/>
                <w:szCs w:val="20"/>
                <w:color w:val="auto"/>
              </w:rPr>
            </w:pPr>
            <w:r>
              <w:rPr>
                <w:rFonts w:ascii="Arial" w:cs="Arial" w:eastAsia="Arial" w:hAnsi="Arial"/>
                <w:sz w:val="15"/>
                <w:szCs w:val="15"/>
                <w:color w:val="auto"/>
              </w:rPr>
              <w:t>Majority of votes cast</w:t>
            </w:r>
          </w:p>
        </w:tc>
        <w:tc>
          <w:tcPr>
            <w:tcW w:w="1280" w:type="dxa"/>
            <w:vAlign w:val="bottom"/>
          </w:tcPr>
          <w:p>
            <w:pPr>
              <w:jc w:val="center"/>
              <w:spacing w:after="0"/>
              <w:rPr>
                <w:sz w:val="20"/>
                <w:szCs w:val="20"/>
                <w:color w:val="auto"/>
              </w:rPr>
            </w:pPr>
            <w:r>
              <w:rPr>
                <w:rFonts w:ascii="Arial" w:cs="Arial" w:eastAsia="Arial" w:hAnsi="Arial"/>
                <w:sz w:val="15"/>
                <w:szCs w:val="15"/>
                <w:color w:val="auto"/>
                <w:w w:val="99"/>
              </w:rPr>
              <w:t>No effect</w:t>
            </w:r>
          </w:p>
        </w:tc>
        <w:tc>
          <w:tcPr>
            <w:tcW w:w="1300" w:type="dxa"/>
            <w:vAlign w:val="bottom"/>
          </w:tcPr>
          <w:p>
            <w:pPr>
              <w:jc w:val="center"/>
              <w:spacing w:after="0"/>
              <w:rPr>
                <w:sz w:val="20"/>
                <w:szCs w:val="20"/>
                <w:color w:val="auto"/>
              </w:rPr>
            </w:pPr>
            <w:r>
              <w:rPr>
                <w:rFonts w:ascii="Arial" w:cs="Arial" w:eastAsia="Arial" w:hAnsi="Arial"/>
                <w:sz w:val="15"/>
                <w:szCs w:val="15"/>
                <w:color w:val="auto"/>
              </w:rPr>
              <w:t>No effect</w:t>
            </w:r>
          </w:p>
        </w:tc>
        <w:tc>
          <w:tcPr>
            <w:tcW w:w="1700" w:type="dxa"/>
            <w:vAlign w:val="bottom"/>
          </w:tcPr>
          <w:p>
            <w:pPr>
              <w:jc w:val="center"/>
              <w:spacing w:after="0"/>
              <w:rPr>
                <w:sz w:val="20"/>
                <w:szCs w:val="20"/>
                <w:color w:val="auto"/>
              </w:rPr>
            </w:pPr>
            <w:r>
              <w:rPr>
                <w:rFonts w:ascii="Arial" w:cs="Arial" w:eastAsia="Arial" w:hAnsi="Arial"/>
                <w:sz w:val="15"/>
                <w:szCs w:val="15"/>
                <w:color w:val="auto"/>
              </w:rPr>
              <w:t>Voted "FOR"</w:t>
            </w:r>
          </w:p>
        </w:tc>
      </w:tr>
      <w:tr>
        <w:trPr>
          <w:trHeight w:val="256"/>
        </w:trPr>
        <w:tc>
          <w:tcPr>
            <w:tcW w:w="3520" w:type="dxa"/>
            <w:vAlign w:val="bottom"/>
          </w:tcPr>
          <w:p>
            <w:pPr>
              <w:ind w:left="20"/>
              <w:spacing w:after="0"/>
              <w:rPr>
                <w:sz w:val="20"/>
                <w:szCs w:val="20"/>
                <w:color w:val="auto"/>
              </w:rPr>
            </w:pPr>
            <w:r>
              <w:rPr>
                <w:rFonts w:ascii="Arial" w:cs="Arial" w:eastAsia="Arial" w:hAnsi="Arial"/>
                <w:sz w:val="15"/>
                <w:szCs w:val="15"/>
                <w:b w:val="1"/>
                <w:bCs w:val="1"/>
                <w:i w:val="1"/>
                <w:iCs w:val="1"/>
                <w:color w:val="34657F"/>
              </w:rPr>
              <w:t>(Proposal One)</w:t>
            </w:r>
          </w:p>
        </w:tc>
        <w:tc>
          <w:tcPr>
            <w:tcW w:w="172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700" w:type="dxa"/>
            <w:vAlign w:val="bottom"/>
          </w:tcPr>
          <w:p>
            <w:pPr>
              <w:spacing w:after="0"/>
              <w:rPr>
                <w:sz w:val="22"/>
                <w:szCs w:val="22"/>
                <w:color w:val="auto"/>
              </w:rPr>
            </w:pPr>
          </w:p>
        </w:tc>
      </w:tr>
      <w:tr>
        <w:trPr>
          <w:trHeight w:val="95"/>
        </w:trPr>
        <w:tc>
          <w:tcPr>
            <w:tcW w:w="3520" w:type="dxa"/>
            <w:vAlign w:val="bottom"/>
            <w:tcBorders>
              <w:bottom w:val="single" w:sz="8" w:color="auto"/>
            </w:tcBorders>
          </w:tcPr>
          <w:p>
            <w:pPr>
              <w:spacing w:after="0"/>
              <w:rPr>
                <w:sz w:val="8"/>
                <w:szCs w:val="8"/>
                <w:color w:val="auto"/>
              </w:rPr>
            </w:pPr>
          </w:p>
        </w:tc>
        <w:tc>
          <w:tcPr>
            <w:tcW w:w="1720" w:type="dxa"/>
            <w:vAlign w:val="bottom"/>
            <w:tcBorders>
              <w:bottom w:val="single" w:sz="8" w:color="auto"/>
            </w:tcBorders>
          </w:tcPr>
          <w:p>
            <w:pPr>
              <w:spacing w:after="0"/>
              <w:rPr>
                <w:sz w:val="8"/>
                <w:szCs w:val="8"/>
                <w:color w:val="auto"/>
              </w:rPr>
            </w:pPr>
          </w:p>
        </w:tc>
        <w:tc>
          <w:tcPr>
            <w:tcW w:w="1900" w:type="dxa"/>
            <w:vAlign w:val="bottom"/>
            <w:tcBorders>
              <w:bottom w:val="single" w:sz="8" w:color="auto"/>
            </w:tcBorders>
          </w:tcPr>
          <w:p>
            <w:pPr>
              <w:spacing w:after="0"/>
              <w:rPr>
                <w:sz w:val="8"/>
                <w:szCs w:val="8"/>
                <w:color w:val="auto"/>
              </w:rPr>
            </w:pPr>
          </w:p>
        </w:tc>
        <w:tc>
          <w:tcPr>
            <w:tcW w:w="1280" w:type="dxa"/>
            <w:vAlign w:val="bottom"/>
            <w:tcBorders>
              <w:bottom w:val="single" w:sz="8" w:color="auto"/>
            </w:tcBorders>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1700" w:type="dxa"/>
            <w:vAlign w:val="bottom"/>
            <w:tcBorders>
              <w:bottom w:val="single" w:sz="8" w:color="auto"/>
            </w:tcBorders>
          </w:tcPr>
          <w:p>
            <w:pPr>
              <w:spacing w:after="0"/>
              <w:rPr>
                <w:sz w:val="8"/>
                <w:szCs w:val="8"/>
                <w:color w:val="auto"/>
              </w:rPr>
            </w:pPr>
          </w:p>
        </w:tc>
      </w:tr>
      <w:tr>
        <w:trPr>
          <w:trHeight w:val="200"/>
        </w:trPr>
        <w:tc>
          <w:tcPr>
            <w:tcW w:w="3520" w:type="dxa"/>
            <w:vAlign w:val="bottom"/>
          </w:tcPr>
          <w:p>
            <w:pPr>
              <w:ind w:left="20"/>
              <w:spacing w:after="0"/>
              <w:rPr>
                <w:sz w:val="20"/>
                <w:szCs w:val="20"/>
                <w:color w:val="auto"/>
              </w:rPr>
            </w:pPr>
            <w:r>
              <w:rPr>
                <w:rFonts w:ascii="Arial" w:cs="Arial" w:eastAsia="Arial" w:hAnsi="Arial"/>
                <w:sz w:val="15"/>
                <w:szCs w:val="15"/>
                <w:color w:val="auto"/>
              </w:rPr>
              <w:t>Advisory Vote on Compensation of Named</w:t>
            </w:r>
          </w:p>
        </w:tc>
        <w:tc>
          <w:tcPr>
            <w:tcW w:w="1720" w:type="dxa"/>
            <w:vAlign w:val="bottom"/>
          </w:tcPr>
          <w:p>
            <w:pPr>
              <w:jc w:val="center"/>
              <w:spacing w:after="0"/>
              <w:rPr>
                <w:sz w:val="20"/>
                <w:szCs w:val="20"/>
                <w:color w:val="auto"/>
              </w:rPr>
            </w:pPr>
            <w:r>
              <w:rPr>
                <w:rFonts w:ascii="Arial" w:cs="Arial" w:eastAsia="Arial" w:hAnsi="Arial"/>
                <w:sz w:val="15"/>
                <w:szCs w:val="15"/>
                <w:b w:val="1"/>
                <w:bCs w:val="1"/>
                <w:color w:val="34657F"/>
              </w:rPr>
              <w:t>FOR</w:t>
            </w:r>
          </w:p>
        </w:tc>
        <w:tc>
          <w:tcPr>
            <w:tcW w:w="1900" w:type="dxa"/>
            <w:vAlign w:val="bottom"/>
          </w:tcPr>
          <w:p>
            <w:pPr>
              <w:jc w:val="center"/>
              <w:spacing w:after="0"/>
              <w:rPr>
                <w:sz w:val="20"/>
                <w:szCs w:val="20"/>
                <w:color w:val="auto"/>
              </w:rPr>
            </w:pPr>
            <w:r>
              <w:rPr>
                <w:rFonts w:ascii="Arial" w:cs="Arial" w:eastAsia="Arial" w:hAnsi="Arial"/>
                <w:sz w:val="15"/>
                <w:szCs w:val="15"/>
                <w:color w:val="auto"/>
              </w:rPr>
              <w:t>Majority of votes cast</w:t>
            </w:r>
          </w:p>
        </w:tc>
        <w:tc>
          <w:tcPr>
            <w:tcW w:w="1280" w:type="dxa"/>
            <w:vAlign w:val="bottom"/>
          </w:tcPr>
          <w:p>
            <w:pPr>
              <w:jc w:val="center"/>
              <w:spacing w:after="0"/>
              <w:rPr>
                <w:sz w:val="20"/>
                <w:szCs w:val="20"/>
                <w:color w:val="auto"/>
              </w:rPr>
            </w:pPr>
            <w:r>
              <w:rPr>
                <w:rFonts w:ascii="Arial" w:cs="Arial" w:eastAsia="Arial" w:hAnsi="Arial"/>
                <w:sz w:val="15"/>
                <w:szCs w:val="15"/>
                <w:color w:val="auto"/>
                <w:w w:val="99"/>
              </w:rPr>
              <w:t>No effect</w:t>
            </w:r>
          </w:p>
        </w:tc>
        <w:tc>
          <w:tcPr>
            <w:tcW w:w="1300" w:type="dxa"/>
            <w:vAlign w:val="bottom"/>
          </w:tcPr>
          <w:p>
            <w:pPr>
              <w:jc w:val="center"/>
              <w:spacing w:after="0"/>
              <w:rPr>
                <w:sz w:val="20"/>
                <w:szCs w:val="20"/>
                <w:color w:val="auto"/>
              </w:rPr>
            </w:pPr>
            <w:r>
              <w:rPr>
                <w:rFonts w:ascii="Arial" w:cs="Arial" w:eastAsia="Arial" w:hAnsi="Arial"/>
                <w:sz w:val="15"/>
                <w:szCs w:val="15"/>
                <w:color w:val="auto"/>
              </w:rPr>
              <w:t>No effect</w:t>
            </w:r>
          </w:p>
        </w:tc>
        <w:tc>
          <w:tcPr>
            <w:tcW w:w="1700" w:type="dxa"/>
            <w:vAlign w:val="bottom"/>
          </w:tcPr>
          <w:p>
            <w:pPr>
              <w:jc w:val="center"/>
              <w:spacing w:after="0"/>
              <w:rPr>
                <w:sz w:val="20"/>
                <w:szCs w:val="20"/>
                <w:color w:val="auto"/>
              </w:rPr>
            </w:pPr>
            <w:r>
              <w:rPr>
                <w:rFonts w:ascii="Arial" w:cs="Arial" w:eastAsia="Arial" w:hAnsi="Arial"/>
                <w:sz w:val="15"/>
                <w:szCs w:val="15"/>
                <w:color w:val="auto"/>
              </w:rPr>
              <w:t>Voted "FOR"</w:t>
            </w:r>
          </w:p>
        </w:tc>
      </w:tr>
      <w:tr>
        <w:trPr>
          <w:trHeight w:val="185"/>
        </w:trPr>
        <w:tc>
          <w:tcPr>
            <w:tcW w:w="3520" w:type="dxa"/>
            <w:vAlign w:val="bottom"/>
          </w:tcPr>
          <w:p>
            <w:pPr>
              <w:ind w:left="20"/>
              <w:spacing w:after="0"/>
              <w:rPr>
                <w:sz w:val="20"/>
                <w:szCs w:val="20"/>
                <w:color w:val="auto"/>
              </w:rPr>
            </w:pPr>
            <w:r>
              <w:rPr>
                <w:rFonts w:ascii="Arial" w:cs="Arial" w:eastAsia="Arial" w:hAnsi="Arial"/>
                <w:sz w:val="15"/>
                <w:szCs w:val="15"/>
                <w:color w:val="auto"/>
              </w:rPr>
              <w:t>Executive Officers</w:t>
            </w:r>
          </w:p>
        </w:tc>
        <w:tc>
          <w:tcPr>
            <w:tcW w:w="172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700" w:type="dxa"/>
            <w:vAlign w:val="bottom"/>
          </w:tcPr>
          <w:p>
            <w:pPr>
              <w:spacing w:after="0"/>
              <w:rPr>
                <w:sz w:val="16"/>
                <w:szCs w:val="16"/>
                <w:color w:val="auto"/>
              </w:rPr>
            </w:pPr>
          </w:p>
        </w:tc>
      </w:tr>
      <w:tr>
        <w:trPr>
          <w:trHeight w:val="256"/>
        </w:trPr>
        <w:tc>
          <w:tcPr>
            <w:tcW w:w="3520" w:type="dxa"/>
            <w:vAlign w:val="bottom"/>
          </w:tcPr>
          <w:p>
            <w:pPr>
              <w:ind w:left="20"/>
              <w:spacing w:after="0"/>
              <w:rPr>
                <w:sz w:val="20"/>
                <w:szCs w:val="20"/>
                <w:color w:val="auto"/>
              </w:rPr>
            </w:pPr>
            <w:r>
              <w:rPr>
                <w:rFonts w:ascii="Arial" w:cs="Arial" w:eastAsia="Arial" w:hAnsi="Arial"/>
                <w:sz w:val="15"/>
                <w:szCs w:val="15"/>
                <w:b w:val="1"/>
                <w:bCs w:val="1"/>
                <w:i w:val="1"/>
                <w:iCs w:val="1"/>
                <w:color w:val="34657F"/>
              </w:rPr>
              <w:t>(Proposal Two)</w:t>
            </w:r>
          </w:p>
        </w:tc>
        <w:tc>
          <w:tcPr>
            <w:tcW w:w="172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700" w:type="dxa"/>
            <w:vAlign w:val="bottom"/>
          </w:tcPr>
          <w:p>
            <w:pPr>
              <w:spacing w:after="0"/>
              <w:rPr>
                <w:sz w:val="22"/>
                <w:szCs w:val="22"/>
                <w:color w:val="auto"/>
              </w:rPr>
            </w:pPr>
          </w:p>
        </w:tc>
      </w:tr>
      <w:tr>
        <w:trPr>
          <w:trHeight w:val="95"/>
        </w:trPr>
        <w:tc>
          <w:tcPr>
            <w:tcW w:w="3520" w:type="dxa"/>
            <w:vAlign w:val="bottom"/>
            <w:tcBorders>
              <w:bottom w:val="single" w:sz="8" w:color="auto"/>
            </w:tcBorders>
          </w:tcPr>
          <w:p>
            <w:pPr>
              <w:spacing w:after="0"/>
              <w:rPr>
                <w:sz w:val="8"/>
                <w:szCs w:val="8"/>
                <w:color w:val="auto"/>
              </w:rPr>
            </w:pPr>
          </w:p>
        </w:tc>
        <w:tc>
          <w:tcPr>
            <w:tcW w:w="1720" w:type="dxa"/>
            <w:vAlign w:val="bottom"/>
            <w:tcBorders>
              <w:bottom w:val="single" w:sz="8" w:color="auto"/>
            </w:tcBorders>
          </w:tcPr>
          <w:p>
            <w:pPr>
              <w:spacing w:after="0"/>
              <w:rPr>
                <w:sz w:val="8"/>
                <w:szCs w:val="8"/>
                <w:color w:val="auto"/>
              </w:rPr>
            </w:pPr>
          </w:p>
        </w:tc>
        <w:tc>
          <w:tcPr>
            <w:tcW w:w="1900" w:type="dxa"/>
            <w:vAlign w:val="bottom"/>
            <w:tcBorders>
              <w:bottom w:val="single" w:sz="8" w:color="auto"/>
            </w:tcBorders>
          </w:tcPr>
          <w:p>
            <w:pPr>
              <w:spacing w:after="0"/>
              <w:rPr>
                <w:sz w:val="8"/>
                <w:szCs w:val="8"/>
                <w:color w:val="auto"/>
              </w:rPr>
            </w:pPr>
          </w:p>
        </w:tc>
        <w:tc>
          <w:tcPr>
            <w:tcW w:w="1280" w:type="dxa"/>
            <w:vAlign w:val="bottom"/>
            <w:tcBorders>
              <w:bottom w:val="single" w:sz="8" w:color="auto"/>
            </w:tcBorders>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1700" w:type="dxa"/>
            <w:vAlign w:val="bottom"/>
            <w:tcBorders>
              <w:bottom w:val="single" w:sz="8" w:color="auto"/>
            </w:tcBorders>
          </w:tcPr>
          <w:p>
            <w:pPr>
              <w:spacing w:after="0"/>
              <w:rPr>
                <w:sz w:val="8"/>
                <w:szCs w:val="8"/>
                <w:color w:val="auto"/>
              </w:rPr>
            </w:pPr>
          </w:p>
        </w:tc>
      </w:tr>
      <w:tr>
        <w:trPr>
          <w:trHeight w:val="200"/>
        </w:trPr>
        <w:tc>
          <w:tcPr>
            <w:tcW w:w="3520" w:type="dxa"/>
            <w:vAlign w:val="bottom"/>
          </w:tcPr>
          <w:p>
            <w:pPr>
              <w:ind w:left="20"/>
              <w:spacing w:after="0"/>
              <w:rPr>
                <w:sz w:val="20"/>
                <w:szCs w:val="20"/>
                <w:color w:val="auto"/>
              </w:rPr>
            </w:pPr>
            <w:r>
              <w:rPr>
                <w:rFonts w:ascii="Arial" w:cs="Arial" w:eastAsia="Arial" w:hAnsi="Arial"/>
                <w:sz w:val="15"/>
                <w:szCs w:val="15"/>
                <w:color w:val="auto"/>
              </w:rPr>
              <w:t>Ratification of Appointment of Independent</w:t>
            </w:r>
          </w:p>
        </w:tc>
        <w:tc>
          <w:tcPr>
            <w:tcW w:w="1720" w:type="dxa"/>
            <w:vAlign w:val="bottom"/>
          </w:tcPr>
          <w:p>
            <w:pPr>
              <w:jc w:val="center"/>
              <w:spacing w:after="0"/>
              <w:rPr>
                <w:sz w:val="20"/>
                <w:szCs w:val="20"/>
                <w:color w:val="auto"/>
              </w:rPr>
            </w:pPr>
            <w:r>
              <w:rPr>
                <w:rFonts w:ascii="Arial" w:cs="Arial" w:eastAsia="Arial" w:hAnsi="Arial"/>
                <w:sz w:val="15"/>
                <w:szCs w:val="15"/>
                <w:b w:val="1"/>
                <w:bCs w:val="1"/>
                <w:color w:val="34657F"/>
              </w:rPr>
              <w:t>FOR</w:t>
            </w:r>
          </w:p>
        </w:tc>
        <w:tc>
          <w:tcPr>
            <w:tcW w:w="1900" w:type="dxa"/>
            <w:vAlign w:val="bottom"/>
          </w:tcPr>
          <w:p>
            <w:pPr>
              <w:jc w:val="center"/>
              <w:spacing w:after="0"/>
              <w:rPr>
                <w:sz w:val="20"/>
                <w:szCs w:val="20"/>
                <w:color w:val="auto"/>
              </w:rPr>
            </w:pPr>
            <w:r>
              <w:rPr>
                <w:rFonts w:ascii="Arial" w:cs="Arial" w:eastAsia="Arial" w:hAnsi="Arial"/>
                <w:sz w:val="15"/>
                <w:szCs w:val="15"/>
                <w:color w:val="auto"/>
              </w:rPr>
              <w:t>Majority of votes cast</w:t>
            </w:r>
          </w:p>
        </w:tc>
        <w:tc>
          <w:tcPr>
            <w:tcW w:w="1280" w:type="dxa"/>
            <w:vAlign w:val="bottom"/>
          </w:tcPr>
          <w:p>
            <w:pPr>
              <w:jc w:val="center"/>
              <w:spacing w:after="0"/>
              <w:rPr>
                <w:sz w:val="20"/>
                <w:szCs w:val="20"/>
                <w:color w:val="auto"/>
              </w:rPr>
            </w:pPr>
            <w:r>
              <w:rPr>
                <w:rFonts w:ascii="Arial" w:cs="Arial" w:eastAsia="Arial" w:hAnsi="Arial"/>
                <w:sz w:val="15"/>
                <w:szCs w:val="15"/>
                <w:color w:val="auto"/>
                <w:w w:val="99"/>
              </w:rPr>
              <w:t>No effect</w:t>
            </w:r>
          </w:p>
        </w:tc>
        <w:tc>
          <w:tcPr>
            <w:tcW w:w="1300" w:type="dxa"/>
            <w:vAlign w:val="bottom"/>
          </w:tcPr>
          <w:p>
            <w:pPr>
              <w:jc w:val="center"/>
              <w:spacing w:after="0"/>
              <w:rPr>
                <w:sz w:val="20"/>
                <w:szCs w:val="20"/>
                <w:color w:val="auto"/>
              </w:rPr>
            </w:pPr>
            <w:r>
              <w:rPr>
                <w:rFonts w:ascii="Arial" w:cs="Arial" w:eastAsia="Arial" w:hAnsi="Arial"/>
                <w:sz w:val="15"/>
                <w:szCs w:val="15"/>
                <w:color w:val="auto"/>
              </w:rPr>
              <w:t>No effect</w:t>
            </w:r>
          </w:p>
        </w:tc>
        <w:tc>
          <w:tcPr>
            <w:tcW w:w="1700" w:type="dxa"/>
            <w:vAlign w:val="bottom"/>
          </w:tcPr>
          <w:p>
            <w:pPr>
              <w:jc w:val="center"/>
              <w:spacing w:after="0"/>
              <w:rPr>
                <w:sz w:val="20"/>
                <w:szCs w:val="20"/>
                <w:color w:val="auto"/>
              </w:rPr>
            </w:pPr>
            <w:r>
              <w:rPr>
                <w:rFonts w:ascii="Arial" w:cs="Arial" w:eastAsia="Arial" w:hAnsi="Arial"/>
                <w:sz w:val="15"/>
                <w:szCs w:val="15"/>
                <w:color w:val="auto"/>
              </w:rPr>
              <w:t>Voted "FOR"</w:t>
            </w:r>
          </w:p>
        </w:tc>
      </w:tr>
      <w:tr>
        <w:trPr>
          <w:trHeight w:val="185"/>
        </w:trPr>
        <w:tc>
          <w:tcPr>
            <w:tcW w:w="3520" w:type="dxa"/>
            <w:vAlign w:val="bottom"/>
          </w:tcPr>
          <w:p>
            <w:pPr>
              <w:ind w:left="20"/>
              <w:spacing w:after="0"/>
              <w:rPr>
                <w:sz w:val="20"/>
                <w:szCs w:val="20"/>
                <w:color w:val="auto"/>
              </w:rPr>
            </w:pPr>
            <w:r>
              <w:rPr>
                <w:rFonts w:ascii="Arial" w:cs="Arial" w:eastAsia="Arial" w:hAnsi="Arial"/>
                <w:sz w:val="15"/>
                <w:szCs w:val="15"/>
                <w:color w:val="auto"/>
              </w:rPr>
              <w:t>Auditor</w:t>
            </w:r>
          </w:p>
        </w:tc>
        <w:tc>
          <w:tcPr>
            <w:tcW w:w="172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700" w:type="dxa"/>
            <w:vAlign w:val="bottom"/>
          </w:tcPr>
          <w:p>
            <w:pPr>
              <w:spacing w:after="0"/>
              <w:rPr>
                <w:sz w:val="16"/>
                <w:szCs w:val="16"/>
                <w:color w:val="auto"/>
              </w:rPr>
            </w:pPr>
          </w:p>
        </w:tc>
      </w:tr>
      <w:tr>
        <w:trPr>
          <w:trHeight w:val="256"/>
        </w:trPr>
        <w:tc>
          <w:tcPr>
            <w:tcW w:w="3520" w:type="dxa"/>
            <w:vAlign w:val="bottom"/>
          </w:tcPr>
          <w:p>
            <w:pPr>
              <w:ind w:left="20"/>
              <w:spacing w:after="0"/>
              <w:rPr>
                <w:sz w:val="20"/>
                <w:szCs w:val="20"/>
                <w:color w:val="auto"/>
              </w:rPr>
            </w:pPr>
            <w:r>
              <w:rPr>
                <w:rFonts w:ascii="Arial" w:cs="Arial" w:eastAsia="Arial" w:hAnsi="Arial"/>
                <w:sz w:val="15"/>
                <w:szCs w:val="15"/>
                <w:b w:val="1"/>
                <w:bCs w:val="1"/>
                <w:i w:val="1"/>
                <w:iCs w:val="1"/>
                <w:color w:val="34657F"/>
              </w:rPr>
              <w:t>(Proposal Three)</w:t>
            </w:r>
          </w:p>
        </w:tc>
        <w:tc>
          <w:tcPr>
            <w:tcW w:w="172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700" w:type="dxa"/>
            <w:vAlign w:val="bottom"/>
          </w:tcPr>
          <w:p>
            <w:pPr>
              <w:spacing w:after="0"/>
              <w:rPr>
                <w:sz w:val="22"/>
                <w:szCs w:val="22"/>
                <w:color w:val="auto"/>
              </w:rPr>
            </w:pPr>
          </w:p>
        </w:tc>
      </w:tr>
      <w:tr>
        <w:trPr>
          <w:trHeight w:val="95"/>
        </w:trPr>
        <w:tc>
          <w:tcPr>
            <w:tcW w:w="3520" w:type="dxa"/>
            <w:vAlign w:val="bottom"/>
            <w:tcBorders>
              <w:bottom w:val="single" w:sz="8" w:color="auto"/>
            </w:tcBorders>
          </w:tcPr>
          <w:p>
            <w:pPr>
              <w:spacing w:after="0"/>
              <w:rPr>
                <w:sz w:val="8"/>
                <w:szCs w:val="8"/>
                <w:color w:val="auto"/>
              </w:rPr>
            </w:pPr>
          </w:p>
        </w:tc>
        <w:tc>
          <w:tcPr>
            <w:tcW w:w="1720" w:type="dxa"/>
            <w:vAlign w:val="bottom"/>
            <w:tcBorders>
              <w:bottom w:val="single" w:sz="8" w:color="auto"/>
            </w:tcBorders>
          </w:tcPr>
          <w:p>
            <w:pPr>
              <w:spacing w:after="0"/>
              <w:rPr>
                <w:sz w:val="8"/>
                <w:szCs w:val="8"/>
                <w:color w:val="auto"/>
              </w:rPr>
            </w:pPr>
          </w:p>
        </w:tc>
        <w:tc>
          <w:tcPr>
            <w:tcW w:w="1900" w:type="dxa"/>
            <w:vAlign w:val="bottom"/>
            <w:tcBorders>
              <w:bottom w:val="single" w:sz="8" w:color="auto"/>
            </w:tcBorders>
          </w:tcPr>
          <w:p>
            <w:pPr>
              <w:spacing w:after="0"/>
              <w:rPr>
                <w:sz w:val="8"/>
                <w:szCs w:val="8"/>
                <w:color w:val="auto"/>
              </w:rPr>
            </w:pPr>
          </w:p>
        </w:tc>
        <w:tc>
          <w:tcPr>
            <w:tcW w:w="1280" w:type="dxa"/>
            <w:vAlign w:val="bottom"/>
            <w:tcBorders>
              <w:bottom w:val="single" w:sz="8" w:color="auto"/>
            </w:tcBorders>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1700" w:type="dxa"/>
            <w:vAlign w:val="bottom"/>
            <w:tcBorders>
              <w:bottom w:val="single" w:sz="8" w:color="auto"/>
            </w:tcBorders>
          </w:tcPr>
          <w:p>
            <w:pPr>
              <w:spacing w:after="0"/>
              <w:rPr>
                <w:sz w:val="8"/>
                <w:szCs w:val="8"/>
                <w:color w:val="auto"/>
              </w:rPr>
            </w:pPr>
          </w:p>
        </w:tc>
      </w:tr>
      <w:tr>
        <w:trPr>
          <w:trHeight w:val="200"/>
        </w:trPr>
        <w:tc>
          <w:tcPr>
            <w:tcW w:w="3520" w:type="dxa"/>
            <w:vAlign w:val="bottom"/>
          </w:tcPr>
          <w:p>
            <w:pPr>
              <w:ind w:left="20"/>
              <w:spacing w:after="0"/>
              <w:rPr>
                <w:sz w:val="20"/>
                <w:szCs w:val="20"/>
                <w:color w:val="auto"/>
              </w:rPr>
            </w:pPr>
            <w:r>
              <w:rPr>
                <w:rFonts w:ascii="Arial" w:cs="Arial" w:eastAsia="Arial" w:hAnsi="Arial"/>
                <w:sz w:val="15"/>
                <w:szCs w:val="15"/>
                <w:color w:val="auto"/>
              </w:rPr>
              <w:t>Shareholder Proposal to Provide for a Report on</w:t>
            </w:r>
          </w:p>
        </w:tc>
        <w:tc>
          <w:tcPr>
            <w:tcW w:w="1720" w:type="dxa"/>
            <w:vAlign w:val="bottom"/>
          </w:tcPr>
          <w:p>
            <w:pPr>
              <w:jc w:val="center"/>
              <w:spacing w:after="0"/>
              <w:rPr>
                <w:sz w:val="20"/>
                <w:szCs w:val="20"/>
                <w:color w:val="auto"/>
              </w:rPr>
            </w:pPr>
            <w:r>
              <w:rPr>
                <w:rFonts w:ascii="Arial" w:cs="Arial" w:eastAsia="Arial" w:hAnsi="Arial"/>
                <w:sz w:val="15"/>
                <w:szCs w:val="15"/>
                <w:b w:val="1"/>
                <w:bCs w:val="1"/>
                <w:color w:val="34657F"/>
              </w:rPr>
              <w:t>AGAINST</w:t>
            </w:r>
          </w:p>
        </w:tc>
        <w:tc>
          <w:tcPr>
            <w:tcW w:w="1900" w:type="dxa"/>
            <w:vAlign w:val="bottom"/>
          </w:tcPr>
          <w:p>
            <w:pPr>
              <w:jc w:val="center"/>
              <w:spacing w:after="0"/>
              <w:rPr>
                <w:sz w:val="20"/>
                <w:szCs w:val="20"/>
                <w:color w:val="auto"/>
              </w:rPr>
            </w:pPr>
            <w:r>
              <w:rPr>
                <w:rFonts w:ascii="Arial" w:cs="Arial" w:eastAsia="Arial" w:hAnsi="Arial"/>
                <w:sz w:val="15"/>
                <w:szCs w:val="15"/>
                <w:color w:val="auto"/>
              </w:rPr>
              <w:t>Majority of votes cast</w:t>
            </w:r>
          </w:p>
        </w:tc>
        <w:tc>
          <w:tcPr>
            <w:tcW w:w="1280" w:type="dxa"/>
            <w:vAlign w:val="bottom"/>
          </w:tcPr>
          <w:p>
            <w:pPr>
              <w:jc w:val="center"/>
              <w:spacing w:after="0"/>
              <w:rPr>
                <w:sz w:val="20"/>
                <w:szCs w:val="20"/>
                <w:color w:val="auto"/>
              </w:rPr>
            </w:pPr>
            <w:r>
              <w:rPr>
                <w:rFonts w:ascii="Arial" w:cs="Arial" w:eastAsia="Arial" w:hAnsi="Arial"/>
                <w:sz w:val="15"/>
                <w:szCs w:val="15"/>
                <w:color w:val="auto"/>
                <w:w w:val="99"/>
              </w:rPr>
              <w:t>No effect</w:t>
            </w:r>
          </w:p>
        </w:tc>
        <w:tc>
          <w:tcPr>
            <w:tcW w:w="1300" w:type="dxa"/>
            <w:vAlign w:val="bottom"/>
          </w:tcPr>
          <w:p>
            <w:pPr>
              <w:jc w:val="center"/>
              <w:spacing w:after="0"/>
              <w:rPr>
                <w:sz w:val="20"/>
                <w:szCs w:val="20"/>
                <w:color w:val="auto"/>
              </w:rPr>
            </w:pPr>
            <w:r>
              <w:rPr>
                <w:rFonts w:ascii="Arial" w:cs="Arial" w:eastAsia="Arial" w:hAnsi="Arial"/>
                <w:sz w:val="15"/>
                <w:szCs w:val="15"/>
                <w:color w:val="auto"/>
              </w:rPr>
              <w:t>No effect</w:t>
            </w:r>
          </w:p>
        </w:tc>
        <w:tc>
          <w:tcPr>
            <w:tcW w:w="1700" w:type="dxa"/>
            <w:vAlign w:val="bottom"/>
          </w:tcPr>
          <w:p>
            <w:pPr>
              <w:jc w:val="center"/>
              <w:spacing w:after="0"/>
              <w:rPr>
                <w:sz w:val="20"/>
                <w:szCs w:val="20"/>
                <w:color w:val="auto"/>
              </w:rPr>
            </w:pPr>
            <w:r>
              <w:rPr>
                <w:rFonts w:ascii="Arial" w:cs="Arial" w:eastAsia="Arial" w:hAnsi="Arial"/>
                <w:sz w:val="15"/>
                <w:szCs w:val="15"/>
                <w:color w:val="auto"/>
              </w:rPr>
              <w:t>Voted "AGAINST"</w:t>
            </w:r>
          </w:p>
        </w:tc>
      </w:tr>
      <w:tr>
        <w:trPr>
          <w:trHeight w:val="179"/>
        </w:trPr>
        <w:tc>
          <w:tcPr>
            <w:tcW w:w="3520" w:type="dxa"/>
            <w:vAlign w:val="bottom"/>
          </w:tcPr>
          <w:p>
            <w:pPr>
              <w:ind w:left="20"/>
              <w:spacing w:after="0"/>
              <w:rPr>
                <w:sz w:val="20"/>
                <w:szCs w:val="20"/>
                <w:color w:val="auto"/>
              </w:rPr>
            </w:pPr>
            <w:r>
              <w:rPr>
                <w:rFonts w:ascii="Arial" w:cs="Arial" w:eastAsia="Arial" w:hAnsi="Arial"/>
                <w:sz w:val="15"/>
                <w:szCs w:val="15"/>
                <w:color w:val="auto"/>
              </w:rPr>
              <w:t>Management Systems and Processes for</w:t>
            </w:r>
          </w:p>
        </w:tc>
        <w:tc>
          <w:tcPr>
            <w:tcW w:w="172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179"/>
        </w:trPr>
        <w:tc>
          <w:tcPr>
            <w:tcW w:w="3520" w:type="dxa"/>
            <w:vAlign w:val="bottom"/>
          </w:tcPr>
          <w:p>
            <w:pPr>
              <w:ind w:left="20"/>
              <w:spacing w:after="0"/>
              <w:rPr>
                <w:sz w:val="20"/>
                <w:szCs w:val="20"/>
                <w:color w:val="auto"/>
              </w:rPr>
            </w:pPr>
            <w:r>
              <w:rPr>
                <w:rFonts w:ascii="Arial" w:cs="Arial" w:eastAsia="Arial" w:hAnsi="Arial"/>
                <w:sz w:val="15"/>
                <w:szCs w:val="15"/>
                <w:color w:val="auto"/>
              </w:rPr>
              <w:t>Implementing the Company's Human Rights</w:t>
            </w:r>
          </w:p>
        </w:tc>
        <w:tc>
          <w:tcPr>
            <w:tcW w:w="172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185"/>
        </w:trPr>
        <w:tc>
          <w:tcPr>
            <w:tcW w:w="3520" w:type="dxa"/>
            <w:vAlign w:val="bottom"/>
          </w:tcPr>
          <w:p>
            <w:pPr>
              <w:ind w:left="20"/>
              <w:spacing w:after="0"/>
              <w:rPr>
                <w:sz w:val="20"/>
                <w:szCs w:val="20"/>
                <w:color w:val="auto"/>
              </w:rPr>
            </w:pPr>
            <w:r>
              <w:rPr>
                <w:rFonts w:ascii="Arial" w:cs="Arial" w:eastAsia="Arial" w:hAnsi="Arial"/>
                <w:sz w:val="15"/>
                <w:szCs w:val="15"/>
                <w:color w:val="auto"/>
              </w:rPr>
              <w:t>Policy</w:t>
            </w:r>
          </w:p>
        </w:tc>
        <w:tc>
          <w:tcPr>
            <w:tcW w:w="172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700" w:type="dxa"/>
            <w:vAlign w:val="bottom"/>
          </w:tcPr>
          <w:p>
            <w:pPr>
              <w:spacing w:after="0"/>
              <w:rPr>
                <w:sz w:val="16"/>
                <w:szCs w:val="16"/>
                <w:color w:val="auto"/>
              </w:rPr>
            </w:pPr>
          </w:p>
        </w:tc>
      </w:tr>
      <w:tr>
        <w:trPr>
          <w:trHeight w:val="256"/>
        </w:trPr>
        <w:tc>
          <w:tcPr>
            <w:tcW w:w="3520" w:type="dxa"/>
            <w:vAlign w:val="bottom"/>
          </w:tcPr>
          <w:p>
            <w:pPr>
              <w:ind w:left="20"/>
              <w:spacing w:after="0"/>
              <w:rPr>
                <w:sz w:val="20"/>
                <w:szCs w:val="20"/>
                <w:color w:val="auto"/>
              </w:rPr>
            </w:pPr>
            <w:r>
              <w:rPr>
                <w:rFonts w:ascii="Arial" w:cs="Arial" w:eastAsia="Arial" w:hAnsi="Arial"/>
                <w:sz w:val="15"/>
                <w:szCs w:val="15"/>
                <w:b w:val="1"/>
                <w:bCs w:val="1"/>
                <w:i w:val="1"/>
                <w:iCs w:val="1"/>
                <w:color w:val="34657F"/>
              </w:rPr>
              <w:t>(Proposal Four)</w:t>
            </w:r>
          </w:p>
        </w:tc>
        <w:tc>
          <w:tcPr>
            <w:tcW w:w="172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700" w:type="dxa"/>
            <w:vAlign w:val="bottom"/>
          </w:tcPr>
          <w:p>
            <w:pPr>
              <w:spacing w:after="0"/>
              <w:rPr>
                <w:sz w:val="22"/>
                <w:szCs w:val="22"/>
                <w:color w:val="auto"/>
              </w:rPr>
            </w:pPr>
          </w:p>
        </w:tc>
      </w:tr>
      <w:tr>
        <w:trPr>
          <w:trHeight w:val="95"/>
        </w:trPr>
        <w:tc>
          <w:tcPr>
            <w:tcW w:w="3520" w:type="dxa"/>
            <w:vAlign w:val="bottom"/>
            <w:tcBorders>
              <w:bottom w:val="single" w:sz="8" w:color="auto"/>
            </w:tcBorders>
          </w:tcPr>
          <w:p>
            <w:pPr>
              <w:spacing w:after="0"/>
              <w:rPr>
                <w:sz w:val="8"/>
                <w:szCs w:val="8"/>
                <w:color w:val="auto"/>
              </w:rPr>
            </w:pPr>
          </w:p>
        </w:tc>
        <w:tc>
          <w:tcPr>
            <w:tcW w:w="1720" w:type="dxa"/>
            <w:vAlign w:val="bottom"/>
            <w:tcBorders>
              <w:bottom w:val="single" w:sz="8" w:color="auto"/>
            </w:tcBorders>
          </w:tcPr>
          <w:p>
            <w:pPr>
              <w:spacing w:after="0"/>
              <w:rPr>
                <w:sz w:val="8"/>
                <w:szCs w:val="8"/>
                <w:color w:val="auto"/>
              </w:rPr>
            </w:pPr>
          </w:p>
        </w:tc>
        <w:tc>
          <w:tcPr>
            <w:tcW w:w="1900" w:type="dxa"/>
            <w:vAlign w:val="bottom"/>
            <w:tcBorders>
              <w:bottom w:val="single" w:sz="8" w:color="auto"/>
            </w:tcBorders>
          </w:tcPr>
          <w:p>
            <w:pPr>
              <w:spacing w:after="0"/>
              <w:rPr>
                <w:sz w:val="8"/>
                <w:szCs w:val="8"/>
                <w:color w:val="auto"/>
              </w:rPr>
            </w:pPr>
          </w:p>
        </w:tc>
        <w:tc>
          <w:tcPr>
            <w:tcW w:w="1280" w:type="dxa"/>
            <w:vAlign w:val="bottom"/>
            <w:tcBorders>
              <w:bottom w:val="single" w:sz="8" w:color="auto"/>
            </w:tcBorders>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1700" w:type="dxa"/>
            <w:vAlign w:val="bottom"/>
            <w:tcBorders>
              <w:bottom w:val="single" w:sz="8" w:color="auto"/>
            </w:tcBorders>
          </w:tcPr>
          <w:p>
            <w:pPr>
              <w:spacing w:after="0"/>
              <w:rPr>
                <w:sz w:val="8"/>
                <w:szCs w:val="8"/>
                <w:color w:val="auto"/>
              </w:rPr>
            </w:pPr>
          </w:p>
        </w:tc>
      </w:tr>
      <w:tr>
        <w:trPr>
          <w:trHeight w:val="200"/>
        </w:trPr>
        <w:tc>
          <w:tcPr>
            <w:tcW w:w="3520" w:type="dxa"/>
            <w:vAlign w:val="bottom"/>
          </w:tcPr>
          <w:p>
            <w:pPr>
              <w:ind w:left="20"/>
              <w:spacing w:after="0"/>
              <w:rPr>
                <w:sz w:val="20"/>
                <w:szCs w:val="20"/>
                <w:color w:val="auto"/>
              </w:rPr>
            </w:pPr>
            <w:r>
              <w:rPr>
                <w:rFonts w:ascii="Arial" w:cs="Arial" w:eastAsia="Arial" w:hAnsi="Arial"/>
                <w:sz w:val="15"/>
                <w:szCs w:val="15"/>
                <w:color w:val="auto"/>
              </w:rPr>
              <w:t>Shareholder Proposal to Provide for an</w:t>
            </w:r>
          </w:p>
        </w:tc>
        <w:tc>
          <w:tcPr>
            <w:tcW w:w="1720" w:type="dxa"/>
            <w:vAlign w:val="bottom"/>
          </w:tcPr>
          <w:p>
            <w:pPr>
              <w:jc w:val="center"/>
              <w:spacing w:after="0"/>
              <w:rPr>
                <w:sz w:val="20"/>
                <w:szCs w:val="20"/>
                <w:color w:val="auto"/>
              </w:rPr>
            </w:pPr>
            <w:r>
              <w:rPr>
                <w:rFonts w:ascii="Arial" w:cs="Arial" w:eastAsia="Arial" w:hAnsi="Arial"/>
                <w:sz w:val="15"/>
                <w:szCs w:val="15"/>
                <w:b w:val="1"/>
                <w:bCs w:val="1"/>
                <w:color w:val="34657F"/>
              </w:rPr>
              <w:t>AGAINST</w:t>
            </w:r>
          </w:p>
        </w:tc>
        <w:tc>
          <w:tcPr>
            <w:tcW w:w="1900" w:type="dxa"/>
            <w:vAlign w:val="bottom"/>
          </w:tcPr>
          <w:p>
            <w:pPr>
              <w:jc w:val="center"/>
              <w:spacing w:after="0"/>
              <w:rPr>
                <w:sz w:val="20"/>
                <w:szCs w:val="20"/>
                <w:color w:val="auto"/>
              </w:rPr>
            </w:pPr>
            <w:r>
              <w:rPr>
                <w:rFonts w:ascii="Arial" w:cs="Arial" w:eastAsia="Arial" w:hAnsi="Arial"/>
                <w:sz w:val="15"/>
                <w:szCs w:val="15"/>
                <w:color w:val="auto"/>
              </w:rPr>
              <w:t>Majority of votes cast</w:t>
            </w:r>
          </w:p>
        </w:tc>
        <w:tc>
          <w:tcPr>
            <w:tcW w:w="1280" w:type="dxa"/>
            <w:vAlign w:val="bottom"/>
          </w:tcPr>
          <w:p>
            <w:pPr>
              <w:jc w:val="center"/>
              <w:spacing w:after="0"/>
              <w:rPr>
                <w:sz w:val="20"/>
                <w:szCs w:val="20"/>
                <w:color w:val="auto"/>
              </w:rPr>
            </w:pPr>
            <w:r>
              <w:rPr>
                <w:rFonts w:ascii="Arial" w:cs="Arial" w:eastAsia="Arial" w:hAnsi="Arial"/>
                <w:sz w:val="15"/>
                <w:szCs w:val="15"/>
                <w:color w:val="auto"/>
                <w:w w:val="99"/>
              </w:rPr>
              <w:t>No effect</w:t>
            </w:r>
          </w:p>
        </w:tc>
        <w:tc>
          <w:tcPr>
            <w:tcW w:w="1300" w:type="dxa"/>
            <w:vAlign w:val="bottom"/>
          </w:tcPr>
          <w:p>
            <w:pPr>
              <w:jc w:val="center"/>
              <w:spacing w:after="0"/>
              <w:rPr>
                <w:sz w:val="20"/>
                <w:szCs w:val="20"/>
                <w:color w:val="auto"/>
              </w:rPr>
            </w:pPr>
            <w:r>
              <w:rPr>
                <w:rFonts w:ascii="Arial" w:cs="Arial" w:eastAsia="Arial" w:hAnsi="Arial"/>
                <w:sz w:val="15"/>
                <w:szCs w:val="15"/>
                <w:color w:val="auto"/>
              </w:rPr>
              <w:t>No effect</w:t>
            </w:r>
          </w:p>
        </w:tc>
        <w:tc>
          <w:tcPr>
            <w:tcW w:w="1700" w:type="dxa"/>
            <w:vAlign w:val="bottom"/>
          </w:tcPr>
          <w:p>
            <w:pPr>
              <w:jc w:val="center"/>
              <w:spacing w:after="0"/>
              <w:rPr>
                <w:sz w:val="20"/>
                <w:szCs w:val="20"/>
                <w:color w:val="auto"/>
              </w:rPr>
            </w:pPr>
            <w:r>
              <w:rPr>
                <w:rFonts w:ascii="Arial" w:cs="Arial" w:eastAsia="Arial" w:hAnsi="Arial"/>
                <w:sz w:val="15"/>
                <w:szCs w:val="15"/>
                <w:color w:val="auto"/>
              </w:rPr>
              <w:t>Voted "AGAINST"</w:t>
            </w:r>
          </w:p>
        </w:tc>
      </w:tr>
      <w:tr>
        <w:trPr>
          <w:trHeight w:val="185"/>
        </w:trPr>
        <w:tc>
          <w:tcPr>
            <w:tcW w:w="3520" w:type="dxa"/>
            <w:vAlign w:val="bottom"/>
          </w:tcPr>
          <w:p>
            <w:pPr>
              <w:ind w:left="20"/>
              <w:spacing w:after="0"/>
              <w:rPr>
                <w:sz w:val="20"/>
                <w:szCs w:val="20"/>
                <w:color w:val="auto"/>
              </w:rPr>
            </w:pPr>
            <w:r>
              <w:rPr>
                <w:rFonts w:ascii="Arial" w:cs="Arial" w:eastAsia="Arial" w:hAnsi="Arial"/>
                <w:sz w:val="15"/>
                <w:szCs w:val="15"/>
                <w:color w:val="auto"/>
              </w:rPr>
              <w:t>Independent Chair</w:t>
            </w:r>
          </w:p>
        </w:tc>
        <w:tc>
          <w:tcPr>
            <w:tcW w:w="172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700" w:type="dxa"/>
            <w:vAlign w:val="bottom"/>
          </w:tcPr>
          <w:p>
            <w:pPr>
              <w:spacing w:after="0"/>
              <w:rPr>
                <w:sz w:val="16"/>
                <w:szCs w:val="16"/>
                <w:color w:val="auto"/>
              </w:rPr>
            </w:pPr>
          </w:p>
        </w:tc>
      </w:tr>
      <w:tr>
        <w:trPr>
          <w:trHeight w:val="256"/>
        </w:trPr>
        <w:tc>
          <w:tcPr>
            <w:tcW w:w="3520" w:type="dxa"/>
            <w:vAlign w:val="bottom"/>
          </w:tcPr>
          <w:p>
            <w:pPr>
              <w:ind w:left="20"/>
              <w:spacing w:after="0"/>
              <w:rPr>
                <w:sz w:val="20"/>
                <w:szCs w:val="20"/>
                <w:color w:val="auto"/>
              </w:rPr>
            </w:pPr>
            <w:r>
              <w:rPr>
                <w:rFonts w:ascii="Arial" w:cs="Arial" w:eastAsia="Arial" w:hAnsi="Arial"/>
                <w:sz w:val="15"/>
                <w:szCs w:val="15"/>
                <w:b w:val="1"/>
                <w:bCs w:val="1"/>
                <w:i w:val="1"/>
                <w:iCs w:val="1"/>
                <w:color w:val="34657F"/>
              </w:rPr>
              <w:t>(Proposal Five)</w:t>
            </w:r>
          </w:p>
        </w:tc>
        <w:tc>
          <w:tcPr>
            <w:tcW w:w="172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700" w:type="dxa"/>
            <w:vAlign w:val="bottom"/>
          </w:tcPr>
          <w:p>
            <w:pPr>
              <w:spacing w:after="0"/>
              <w:rPr>
                <w:sz w:val="22"/>
                <w:szCs w:val="22"/>
                <w:color w:val="auto"/>
              </w:rPr>
            </w:pPr>
          </w:p>
        </w:tc>
      </w:tr>
      <w:tr>
        <w:trPr>
          <w:trHeight w:val="95"/>
        </w:trPr>
        <w:tc>
          <w:tcPr>
            <w:tcW w:w="3520" w:type="dxa"/>
            <w:vAlign w:val="bottom"/>
            <w:tcBorders>
              <w:bottom w:val="single" w:sz="8" w:color="auto"/>
            </w:tcBorders>
          </w:tcPr>
          <w:p>
            <w:pPr>
              <w:spacing w:after="0"/>
              <w:rPr>
                <w:sz w:val="8"/>
                <w:szCs w:val="8"/>
                <w:color w:val="auto"/>
              </w:rPr>
            </w:pPr>
          </w:p>
        </w:tc>
        <w:tc>
          <w:tcPr>
            <w:tcW w:w="1720" w:type="dxa"/>
            <w:vAlign w:val="bottom"/>
            <w:tcBorders>
              <w:bottom w:val="single" w:sz="8" w:color="auto"/>
            </w:tcBorders>
          </w:tcPr>
          <w:p>
            <w:pPr>
              <w:spacing w:after="0"/>
              <w:rPr>
                <w:sz w:val="8"/>
                <w:szCs w:val="8"/>
                <w:color w:val="auto"/>
              </w:rPr>
            </w:pPr>
          </w:p>
        </w:tc>
        <w:tc>
          <w:tcPr>
            <w:tcW w:w="1900" w:type="dxa"/>
            <w:vAlign w:val="bottom"/>
            <w:tcBorders>
              <w:bottom w:val="single" w:sz="8" w:color="auto"/>
            </w:tcBorders>
          </w:tcPr>
          <w:p>
            <w:pPr>
              <w:spacing w:after="0"/>
              <w:rPr>
                <w:sz w:val="8"/>
                <w:szCs w:val="8"/>
                <w:color w:val="auto"/>
              </w:rPr>
            </w:pPr>
          </w:p>
        </w:tc>
        <w:tc>
          <w:tcPr>
            <w:tcW w:w="1280" w:type="dxa"/>
            <w:vAlign w:val="bottom"/>
            <w:tcBorders>
              <w:bottom w:val="single" w:sz="8" w:color="auto"/>
            </w:tcBorders>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1700" w:type="dxa"/>
            <w:vAlign w:val="bottom"/>
            <w:tcBorders>
              <w:bottom w:val="single" w:sz="8" w:color="auto"/>
            </w:tcBorders>
          </w:tcPr>
          <w:p>
            <w:pPr>
              <w:spacing w:after="0"/>
              <w:rPr>
                <w:sz w:val="8"/>
                <w:szCs w:val="8"/>
                <w:color w:val="auto"/>
              </w:rPr>
            </w:pPr>
          </w:p>
        </w:tc>
      </w:tr>
    </w:tbl>
    <w:p>
      <w:pPr>
        <w:spacing w:after="0" w:line="307"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78 </w:t>
      </w:r>
      <w:r>
        <w:rPr>
          <w:rFonts w:ascii="Arial" w:cs="Arial" w:eastAsia="Arial" w:hAnsi="Arial"/>
          <w:sz w:val="13"/>
          <w:szCs w:val="13"/>
          <w:color w:val="auto"/>
        </w:rPr>
        <w:t>I</w:t>
      </w:r>
      <w:r>
        <w:rPr>
          <w:rFonts w:ascii="Arial" w:cs="Arial" w:eastAsia="Arial" w:hAnsi="Arial"/>
          <w:sz w:val="17"/>
          <w:szCs w:val="17"/>
          <w:color w:val="auto"/>
        </w:rPr>
        <w:t xml:space="preserve"> </w:t>
      </w:r>
      <w:r>
        <w:rPr>
          <w:rFonts w:ascii="Arial" w:cs="Arial" w:eastAsia="Arial" w:hAnsi="Arial"/>
          <w:sz w:val="13"/>
          <w:szCs w:val="13"/>
          <w:color w:val="34657F"/>
        </w:rPr>
        <w:t>NOTICE OF 2019 ANNUAL MEETING OF SHAREHOLDERS AND PROXY STATEMENT</w:t>
      </w:r>
    </w:p>
    <w:p>
      <w:pPr>
        <w:sectPr>
          <w:pgSz w:w="11900" w:h="16838" w:orient="portrait"/>
          <w:cols w:equalWidth="0" w:num="1">
            <w:col w:w="11420"/>
          </w:cols>
          <w:pgMar w:left="240" w:top="671" w:right="239" w:bottom="1440" w:gutter="0" w:footer="0" w:header="0"/>
        </w:sectPr>
      </w:pPr>
    </w:p>
    <w:bookmarkStart w:id="84" w:name="page85"/>
    <w:bookmarkEnd w:id="84"/>
    <w:p>
      <w:pPr>
        <w:ind w:left="20"/>
        <w:spacing w:after="0"/>
        <w:rPr>
          <w:sz w:val="20"/>
          <w:szCs w:val="20"/>
          <w:color w:val="auto"/>
        </w:rPr>
      </w:pPr>
      <w:r>
        <w:rPr>
          <w:rFonts w:ascii="Arial" w:cs="Arial" w:eastAsia="Arial" w:hAnsi="Arial"/>
          <w:sz w:val="21"/>
          <w:szCs w:val="21"/>
          <w:b w:val="1"/>
          <w:bCs w:val="1"/>
          <w:color w:val="FFFFFF"/>
        </w:rPr>
        <w:drawing>
          <wp:anchor simplePos="0" relativeHeight="251657728" behindDoc="1" locked="0" layoutInCell="0" allowOverlap="1">
            <wp:simplePos x="0" y="0"/>
            <wp:positionH relativeFrom="page">
              <wp:posOffset>154305</wp:posOffset>
            </wp:positionH>
            <wp:positionV relativeFrom="page">
              <wp:posOffset>365760</wp:posOffset>
            </wp:positionV>
            <wp:extent cx="7253605" cy="58610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53605" cy="586105"/>
                    </a:xfrm>
                    <a:prstGeom prst="rect">
                      <a:avLst/>
                    </a:prstGeom>
                    <a:noFill/>
                  </pic:spPr>
                </pic:pic>
              </a:graphicData>
            </a:graphic>
          </wp:anchor>
        </w:drawing>
        <w:t>QUESTIONS AND ANSWERS ABOUT THE ANNUAL MEETING</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What is a broker non-vote?</w:t>
      </w:r>
    </w:p>
    <w:p>
      <w:pPr>
        <w:spacing w:after="0" w:line="103" w:lineRule="exact"/>
        <w:rPr>
          <w:sz w:val="20"/>
          <w:szCs w:val="20"/>
          <w:color w:val="auto"/>
        </w:rPr>
      </w:pPr>
    </w:p>
    <w:p>
      <w:pPr>
        <w:spacing w:after="0" w:line="254" w:lineRule="auto"/>
        <w:rPr>
          <w:sz w:val="20"/>
          <w:szCs w:val="20"/>
          <w:color w:val="auto"/>
        </w:rPr>
      </w:pPr>
      <w:r>
        <w:rPr>
          <w:rFonts w:ascii="Arial" w:cs="Arial" w:eastAsia="Arial" w:hAnsi="Arial"/>
          <w:sz w:val="17"/>
          <w:szCs w:val="17"/>
          <w:color w:val="auto"/>
        </w:rPr>
        <w:t>Brokers who hold shares of common stock for the accounts of their clients may vote these shares either as directed by their clients or in their own discretion if permitted by the stock exchanges or other organizations of which they are members. Members of the New York Stock Exchange (NYSE) are permitted to vote their clients' proxies in their own discretion on certain matters if the clients have not furnished voting instructions within ten days of the meeting. However, NYSE Rule 452 defines various matters as "non-routine," and brokers who have not received instructions from their clients do not have discretion to vote their client's shares on such "non-routine" matters, resulting in a "broker non-vote."</w:t>
      </w:r>
    </w:p>
    <w:p>
      <w:pPr>
        <w:spacing w:after="0" w:line="68" w:lineRule="exact"/>
        <w:rPr>
          <w:sz w:val="20"/>
          <w:szCs w:val="20"/>
          <w:color w:val="auto"/>
        </w:rPr>
      </w:pPr>
    </w:p>
    <w:p>
      <w:pPr>
        <w:ind w:right="40"/>
        <w:spacing w:after="0" w:line="254" w:lineRule="auto"/>
        <w:rPr>
          <w:sz w:val="20"/>
          <w:szCs w:val="20"/>
          <w:color w:val="auto"/>
        </w:rPr>
      </w:pPr>
      <w:r>
        <w:rPr>
          <w:rFonts w:ascii="Arial" w:cs="Arial" w:eastAsia="Arial" w:hAnsi="Arial"/>
          <w:sz w:val="17"/>
          <w:szCs w:val="17"/>
          <w:color w:val="auto"/>
        </w:rPr>
        <w:t>If you are a beneficial owner whose shares are held of record by a broker, your broker has discretionary voting authority under NYSE rules to vote your shares, without instructions from you, on the ratification of the appointment of Deloitte &amp; Touche LLP as independent auditor. However, your broker does not have discretionary authority to vote your shares, without instructions from you, on the election of directors, the advisory vote to approve the compensation of our NEOs or the shareholder proposals, in which case a broker non-vote will occur and your shares will not be voted on these matters.</w:t>
      </w:r>
    </w:p>
    <w:p>
      <w:pPr>
        <w:spacing w:after="0" w:line="4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How do I vote my shares?</w:t>
      </w:r>
    </w:p>
    <w:p>
      <w:pPr>
        <w:spacing w:after="0" w:line="103" w:lineRule="exact"/>
        <w:rPr>
          <w:sz w:val="20"/>
          <w:szCs w:val="20"/>
          <w:color w:val="auto"/>
        </w:rPr>
      </w:pPr>
    </w:p>
    <w:p>
      <w:pPr>
        <w:jc w:val="both"/>
        <w:ind w:right="60"/>
        <w:spacing w:after="0" w:line="255" w:lineRule="auto"/>
        <w:rPr>
          <w:sz w:val="20"/>
          <w:szCs w:val="20"/>
          <w:color w:val="auto"/>
        </w:rPr>
      </w:pPr>
      <w:r>
        <w:rPr>
          <w:rFonts w:ascii="Arial" w:cs="Arial" w:eastAsia="Arial" w:hAnsi="Arial"/>
          <w:sz w:val="17"/>
          <w:szCs w:val="17"/>
          <w:color w:val="auto"/>
        </w:rPr>
        <w:t xml:space="preserve">If you hold shares as a record holder, you may vote by proxy prior to the Annual Meeting, as discussed below, or you may vote in person at the Annual Meeting. Shares represented by a properly executed proxy will be voted at the Annual Meeting in accordance with the shareholder's instructions. If no instructions are given, the shares will be voted according to the recommendations of the Board. Registered shareholders and plan participants may go to </w:t>
      </w:r>
      <w:r>
        <w:rPr>
          <w:rFonts w:ascii="Arial" w:cs="Arial" w:eastAsia="Arial" w:hAnsi="Arial"/>
          <w:sz w:val="17"/>
          <w:szCs w:val="17"/>
          <w:i w:val="1"/>
          <w:iCs w:val="1"/>
          <w:color w:val="auto"/>
        </w:rPr>
        <w:t>www.envisionreports.com/noc</w:t>
      </w:r>
      <w:r>
        <w:rPr>
          <w:rFonts w:ascii="Arial" w:cs="Arial" w:eastAsia="Arial" w:hAnsi="Arial"/>
          <w:sz w:val="17"/>
          <w:szCs w:val="17"/>
          <w:color w:val="auto"/>
        </w:rPr>
        <w:t xml:space="preserve"> to view this Proxy Statement and the Annual Report.</w:t>
      </w:r>
    </w:p>
    <w:p>
      <w:pPr>
        <w:spacing w:after="0" w:line="197" w:lineRule="exact"/>
        <w:rPr>
          <w:sz w:val="20"/>
          <w:szCs w:val="20"/>
          <w:color w:val="auto"/>
        </w:rPr>
      </w:pPr>
    </w:p>
    <w:p>
      <w:pPr>
        <w:ind w:left="1960"/>
        <w:spacing w:after="0"/>
        <w:tabs>
          <w:tab w:leader="none" w:pos="3440" w:val="left"/>
        </w:tabs>
        <w:rPr>
          <w:sz w:val="20"/>
          <w:szCs w:val="20"/>
          <w:color w:val="auto"/>
        </w:rPr>
      </w:pPr>
      <w:r>
        <w:rPr>
          <w:rFonts w:ascii="Arial" w:cs="Arial" w:eastAsia="Arial" w:hAnsi="Arial"/>
          <w:sz w:val="17"/>
          <w:szCs w:val="17"/>
          <w:b w:val="1"/>
          <w:bCs w:val="1"/>
          <w:i w:val="1"/>
          <w:iCs w:val="1"/>
          <w:color w:val="auto"/>
        </w:rPr>
        <w:t>By Internet</w:t>
      </w:r>
      <w:r>
        <w:rPr>
          <w:sz w:val="20"/>
          <w:szCs w:val="20"/>
          <w:color w:val="auto"/>
        </w:rPr>
        <w:tab/>
      </w:r>
      <w:r>
        <w:rPr>
          <w:rFonts w:ascii="Arial" w:cs="Arial" w:eastAsia="Arial" w:hAnsi="Arial"/>
          <w:sz w:val="17"/>
          <w:szCs w:val="17"/>
          <w:color w:val="auto"/>
        </w:rPr>
        <w:t>Registered shareholders and plan participants may vote on the internet, as well as view the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-110490</wp:posOffset>
            </wp:positionV>
            <wp:extent cx="390525" cy="4070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390525" cy="407035"/>
                    </a:xfrm>
                    <a:prstGeom prst="rect">
                      <a:avLst/>
                    </a:prstGeom>
                    <a:noFill/>
                  </pic:spPr>
                </pic:pic>
              </a:graphicData>
            </a:graphic>
          </wp:anchor>
        </w:drawing>
      </w:r>
    </w:p>
    <w:p>
      <w:pPr>
        <w:ind w:left="3460"/>
        <w:spacing w:after="0"/>
        <w:rPr>
          <w:sz w:val="20"/>
          <w:szCs w:val="20"/>
          <w:color w:val="auto"/>
        </w:rPr>
      </w:pPr>
      <w:r>
        <w:rPr>
          <w:rFonts w:ascii="Arial" w:cs="Arial" w:eastAsia="Arial" w:hAnsi="Arial"/>
          <w:sz w:val="17"/>
          <w:szCs w:val="17"/>
          <w:color w:val="auto"/>
        </w:rPr>
        <w:t xml:space="preserve">by logging on to </w:t>
      </w:r>
      <w:r>
        <w:rPr>
          <w:rFonts w:ascii="Arial" w:cs="Arial" w:eastAsia="Arial" w:hAnsi="Arial"/>
          <w:sz w:val="17"/>
          <w:szCs w:val="17"/>
          <w:i w:val="1"/>
          <w:iCs w:val="1"/>
          <w:color w:val="auto"/>
        </w:rPr>
        <w:t>www.envisionreports.com/noc</w:t>
      </w:r>
      <w:r>
        <w:rPr>
          <w:rFonts w:ascii="Arial" w:cs="Arial" w:eastAsia="Arial" w:hAnsi="Arial"/>
          <w:sz w:val="17"/>
          <w:szCs w:val="17"/>
          <w:color w:val="auto"/>
        </w:rPr>
        <w:t xml:space="preserve"> and following the instructions given.</w:t>
      </w:r>
    </w:p>
    <w:p>
      <w:pPr>
        <w:sectPr>
          <w:pgSz w:w="11900" w:h="16838" w:orient="portrait"/>
          <w:cols w:equalWidth="0" w:num="1">
            <w:col w:w="11420"/>
          </w:cols>
          <w:pgMar w:left="240" w:top="671" w:right="2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ind w:left="1960"/>
        <w:spacing w:after="0"/>
        <w:rPr>
          <w:sz w:val="20"/>
          <w:szCs w:val="20"/>
          <w:color w:val="auto"/>
        </w:rPr>
      </w:pPr>
      <w:r>
        <w:rPr>
          <w:rFonts w:ascii="Arial" w:cs="Arial" w:eastAsia="Arial" w:hAnsi="Arial"/>
          <w:sz w:val="17"/>
          <w:szCs w:val="17"/>
          <w:b w:val="1"/>
          <w:bCs w:val="1"/>
          <w:i w:val="1"/>
          <w:iCs w:val="1"/>
          <w:color w:val="auto"/>
        </w:rPr>
        <w:t>By Telephone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449580</wp:posOffset>
            </wp:positionH>
            <wp:positionV relativeFrom="paragraph">
              <wp:posOffset>-110490</wp:posOffset>
            </wp:positionV>
            <wp:extent cx="341630" cy="4070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341630" cy="4070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4" w:lineRule="exact"/>
        <w:rPr>
          <w:sz w:val="20"/>
          <w:szCs w:val="20"/>
          <w:color w:val="auto"/>
        </w:rPr>
      </w:pPr>
    </w:p>
    <w:p>
      <w:pPr>
        <w:ind w:right="300"/>
        <w:spacing w:after="0" w:line="247" w:lineRule="auto"/>
        <w:rPr>
          <w:sz w:val="20"/>
          <w:szCs w:val="20"/>
          <w:color w:val="auto"/>
        </w:rPr>
      </w:pPr>
      <w:r>
        <w:rPr>
          <w:rFonts w:ascii="Arial" w:cs="Arial" w:eastAsia="Arial" w:hAnsi="Arial"/>
          <w:sz w:val="17"/>
          <w:szCs w:val="17"/>
          <w:color w:val="auto"/>
        </w:rPr>
        <w:t>Registered shareholders and plan participants may grant a proxy by calling 800-652-VOTE (800-652-8683) (toll-free) with a touch-tone telephone and following the recorded instructions.</w:t>
      </w:r>
    </w:p>
    <w:p>
      <w:pPr>
        <w:spacing w:after="0" w:line="200" w:lineRule="exact"/>
        <w:rPr>
          <w:sz w:val="20"/>
          <w:szCs w:val="20"/>
          <w:color w:val="auto"/>
        </w:rPr>
      </w:pPr>
    </w:p>
    <w:p>
      <w:pPr>
        <w:sectPr>
          <w:pgSz w:w="11900" w:h="16838" w:orient="portrait"/>
          <w:cols w:equalWidth="0" w:num="2">
            <w:col w:w="3080" w:space="380"/>
            <w:col w:w="7960"/>
          </w:cols>
          <w:pgMar w:left="240" w:top="671" w:right="239" w:bottom="1440" w:gutter="0" w:footer="0" w:header="0"/>
          <w:type w:val="continuous"/>
        </w:sectPr>
      </w:pPr>
    </w:p>
    <w:p>
      <w:pPr>
        <w:spacing w:after="0" w:line="339" w:lineRule="exact"/>
        <w:rPr>
          <w:sz w:val="20"/>
          <w:szCs w:val="20"/>
          <w:color w:val="auto"/>
        </w:rPr>
      </w:pPr>
    </w:p>
    <w:p>
      <w:pPr>
        <w:ind w:left="1960"/>
        <w:spacing w:after="0"/>
        <w:rPr>
          <w:sz w:val="20"/>
          <w:szCs w:val="20"/>
          <w:color w:val="auto"/>
        </w:rPr>
      </w:pPr>
      <w:r>
        <w:rPr>
          <w:rFonts w:ascii="Arial" w:cs="Arial" w:eastAsia="Arial" w:hAnsi="Arial"/>
          <w:sz w:val="17"/>
          <w:szCs w:val="17"/>
          <w:b w:val="1"/>
          <w:bCs w:val="1"/>
          <w:i w:val="1"/>
          <w:iCs w:val="1"/>
          <w:color w:val="auto"/>
        </w:rPr>
        <w:t>By QR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375920</wp:posOffset>
            </wp:positionH>
            <wp:positionV relativeFrom="paragraph">
              <wp:posOffset>-110490</wp:posOffset>
            </wp:positionV>
            <wp:extent cx="382905" cy="37465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382905" cy="3746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39" w:lineRule="exact"/>
        <w:rPr>
          <w:sz w:val="20"/>
          <w:szCs w:val="20"/>
          <w:color w:val="auto"/>
        </w:rPr>
      </w:pPr>
    </w:p>
    <w:p>
      <w:pPr>
        <w:ind w:right="100"/>
        <w:spacing w:after="0" w:line="247" w:lineRule="auto"/>
        <w:rPr>
          <w:sz w:val="20"/>
          <w:szCs w:val="20"/>
          <w:color w:val="auto"/>
        </w:rPr>
      </w:pPr>
      <w:r>
        <w:rPr>
          <w:rFonts w:ascii="Arial" w:cs="Arial" w:eastAsia="Arial" w:hAnsi="Arial"/>
          <w:sz w:val="17"/>
          <w:szCs w:val="17"/>
          <w:color w:val="auto"/>
        </w:rPr>
        <w:t>Registered shareholders and plan participants may vote by scanning the QR code on their proxy card or notice with their mobile device.</w:t>
      </w:r>
    </w:p>
    <w:p>
      <w:pPr>
        <w:spacing w:after="0" w:line="200" w:lineRule="exact"/>
        <w:rPr>
          <w:sz w:val="20"/>
          <w:szCs w:val="20"/>
          <w:color w:val="auto"/>
        </w:rPr>
      </w:pPr>
    </w:p>
    <w:p>
      <w:pPr>
        <w:sectPr>
          <w:pgSz w:w="11900" w:h="16838" w:orient="portrait"/>
          <w:cols w:equalWidth="0" w:num="2">
            <w:col w:w="2960" w:space="500"/>
            <w:col w:w="7960"/>
          </w:cols>
          <w:pgMar w:left="240" w:top="671" w:right="239" w:bottom="1440" w:gutter="0" w:footer="0" w:header="0"/>
          <w:type w:val="continuous"/>
        </w:sectPr>
      </w:pPr>
    </w:p>
    <w:p>
      <w:pPr>
        <w:spacing w:after="0" w:line="288" w:lineRule="exact"/>
        <w:rPr>
          <w:sz w:val="20"/>
          <w:szCs w:val="20"/>
          <w:color w:val="auto"/>
        </w:rPr>
      </w:pPr>
    </w:p>
    <w:p>
      <w:pPr>
        <w:ind w:left="1960"/>
        <w:spacing w:after="0"/>
        <w:rPr>
          <w:sz w:val="20"/>
          <w:szCs w:val="20"/>
          <w:color w:val="auto"/>
        </w:rPr>
      </w:pPr>
      <w:r>
        <w:rPr>
          <w:rFonts w:ascii="Arial" w:cs="Arial" w:eastAsia="Arial" w:hAnsi="Arial"/>
          <w:sz w:val="17"/>
          <w:szCs w:val="17"/>
          <w:b w:val="1"/>
          <w:bCs w:val="1"/>
          <w:i w:val="1"/>
          <w:iCs w:val="1"/>
          <w:color w:val="auto"/>
        </w:rPr>
        <w:t>By 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441325</wp:posOffset>
            </wp:positionH>
            <wp:positionV relativeFrom="paragraph">
              <wp:posOffset>-110490</wp:posOffset>
            </wp:positionV>
            <wp:extent cx="358140" cy="4070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358140" cy="4070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88" w:lineRule="exact"/>
        <w:rPr>
          <w:sz w:val="20"/>
          <w:szCs w:val="20"/>
          <w:color w:val="auto"/>
        </w:rPr>
      </w:pPr>
    </w:p>
    <w:p>
      <w:pPr>
        <w:ind w:right="60"/>
        <w:spacing w:after="0" w:line="239" w:lineRule="auto"/>
        <w:rPr>
          <w:sz w:val="20"/>
          <w:szCs w:val="20"/>
          <w:color w:val="auto"/>
        </w:rPr>
      </w:pPr>
      <w:r>
        <w:rPr>
          <w:rFonts w:ascii="Arial" w:cs="Arial" w:eastAsia="Arial" w:hAnsi="Arial"/>
          <w:sz w:val="17"/>
          <w:szCs w:val="17"/>
          <w:color w:val="auto"/>
        </w:rPr>
        <w:t xml:space="preserve">Registered shareholders and plan participants must request a paper copy of the proxy materials to receive a proxy card and may vote by marking the voting instructions on the proxy card and following the instructions given for mailing. A paper copy of the proxy materials may be obtained by logging on to </w:t>
      </w:r>
      <w:r>
        <w:rPr>
          <w:rFonts w:ascii="Arial" w:cs="Arial" w:eastAsia="Arial" w:hAnsi="Arial"/>
          <w:sz w:val="17"/>
          <w:szCs w:val="17"/>
          <w:i w:val="1"/>
          <w:iCs w:val="1"/>
          <w:color w:val="auto"/>
        </w:rPr>
        <w:t xml:space="preserve">www.envisionreports.com/noc </w:t>
      </w:r>
      <w:r>
        <w:rPr>
          <w:rFonts w:ascii="Arial" w:cs="Arial" w:eastAsia="Arial" w:hAnsi="Arial"/>
          <w:sz w:val="17"/>
          <w:szCs w:val="17"/>
          <w:color w:val="auto"/>
        </w:rPr>
        <w:t>and following the instructions given.</w:t>
      </w:r>
    </w:p>
    <w:p>
      <w:pPr>
        <w:spacing w:after="0" w:line="144" w:lineRule="exact"/>
        <w:rPr>
          <w:sz w:val="20"/>
          <w:szCs w:val="20"/>
          <w:color w:val="auto"/>
        </w:rPr>
      </w:pPr>
    </w:p>
    <w:p>
      <w:pPr>
        <w:sectPr>
          <w:pgSz w:w="11900" w:h="16838" w:orient="portrait"/>
          <w:cols w:equalWidth="0" w:num="2">
            <w:col w:w="2740" w:space="720"/>
            <w:col w:w="7960"/>
          </w:cols>
          <w:pgMar w:left="240" w:top="671" w:right="239" w:bottom="1440" w:gutter="0" w:footer="0" w:header="0"/>
          <w:type w:val="continuous"/>
        </w:sectPr>
      </w:pPr>
    </w:p>
    <w:p>
      <w:pPr>
        <w:ind w:right="60"/>
        <w:spacing w:after="0" w:line="254" w:lineRule="auto"/>
        <w:rPr>
          <w:sz w:val="20"/>
          <w:szCs w:val="20"/>
          <w:color w:val="auto"/>
        </w:rPr>
      </w:pPr>
      <w:r>
        <w:rPr>
          <w:rFonts w:ascii="Arial" w:cs="Arial" w:eastAsia="Arial" w:hAnsi="Arial"/>
          <w:sz w:val="17"/>
          <w:szCs w:val="17"/>
          <w:color w:val="auto"/>
        </w:rPr>
        <w:t>If any other matters are properly brought before the Annual Meeting, the proxy card gives discretionary authority to the proxyholders named on the card to vote the shares in their best judgment. A shareholder who executes a proxy may revoke it at any time before its exercise by delivering a written notice of revocation to the Corporate Secretary or by delivering a valid, later-dated proxy, or a later-dated vote by telephone or on the internet, in a timely manner. In addition, a shareholder attending the Annual Meeting in person may revoke the proxy by giving notice of revocation to the inspector of election at the meeting or by voting by ballot at the meeting.</w:t>
      </w:r>
    </w:p>
    <w:p>
      <w:pPr>
        <w:spacing w:after="0" w:line="4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How do I vote my shares if they are held by a bank, broker or other agent?</w:t>
      </w:r>
    </w:p>
    <w:p>
      <w:pPr>
        <w:spacing w:after="0" w:line="103" w:lineRule="exact"/>
        <w:rPr>
          <w:sz w:val="20"/>
          <w:szCs w:val="20"/>
          <w:color w:val="auto"/>
        </w:rPr>
      </w:pPr>
    </w:p>
    <w:p>
      <w:pPr>
        <w:ind w:right="140"/>
        <w:spacing w:after="0" w:line="253" w:lineRule="auto"/>
        <w:rPr>
          <w:sz w:val="20"/>
          <w:szCs w:val="20"/>
          <w:color w:val="auto"/>
        </w:rPr>
      </w:pPr>
      <w:r>
        <w:rPr>
          <w:rFonts w:ascii="Arial" w:cs="Arial" w:eastAsia="Arial" w:hAnsi="Arial"/>
          <w:sz w:val="17"/>
          <w:szCs w:val="17"/>
          <w:color w:val="auto"/>
        </w:rPr>
        <w:t xml:space="preserve">Persons who own stock beneficially through a bank, broker or other agent may not vote directly and will need to instruct the record owner to vote their shares using the procedure identified by the bank, broker or other agent. Beneficial owners who hold our common stock in "street name" through a broker receive voting instruction forms from their broker. Most beneficial owners will be able to provide voting instructions by telephone or on the internet by following the instructions on the form they receive from their broker. Beneficial owners may view this Proxy Statement and the Annual Report on the internet by logging on to </w:t>
      </w:r>
      <w:r>
        <w:rPr>
          <w:rFonts w:ascii="Arial" w:cs="Arial" w:eastAsia="Arial" w:hAnsi="Arial"/>
          <w:sz w:val="17"/>
          <w:szCs w:val="17"/>
          <w:i w:val="1"/>
          <w:iCs w:val="1"/>
          <w:color w:val="auto"/>
        </w:rPr>
        <w:t>www.edocumentview.com/noc</w:t>
      </w:r>
      <w:r>
        <w:rPr>
          <w:rFonts w:ascii="Arial" w:cs="Arial" w:eastAsia="Arial" w:hAnsi="Arial"/>
          <w:sz w:val="17"/>
          <w:szCs w:val="17"/>
          <w:color w:val="auto"/>
        </w:rPr>
        <w:t>. A person who beneficially owns shares of our common stock through a bank, broker or other agent can vote his or her shares in person at the Annual Meeting only if he or she obtains from the bank, broker or other nominee a proxy, often referred to as a "legal proxy," to vote those shares, and presents the proxy to the inspector of election at the meeting together with his or her ballot.</w:t>
      </w:r>
    </w:p>
    <w:p>
      <w:pPr>
        <w:spacing w:after="0" w:line="306" w:lineRule="exact"/>
        <w:rPr>
          <w:sz w:val="20"/>
          <w:szCs w:val="20"/>
          <w:color w:val="auto"/>
        </w:rPr>
      </w:pPr>
    </w:p>
    <w:p>
      <w:pPr>
        <w:jc w:val="right"/>
        <w:spacing w:after="0"/>
        <w:rPr>
          <w:sz w:val="20"/>
          <w:szCs w:val="20"/>
          <w:color w:val="auto"/>
        </w:rPr>
      </w:pPr>
      <w:r>
        <w:rPr>
          <w:rFonts w:ascii="Arial" w:cs="Arial" w:eastAsia="Arial" w:hAnsi="Arial"/>
          <w:sz w:val="14"/>
          <w:szCs w:val="14"/>
          <w:color w:val="34657F"/>
        </w:rPr>
        <w:t xml:space="preserve">NOTICE OF 2019 ANNUAL MEETING OF SHAREHOLDERS AND PROXY STATEMENT </w:t>
      </w:r>
      <w:r>
        <w:rPr>
          <w:rFonts w:ascii="Arial" w:cs="Arial" w:eastAsia="Arial" w:hAnsi="Arial"/>
          <w:sz w:val="14"/>
          <w:szCs w:val="14"/>
          <w:color w:val="000000"/>
        </w:rPr>
        <w:t>I 79</w:t>
      </w:r>
    </w:p>
    <w:p>
      <w:pPr>
        <w:sectPr>
          <w:pgSz w:w="11900" w:h="16838" w:orient="portrait"/>
          <w:cols w:equalWidth="0" w:num="1">
            <w:col w:w="11420"/>
          </w:cols>
          <w:pgMar w:left="240" w:top="671" w:right="239" w:bottom="1440" w:gutter="0" w:footer="0" w:header="0"/>
          <w:type w:val="continuous"/>
        </w:sectPr>
      </w:pPr>
    </w:p>
    <w:bookmarkStart w:id="85" w:name="page86"/>
    <w:bookmarkEnd w:id="85"/>
    <w:p>
      <w:pPr>
        <w:ind w:left="20"/>
        <w:spacing w:after="0"/>
        <w:rPr>
          <w:sz w:val="20"/>
          <w:szCs w:val="20"/>
          <w:color w:val="auto"/>
        </w:rPr>
      </w:pPr>
      <w:r>
        <w:rPr>
          <w:rFonts w:ascii="Arial" w:cs="Arial" w:eastAsia="Arial" w:hAnsi="Arial"/>
          <w:sz w:val="21"/>
          <w:szCs w:val="21"/>
          <w:b w:val="1"/>
          <w:bCs w:val="1"/>
          <w:color w:val="FFFFFF"/>
        </w:rPr>
        <w:drawing>
          <wp:anchor simplePos="0" relativeHeight="251657728" behindDoc="1" locked="0" layoutInCell="0" allowOverlap="1">
            <wp:simplePos x="0" y="0"/>
            <wp:positionH relativeFrom="page">
              <wp:posOffset>154305</wp:posOffset>
            </wp:positionH>
            <wp:positionV relativeFrom="page">
              <wp:posOffset>365760</wp:posOffset>
            </wp:positionV>
            <wp:extent cx="7253605" cy="58610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53605" cy="586105"/>
                    </a:xfrm>
                    <a:prstGeom prst="rect">
                      <a:avLst/>
                    </a:prstGeom>
                    <a:noFill/>
                  </pic:spPr>
                </pic:pic>
              </a:graphicData>
            </a:graphic>
          </wp:anchor>
        </w:drawing>
        <w:t>QUESTIONS AND ANSWERS ABOUT THE ANNUAL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420"/>
        <w:spacing w:after="0" w:line="263" w:lineRule="auto"/>
        <w:rPr>
          <w:sz w:val="20"/>
          <w:szCs w:val="20"/>
          <w:color w:val="auto"/>
        </w:rPr>
      </w:pPr>
      <w:r>
        <w:rPr>
          <w:rFonts w:ascii="Arial" w:cs="Arial" w:eastAsia="Arial" w:hAnsi="Arial"/>
          <w:sz w:val="17"/>
          <w:szCs w:val="17"/>
          <w:color w:val="auto"/>
        </w:rPr>
        <w:t>Beneficial owners who hold shares in "street name" may revoke a proxy or change a vote by submitting a new, later-dated voting instruction form, contacting the bank, broker or other agent or by voting in person at the Annual Meeting by obtaining a legal proxy as described above.</w:t>
      </w:r>
    </w:p>
    <w:p>
      <w:pPr>
        <w:spacing w:after="0" w:line="3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How do I vote my shares held under a Northrop Grumman savings plan?</w:t>
      </w:r>
    </w:p>
    <w:p>
      <w:pPr>
        <w:spacing w:after="0" w:line="103"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If shares are held on an individual's behalf under any of our savings plans, the proxy will serve to provide confidential instructions to the plan Trustee or Voting Manager who then votes the participant's shares in accordance with the individual's instructions. For those participants who do not vote their plan shares, the applicable Trustee or Voting Manager will vote their plan shares in the same proportion as shares held under the plan for which voting directions have been received, unless the Employee Retirement Income Security Act requires a different procedure.</w:t>
      </w:r>
    </w:p>
    <w:p>
      <w:pPr>
        <w:spacing w:after="0" w:line="67" w:lineRule="exact"/>
        <w:rPr>
          <w:sz w:val="20"/>
          <w:szCs w:val="20"/>
          <w:color w:val="auto"/>
        </w:rPr>
      </w:pPr>
    </w:p>
    <w:p>
      <w:pPr>
        <w:ind w:right="200"/>
        <w:spacing w:after="0" w:line="263" w:lineRule="auto"/>
        <w:rPr>
          <w:sz w:val="20"/>
          <w:szCs w:val="20"/>
          <w:color w:val="auto"/>
        </w:rPr>
      </w:pPr>
      <w:r>
        <w:rPr>
          <w:rFonts w:ascii="Arial" w:cs="Arial" w:eastAsia="Arial" w:hAnsi="Arial"/>
          <w:sz w:val="17"/>
          <w:szCs w:val="17"/>
          <w:color w:val="auto"/>
        </w:rPr>
        <w:t>Voting instructions from savings plan participants must be received by the applicable plan Trustee or Voting Manager by 11:59 p.m. Eastern Daylight Time on May 12, 2019 in order to be used by the plan Trustee or Voting Manager to determine the votes cast with respect to plan shares.</w:t>
      </w:r>
    </w:p>
    <w:p>
      <w:pPr>
        <w:spacing w:after="0" w:line="290"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80 </w:t>
      </w:r>
      <w:r>
        <w:rPr>
          <w:rFonts w:ascii="Arial" w:cs="Arial" w:eastAsia="Arial" w:hAnsi="Arial"/>
          <w:sz w:val="13"/>
          <w:szCs w:val="13"/>
          <w:color w:val="auto"/>
        </w:rPr>
        <w:t>I</w:t>
      </w:r>
      <w:r>
        <w:rPr>
          <w:rFonts w:ascii="Arial" w:cs="Arial" w:eastAsia="Arial" w:hAnsi="Arial"/>
          <w:sz w:val="17"/>
          <w:szCs w:val="17"/>
          <w:color w:val="auto"/>
        </w:rPr>
        <w:t xml:space="preserve"> </w:t>
      </w:r>
      <w:r>
        <w:rPr>
          <w:rFonts w:ascii="Arial" w:cs="Arial" w:eastAsia="Arial" w:hAnsi="Arial"/>
          <w:sz w:val="13"/>
          <w:szCs w:val="13"/>
          <w:color w:val="34657F"/>
        </w:rPr>
        <w:t>NOTICE OF 2019 ANNUAL MEETING OF SHAREHOLDERS AND PROXY STATEMENT</w:t>
      </w:r>
    </w:p>
    <w:p>
      <w:pPr>
        <w:sectPr>
          <w:pgSz w:w="11900" w:h="16838" w:orient="portrait"/>
          <w:cols w:equalWidth="0" w:num="1">
            <w:col w:w="11400"/>
          </w:cols>
          <w:pgMar w:left="240" w:top="671" w:right="259" w:bottom="1440" w:gutter="0" w:footer="0" w:header="0"/>
        </w:sectPr>
      </w:pPr>
    </w:p>
    <w:bookmarkStart w:id="86" w:name="page87"/>
    <w:bookmarkEnd w:id="86"/>
    <w:p>
      <w:pPr>
        <w:ind w:left="20"/>
        <w:spacing w:after="0"/>
        <w:rPr>
          <w:sz w:val="20"/>
          <w:szCs w:val="20"/>
          <w:color w:val="auto"/>
        </w:rPr>
      </w:pPr>
      <w:r>
        <w:rPr>
          <w:rFonts w:ascii="Arial" w:cs="Arial" w:eastAsia="Arial" w:hAnsi="Arial"/>
          <w:sz w:val="21"/>
          <w:szCs w:val="21"/>
          <w:b w:val="1"/>
          <w:bCs w:val="1"/>
          <w:color w:val="FFFFFF"/>
          <w:shd w:val="clear" w:color="auto" w:fill="33647F"/>
        </w:rPr>
        <w:t>MISCELLANEOUS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-148590</wp:posOffset>
            </wp:positionV>
            <wp:extent cx="7253605" cy="3257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53605"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0"/>
        <w:spacing w:after="0"/>
        <w:rPr>
          <w:sz w:val="20"/>
          <w:szCs w:val="20"/>
          <w:color w:val="auto"/>
        </w:rPr>
      </w:pPr>
      <w:r>
        <w:rPr>
          <w:rFonts w:ascii="Arial" w:cs="Arial" w:eastAsia="Arial" w:hAnsi="Arial"/>
          <w:sz w:val="24"/>
          <w:szCs w:val="24"/>
          <w:b w:val="1"/>
          <w:bCs w:val="1"/>
          <w:color w:val="auto"/>
        </w:rPr>
        <w:t>Voting on Other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38100</wp:posOffset>
            </wp:positionV>
            <wp:extent cx="7253605" cy="1651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pacing w:after="0" w:line="116" w:lineRule="exact"/>
        <w:rPr>
          <w:sz w:val="20"/>
          <w:szCs w:val="20"/>
          <w:color w:val="auto"/>
        </w:rPr>
      </w:pPr>
    </w:p>
    <w:p>
      <w:pPr>
        <w:ind w:right="60"/>
        <w:spacing w:after="0" w:line="254" w:lineRule="auto"/>
        <w:rPr>
          <w:sz w:val="20"/>
          <w:szCs w:val="20"/>
          <w:color w:val="auto"/>
        </w:rPr>
      </w:pPr>
      <w:r>
        <w:rPr>
          <w:rFonts w:ascii="Arial" w:cs="Arial" w:eastAsia="Arial" w:hAnsi="Arial"/>
          <w:sz w:val="17"/>
          <w:szCs w:val="17"/>
          <w:color w:val="auto"/>
        </w:rPr>
        <w:t xml:space="preserve">We are not aware of any other business to be transacted at the Annual Meeting. Our Bylaws outline procedures, including minimum notice provisions, for shareholder nominations of directors and submission of other shareholder business to be transacted at the Annual Meeting. A copy of the pertinent Bylaw provisions is available on request to the Corporate Secretary, </w:t>
      </w:r>
      <w:r>
        <w:rPr>
          <w:rFonts w:ascii="Arial" w:cs="Arial" w:eastAsia="Arial" w:hAnsi="Arial"/>
          <w:sz w:val="17"/>
          <w:szCs w:val="17"/>
          <w:b w:val="1"/>
          <w:bCs w:val="1"/>
          <w:i w:val="1"/>
          <w:iCs w:val="1"/>
          <w:color w:val="auto"/>
        </w:rPr>
        <w:t>Northrop Grumman Corporation, 2980 Fairview Park Drive, Falls Church,</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Virginia 22042</w:t>
      </w:r>
      <w:r>
        <w:rPr>
          <w:rFonts w:ascii="Arial" w:cs="Arial" w:eastAsia="Arial" w:hAnsi="Arial"/>
          <w:sz w:val="17"/>
          <w:szCs w:val="17"/>
          <w:color w:val="auto"/>
        </w:rPr>
        <w:t>. Our Bylaws are also available in the Investor Relations section of our website at</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www.northropgrumman.com</w:t>
      </w:r>
      <w:r>
        <w:rPr>
          <w:rFonts w:ascii="Arial" w:cs="Arial" w:eastAsia="Arial" w:hAnsi="Arial"/>
          <w:sz w:val="17"/>
          <w:szCs w:val="17"/>
          <w:color w:val="auto"/>
        </w:rPr>
        <w:t>. If any other business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properly comes before the Annual Meeting, the shares represented by proxies will be voted in accordance with the judgment of the persons authorized to vote them.</w:t>
      </w:r>
    </w:p>
    <w:p>
      <w:pPr>
        <w:spacing w:after="0" w:line="205" w:lineRule="exact"/>
        <w:rPr>
          <w:sz w:val="20"/>
          <w:szCs w:val="20"/>
          <w:color w:val="auto"/>
        </w:rPr>
      </w:pPr>
    </w:p>
    <w:p>
      <w:pPr>
        <w:ind w:left="20"/>
        <w:spacing w:after="0"/>
        <w:rPr>
          <w:sz w:val="20"/>
          <w:szCs w:val="20"/>
          <w:color w:val="auto"/>
        </w:rPr>
      </w:pPr>
      <w:r>
        <w:rPr>
          <w:rFonts w:ascii="Arial" w:cs="Arial" w:eastAsia="Arial" w:hAnsi="Arial"/>
          <w:sz w:val="24"/>
          <w:szCs w:val="24"/>
          <w:b w:val="1"/>
          <w:bCs w:val="1"/>
          <w:color w:val="auto"/>
        </w:rPr>
        <w:t>Shareholder Proposals for the 2020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38100</wp:posOffset>
            </wp:positionV>
            <wp:extent cx="7253605" cy="1651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pacing w:after="0" w:line="96" w:lineRule="exact"/>
        <w:rPr>
          <w:sz w:val="20"/>
          <w:szCs w:val="20"/>
          <w:color w:val="auto"/>
        </w:rPr>
      </w:pPr>
    </w:p>
    <w:p>
      <w:pPr>
        <w:ind w:right="440"/>
        <w:spacing w:after="0" w:line="287" w:lineRule="auto"/>
        <w:rPr>
          <w:sz w:val="20"/>
          <w:szCs w:val="20"/>
          <w:color w:val="auto"/>
        </w:rPr>
      </w:pPr>
      <w:r>
        <w:rPr>
          <w:rFonts w:ascii="Arial" w:cs="Arial" w:eastAsia="Arial" w:hAnsi="Arial"/>
          <w:sz w:val="17"/>
          <w:szCs w:val="17"/>
          <w:color w:val="auto"/>
        </w:rPr>
        <w:t xml:space="preserve">Any shareholder who intends to present a proposal at the 2020 Annual Meeting must deliver the proposal to the Corporate Secretary at </w:t>
      </w:r>
      <w:r>
        <w:rPr>
          <w:rFonts w:ascii="Arial" w:cs="Arial" w:eastAsia="Arial" w:hAnsi="Arial"/>
          <w:sz w:val="17"/>
          <w:szCs w:val="17"/>
          <w:b w:val="1"/>
          <w:bCs w:val="1"/>
          <w:i w:val="1"/>
          <w:iCs w:val="1"/>
          <w:color w:val="auto"/>
        </w:rPr>
        <w:t>Northrop</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Grumman Corporation, 2980 Fairview Park Drive, Falls Church, Virginia 22042</w:t>
      </w:r>
      <w:r>
        <w:rPr>
          <w:rFonts w:ascii="Arial" w:cs="Arial" w:eastAsia="Arial" w:hAnsi="Arial"/>
          <w:sz w:val="17"/>
          <w:szCs w:val="17"/>
          <w:color w:val="auto"/>
        </w:rPr>
        <w:t>:</w:t>
      </w:r>
    </w:p>
    <w:p>
      <w:pPr>
        <w:spacing w:after="0" w:line="65" w:lineRule="exact"/>
        <w:rPr>
          <w:sz w:val="20"/>
          <w:szCs w:val="20"/>
          <w:color w:val="auto"/>
        </w:rPr>
      </w:pPr>
    </w:p>
    <w:p>
      <w:pPr>
        <w:ind w:left="240" w:right="60" w:hanging="237"/>
        <w:spacing w:after="0" w:line="253" w:lineRule="auto"/>
        <w:tabs>
          <w:tab w:leader="none" w:pos="240" w:val="left"/>
        </w:tabs>
        <w:numPr>
          <w:ilvl w:val="0"/>
          <w:numId w:val="99"/>
        </w:numPr>
        <w:rPr>
          <w:rFonts w:ascii="Arial" w:cs="Arial" w:eastAsia="Arial" w:hAnsi="Arial"/>
          <w:sz w:val="21"/>
          <w:szCs w:val="21"/>
          <w:color w:val="34657F"/>
        </w:rPr>
      </w:pPr>
      <w:r>
        <w:rPr>
          <w:rFonts w:ascii="Arial" w:cs="Arial" w:eastAsia="Arial" w:hAnsi="Arial"/>
          <w:sz w:val="17"/>
          <w:szCs w:val="17"/>
          <w:color w:val="auto"/>
        </w:rPr>
        <w:t>not later than November 30, 2019, if the proposal is submitted for inclusion in the Company's proxy materials for that meeting pursuant to Rule 14a-8 under the Exchange Act; and</w:t>
      </w:r>
    </w:p>
    <w:p>
      <w:pPr>
        <w:spacing w:after="0" w:line="103" w:lineRule="exact"/>
        <w:rPr>
          <w:rFonts w:ascii="Arial" w:cs="Arial" w:eastAsia="Arial" w:hAnsi="Arial"/>
          <w:sz w:val="21"/>
          <w:szCs w:val="21"/>
          <w:color w:val="34657F"/>
        </w:rPr>
      </w:pPr>
    </w:p>
    <w:p>
      <w:pPr>
        <w:ind w:left="240" w:right="40" w:hanging="237"/>
        <w:spacing w:after="0" w:line="270" w:lineRule="auto"/>
        <w:tabs>
          <w:tab w:leader="none" w:pos="240" w:val="left"/>
        </w:tabs>
        <w:numPr>
          <w:ilvl w:val="0"/>
          <w:numId w:val="99"/>
        </w:numPr>
        <w:rPr>
          <w:rFonts w:ascii="Arial" w:cs="Arial" w:eastAsia="Arial" w:hAnsi="Arial"/>
          <w:sz w:val="21"/>
          <w:szCs w:val="21"/>
          <w:color w:val="33647F"/>
        </w:rPr>
      </w:pPr>
      <w:r>
        <w:rPr>
          <w:rFonts w:ascii="Arial" w:cs="Arial" w:eastAsia="Arial" w:hAnsi="Arial"/>
          <w:sz w:val="17"/>
          <w:szCs w:val="17"/>
          <w:color w:val="auto"/>
        </w:rPr>
        <w:t xml:space="preserve">not earlier than November 30, 2019 and not later than December 30, 2019, if the proposal is submitted pursuant to the Bylaws, but not pursuant to Rule 14a-8, in which case we are not required to include the proposal in our proxy materials. If the </w:t>
      </w:r>
      <w:r>
        <w:rPr>
          <w:rFonts w:ascii="Arial" w:cs="Arial" w:eastAsia="Arial" w:hAnsi="Arial"/>
          <w:sz w:val="20"/>
          <w:szCs w:val="20"/>
          <w:color w:val="auto"/>
        </w:rPr>
        <w:t>2020</w:t>
      </w:r>
      <w:r>
        <w:rPr>
          <w:rFonts w:ascii="Arial" w:cs="Arial" w:eastAsia="Arial" w:hAnsi="Arial"/>
          <w:sz w:val="17"/>
          <w:szCs w:val="17"/>
          <w:color w:val="auto"/>
        </w:rPr>
        <w:t xml:space="preserve"> Annual Meeting is convened more than 30 days prior to or delayed by more than 30 days after the one-year anniversary of the Annual Meeting, our Bylaws provide different notice requirements.</w:t>
      </w:r>
    </w:p>
    <w:p>
      <w:pPr>
        <w:spacing w:after="0" w:line="68" w:lineRule="exact"/>
        <w:rPr>
          <w:sz w:val="20"/>
          <w:szCs w:val="20"/>
          <w:color w:val="auto"/>
        </w:rPr>
      </w:pPr>
    </w:p>
    <w:p>
      <w:pPr>
        <w:spacing w:after="0"/>
        <w:rPr>
          <w:sz w:val="20"/>
          <w:szCs w:val="20"/>
          <w:color w:val="auto"/>
        </w:rPr>
      </w:pPr>
      <w:r>
        <w:rPr>
          <w:rFonts w:ascii="Arial" w:cs="Arial" w:eastAsia="Arial" w:hAnsi="Arial"/>
          <w:sz w:val="17"/>
          <w:szCs w:val="17"/>
          <w:color w:val="auto"/>
        </w:rPr>
        <w:t>Any shareholder who wishes to introduce a proposal should review our Bylaws and applicable proxy rules of the SEC.</w:t>
      </w:r>
    </w:p>
    <w:p>
      <w:pPr>
        <w:spacing w:after="0" w:line="213" w:lineRule="exact"/>
        <w:rPr>
          <w:sz w:val="20"/>
          <w:szCs w:val="20"/>
          <w:color w:val="auto"/>
        </w:rPr>
      </w:pPr>
    </w:p>
    <w:p>
      <w:pPr>
        <w:ind w:left="20"/>
        <w:spacing w:after="0"/>
        <w:rPr>
          <w:sz w:val="20"/>
          <w:szCs w:val="20"/>
          <w:color w:val="auto"/>
        </w:rPr>
      </w:pPr>
      <w:r>
        <w:rPr>
          <w:rFonts w:ascii="Arial" w:cs="Arial" w:eastAsia="Arial" w:hAnsi="Arial"/>
          <w:sz w:val="24"/>
          <w:szCs w:val="24"/>
          <w:b w:val="1"/>
          <w:bCs w:val="1"/>
          <w:color w:val="auto"/>
        </w:rPr>
        <w:t>Shareholder Nominations for Director Election at the 2020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38100</wp:posOffset>
            </wp:positionV>
            <wp:extent cx="7253605" cy="1651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pacing w:after="0" w:line="116" w:lineRule="exact"/>
        <w:rPr>
          <w:sz w:val="20"/>
          <w:szCs w:val="20"/>
          <w:color w:val="auto"/>
        </w:rPr>
      </w:pPr>
    </w:p>
    <w:p>
      <w:pPr>
        <w:ind w:right="320"/>
        <w:spacing w:after="0" w:line="257" w:lineRule="auto"/>
        <w:rPr>
          <w:sz w:val="20"/>
          <w:szCs w:val="20"/>
          <w:color w:val="auto"/>
        </w:rPr>
      </w:pPr>
      <w:r>
        <w:rPr>
          <w:rFonts w:ascii="Arial" w:cs="Arial" w:eastAsia="Arial" w:hAnsi="Arial"/>
          <w:sz w:val="17"/>
          <w:szCs w:val="17"/>
          <w:color w:val="auto"/>
        </w:rPr>
        <w:t xml:space="preserve">Any shareholder who intends to nominate a person for election as a director at the 2020 Annual Meeting must deliver a notice of such nomination (along with certain other information required by our Bylaws) to the Corporate Secretary at </w:t>
      </w:r>
      <w:r>
        <w:rPr>
          <w:rFonts w:ascii="Arial" w:cs="Arial" w:eastAsia="Arial" w:hAnsi="Arial"/>
          <w:sz w:val="17"/>
          <w:szCs w:val="17"/>
          <w:b w:val="1"/>
          <w:bCs w:val="1"/>
          <w:i w:val="1"/>
          <w:iCs w:val="1"/>
          <w:color w:val="auto"/>
        </w:rPr>
        <w:t>Northrop Grumman Corporation, 2980 Fairview Park</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Drive, Falls Church, Virginia 22042</w:t>
      </w:r>
      <w:r>
        <w:rPr>
          <w:rFonts w:ascii="Arial" w:cs="Arial" w:eastAsia="Arial" w:hAnsi="Arial"/>
          <w:sz w:val="17"/>
          <w:szCs w:val="17"/>
          <w:b w:val="1"/>
          <w:bCs w:val="1"/>
          <w:color w:val="auto"/>
        </w:rPr>
        <w:t>:</w:t>
      </w:r>
    </w:p>
    <w:p>
      <w:pPr>
        <w:spacing w:after="0" w:line="90" w:lineRule="exact"/>
        <w:rPr>
          <w:sz w:val="20"/>
          <w:szCs w:val="20"/>
          <w:color w:val="auto"/>
        </w:rPr>
      </w:pPr>
    </w:p>
    <w:p>
      <w:pPr>
        <w:ind w:left="240" w:right="60" w:hanging="237"/>
        <w:spacing w:after="0" w:line="272" w:lineRule="auto"/>
        <w:tabs>
          <w:tab w:leader="none" w:pos="240" w:val="left"/>
        </w:tabs>
        <w:numPr>
          <w:ilvl w:val="0"/>
          <w:numId w:val="100"/>
        </w:numPr>
        <w:rPr>
          <w:rFonts w:ascii="Arial" w:cs="Arial" w:eastAsia="Arial" w:hAnsi="Arial"/>
          <w:sz w:val="21"/>
          <w:szCs w:val="21"/>
          <w:color w:val="34657F"/>
        </w:rPr>
      </w:pPr>
      <w:r>
        <w:rPr>
          <w:rFonts w:ascii="Arial" w:cs="Arial" w:eastAsia="Arial" w:hAnsi="Arial"/>
          <w:sz w:val="17"/>
          <w:szCs w:val="17"/>
          <w:color w:val="auto"/>
        </w:rPr>
        <w:t>not earlier than October 31, 2019 and not later than November 30, 2019, if the nomination is submitted for inclusion in the Company's proxy materials for that meeting pursuant to the Company's proxy access provision, as set forth in our Bylaws, which nomination and supporting materials must comply with the requirements in our Bylaws; and</w:t>
      </w:r>
    </w:p>
    <w:p>
      <w:pPr>
        <w:spacing w:after="0" w:line="90" w:lineRule="exact"/>
        <w:rPr>
          <w:rFonts w:ascii="Arial" w:cs="Arial" w:eastAsia="Arial" w:hAnsi="Arial"/>
          <w:sz w:val="21"/>
          <w:szCs w:val="21"/>
          <w:color w:val="34657F"/>
        </w:rPr>
      </w:pPr>
    </w:p>
    <w:p>
      <w:pPr>
        <w:ind w:left="240" w:right="160" w:hanging="237"/>
        <w:spacing w:after="0" w:line="270" w:lineRule="auto"/>
        <w:tabs>
          <w:tab w:leader="none" w:pos="240" w:val="left"/>
        </w:tabs>
        <w:numPr>
          <w:ilvl w:val="0"/>
          <w:numId w:val="100"/>
        </w:numPr>
        <w:rPr>
          <w:rFonts w:ascii="Arial" w:cs="Arial" w:eastAsia="Arial" w:hAnsi="Arial"/>
          <w:sz w:val="21"/>
          <w:szCs w:val="21"/>
          <w:color w:val="34657F"/>
        </w:rPr>
      </w:pPr>
      <w:r>
        <w:rPr>
          <w:rFonts w:ascii="Arial" w:cs="Arial" w:eastAsia="Arial" w:hAnsi="Arial"/>
          <w:sz w:val="17"/>
          <w:szCs w:val="17"/>
          <w:color w:val="auto"/>
        </w:rPr>
        <w:t xml:space="preserve">not earlier than November 30, 2019 and not later than December 30, 2019, if the nomination is submitted pursuant to the Bylaws, but not pursuant to our proxy access provision, in which case we are not required to include the nomination in our proxy materials. If the </w:t>
      </w:r>
      <w:r>
        <w:rPr>
          <w:rFonts w:ascii="Arial" w:cs="Arial" w:eastAsia="Arial" w:hAnsi="Arial"/>
          <w:sz w:val="20"/>
          <w:szCs w:val="20"/>
          <w:color w:val="auto"/>
        </w:rPr>
        <w:t>2020</w:t>
      </w:r>
      <w:r>
        <w:rPr>
          <w:rFonts w:ascii="Arial" w:cs="Arial" w:eastAsia="Arial" w:hAnsi="Arial"/>
          <w:sz w:val="17"/>
          <w:szCs w:val="17"/>
          <w:color w:val="auto"/>
        </w:rPr>
        <w:t xml:space="preserve"> Annual Meeting is convened more than 30 days prior to or delayed by more than 30 days after the one-year anniversary of the Annual Meeting, our Bylaws provide different notice requirements.</w:t>
      </w:r>
    </w:p>
    <w:p>
      <w:pPr>
        <w:spacing w:after="0" w:line="68" w:lineRule="exact"/>
        <w:rPr>
          <w:sz w:val="20"/>
          <w:szCs w:val="20"/>
          <w:color w:val="auto"/>
        </w:rPr>
      </w:pPr>
    </w:p>
    <w:p>
      <w:pPr>
        <w:spacing w:after="0"/>
        <w:rPr>
          <w:sz w:val="20"/>
          <w:szCs w:val="20"/>
          <w:color w:val="auto"/>
        </w:rPr>
      </w:pPr>
      <w:r>
        <w:rPr>
          <w:rFonts w:ascii="Arial" w:cs="Arial" w:eastAsia="Arial" w:hAnsi="Arial"/>
          <w:sz w:val="17"/>
          <w:szCs w:val="17"/>
          <w:color w:val="auto"/>
        </w:rPr>
        <w:t>Any shareholder who wishes to nominate a person for election as a director should review our Bylaws.</w:t>
      </w:r>
    </w:p>
    <w:p>
      <w:pPr>
        <w:spacing w:after="0" w:line="213" w:lineRule="exact"/>
        <w:rPr>
          <w:sz w:val="20"/>
          <w:szCs w:val="20"/>
          <w:color w:val="auto"/>
        </w:rPr>
      </w:pPr>
    </w:p>
    <w:p>
      <w:pPr>
        <w:ind w:left="20"/>
        <w:spacing w:after="0"/>
        <w:rPr>
          <w:sz w:val="20"/>
          <w:szCs w:val="20"/>
          <w:color w:val="auto"/>
        </w:rPr>
      </w:pPr>
      <w:r>
        <w:rPr>
          <w:rFonts w:ascii="Arial" w:cs="Arial" w:eastAsia="Arial" w:hAnsi="Arial"/>
          <w:sz w:val="24"/>
          <w:szCs w:val="24"/>
          <w:b w:val="1"/>
          <w:bCs w:val="1"/>
          <w:color w:val="auto"/>
        </w:rPr>
        <w:t>Householding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38100</wp:posOffset>
            </wp:positionV>
            <wp:extent cx="7253605" cy="1651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pacing w:after="0" w:line="116" w:lineRule="exact"/>
        <w:rPr>
          <w:sz w:val="20"/>
          <w:szCs w:val="20"/>
          <w:color w:val="auto"/>
        </w:rPr>
      </w:pPr>
    </w:p>
    <w:p>
      <w:pPr>
        <w:ind w:right="100"/>
        <w:spacing w:after="0" w:line="254" w:lineRule="auto"/>
        <w:rPr>
          <w:sz w:val="20"/>
          <w:szCs w:val="20"/>
          <w:color w:val="auto"/>
        </w:rPr>
      </w:pPr>
      <w:r>
        <w:rPr>
          <w:rFonts w:ascii="Arial" w:cs="Arial" w:eastAsia="Arial" w:hAnsi="Arial"/>
          <w:sz w:val="17"/>
          <w:szCs w:val="17"/>
          <w:color w:val="auto"/>
        </w:rPr>
        <w:t xml:space="preserve">Some banks, brokers and other nominee record holders may be participating in the practice of "householding." This means that only one copy of the Notice of Internet Availability of Proxy Materials may have been sent to multiple shareholders in a household. We will promptly deliver a separate copy to a shareholder upon written or oral request to the Corporate Secretary at the following address and phone number: </w:t>
      </w:r>
      <w:r>
        <w:rPr>
          <w:rFonts w:ascii="Arial" w:cs="Arial" w:eastAsia="Arial" w:hAnsi="Arial"/>
          <w:sz w:val="17"/>
          <w:szCs w:val="17"/>
          <w:b w:val="1"/>
          <w:bCs w:val="1"/>
          <w:i w:val="1"/>
          <w:iCs w:val="1"/>
          <w:color w:val="auto"/>
        </w:rPr>
        <w:t>Northrop Grumman</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Corporation, 2980 Fairview Park Drive, Falls Church, Virginia 22042, (703) 280-2900</w:t>
      </w:r>
      <w:r>
        <w:rPr>
          <w:rFonts w:ascii="Arial" w:cs="Arial" w:eastAsia="Arial" w:hAnsi="Arial"/>
          <w:sz w:val="17"/>
          <w:szCs w:val="17"/>
          <w:color w:val="auto"/>
        </w:rPr>
        <w:t>. To receive separate copies of the notice in the future, or if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shareholder is receiving multiple copies and would like to receive only one copy for the household, the shareholder should contact his or her bank, broker or other nominee record holder, or may contact the Corporate Secretary at the above address or phone number.</w:t>
      </w:r>
    </w:p>
    <w:p>
      <w:pPr>
        <w:spacing w:after="0" w:line="303" w:lineRule="exact"/>
        <w:rPr>
          <w:sz w:val="20"/>
          <w:szCs w:val="20"/>
          <w:color w:val="auto"/>
        </w:rPr>
      </w:pPr>
    </w:p>
    <w:p>
      <w:pPr>
        <w:jc w:val="right"/>
        <w:spacing w:after="0"/>
        <w:rPr>
          <w:sz w:val="20"/>
          <w:szCs w:val="20"/>
          <w:color w:val="auto"/>
        </w:rPr>
      </w:pPr>
      <w:r>
        <w:rPr>
          <w:rFonts w:ascii="Arial" w:cs="Arial" w:eastAsia="Arial" w:hAnsi="Arial"/>
          <w:sz w:val="14"/>
          <w:szCs w:val="14"/>
          <w:color w:val="34657F"/>
        </w:rPr>
        <w:t xml:space="preserve">NOTICE OF 2019 ANNUAL MEETING OF SHAREHOLDERS AND PROXY STATEMENT </w:t>
      </w:r>
      <w:r>
        <w:rPr>
          <w:rFonts w:ascii="Arial" w:cs="Arial" w:eastAsia="Arial" w:hAnsi="Arial"/>
          <w:sz w:val="14"/>
          <w:szCs w:val="14"/>
          <w:color w:val="000000"/>
        </w:rPr>
        <w:t>I 81</w:t>
      </w:r>
    </w:p>
    <w:p>
      <w:pPr>
        <w:sectPr>
          <w:pgSz w:w="11900" w:h="16838" w:orient="portrait"/>
          <w:cols w:equalWidth="0" w:num="1">
            <w:col w:w="11420"/>
          </w:cols>
          <w:pgMar w:left="240" w:top="569" w:right="239" w:bottom="1440" w:gutter="0" w:footer="0" w:header="0"/>
        </w:sectPr>
      </w:pPr>
    </w:p>
    <w:bookmarkStart w:id="87" w:name="page88"/>
    <w:bookmarkEnd w:id="87"/>
    <w:p>
      <w:pPr>
        <w:ind w:left="20"/>
        <w:spacing w:after="0"/>
        <w:rPr>
          <w:sz w:val="20"/>
          <w:szCs w:val="20"/>
          <w:color w:val="auto"/>
        </w:rPr>
      </w:pPr>
      <w:r>
        <w:rPr>
          <w:rFonts w:ascii="Arial" w:cs="Arial" w:eastAsia="Arial" w:hAnsi="Arial"/>
          <w:sz w:val="21"/>
          <w:szCs w:val="21"/>
          <w:b w:val="1"/>
          <w:bCs w:val="1"/>
          <w:color w:val="FFFFFF"/>
          <w:shd w:val="clear" w:color="auto" w:fill="33647F"/>
        </w:rPr>
        <w:t>MISCELLANEOUS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-148590</wp:posOffset>
            </wp:positionV>
            <wp:extent cx="7253605" cy="3257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53605"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0"/>
        <w:spacing w:after="0"/>
        <w:rPr>
          <w:sz w:val="20"/>
          <w:szCs w:val="20"/>
          <w:color w:val="auto"/>
        </w:rPr>
      </w:pPr>
      <w:r>
        <w:rPr>
          <w:rFonts w:ascii="Arial" w:cs="Arial" w:eastAsia="Arial" w:hAnsi="Arial"/>
          <w:sz w:val="24"/>
          <w:szCs w:val="24"/>
          <w:b w:val="1"/>
          <w:bCs w:val="1"/>
          <w:color w:val="auto"/>
        </w:rPr>
        <w:t>Cost of Soliciting Proxies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38100</wp:posOffset>
            </wp:positionV>
            <wp:extent cx="7253605" cy="1651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pacing w:after="0" w:line="116" w:lineRule="exact"/>
        <w:rPr>
          <w:sz w:val="20"/>
          <w:szCs w:val="20"/>
          <w:color w:val="auto"/>
        </w:rPr>
      </w:pPr>
    </w:p>
    <w:p>
      <w:pPr>
        <w:spacing w:after="0" w:line="254" w:lineRule="auto"/>
        <w:rPr>
          <w:sz w:val="20"/>
          <w:szCs w:val="20"/>
          <w:color w:val="auto"/>
        </w:rPr>
      </w:pPr>
      <w:r>
        <w:rPr>
          <w:rFonts w:ascii="Arial" w:cs="Arial" w:eastAsia="Arial" w:hAnsi="Arial"/>
          <w:sz w:val="17"/>
          <w:szCs w:val="17"/>
          <w:color w:val="auto"/>
        </w:rPr>
        <w:t>We will pay all costs of soliciting proxies. We have made arrangements with brokerage houses and other custodians, nominees and fiduciaries to make proxy materials available to beneficial owners. We will, upon request, reimburse them for reasonable expenses incurred. We have retained D.F. King &amp; Co., Inc. of New York at an estimated fee of $20,000, plus reasonable disbursements to solicit proxies on our behalf. Our officers, directors and regular employees may solicit proxies personally, by means of materials prepared for shareholders and employee-shareholders or by telephone or other methods to the extent deemed appropriate by the Board.</w:t>
      </w:r>
    </w:p>
    <w:p>
      <w:pPr>
        <w:spacing w:after="0" w:line="68" w:lineRule="exact"/>
        <w:rPr>
          <w:sz w:val="20"/>
          <w:szCs w:val="20"/>
          <w:color w:val="auto"/>
        </w:rPr>
      </w:pPr>
    </w:p>
    <w:p>
      <w:pPr>
        <w:ind w:right="60"/>
        <w:spacing w:after="0" w:line="263" w:lineRule="auto"/>
        <w:rPr>
          <w:sz w:val="20"/>
          <w:szCs w:val="20"/>
          <w:color w:val="auto"/>
        </w:rPr>
      </w:pPr>
      <w:r>
        <w:rPr>
          <w:rFonts w:ascii="Arial" w:cs="Arial" w:eastAsia="Arial" w:hAnsi="Arial"/>
          <w:sz w:val="17"/>
          <w:szCs w:val="17"/>
          <w:color w:val="auto"/>
        </w:rPr>
        <w:t>No additional compensation will be paid to such individuals for this activity. The extent to which this solicitation will be necessary will depend upon how promptly proxies are received. We therefore urge shareholders to give voting instructions without delay.</w:t>
      </w:r>
    </w:p>
    <w:p>
      <w:pPr>
        <w:spacing w:after="0" w:line="185" w:lineRule="exact"/>
        <w:rPr>
          <w:sz w:val="20"/>
          <w:szCs w:val="20"/>
          <w:color w:val="auto"/>
        </w:rPr>
      </w:pPr>
    </w:p>
    <w:p>
      <w:pPr>
        <w:ind w:left="20"/>
        <w:spacing w:after="0"/>
        <w:rPr>
          <w:sz w:val="20"/>
          <w:szCs w:val="20"/>
          <w:color w:val="auto"/>
        </w:rPr>
      </w:pPr>
      <w:r>
        <w:rPr>
          <w:rFonts w:ascii="Arial" w:cs="Arial" w:eastAsia="Arial" w:hAnsi="Arial"/>
          <w:sz w:val="24"/>
          <w:szCs w:val="24"/>
          <w:b w:val="1"/>
          <w:bCs w:val="1"/>
          <w:color w:val="auto"/>
        </w:rPr>
        <w:t>Available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38100</wp:posOffset>
            </wp:positionV>
            <wp:extent cx="7253605" cy="1651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pacing w:after="0" w:line="98" w:lineRule="exact"/>
        <w:rPr>
          <w:sz w:val="20"/>
          <w:szCs w:val="20"/>
          <w:color w:val="auto"/>
        </w:rPr>
      </w:pPr>
    </w:p>
    <w:p>
      <w:pPr>
        <w:spacing w:after="0"/>
        <w:rPr>
          <w:sz w:val="20"/>
          <w:szCs w:val="20"/>
          <w:color w:val="auto"/>
        </w:rPr>
      </w:pPr>
      <w:r>
        <w:rPr>
          <w:rFonts w:ascii="Arial" w:cs="Arial" w:eastAsia="Arial" w:hAnsi="Arial"/>
          <w:sz w:val="17"/>
          <w:szCs w:val="17"/>
          <w:color w:val="auto"/>
        </w:rPr>
        <w:t>You may obtain a copy of the following corporate governance materials on the Investor Relations section of our website (</w:t>
      </w:r>
      <w:r>
        <w:rPr>
          <w:rFonts w:ascii="Arial" w:cs="Arial" w:eastAsia="Arial" w:hAnsi="Arial"/>
          <w:sz w:val="17"/>
          <w:szCs w:val="17"/>
          <w:i w:val="1"/>
          <w:iCs w:val="1"/>
          <w:color w:val="auto"/>
        </w:rPr>
        <w:t>www.northropgrumman.com</w:t>
      </w:r>
      <w:r>
        <w:rPr>
          <w:rFonts w:ascii="Arial" w:cs="Arial" w:eastAsia="Arial" w:hAnsi="Arial"/>
          <w:sz w:val="17"/>
          <w:szCs w:val="17"/>
          <w:color w:val="auto"/>
        </w:rPr>
        <w:t>)</w:t>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color w:val="auto"/>
        </w:rPr>
        <w:t>under Corporate Governance:</w:t>
      </w:r>
    </w:p>
    <w:p>
      <w:pPr>
        <w:spacing w:after="0" w:line="75" w:lineRule="exact"/>
        <w:rPr>
          <w:sz w:val="20"/>
          <w:szCs w:val="20"/>
          <w:color w:val="auto"/>
        </w:rPr>
      </w:pPr>
    </w:p>
    <w:p>
      <w:pPr>
        <w:ind w:left="240" w:hanging="237"/>
        <w:spacing w:after="0"/>
        <w:tabs>
          <w:tab w:leader="none" w:pos="240" w:val="left"/>
        </w:tabs>
        <w:numPr>
          <w:ilvl w:val="0"/>
          <w:numId w:val="101"/>
        </w:numPr>
        <w:rPr>
          <w:rFonts w:ascii="Arial" w:cs="Arial" w:eastAsia="Arial" w:hAnsi="Arial"/>
          <w:sz w:val="21"/>
          <w:szCs w:val="21"/>
          <w:color w:val="34657F"/>
        </w:rPr>
      </w:pPr>
      <w:r>
        <w:rPr>
          <w:rFonts w:ascii="Arial" w:cs="Arial" w:eastAsia="Arial" w:hAnsi="Arial"/>
          <w:sz w:val="17"/>
          <w:szCs w:val="17"/>
          <w:color w:val="auto"/>
        </w:rPr>
        <w:t>Bylaws;</w:t>
      </w:r>
    </w:p>
    <w:p>
      <w:pPr>
        <w:spacing w:after="0" w:line="79" w:lineRule="exact"/>
        <w:rPr>
          <w:rFonts w:ascii="Arial" w:cs="Arial" w:eastAsia="Arial" w:hAnsi="Arial"/>
          <w:sz w:val="21"/>
          <w:szCs w:val="21"/>
          <w:color w:val="34657F"/>
        </w:rPr>
      </w:pPr>
    </w:p>
    <w:p>
      <w:pPr>
        <w:ind w:left="240" w:hanging="237"/>
        <w:spacing w:after="0"/>
        <w:tabs>
          <w:tab w:leader="none" w:pos="240" w:val="left"/>
        </w:tabs>
        <w:numPr>
          <w:ilvl w:val="0"/>
          <w:numId w:val="101"/>
        </w:numPr>
        <w:rPr>
          <w:rFonts w:ascii="Arial" w:cs="Arial" w:eastAsia="Arial" w:hAnsi="Arial"/>
          <w:sz w:val="21"/>
          <w:szCs w:val="21"/>
          <w:color w:val="34657F"/>
        </w:rPr>
      </w:pPr>
      <w:r>
        <w:rPr>
          <w:rFonts w:ascii="Arial" w:cs="Arial" w:eastAsia="Arial" w:hAnsi="Arial"/>
          <w:sz w:val="17"/>
          <w:szCs w:val="17"/>
          <w:color w:val="auto"/>
        </w:rPr>
        <w:t>Principles of Corporate Governance;</w:t>
      </w:r>
    </w:p>
    <w:p>
      <w:pPr>
        <w:spacing w:after="0" w:line="79" w:lineRule="exact"/>
        <w:rPr>
          <w:rFonts w:ascii="Arial" w:cs="Arial" w:eastAsia="Arial" w:hAnsi="Arial"/>
          <w:sz w:val="21"/>
          <w:szCs w:val="21"/>
          <w:color w:val="34657F"/>
        </w:rPr>
      </w:pPr>
    </w:p>
    <w:p>
      <w:pPr>
        <w:ind w:left="240" w:hanging="237"/>
        <w:spacing w:after="0"/>
        <w:tabs>
          <w:tab w:leader="none" w:pos="240" w:val="left"/>
        </w:tabs>
        <w:numPr>
          <w:ilvl w:val="0"/>
          <w:numId w:val="101"/>
        </w:numPr>
        <w:rPr>
          <w:rFonts w:ascii="Arial" w:cs="Arial" w:eastAsia="Arial" w:hAnsi="Arial"/>
          <w:sz w:val="21"/>
          <w:szCs w:val="21"/>
          <w:color w:val="34657F"/>
        </w:rPr>
      </w:pPr>
      <w:r>
        <w:rPr>
          <w:rFonts w:ascii="Arial" w:cs="Arial" w:eastAsia="Arial" w:hAnsi="Arial"/>
          <w:sz w:val="17"/>
          <w:szCs w:val="17"/>
          <w:color w:val="auto"/>
        </w:rPr>
        <w:t>Standards of Business Conduct;</w:t>
      </w:r>
    </w:p>
    <w:p>
      <w:pPr>
        <w:spacing w:after="0" w:line="79" w:lineRule="exact"/>
        <w:rPr>
          <w:rFonts w:ascii="Arial" w:cs="Arial" w:eastAsia="Arial" w:hAnsi="Arial"/>
          <w:sz w:val="21"/>
          <w:szCs w:val="21"/>
          <w:color w:val="34657F"/>
        </w:rPr>
      </w:pPr>
    </w:p>
    <w:p>
      <w:pPr>
        <w:ind w:left="240" w:hanging="237"/>
        <w:spacing w:after="0"/>
        <w:tabs>
          <w:tab w:leader="none" w:pos="240" w:val="left"/>
        </w:tabs>
        <w:numPr>
          <w:ilvl w:val="0"/>
          <w:numId w:val="101"/>
        </w:numPr>
        <w:rPr>
          <w:rFonts w:ascii="Arial" w:cs="Arial" w:eastAsia="Arial" w:hAnsi="Arial"/>
          <w:sz w:val="21"/>
          <w:szCs w:val="21"/>
          <w:color w:val="34657F"/>
        </w:rPr>
      </w:pPr>
      <w:r>
        <w:rPr>
          <w:rFonts w:ascii="Arial" w:cs="Arial" w:eastAsia="Arial" w:hAnsi="Arial"/>
          <w:sz w:val="17"/>
          <w:szCs w:val="17"/>
          <w:color w:val="auto"/>
        </w:rPr>
        <w:t>Policy and Procedure Regarding Company Transactions with Related Persons; and</w:t>
      </w:r>
    </w:p>
    <w:p>
      <w:pPr>
        <w:spacing w:after="0" w:line="79" w:lineRule="exact"/>
        <w:rPr>
          <w:rFonts w:ascii="Arial" w:cs="Arial" w:eastAsia="Arial" w:hAnsi="Arial"/>
          <w:sz w:val="21"/>
          <w:szCs w:val="21"/>
          <w:color w:val="34657F"/>
        </w:rPr>
      </w:pPr>
    </w:p>
    <w:p>
      <w:pPr>
        <w:ind w:left="240" w:hanging="237"/>
        <w:spacing w:after="0"/>
        <w:tabs>
          <w:tab w:leader="none" w:pos="240" w:val="left"/>
        </w:tabs>
        <w:numPr>
          <w:ilvl w:val="0"/>
          <w:numId w:val="101"/>
        </w:numPr>
        <w:rPr>
          <w:rFonts w:ascii="Arial" w:cs="Arial" w:eastAsia="Arial" w:hAnsi="Arial"/>
          <w:sz w:val="21"/>
          <w:szCs w:val="21"/>
          <w:color w:val="34657F"/>
        </w:rPr>
      </w:pPr>
      <w:r>
        <w:rPr>
          <w:rFonts w:ascii="Arial" w:cs="Arial" w:eastAsia="Arial" w:hAnsi="Arial"/>
          <w:sz w:val="17"/>
          <w:szCs w:val="17"/>
          <w:color w:val="auto"/>
        </w:rPr>
        <w:t>Board Committee Charters.</w:t>
      </w:r>
    </w:p>
    <w:p>
      <w:pPr>
        <w:spacing w:after="0" w:line="70" w:lineRule="exact"/>
        <w:rPr>
          <w:sz w:val="20"/>
          <w:szCs w:val="20"/>
          <w:color w:val="auto"/>
        </w:rPr>
      </w:pPr>
    </w:p>
    <w:p>
      <w:pPr>
        <w:spacing w:after="0" w:line="287" w:lineRule="auto"/>
        <w:rPr>
          <w:sz w:val="20"/>
          <w:szCs w:val="20"/>
          <w:color w:val="auto"/>
        </w:rPr>
      </w:pPr>
      <w:r>
        <w:rPr>
          <w:rFonts w:ascii="Arial" w:cs="Arial" w:eastAsia="Arial" w:hAnsi="Arial"/>
          <w:sz w:val="17"/>
          <w:szCs w:val="17"/>
          <w:color w:val="auto"/>
        </w:rPr>
        <w:t xml:space="preserve">Copies of these documents are also available without charge to any shareholder upon written request to the Corporate Secretary, </w:t>
      </w:r>
      <w:r>
        <w:rPr>
          <w:rFonts w:ascii="Arial" w:cs="Arial" w:eastAsia="Arial" w:hAnsi="Arial"/>
          <w:sz w:val="17"/>
          <w:szCs w:val="17"/>
          <w:b w:val="1"/>
          <w:bCs w:val="1"/>
          <w:i w:val="1"/>
          <w:iCs w:val="1"/>
          <w:color w:val="auto"/>
        </w:rPr>
        <w:t>Northrop Grumman</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Corporation, 2980 Fairview Park Drive, Falls Church, Virginia 22042</w:t>
      </w:r>
      <w:r>
        <w:rPr>
          <w:rFonts w:ascii="Arial" w:cs="Arial" w:eastAsia="Arial" w:hAnsi="Arial"/>
          <w:sz w:val="17"/>
          <w:szCs w:val="17"/>
          <w:color w:val="auto"/>
        </w:rPr>
        <w:t>.</w:t>
      </w:r>
    </w:p>
    <w:p>
      <w:pPr>
        <w:spacing w:after="0" w:line="40" w:lineRule="exact"/>
        <w:rPr>
          <w:sz w:val="20"/>
          <w:szCs w:val="20"/>
          <w:color w:val="auto"/>
        </w:rPr>
      </w:pPr>
    </w:p>
    <w:p>
      <w:pPr>
        <w:spacing w:after="0"/>
        <w:rPr>
          <w:sz w:val="20"/>
          <w:szCs w:val="20"/>
          <w:color w:val="auto"/>
        </w:rPr>
      </w:pPr>
      <w:r>
        <w:rPr>
          <w:rFonts w:ascii="Arial" w:cs="Arial" w:eastAsia="Arial" w:hAnsi="Arial"/>
          <w:sz w:val="17"/>
          <w:szCs w:val="17"/>
          <w:color w:val="auto"/>
        </w:rPr>
        <w:t>We disclose amendments to provisions of our Standards of Business Conduct by posting amendments on our website.</w:t>
      </w:r>
    </w:p>
    <w:p>
      <w:pPr>
        <w:spacing w:after="0" w:line="213" w:lineRule="exact"/>
        <w:rPr>
          <w:sz w:val="20"/>
          <w:szCs w:val="20"/>
          <w:color w:val="auto"/>
        </w:rPr>
      </w:pPr>
    </w:p>
    <w:p>
      <w:pPr>
        <w:ind w:left="20"/>
        <w:spacing w:after="0"/>
        <w:rPr>
          <w:sz w:val="20"/>
          <w:szCs w:val="20"/>
          <w:color w:val="auto"/>
        </w:rPr>
      </w:pPr>
      <w:r>
        <w:rPr>
          <w:rFonts w:ascii="Arial" w:cs="Arial" w:eastAsia="Arial" w:hAnsi="Arial"/>
          <w:sz w:val="24"/>
          <w:szCs w:val="24"/>
          <w:b w:val="1"/>
          <w:bCs w:val="1"/>
          <w:color w:val="auto"/>
        </w:rPr>
        <w:t>Incorporation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38100</wp:posOffset>
            </wp:positionV>
            <wp:extent cx="7253605" cy="1651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pacing w:after="0" w:line="116" w:lineRule="exact"/>
        <w:rPr>
          <w:sz w:val="20"/>
          <w:szCs w:val="20"/>
          <w:color w:val="auto"/>
        </w:rPr>
      </w:pPr>
    </w:p>
    <w:p>
      <w:pPr>
        <w:spacing w:after="0" w:line="254" w:lineRule="auto"/>
        <w:rPr>
          <w:sz w:val="20"/>
          <w:szCs w:val="20"/>
          <w:color w:val="auto"/>
        </w:rPr>
      </w:pPr>
      <w:r>
        <w:rPr>
          <w:rFonts w:ascii="Arial" w:cs="Arial" w:eastAsia="Arial" w:hAnsi="Arial"/>
          <w:sz w:val="17"/>
          <w:szCs w:val="17"/>
          <w:color w:val="auto"/>
        </w:rPr>
        <w:t>In accordance with SEC rules, notwithstanding anything to the contrary set forth in any of our previous or future filings under the Securities Act of 1933, as amended, or the Exchange Act, that might incorporate this Proxy Statement or future filings made by the Company under those statutes, the information included under the section entitled "Compensation Committee Report" and those portions of the information included under the section entitled "Audit Committee Report" required by the SEC's rules to be included therein, shall not be deemed to be "soliciting material" or "filed" with the SEC and shall not be deemed incorporated by reference into any of those prior filings or into any future filings made by the Company under those statutes, except to the extent we specifically incorporate these items by reference.</w:t>
      </w:r>
    </w:p>
    <w:p>
      <w:pPr>
        <w:spacing w:after="0" w:line="193" w:lineRule="exact"/>
        <w:rPr>
          <w:sz w:val="20"/>
          <w:szCs w:val="20"/>
          <w:color w:val="auto"/>
        </w:rPr>
      </w:pPr>
    </w:p>
    <w:p>
      <w:pPr>
        <w:ind w:left="20"/>
        <w:spacing w:after="0"/>
        <w:rPr>
          <w:sz w:val="20"/>
          <w:szCs w:val="20"/>
          <w:color w:val="auto"/>
        </w:rPr>
      </w:pPr>
      <w:r>
        <w:rPr>
          <w:rFonts w:ascii="Arial" w:cs="Arial" w:eastAsia="Arial" w:hAnsi="Arial"/>
          <w:sz w:val="24"/>
          <w:szCs w:val="24"/>
          <w:b w:val="1"/>
          <w:bCs w:val="1"/>
          <w:color w:val="auto"/>
        </w:rPr>
        <w:t>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38100</wp:posOffset>
            </wp:positionV>
            <wp:extent cx="7253605" cy="1651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color w:val="auto"/>
        </w:rPr>
        <w:t>March 29, 2019</w:t>
      </w:r>
    </w:p>
    <w:p>
      <w:pPr>
        <w:spacing w:after="0" w:line="87" w:lineRule="exact"/>
        <w:rPr>
          <w:sz w:val="20"/>
          <w:szCs w:val="20"/>
          <w:color w:val="auto"/>
        </w:rPr>
      </w:pPr>
    </w:p>
    <w:p>
      <w:pPr>
        <w:ind w:right="420" w:firstLine="308"/>
        <w:spacing w:after="0" w:line="255" w:lineRule="auto"/>
        <w:rPr>
          <w:sz w:val="20"/>
          <w:szCs w:val="20"/>
          <w:color w:val="auto"/>
        </w:rPr>
      </w:pPr>
      <w:r>
        <w:rPr>
          <w:rFonts w:ascii="Arial" w:cs="Arial" w:eastAsia="Arial" w:hAnsi="Arial"/>
          <w:sz w:val="17"/>
          <w:szCs w:val="17"/>
          <w:color w:val="auto"/>
        </w:rPr>
        <w:t>NOTICE: THE COMPANY FILED AN ANNUAL REPORT ON FORM 10-K FOR THE YEAR ENDED DECEMBER 31, 2018 ON JANUARY 31, 2019. SHAREHOLDERS OF RECORD ON MARCH 19, 2019 MAY OBTAIN A COPY OF THIS REPORT WITHOUT CHARGE UPON WRITTEN REQUEST TO THE CORPORATE SECRETARY, NORTHROP GRUMMAN CORPORATION, 2980 FAIRVIEW PARK DRIVE, FALLS CHURCH, VIRGINIA 22042.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5781675</wp:posOffset>
            </wp:positionH>
            <wp:positionV relativeFrom="paragraph">
              <wp:posOffset>140335</wp:posOffset>
            </wp:positionV>
            <wp:extent cx="1457325" cy="47244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1457325" cy="472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9100"/>
        <w:spacing w:after="0"/>
        <w:rPr>
          <w:sz w:val="20"/>
          <w:szCs w:val="20"/>
          <w:color w:val="auto"/>
        </w:rPr>
      </w:pPr>
      <w:r>
        <w:rPr>
          <w:rFonts w:ascii="Arial" w:cs="Arial" w:eastAsia="Arial" w:hAnsi="Arial"/>
          <w:sz w:val="17"/>
          <w:szCs w:val="17"/>
          <w:color w:val="auto"/>
        </w:rPr>
        <w:t>Jennifer C. McGarey</w:t>
      </w:r>
    </w:p>
    <w:p>
      <w:pPr>
        <w:spacing w:after="0" w:line="30" w:lineRule="exact"/>
        <w:rPr>
          <w:sz w:val="20"/>
          <w:szCs w:val="20"/>
          <w:color w:val="auto"/>
        </w:rPr>
      </w:pPr>
    </w:p>
    <w:p>
      <w:pPr>
        <w:ind w:left="9100"/>
        <w:spacing w:after="0"/>
        <w:rPr>
          <w:sz w:val="20"/>
          <w:szCs w:val="20"/>
          <w:color w:val="auto"/>
        </w:rPr>
      </w:pPr>
      <w:r>
        <w:rPr>
          <w:rFonts w:ascii="Arial" w:cs="Arial" w:eastAsia="Arial" w:hAnsi="Arial"/>
          <w:sz w:val="17"/>
          <w:szCs w:val="17"/>
          <w:i w:val="1"/>
          <w:iCs w:val="1"/>
          <w:color w:val="auto"/>
        </w:rPr>
        <w:t>Corporate Vice President and</w:t>
      </w:r>
    </w:p>
    <w:p>
      <w:pPr>
        <w:spacing w:after="0" w:line="15" w:lineRule="exact"/>
        <w:rPr>
          <w:sz w:val="20"/>
          <w:szCs w:val="20"/>
          <w:color w:val="auto"/>
        </w:rPr>
      </w:pPr>
    </w:p>
    <w:p>
      <w:pPr>
        <w:ind w:left="9100"/>
        <w:spacing w:after="0"/>
        <w:rPr>
          <w:sz w:val="20"/>
          <w:szCs w:val="20"/>
          <w:color w:val="auto"/>
        </w:rPr>
      </w:pPr>
      <w:r>
        <w:rPr>
          <w:rFonts w:ascii="Arial" w:cs="Arial" w:eastAsia="Arial" w:hAnsi="Arial"/>
          <w:sz w:val="17"/>
          <w:szCs w:val="17"/>
          <w:i w:val="1"/>
          <w:iCs w:val="1"/>
          <w:color w:val="auto"/>
        </w:rPr>
        <w:t>Secretary</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82 </w:t>
      </w:r>
      <w:r>
        <w:rPr>
          <w:rFonts w:ascii="Arial" w:cs="Arial" w:eastAsia="Arial" w:hAnsi="Arial"/>
          <w:sz w:val="13"/>
          <w:szCs w:val="13"/>
          <w:color w:val="auto"/>
        </w:rPr>
        <w:t>I</w:t>
      </w:r>
      <w:r>
        <w:rPr>
          <w:rFonts w:ascii="Arial" w:cs="Arial" w:eastAsia="Arial" w:hAnsi="Arial"/>
          <w:sz w:val="17"/>
          <w:szCs w:val="17"/>
          <w:color w:val="auto"/>
        </w:rPr>
        <w:t xml:space="preserve"> </w:t>
      </w:r>
      <w:r>
        <w:rPr>
          <w:rFonts w:ascii="Arial" w:cs="Arial" w:eastAsia="Arial" w:hAnsi="Arial"/>
          <w:sz w:val="13"/>
          <w:szCs w:val="13"/>
          <w:color w:val="34657F"/>
        </w:rPr>
        <w:t>NOTICE OF 2019 ANNUAL MEETING OF SHAREHOLDERS AND PROXY STATEMENT</w:t>
      </w:r>
    </w:p>
    <w:p>
      <w:pPr>
        <w:sectPr>
          <w:pgSz w:w="11900" w:h="16838" w:orient="portrait"/>
          <w:cols w:equalWidth="0" w:num="1">
            <w:col w:w="11400"/>
          </w:cols>
          <w:pgMar w:left="240" w:top="569" w:right="259" w:bottom="1440" w:gutter="0" w:footer="0" w:header="0"/>
        </w:sectPr>
      </w:pPr>
    </w:p>
    <w:bookmarkStart w:id="88" w:name="page89"/>
    <w:bookmarkEnd w:id="88"/>
    <w:p>
      <w:pPr>
        <w:ind w:left="20"/>
        <w:spacing w:after="0"/>
        <w:rPr>
          <w:sz w:val="20"/>
          <w:szCs w:val="20"/>
          <w:color w:val="auto"/>
        </w:rPr>
      </w:pPr>
      <w:r>
        <w:rPr>
          <w:rFonts w:ascii="Arial" w:cs="Arial" w:eastAsia="Arial" w:hAnsi="Arial"/>
          <w:sz w:val="19"/>
          <w:szCs w:val="19"/>
          <w:b w:val="1"/>
          <w:bCs w:val="1"/>
          <w:color w:val="FFFFFF"/>
        </w:rPr>
        <w:drawing>
          <wp:anchor simplePos="0" relativeHeight="251657728" behindDoc="1" locked="0" layoutInCell="0" allowOverlap="1">
            <wp:simplePos x="0" y="0"/>
            <wp:positionH relativeFrom="page">
              <wp:posOffset>154305</wp:posOffset>
            </wp:positionH>
            <wp:positionV relativeFrom="page">
              <wp:posOffset>349250</wp:posOffset>
            </wp:positionV>
            <wp:extent cx="7253605" cy="3092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53605" cy="309245"/>
                    </a:xfrm>
                    <a:prstGeom prst="rect">
                      <a:avLst/>
                    </a:prstGeom>
                    <a:noFill/>
                  </pic:spPr>
                </pic:pic>
              </a:graphicData>
            </a:graphic>
          </wp:anchor>
        </w:drawing>
        <w:t>APPENDIX A - USE OF NON-GAAP FINANCIAL MEASURES</w:t>
      </w:r>
    </w:p>
    <w:p>
      <w:pPr>
        <w:sectPr>
          <w:pgSz w:w="11900" w:h="16838" w:orient="portrait"/>
          <w:cols w:equalWidth="0" w:num="1">
            <w:col w:w="11420"/>
          </w:cols>
          <w:pgMar w:left="240" w:top="646" w:right="23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ind w:right="20"/>
        <w:spacing w:after="0" w:line="254" w:lineRule="auto"/>
        <w:rPr>
          <w:sz w:val="20"/>
          <w:szCs w:val="20"/>
          <w:color w:val="auto"/>
        </w:rPr>
      </w:pPr>
      <w:r>
        <w:rPr>
          <w:rFonts w:ascii="Arial" w:cs="Arial" w:eastAsia="Arial" w:hAnsi="Arial"/>
          <w:sz w:val="17"/>
          <w:szCs w:val="17"/>
          <w:color w:val="auto"/>
        </w:rPr>
        <w:t>This Proxy Statement contains non-GAAP (accounting principles generally accepted in the United States of America) financial measures, as defined by SEC Regulation G and indicated by an asterisk in this Proxy Statement. While we believe investors and other users of our financial statements may find these non-GAAP financial measures useful in evaluating our financial performance and operational trends, they should be considered as supplemental in nature, and therefore, should not be considered in isolation or as a substitute for financial information prepared in accordance with GAAP. Definitions and reconciliations for the non-GAAP financial measures contained in this Proxy Statement are provided below. Other companies may define these measures differently or may utilize different non-GAAP financial measures.</w:t>
      </w:r>
    </w:p>
    <w:p>
      <w:pPr>
        <w:spacing w:after="0" w:line="66" w:lineRule="exact"/>
        <w:rPr>
          <w:sz w:val="20"/>
          <w:szCs w:val="20"/>
          <w:color w:val="auto"/>
        </w:rPr>
      </w:pPr>
    </w:p>
    <w:p>
      <w:pPr>
        <w:ind w:right="120"/>
        <w:spacing w:after="0" w:line="254" w:lineRule="auto"/>
        <w:rPr>
          <w:sz w:val="20"/>
          <w:szCs w:val="20"/>
          <w:color w:val="auto"/>
        </w:rPr>
      </w:pPr>
      <w:r>
        <w:rPr>
          <w:rFonts w:ascii="Arial" w:cs="Arial" w:eastAsia="Arial" w:hAnsi="Arial"/>
          <w:sz w:val="17"/>
          <w:szCs w:val="17"/>
          <w:color w:val="auto"/>
        </w:rPr>
        <w:t>Certain of the non-GAAP financial measures below are used as internal measures for performance-based compensation decisions, as further discussed in the “Key Components of our Programs” section of Compensation Discussion and Analysis. The Compensation Committee has discretion to make adjustments to these measures in instances where the Company’s performance has been impacted by unforeseen or unusual events. For 2018, the Compensation Committee adjusted the calculation of certain of these measures in order to exclude the impact of certain events or transactions that were not contemplated when the performance metrics were established.</w:t>
      </w:r>
    </w:p>
    <w:p>
      <w:pPr>
        <w:spacing w:after="0" w:line="48" w:lineRule="exact"/>
        <w:rPr>
          <w:sz w:val="20"/>
          <w:szCs w:val="20"/>
          <w:color w:val="auto"/>
        </w:rPr>
      </w:pPr>
    </w:p>
    <w:p>
      <w:pPr>
        <w:ind w:right="100"/>
        <w:spacing w:after="0" w:line="260" w:lineRule="auto"/>
        <w:rPr>
          <w:sz w:val="20"/>
          <w:szCs w:val="20"/>
          <w:color w:val="auto"/>
        </w:rPr>
      </w:pPr>
      <w:r>
        <w:rPr>
          <w:rFonts w:ascii="Arial" w:cs="Arial" w:eastAsia="Arial" w:hAnsi="Arial"/>
          <w:sz w:val="17"/>
          <w:szCs w:val="17"/>
          <w:b w:val="1"/>
          <w:bCs w:val="1"/>
          <w:u w:val="single" w:color="auto"/>
          <w:color w:val="auto"/>
        </w:rPr>
        <w:t>Cash flow metrics</w:t>
      </w:r>
      <w:r>
        <w:rPr>
          <w:rFonts w:ascii="Arial" w:cs="Arial" w:eastAsia="Arial" w:hAnsi="Arial"/>
          <w:sz w:val="17"/>
          <w:szCs w:val="17"/>
          <w:color w:val="auto"/>
        </w:rPr>
        <w:t>: We use cash flow metrics as internal measures of financial performance and for performance-based compensation decisions. We</w:t>
      </w:r>
      <w:r>
        <w:rPr>
          <w:rFonts w:ascii="Arial" w:cs="Arial" w:eastAsia="Arial" w:hAnsi="Arial"/>
          <w:sz w:val="17"/>
          <w:szCs w:val="17"/>
          <w:b w:val="1"/>
          <w:bCs w:val="1"/>
          <w:color w:val="auto"/>
        </w:rPr>
        <w:t xml:space="preserve"> </w:t>
      </w:r>
      <w:r>
        <w:rPr>
          <w:rFonts w:ascii="Arial" w:cs="Arial" w:eastAsia="Arial" w:hAnsi="Arial"/>
          <w:sz w:val="17"/>
          <w:szCs w:val="17"/>
          <w:color w:val="auto"/>
        </w:rPr>
        <w:t>also use these measures as a key factor in our planning for, and consideration of, acquisitions, payments of dividends and share repurchases. The following cash flow metrics may be useful to investors and other users of our financial statements as a supplemental measure of our cash performance, but should not be considered in isolation, as a measure of residual cash flow available for discretionary purposes, or as an alternative to operating results presented in accordance with GAAP.</w:t>
      </w:r>
    </w:p>
    <w:p>
      <w:pPr>
        <w:spacing w:after="0" w:line="44" w:lineRule="exact"/>
        <w:rPr>
          <w:sz w:val="20"/>
          <w:szCs w:val="20"/>
          <w:color w:val="auto"/>
        </w:rPr>
      </w:pPr>
    </w:p>
    <w:p>
      <w:pPr>
        <w:ind w:left="620" w:right="180"/>
        <w:spacing w:after="0" w:line="269" w:lineRule="auto"/>
        <w:rPr>
          <w:sz w:val="20"/>
          <w:szCs w:val="20"/>
          <w:color w:val="auto"/>
        </w:rPr>
      </w:pPr>
      <w:r>
        <w:rPr>
          <w:rFonts w:ascii="Arial" w:cs="Arial" w:eastAsia="Arial" w:hAnsi="Arial"/>
          <w:sz w:val="17"/>
          <w:szCs w:val="17"/>
          <w:b w:val="1"/>
          <w:bCs w:val="1"/>
          <w:u w:val="single" w:color="auto"/>
          <w:color w:val="auto"/>
        </w:rPr>
        <w:t>Cash provided by operating activities before after-tax discretionary pension contribution</w:t>
      </w:r>
      <w:r>
        <w:rPr>
          <w:rFonts w:ascii="Arial" w:cs="Arial" w:eastAsia="Arial" w:hAnsi="Arial"/>
          <w:sz w:val="17"/>
          <w:szCs w:val="17"/>
          <w:color w:val="auto"/>
        </w:rPr>
        <w:t>: Cash provided by operating activities before</w:t>
      </w:r>
      <w:r>
        <w:rPr>
          <w:rFonts w:ascii="Arial" w:cs="Arial" w:eastAsia="Arial" w:hAnsi="Arial"/>
          <w:sz w:val="17"/>
          <w:szCs w:val="17"/>
          <w:b w:val="1"/>
          <w:bCs w:val="1"/>
          <w:color w:val="auto"/>
        </w:rPr>
        <w:t xml:space="preserve"> </w:t>
      </w:r>
      <w:r>
        <w:rPr>
          <w:rFonts w:ascii="Arial" w:cs="Arial" w:eastAsia="Arial" w:hAnsi="Arial"/>
          <w:sz w:val="17"/>
          <w:szCs w:val="17"/>
          <w:color w:val="auto"/>
        </w:rPr>
        <w:t>the after-tax impact of discretionary pension contributions. Cash provided by operating activities before after-tax discretionary pension contributions is reconciled below.</w:t>
      </w:r>
    </w:p>
    <w:p>
      <w:pPr>
        <w:spacing w:after="0" w:line="35" w:lineRule="exact"/>
        <w:rPr>
          <w:sz w:val="20"/>
          <w:szCs w:val="20"/>
          <w:color w:val="auto"/>
        </w:rPr>
      </w:pPr>
    </w:p>
    <w:p>
      <w:pPr>
        <w:ind w:left="620" w:right="40"/>
        <w:spacing w:after="0" w:line="263" w:lineRule="auto"/>
        <w:rPr>
          <w:sz w:val="20"/>
          <w:szCs w:val="20"/>
          <w:color w:val="auto"/>
        </w:rPr>
      </w:pPr>
      <w:r>
        <w:rPr>
          <w:rFonts w:ascii="Arial" w:cs="Arial" w:eastAsia="Arial" w:hAnsi="Arial"/>
          <w:sz w:val="17"/>
          <w:szCs w:val="17"/>
          <w:b w:val="1"/>
          <w:bCs w:val="1"/>
          <w:u w:val="single" w:color="auto"/>
          <w:color w:val="auto"/>
        </w:rPr>
        <w:t>Pension-adjusted cash flow from operations</w:t>
      </w:r>
      <w:r>
        <w:rPr>
          <w:rFonts w:ascii="Arial" w:cs="Arial" w:eastAsia="Arial" w:hAnsi="Arial"/>
          <w:sz w:val="17"/>
          <w:szCs w:val="17"/>
          <w:color w:val="auto"/>
        </w:rPr>
        <w:t>: Cash provided by operating activities before the after-tax impact of discretionary pension</w:t>
      </w:r>
      <w:r>
        <w:rPr>
          <w:rFonts w:ascii="Arial" w:cs="Arial" w:eastAsia="Arial" w:hAnsi="Arial"/>
          <w:sz w:val="17"/>
          <w:szCs w:val="17"/>
          <w:b w:val="1"/>
          <w:bCs w:val="1"/>
          <w:color w:val="auto"/>
        </w:rPr>
        <w:t xml:space="preserve"> </w:t>
      </w:r>
      <w:r>
        <w:rPr>
          <w:rFonts w:ascii="Arial" w:cs="Arial" w:eastAsia="Arial" w:hAnsi="Arial"/>
          <w:sz w:val="17"/>
          <w:szCs w:val="17"/>
          <w:color w:val="auto"/>
        </w:rPr>
        <w:t>contributions. As approved by the Compensation Committee, this metric has been adjusted to exclude the impacts of the addition of Innovation Systems and Orbital ATK transaction-related expenses. Orbital ATK transaction-related expenses are primarily comprised of advisory, legal and other costs related to the completion of the transaction. Pension-adjusted cash flow from operations is reconciled below.</w:t>
      </w:r>
    </w:p>
    <w:p>
      <w:pPr>
        <w:spacing w:after="0" w:line="41" w:lineRule="exact"/>
        <w:rPr>
          <w:sz w:val="20"/>
          <w:szCs w:val="20"/>
          <w:color w:val="auto"/>
        </w:rPr>
      </w:pPr>
    </w:p>
    <w:p>
      <w:pPr>
        <w:ind w:left="620"/>
        <w:spacing w:after="0"/>
        <w:rPr>
          <w:sz w:val="20"/>
          <w:szCs w:val="20"/>
          <w:color w:val="auto"/>
        </w:rPr>
      </w:pPr>
      <w:r>
        <w:rPr>
          <w:rFonts w:ascii="Arial" w:cs="Arial" w:eastAsia="Arial" w:hAnsi="Arial"/>
          <w:sz w:val="17"/>
          <w:szCs w:val="17"/>
          <w:b w:val="1"/>
          <w:bCs w:val="1"/>
          <w:u w:val="single" w:color="auto"/>
          <w:color w:val="auto"/>
        </w:rPr>
        <w:t>Free cash flow</w:t>
      </w:r>
      <w:r>
        <w:rPr>
          <w:rFonts w:ascii="Arial" w:cs="Arial" w:eastAsia="Arial" w:hAnsi="Arial"/>
          <w:sz w:val="17"/>
          <w:szCs w:val="17"/>
          <w:color w:val="auto"/>
        </w:rPr>
        <w:t>: Net cash provided by operating activities less capital expenditures. Free cash flow is reconciled below.</w:t>
      </w:r>
    </w:p>
    <w:p>
      <w:pPr>
        <w:spacing w:after="0" w:line="87" w:lineRule="exact"/>
        <w:rPr>
          <w:sz w:val="20"/>
          <w:szCs w:val="20"/>
          <w:color w:val="auto"/>
        </w:rPr>
      </w:pPr>
    </w:p>
    <w:p>
      <w:pPr>
        <w:ind w:left="620"/>
        <w:spacing w:after="0" w:line="263" w:lineRule="auto"/>
        <w:rPr>
          <w:sz w:val="20"/>
          <w:szCs w:val="20"/>
          <w:color w:val="auto"/>
        </w:rPr>
      </w:pPr>
      <w:r>
        <w:rPr>
          <w:rFonts w:ascii="Arial" w:cs="Arial" w:eastAsia="Arial" w:hAnsi="Arial"/>
          <w:sz w:val="17"/>
          <w:szCs w:val="17"/>
          <w:b w:val="1"/>
          <w:bCs w:val="1"/>
          <w:u w:val="single" w:color="auto"/>
          <w:color w:val="auto"/>
        </w:rPr>
        <w:t>Free cash flow before after-tax total pension funding</w:t>
      </w:r>
      <w:r>
        <w:rPr>
          <w:rFonts w:ascii="Arial" w:cs="Arial" w:eastAsia="Arial" w:hAnsi="Arial"/>
          <w:sz w:val="17"/>
          <w:szCs w:val="17"/>
          <w:color w:val="auto"/>
        </w:rPr>
        <w:t>: Free cash flow before the after-tax impact of total pension funding. As approved by</w:t>
      </w:r>
      <w:r>
        <w:rPr>
          <w:rFonts w:ascii="Arial" w:cs="Arial" w:eastAsia="Arial" w:hAnsi="Arial"/>
          <w:sz w:val="17"/>
          <w:szCs w:val="17"/>
          <w:b w:val="1"/>
          <w:bCs w:val="1"/>
          <w:color w:val="auto"/>
        </w:rPr>
        <w:t xml:space="preserve"> </w:t>
      </w:r>
      <w:r>
        <w:rPr>
          <w:rFonts w:ascii="Arial" w:cs="Arial" w:eastAsia="Arial" w:hAnsi="Arial"/>
          <w:sz w:val="17"/>
          <w:szCs w:val="17"/>
          <w:color w:val="auto"/>
        </w:rPr>
        <w:t>the Compensation Committee, this metric has been adjusted to exclude the impacts of the addition of Innovation Systems and Orbital ATK transaction-related expenses. Orbital ATK transaction-related expenses are primarily comprised of advisory, legal and other costs related to the completion of the transaction. Free cash flow before after-tax total pension funding is reconciled below.</w:t>
      </w:r>
    </w:p>
    <w:p>
      <w:pPr>
        <w:spacing w:after="0" w:line="41"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Cumulative free cash flow</w:t>
      </w:r>
      <w:r>
        <w:rPr>
          <w:rFonts w:ascii="Arial" w:cs="Arial" w:eastAsia="Arial" w:hAnsi="Arial"/>
          <w:sz w:val="17"/>
          <w:szCs w:val="17"/>
          <w:color w:val="auto"/>
        </w:rPr>
        <w:t>: The aggregate free cash flow before the after-tax impact of total pension funding over a three-year period.</w:t>
      </w:r>
    </w:p>
    <w:p>
      <w:pPr>
        <w:spacing w:after="0" w:line="87" w:lineRule="exact"/>
        <w:rPr>
          <w:sz w:val="20"/>
          <w:szCs w:val="20"/>
          <w:color w:val="auto"/>
        </w:rPr>
      </w:pPr>
    </w:p>
    <w:p>
      <w:pPr>
        <w:ind w:right="80"/>
        <w:spacing w:after="0" w:line="260" w:lineRule="auto"/>
        <w:rPr>
          <w:sz w:val="20"/>
          <w:szCs w:val="20"/>
          <w:color w:val="auto"/>
        </w:rPr>
      </w:pPr>
      <w:r>
        <w:rPr>
          <w:rFonts w:ascii="Arial" w:cs="Arial" w:eastAsia="Arial" w:hAnsi="Arial"/>
          <w:sz w:val="17"/>
          <w:szCs w:val="17"/>
          <w:b w:val="1"/>
          <w:bCs w:val="1"/>
          <w:u w:val="single" w:color="auto"/>
          <w:color w:val="auto"/>
        </w:rPr>
        <w:t>Pension-adjusted metrics</w:t>
      </w:r>
      <w:r>
        <w:rPr>
          <w:rFonts w:ascii="Arial" w:cs="Arial" w:eastAsia="Arial" w:hAnsi="Arial"/>
          <w:sz w:val="17"/>
          <w:szCs w:val="17"/>
          <w:color w:val="auto"/>
        </w:rPr>
        <w:t>: For financial statement purposes, we account for our employee pension plans in accordance with GAAP (FAS). However,</w:t>
      </w:r>
      <w:r>
        <w:rPr>
          <w:rFonts w:ascii="Arial" w:cs="Arial" w:eastAsia="Arial" w:hAnsi="Arial"/>
          <w:sz w:val="17"/>
          <w:szCs w:val="17"/>
          <w:b w:val="1"/>
          <w:bCs w:val="1"/>
          <w:color w:val="auto"/>
        </w:rPr>
        <w:t xml:space="preserve"> </w:t>
      </w:r>
      <w:r>
        <w:rPr>
          <w:rFonts w:ascii="Arial" w:cs="Arial" w:eastAsia="Arial" w:hAnsi="Arial"/>
          <w:sz w:val="17"/>
          <w:szCs w:val="17"/>
          <w:color w:val="auto"/>
        </w:rPr>
        <w:t>the cost of these plans is charged to our contracts in accordance with the Federal Acquisition Regulation (FAR) and the related U.S. Government Cost Accounting Standards (CAS) that govern such plans. We use pension-adjusted metrics as internal measures of financial performance and for performance-based compensation decisions. The following pension-adjusted measures may be useful to investors and other users of our financial statements in evaluating our performance based upon the pension costs charged to our contracts.</w:t>
      </w:r>
    </w:p>
    <w:p>
      <w:pPr>
        <w:spacing w:after="0" w:line="44" w:lineRule="exact"/>
        <w:rPr>
          <w:sz w:val="20"/>
          <w:szCs w:val="20"/>
          <w:color w:val="auto"/>
        </w:rPr>
      </w:pPr>
    </w:p>
    <w:p>
      <w:pPr>
        <w:ind w:left="620" w:right="20"/>
        <w:spacing w:after="0" w:line="269" w:lineRule="auto"/>
        <w:rPr>
          <w:sz w:val="20"/>
          <w:szCs w:val="20"/>
          <w:color w:val="auto"/>
        </w:rPr>
      </w:pPr>
      <w:r>
        <w:rPr>
          <w:rFonts w:ascii="Arial" w:cs="Arial" w:eastAsia="Arial" w:hAnsi="Arial"/>
          <w:sz w:val="17"/>
          <w:szCs w:val="17"/>
          <w:b w:val="1"/>
          <w:bCs w:val="1"/>
          <w:u w:val="single" w:color="auto"/>
          <w:color w:val="auto"/>
        </w:rPr>
        <w:t>Net FAS (service)/CAS pension adjustment</w:t>
      </w:r>
      <w:r>
        <w:rPr>
          <w:rFonts w:ascii="Arial" w:cs="Arial" w:eastAsia="Arial" w:hAnsi="Arial"/>
          <w:sz w:val="17"/>
          <w:szCs w:val="17"/>
          <w:color w:val="auto"/>
        </w:rPr>
        <w:t>: The difference between pension expense charged to contracts and included as cost in segment</w:t>
      </w:r>
      <w:r>
        <w:rPr>
          <w:rFonts w:ascii="Arial" w:cs="Arial" w:eastAsia="Arial" w:hAnsi="Arial"/>
          <w:sz w:val="17"/>
          <w:szCs w:val="17"/>
          <w:b w:val="1"/>
          <w:bCs w:val="1"/>
          <w:color w:val="auto"/>
        </w:rPr>
        <w:t xml:space="preserve"> </w:t>
      </w:r>
      <w:r>
        <w:rPr>
          <w:rFonts w:ascii="Arial" w:cs="Arial" w:eastAsia="Arial" w:hAnsi="Arial"/>
          <w:sz w:val="17"/>
          <w:szCs w:val="17"/>
          <w:color w:val="auto"/>
        </w:rPr>
        <w:t>operating income in accordance with CAS and the service cost component of pension expense determined in accordance with FAS. Net FAS (service)/CAS pension adjustment is presented below.</w:t>
      </w:r>
    </w:p>
    <w:p>
      <w:pPr>
        <w:spacing w:after="0" w:line="35" w:lineRule="exact"/>
        <w:rPr>
          <w:sz w:val="20"/>
          <w:szCs w:val="20"/>
          <w:color w:val="auto"/>
        </w:rPr>
      </w:pPr>
    </w:p>
    <w:p>
      <w:pPr>
        <w:ind w:left="620" w:right="120"/>
        <w:spacing w:after="0" w:line="260" w:lineRule="auto"/>
        <w:rPr>
          <w:sz w:val="20"/>
          <w:szCs w:val="20"/>
          <w:color w:val="auto"/>
        </w:rPr>
      </w:pPr>
      <w:r>
        <w:rPr>
          <w:rFonts w:ascii="Arial" w:cs="Arial" w:eastAsia="Arial" w:hAnsi="Arial"/>
          <w:sz w:val="17"/>
          <w:szCs w:val="17"/>
          <w:b w:val="1"/>
          <w:bCs w:val="1"/>
          <w:u w:val="single" w:color="auto"/>
          <w:color w:val="auto"/>
        </w:rPr>
        <w:t>Pension-adjusted operating income</w:t>
      </w:r>
      <w:r>
        <w:rPr>
          <w:rFonts w:ascii="Arial" w:cs="Arial" w:eastAsia="Arial" w:hAnsi="Arial"/>
          <w:sz w:val="17"/>
          <w:szCs w:val="17"/>
          <w:color w:val="auto"/>
        </w:rPr>
        <w:t>: Operating income before the net FAS (service)/CAS pension adjustment as defined above. As</w:t>
      </w:r>
      <w:r>
        <w:rPr>
          <w:rFonts w:ascii="Arial" w:cs="Arial" w:eastAsia="Arial" w:hAnsi="Arial"/>
          <w:sz w:val="17"/>
          <w:szCs w:val="17"/>
          <w:b w:val="1"/>
          <w:bCs w:val="1"/>
          <w:color w:val="auto"/>
        </w:rPr>
        <w:t xml:space="preserve"> </w:t>
      </w:r>
      <w:r>
        <w:rPr>
          <w:rFonts w:ascii="Arial" w:cs="Arial" w:eastAsia="Arial" w:hAnsi="Arial"/>
          <w:sz w:val="17"/>
          <w:szCs w:val="17"/>
          <w:color w:val="auto"/>
        </w:rPr>
        <w:t>approved by the Compensation Committee, this metric has been adjusted to exclude Innovation Systems operating income, intangible asset amortization and PP&amp;E step-up depreciation, and Orbital ATK transaction-related expenses, which were not contemplated when the performance metrics were established for 2018. Orbital ATK transaction-related expenses are primarily comprised of advisory, legal and other costs related to the completion of the transaction. Pension-adjusted operating income is reconciled below.</w:t>
      </w:r>
    </w:p>
    <w:p>
      <w:pPr>
        <w:spacing w:after="0" w:line="44" w:lineRule="exact"/>
        <w:rPr>
          <w:sz w:val="20"/>
          <w:szCs w:val="20"/>
          <w:color w:val="auto"/>
        </w:rPr>
      </w:pPr>
    </w:p>
    <w:p>
      <w:pPr>
        <w:ind w:left="620" w:right="480"/>
        <w:spacing w:after="0" w:line="287" w:lineRule="auto"/>
        <w:rPr>
          <w:sz w:val="20"/>
          <w:szCs w:val="20"/>
          <w:color w:val="auto"/>
        </w:rPr>
      </w:pPr>
      <w:r>
        <w:rPr>
          <w:rFonts w:ascii="Arial" w:cs="Arial" w:eastAsia="Arial" w:hAnsi="Arial"/>
          <w:sz w:val="17"/>
          <w:szCs w:val="17"/>
          <w:b w:val="1"/>
          <w:bCs w:val="1"/>
          <w:u w:val="single" w:color="auto"/>
          <w:color w:val="auto"/>
        </w:rPr>
        <w:t>Pension-adjusted operating margin rate</w:t>
      </w:r>
      <w:r>
        <w:rPr>
          <w:rFonts w:ascii="Arial" w:cs="Arial" w:eastAsia="Arial" w:hAnsi="Arial"/>
          <w:sz w:val="17"/>
          <w:szCs w:val="17"/>
          <w:color w:val="auto"/>
        </w:rPr>
        <w:t>: Pension-adjusted operating income as defined above, divided by sales (excluding Innovation</w:t>
      </w:r>
      <w:r>
        <w:rPr>
          <w:rFonts w:ascii="Arial" w:cs="Arial" w:eastAsia="Arial" w:hAnsi="Arial"/>
          <w:sz w:val="17"/>
          <w:szCs w:val="17"/>
          <w:b w:val="1"/>
          <w:bCs w:val="1"/>
          <w:color w:val="auto"/>
        </w:rPr>
        <w:t xml:space="preserve"> </w:t>
      </w:r>
      <w:r>
        <w:rPr>
          <w:rFonts w:ascii="Arial" w:cs="Arial" w:eastAsia="Arial" w:hAnsi="Arial"/>
          <w:sz w:val="17"/>
          <w:szCs w:val="17"/>
          <w:color w:val="auto"/>
        </w:rPr>
        <w:t>Systems sales). Pension-adjusted operating margin rate is reconciled below.</w:t>
      </w:r>
    </w:p>
    <w:p>
      <w:pPr>
        <w:spacing w:after="0" w:line="270"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A-1 </w:t>
      </w:r>
      <w:r>
        <w:rPr>
          <w:rFonts w:ascii="Arial" w:cs="Arial" w:eastAsia="Arial" w:hAnsi="Arial"/>
          <w:sz w:val="13"/>
          <w:szCs w:val="13"/>
          <w:color w:val="auto"/>
        </w:rPr>
        <w:t>I</w:t>
      </w:r>
      <w:r>
        <w:rPr>
          <w:rFonts w:ascii="Arial" w:cs="Arial" w:eastAsia="Arial" w:hAnsi="Arial"/>
          <w:sz w:val="17"/>
          <w:szCs w:val="17"/>
          <w:color w:val="auto"/>
        </w:rPr>
        <w:t xml:space="preserve"> </w:t>
      </w:r>
      <w:r>
        <w:rPr>
          <w:rFonts w:ascii="Arial" w:cs="Arial" w:eastAsia="Arial" w:hAnsi="Arial"/>
          <w:sz w:val="13"/>
          <w:szCs w:val="13"/>
          <w:color w:val="34657F"/>
        </w:rPr>
        <w:t>NOTICE OF 2019 ANNUAL MEETING OF SHAREHOLDERS AND PROXY STATEMENT</w:t>
      </w:r>
    </w:p>
    <w:p>
      <w:pPr>
        <w:sectPr>
          <w:pgSz w:w="11900" w:h="16838" w:orient="portrait"/>
          <w:cols w:equalWidth="0" w:num="1">
            <w:col w:w="11420"/>
          </w:cols>
          <w:pgMar w:left="240" w:top="646" w:right="239" w:bottom="1440" w:gutter="0" w:footer="0" w:header="0"/>
          <w:type w:val="continuous"/>
        </w:sectPr>
      </w:pPr>
    </w:p>
    <w:bookmarkStart w:id="89" w:name="page90"/>
    <w:bookmarkEnd w:id="89"/>
    <w:p>
      <w:pPr>
        <w:ind w:left="20"/>
        <w:spacing w:after="0"/>
        <w:rPr>
          <w:sz w:val="20"/>
          <w:szCs w:val="20"/>
          <w:color w:val="auto"/>
        </w:rPr>
      </w:pPr>
      <w:r>
        <w:rPr>
          <w:rFonts w:ascii="Arial" w:cs="Arial" w:eastAsia="Arial" w:hAnsi="Arial"/>
          <w:sz w:val="21"/>
          <w:szCs w:val="21"/>
          <w:b w:val="1"/>
          <w:bCs w:val="1"/>
          <w:color w:val="FFFFFF"/>
        </w:rPr>
        <w:drawing>
          <wp:anchor simplePos="0" relativeHeight="251657728" behindDoc="1" locked="0" layoutInCell="0" allowOverlap="1">
            <wp:simplePos x="0" y="0"/>
            <wp:positionH relativeFrom="page">
              <wp:posOffset>154305</wp:posOffset>
            </wp:positionH>
            <wp:positionV relativeFrom="page">
              <wp:posOffset>349250</wp:posOffset>
            </wp:positionV>
            <wp:extent cx="7253605" cy="3092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53605" cy="309245"/>
                    </a:xfrm>
                    <a:prstGeom prst="rect">
                      <a:avLst/>
                    </a:prstGeom>
                    <a:noFill/>
                  </pic:spPr>
                </pic:pic>
              </a:graphicData>
            </a:graphic>
          </wp:anchor>
        </w:drawing>
        <w:t>APPENDIX A - USE OF NON-GAAP FINANCIAL MEASURES</w:t>
      </w:r>
    </w:p>
    <w:p>
      <w:pPr>
        <w:spacing w:after="0" w:line="360" w:lineRule="exact"/>
        <w:rPr>
          <w:sz w:val="20"/>
          <w:szCs w:val="20"/>
          <w:color w:val="auto"/>
        </w:rPr>
      </w:pPr>
    </w:p>
    <w:p>
      <w:pPr>
        <w:ind w:left="620" w:right="520"/>
        <w:spacing w:after="0" w:line="287" w:lineRule="auto"/>
        <w:rPr>
          <w:sz w:val="20"/>
          <w:szCs w:val="20"/>
          <w:color w:val="auto"/>
        </w:rPr>
      </w:pPr>
      <w:r>
        <w:rPr>
          <w:rFonts w:ascii="Arial" w:cs="Arial" w:eastAsia="Arial" w:hAnsi="Arial"/>
          <w:sz w:val="17"/>
          <w:szCs w:val="17"/>
          <w:b w:val="1"/>
          <w:bCs w:val="1"/>
          <w:u w:val="single" w:color="auto"/>
          <w:color w:val="auto"/>
        </w:rPr>
        <w:t>Total net FAS/CAS pension adjustment</w:t>
      </w:r>
      <w:r>
        <w:rPr>
          <w:rFonts w:ascii="Arial" w:cs="Arial" w:eastAsia="Arial" w:hAnsi="Arial"/>
          <w:sz w:val="17"/>
          <w:szCs w:val="17"/>
          <w:color w:val="auto"/>
        </w:rPr>
        <w:t>: The combined net FAS (service)/CAS pension adjustment and net FAS (non-service) pension</w:t>
      </w:r>
      <w:r>
        <w:rPr>
          <w:rFonts w:ascii="Arial" w:cs="Arial" w:eastAsia="Arial" w:hAnsi="Arial"/>
          <w:sz w:val="17"/>
          <w:szCs w:val="17"/>
          <w:b w:val="1"/>
          <w:bCs w:val="1"/>
          <w:color w:val="auto"/>
        </w:rPr>
        <w:t xml:space="preserve"> </w:t>
      </w:r>
      <w:r>
        <w:rPr>
          <w:rFonts w:ascii="Arial" w:cs="Arial" w:eastAsia="Arial" w:hAnsi="Arial"/>
          <w:sz w:val="17"/>
          <w:szCs w:val="17"/>
          <w:color w:val="auto"/>
        </w:rPr>
        <w:t>benefit.</w:t>
      </w:r>
    </w:p>
    <w:p>
      <w:pPr>
        <w:spacing w:after="0" w:line="20" w:lineRule="exact"/>
        <w:rPr>
          <w:sz w:val="20"/>
          <w:szCs w:val="20"/>
          <w:color w:val="auto"/>
        </w:rPr>
      </w:pPr>
    </w:p>
    <w:p>
      <w:pPr>
        <w:ind w:left="620" w:right="100"/>
        <w:spacing w:after="0" w:line="287" w:lineRule="auto"/>
        <w:rPr>
          <w:sz w:val="20"/>
          <w:szCs w:val="20"/>
          <w:color w:val="auto"/>
        </w:rPr>
      </w:pPr>
      <w:r>
        <w:rPr>
          <w:rFonts w:ascii="Arial" w:cs="Arial" w:eastAsia="Arial" w:hAnsi="Arial"/>
          <w:sz w:val="17"/>
          <w:szCs w:val="17"/>
          <w:b w:val="1"/>
          <w:bCs w:val="1"/>
          <w:u w:val="single" w:color="auto"/>
          <w:color w:val="auto"/>
        </w:rPr>
        <w:t>After-tax net pension adjustment</w:t>
      </w:r>
      <w:r>
        <w:rPr>
          <w:rFonts w:ascii="Arial" w:cs="Arial" w:eastAsia="Arial" w:hAnsi="Arial"/>
          <w:sz w:val="17"/>
          <w:szCs w:val="17"/>
          <w:color w:val="auto"/>
        </w:rPr>
        <w:t>: The net income impact, after tax at the statutory rate of 21 percent, of the net FAS (service)/CAS pension</w:t>
      </w:r>
      <w:r>
        <w:rPr>
          <w:rFonts w:ascii="Arial" w:cs="Arial" w:eastAsia="Arial" w:hAnsi="Arial"/>
          <w:sz w:val="17"/>
          <w:szCs w:val="17"/>
          <w:b w:val="1"/>
          <w:bCs w:val="1"/>
          <w:color w:val="auto"/>
        </w:rPr>
        <w:t xml:space="preserve"> </w:t>
      </w:r>
      <w:r>
        <w:rPr>
          <w:rFonts w:ascii="Arial" w:cs="Arial" w:eastAsia="Arial" w:hAnsi="Arial"/>
          <w:sz w:val="17"/>
          <w:szCs w:val="17"/>
          <w:color w:val="auto"/>
        </w:rPr>
        <w:t>adjustment and net FAS (non-service) pension benefit as defined above. After-tax net pension adjustment is presented below.</w:t>
      </w:r>
    </w:p>
    <w:p>
      <w:pPr>
        <w:spacing w:after="0" w:line="20" w:lineRule="exact"/>
        <w:rPr>
          <w:sz w:val="20"/>
          <w:szCs w:val="20"/>
          <w:color w:val="auto"/>
        </w:rPr>
      </w:pPr>
    </w:p>
    <w:p>
      <w:pPr>
        <w:ind w:left="620" w:right="80"/>
        <w:spacing w:after="0" w:line="260" w:lineRule="auto"/>
        <w:rPr>
          <w:sz w:val="20"/>
          <w:szCs w:val="20"/>
          <w:color w:val="auto"/>
        </w:rPr>
      </w:pPr>
      <w:r>
        <w:rPr>
          <w:rFonts w:ascii="Arial" w:cs="Arial" w:eastAsia="Arial" w:hAnsi="Arial"/>
          <w:sz w:val="17"/>
          <w:szCs w:val="17"/>
          <w:b w:val="1"/>
          <w:bCs w:val="1"/>
          <w:u w:val="single" w:color="auto"/>
          <w:color w:val="auto"/>
        </w:rPr>
        <w:t>Pension-adjusted net income</w:t>
      </w:r>
      <w:r>
        <w:rPr>
          <w:rFonts w:ascii="Arial" w:cs="Arial" w:eastAsia="Arial" w:hAnsi="Arial"/>
          <w:sz w:val="17"/>
          <w:szCs w:val="17"/>
          <w:color w:val="auto"/>
        </w:rPr>
        <w:t>: Net income before the after-tax net pension adjustment as defined above. As approved by the Compensation</w:t>
      </w:r>
      <w:r>
        <w:rPr>
          <w:rFonts w:ascii="Arial" w:cs="Arial" w:eastAsia="Arial" w:hAnsi="Arial"/>
          <w:sz w:val="17"/>
          <w:szCs w:val="17"/>
          <w:b w:val="1"/>
          <w:bCs w:val="1"/>
          <w:color w:val="auto"/>
        </w:rPr>
        <w:t xml:space="preserve"> </w:t>
      </w:r>
      <w:r>
        <w:rPr>
          <w:rFonts w:ascii="Arial" w:cs="Arial" w:eastAsia="Arial" w:hAnsi="Arial"/>
          <w:sz w:val="17"/>
          <w:szCs w:val="17"/>
          <w:color w:val="auto"/>
        </w:rPr>
        <w:t>Committee, this metric has been adjusted to exclude the impact of the Company’s 2018 MTM pension expense, Innovation Systems operating income, intangible asset amortization and PP&amp;E step-up depreciation, and Orbital ATK transaction-related expenses. Orbital ATK transaction-related expenses are primarily comprised of advisory, legal and other costs related to the completion of the transaction. Pension-adjusted net income is reconciled below.</w:t>
      </w:r>
    </w:p>
    <w:p>
      <w:pPr>
        <w:spacing w:after="0" w:line="44" w:lineRule="exact"/>
        <w:rPr>
          <w:sz w:val="20"/>
          <w:szCs w:val="20"/>
          <w:color w:val="auto"/>
        </w:rPr>
      </w:pPr>
    </w:p>
    <w:p>
      <w:pPr>
        <w:ind w:right="80"/>
        <w:spacing w:after="0" w:line="263" w:lineRule="auto"/>
        <w:rPr>
          <w:sz w:val="20"/>
          <w:szCs w:val="20"/>
          <w:color w:val="auto"/>
        </w:rPr>
      </w:pPr>
      <w:r>
        <w:rPr>
          <w:rFonts w:ascii="Arial" w:cs="Arial" w:eastAsia="Arial" w:hAnsi="Arial"/>
          <w:sz w:val="17"/>
          <w:szCs w:val="17"/>
          <w:b w:val="1"/>
          <w:bCs w:val="1"/>
          <w:u w:val="single" w:color="auto"/>
          <w:color w:val="auto"/>
        </w:rPr>
        <w:t>Segment operating income</w:t>
      </w:r>
      <w:r>
        <w:rPr>
          <w:rFonts w:ascii="Arial" w:cs="Arial" w:eastAsia="Arial" w:hAnsi="Arial"/>
          <w:sz w:val="17"/>
          <w:szCs w:val="17"/>
          <w:color w:val="auto"/>
        </w:rPr>
        <w:t>: Total earnings from our four segments including allocated pension expense recognized under CAS, and excluding</w:t>
      </w:r>
      <w:r>
        <w:rPr>
          <w:rFonts w:ascii="Arial" w:cs="Arial" w:eastAsia="Arial" w:hAnsi="Arial"/>
          <w:sz w:val="17"/>
          <w:szCs w:val="17"/>
          <w:b w:val="1"/>
          <w:bCs w:val="1"/>
          <w:color w:val="auto"/>
        </w:rPr>
        <w:t xml:space="preserve"> </w:t>
      </w:r>
      <w:r>
        <w:rPr>
          <w:rFonts w:ascii="Arial" w:cs="Arial" w:eastAsia="Arial" w:hAnsi="Arial"/>
          <w:sz w:val="17"/>
          <w:szCs w:val="17"/>
          <w:color w:val="auto"/>
        </w:rPr>
        <w:t>unallocated corporate items and the service cost component of FAS pension expense. This measure may be useful to investors and other users of our financial statements as a supplemental measure in evaluating the financial performance and operational trends of our sectors. Segment operating income is reconciled below.</w:t>
      </w:r>
    </w:p>
    <w:p>
      <w:pPr>
        <w:spacing w:after="0" w:line="41" w:lineRule="exact"/>
        <w:rPr>
          <w:sz w:val="20"/>
          <w:szCs w:val="20"/>
          <w:color w:val="auto"/>
        </w:rPr>
      </w:pPr>
    </w:p>
    <w:p>
      <w:pPr>
        <w:jc w:val="both"/>
        <w:ind w:right="160"/>
        <w:spacing w:after="0" w:line="269" w:lineRule="auto"/>
        <w:rPr>
          <w:sz w:val="20"/>
          <w:szCs w:val="20"/>
          <w:color w:val="auto"/>
        </w:rPr>
      </w:pPr>
      <w:r>
        <w:rPr>
          <w:rFonts w:ascii="Arial" w:cs="Arial" w:eastAsia="Arial" w:hAnsi="Arial"/>
          <w:sz w:val="17"/>
          <w:szCs w:val="17"/>
          <w:b w:val="1"/>
          <w:bCs w:val="1"/>
          <w:u w:val="single" w:color="auto"/>
          <w:color w:val="auto"/>
        </w:rPr>
        <w:t>Segment operating margin rate</w:t>
      </w:r>
      <w:r>
        <w:rPr>
          <w:rFonts w:ascii="Arial" w:cs="Arial" w:eastAsia="Arial" w:hAnsi="Arial"/>
          <w:sz w:val="17"/>
          <w:szCs w:val="17"/>
          <w:color w:val="auto"/>
        </w:rPr>
        <w:t>: Segment operating income as defined above, and reconciled below, divided by sales. This measure may be useful</w:t>
      </w:r>
      <w:r>
        <w:rPr>
          <w:rFonts w:ascii="Arial" w:cs="Arial" w:eastAsia="Arial" w:hAnsi="Arial"/>
          <w:sz w:val="17"/>
          <w:szCs w:val="17"/>
          <w:b w:val="1"/>
          <w:bCs w:val="1"/>
          <w:color w:val="auto"/>
        </w:rPr>
        <w:t xml:space="preserve"> </w:t>
      </w:r>
      <w:r>
        <w:rPr>
          <w:rFonts w:ascii="Arial" w:cs="Arial" w:eastAsia="Arial" w:hAnsi="Arial"/>
          <w:sz w:val="17"/>
          <w:szCs w:val="17"/>
          <w:color w:val="auto"/>
        </w:rPr>
        <w:t>to investors and other users of our financial statements as a supplemental measure in evaluating the financial performance and operational trends of our sectors.</w:t>
      </w:r>
    </w:p>
    <w:p>
      <w:pPr>
        <w:spacing w:after="0" w:line="35" w:lineRule="exact"/>
        <w:rPr>
          <w:sz w:val="20"/>
          <w:szCs w:val="20"/>
          <w:color w:val="auto"/>
        </w:rPr>
      </w:pPr>
    </w:p>
    <w:p>
      <w:pPr>
        <w:ind w:right="60"/>
        <w:spacing w:after="0" w:line="260" w:lineRule="auto"/>
        <w:rPr>
          <w:sz w:val="20"/>
          <w:szCs w:val="20"/>
          <w:color w:val="auto"/>
        </w:rPr>
      </w:pPr>
      <w:r>
        <w:rPr>
          <w:rFonts w:ascii="Arial" w:cs="Arial" w:eastAsia="Arial" w:hAnsi="Arial"/>
          <w:sz w:val="17"/>
          <w:szCs w:val="17"/>
          <w:b w:val="1"/>
          <w:bCs w:val="1"/>
          <w:u w:val="single" w:color="auto"/>
          <w:color w:val="auto"/>
        </w:rPr>
        <w:t>MTM-adjusted net earnings</w:t>
      </w:r>
      <w:r>
        <w:rPr>
          <w:rFonts w:ascii="Arial" w:cs="Arial" w:eastAsia="Arial" w:hAnsi="Arial"/>
          <w:sz w:val="17"/>
          <w:szCs w:val="17"/>
          <w:color w:val="auto"/>
        </w:rPr>
        <w:t>: Net earnings excluding MTM (expense) benefit and related tax impacts. This measure may be useful to investors and</w:t>
      </w:r>
      <w:r>
        <w:rPr>
          <w:rFonts w:ascii="Arial" w:cs="Arial" w:eastAsia="Arial" w:hAnsi="Arial"/>
          <w:sz w:val="17"/>
          <w:szCs w:val="17"/>
          <w:b w:val="1"/>
          <w:bCs w:val="1"/>
          <w:color w:val="auto"/>
        </w:rPr>
        <w:t xml:space="preserve"> </w:t>
      </w:r>
      <w:r>
        <w:rPr>
          <w:rFonts w:ascii="Arial" w:cs="Arial" w:eastAsia="Arial" w:hAnsi="Arial"/>
          <w:sz w:val="17"/>
          <w:szCs w:val="17"/>
          <w:color w:val="auto"/>
        </w:rPr>
        <w:t>other users of our financial statements as a supplemental measure in evaluating the Company’s underlying financial performance by presenting the Company’s operating results before the non-operational impact of pension and OPB actuarial gains and losses. This measure is also consistent with how management views the underlying performance of the business as the impact of MTM accounting is not considered in management’s assessment of the Company's operating performance or in its determination of incentive compensation awards. MTM-adjusted net earnings is reconciled below.</w:t>
      </w:r>
    </w:p>
    <w:p>
      <w:pPr>
        <w:spacing w:after="0" w:line="44" w:lineRule="exact"/>
        <w:rPr>
          <w:sz w:val="20"/>
          <w:szCs w:val="20"/>
          <w:color w:val="auto"/>
        </w:rPr>
      </w:pPr>
    </w:p>
    <w:p>
      <w:pPr>
        <w:spacing w:after="0" w:line="263" w:lineRule="auto"/>
        <w:rPr>
          <w:sz w:val="20"/>
          <w:szCs w:val="20"/>
          <w:color w:val="auto"/>
        </w:rPr>
      </w:pPr>
      <w:r>
        <w:rPr>
          <w:rFonts w:ascii="Arial" w:cs="Arial" w:eastAsia="Arial" w:hAnsi="Arial"/>
          <w:sz w:val="17"/>
          <w:szCs w:val="17"/>
          <w:b w:val="1"/>
          <w:bCs w:val="1"/>
          <w:u w:val="single" w:color="auto"/>
          <w:color w:val="auto"/>
        </w:rPr>
        <w:t>MTM-adjusted diluted EPS</w:t>
      </w:r>
      <w:r>
        <w:rPr>
          <w:rFonts w:ascii="Arial" w:cs="Arial" w:eastAsia="Arial" w:hAnsi="Arial"/>
          <w:sz w:val="17"/>
          <w:szCs w:val="17"/>
          <w:color w:val="auto"/>
        </w:rPr>
        <w:t>: Diluted earnings per share excluding the per share impact of MTM (expense) benefit and related tax impacts. This</w:t>
      </w:r>
      <w:r>
        <w:rPr>
          <w:rFonts w:ascii="Arial" w:cs="Arial" w:eastAsia="Arial" w:hAnsi="Arial"/>
          <w:sz w:val="17"/>
          <w:szCs w:val="17"/>
          <w:b w:val="1"/>
          <w:bCs w:val="1"/>
          <w:color w:val="auto"/>
        </w:rPr>
        <w:t xml:space="preserve"> </w:t>
      </w:r>
      <w:r>
        <w:rPr>
          <w:rFonts w:ascii="Arial" w:cs="Arial" w:eastAsia="Arial" w:hAnsi="Arial"/>
          <w:sz w:val="17"/>
          <w:szCs w:val="17"/>
          <w:color w:val="auto"/>
        </w:rPr>
        <w:t>measure may be useful to investors and other users of our financial statements as a supplemental measure in evaluating the Company’s underlying financial performance per share by presenting the Company’s diluted earnings per share results before the non-operational impact of pension and OPB actuarial gains and losses. MTM-adjusted diluted EPS is reconciled below.</w:t>
      </w:r>
    </w:p>
    <w:p>
      <w:pPr>
        <w:spacing w:after="0" w:line="374" w:lineRule="exact"/>
        <w:rPr>
          <w:sz w:val="20"/>
          <w:szCs w:val="20"/>
          <w:color w:val="auto"/>
        </w:rPr>
      </w:pPr>
    </w:p>
    <w:p>
      <w:pPr>
        <w:jc w:val="right"/>
        <w:spacing w:after="0"/>
        <w:rPr>
          <w:sz w:val="20"/>
          <w:szCs w:val="20"/>
          <w:color w:val="auto"/>
        </w:rPr>
      </w:pPr>
      <w:r>
        <w:rPr>
          <w:rFonts w:ascii="Arial" w:cs="Arial" w:eastAsia="Arial" w:hAnsi="Arial"/>
          <w:sz w:val="14"/>
          <w:szCs w:val="14"/>
          <w:color w:val="34657F"/>
        </w:rPr>
        <w:t xml:space="preserve">NOTICE OF 2019 ANNUAL MEETING OF SHAREHOLDERS AND PROXY STATEMENT </w:t>
      </w:r>
      <w:r>
        <w:rPr>
          <w:rFonts w:ascii="Arial" w:cs="Arial" w:eastAsia="Arial" w:hAnsi="Arial"/>
          <w:sz w:val="14"/>
          <w:szCs w:val="14"/>
          <w:color w:val="000000"/>
        </w:rPr>
        <w:t>I A-2</w:t>
      </w:r>
    </w:p>
    <w:p>
      <w:pPr>
        <w:sectPr>
          <w:pgSz w:w="11900" w:h="16838" w:orient="portrait"/>
          <w:cols w:equalWidth="0" w:num="1">
            <w:col w:w="11420"/>
          </w:cols>
          <w:pgMar w:left="240" w:top="646" w:right="239" w:bottom="1440" w:gutter="0" w:footer="0" w:header="0"/>
        </w:sectPr>
      </w:pPr>
    </w:p>
    <w:bookmarkStart w:id="90" w:name="page91"/>
    <w:bookmarkEnd w:id="90"/>
    <w:p>
      <w:pPr>
        <w:ind w:left="20"/>
        <w:spacing w:after="0"/>
        <w:rPr>
          <w:sz w:val="20"/>
          <w:szCs w:val="20"/>
          <w:color w:val="auto"/>
        </w:rPr>
      </w:pPr>
      <w:r>
        <w:rPr>
          <w:rFonts w:ascii="Arial" w:cs="Arial" w:eastAsia="Arial" w:hAnsi="Arial"/>
          <w:sz w:val="21"/>
          <w:szCs w:val="21"/>
          <w:b w:val="1"/>
          <w:bCs w:val="1"/>
          <w:color w:val="FFFFFF"/>
        </w:rPr>
        <w:drawing>
          <wp:anchor simplePos="0" relativeHeight="251657728" behindDoc="1" locked="0" layoutInCell="0" allowOverlap="1">
            <wp:simplePos x="0" y="0"/>
            <wp:positionH relativeFrom="page">
              <wp:posOffset>154305</wp:posOffset>
            </wp:positionH>
            <wp:positionV relativeFrom="page">
              <wp:posOffset>349250</wp:posOffset>
            </wp:positionV>
            <wp:extent cx="7253605" cy="3092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53605" cy="309245"/>
                    </a:xfrm>
                    <a:prstGeom prst="rect">
                      <a:avLst/>
                    </a:prstGeom>
                    <a:noFill/>
                  </pic:spPr>
                </pic:pic>
              </a:graphicData>
            </a:graphic>
          </wp:anchor>
        </w:drawing>
        <w:t>APPENDIX A - USE OF NON-GAAP FINANCIAL MEASURES</w:t>
      </w:r>
    </w:p>
    <w:p>
      <w:pPr>
        <w:spacing w:after="0" w:line="3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Reconciliation of Non-GAAP Financial Measures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720" w:type="dxa"/>
            <w:vAlign w:val="bottom"/>
            <w:shd w:val="clear" w:color="auto" w:fill="34657F"/>
          </w:tcPr>
          <w:p>
            <w:pPr>
              <w:spacing w:after="0"/>
              <w:rPr>
                <w:sz w:val="21"/>
                <w:szCs w:val="21"/>
                <w:color w:val="auto"/>
              </w:rPr>
            </w:pPr>
          </w:p>
        </w:tc>
        <w:tc>
          <w:tcPr>
            <w:tcW w:w="720" w:type="dxa"/>
            <w:vAlign w:val="bottom"/>
            <w:shd w:val="clear" w:color="auto" w:fill="34657F"/>
          </w:tcPr>
          <w:p>
            <w:pPr>
              <w:spacing w:after="0"/>
              <w:rPr>
                <w:sz w:val="21"/>
                <w:szCs w:val="21"/>
                <w:color w:val="auto"/>
              </w:rPr>
            </w:pPr>
          </w:p>
        </w:tc>
        <w:tc>
          <w:tcPr>
            <w:tcW w:w="1240" w:type="dxa"/>
            <w:vAlign w:val="bottom"/>
            <w:shd w:val="clear" w:color="auto" w:fill="34657F"/>
          </w:tcPr>
          <w:p>
            <w:pPr>
              <w:spacing w:after="0"/>
              <w:rPr>
                <w:sz w:val="21"/>
                <w:szCs w:val="21"/>
                <w:color w:val="auto"/>
              </w:rPr>
            </w:pPr>
          </w:p>
        </w:tc>
        <w:tc>
          <w:tcPr>
            <w:tcW w:w="540" w:type="dxa"/>
            <w:vAlign w:val="bottom"/>
            <w:shd w:val="clear" w:color="auto" w:fill="34657F"/>
          </w:tcPr>
          <w:p>
            <w:pPr>
              <w:spacing w:after="0"/>
              <w:rPr>
                <w:sz w:val="21"/>
                <w:szCs w:val="21"/>
                <w:color w:val="auto"/>
              </w:rPr>
            </w:pPr>
          </w:p>
        </w:tc>
        <w:tc>
          <w:tcPr>
            <w:tcW w:w="1500" w:type="dxa"/>
            <w:vAlign w:val="bottom"/>
            <w:shd w:val="clear" w:color="auto" w:fill="34657F"/>
          </w:tcPr>
          <w:p>
            <w:pPr>
              <w:jc w:val="right"/>
              <w:ind w:right="676"/>
              <w:spacing w:after="0"/>
              <w:rPr>
                <w:sz w:val="20"/>
                <w:szCs w:val="20"/>
                <w:color w:val="auto"/>
              </w:rPr>
            </w:pPr>
            <w:r>
              <w:rPr>
                <w:rFonts w:ascii="Arial" w:cs="Arial" w:eastAsia="Arial" w:hAnsi="Arial"/>
                <w:sz w:val="14"/>
                <w:szCs w:val="14"/>
                <w:b w:val="1"/>
                <w:bCs w:val="1"/>
                <w:color w:val="FFFFFF"/>
              </w:rPr>
              <w:t>Total Year</w:t>
            </w:r>
          </w:p>
        </w:tc>
        <w:tc>
          <w:tcPr>
            <w:tcW w:w="460" w:type="dxa"/>
            <w:vAlign w:val="bottom"/>
            <w:shd w:val="clear" w:color="auto" w:fill="34657F"/>
          </w:tcPr>
          <w:p>
            <w:pPr>
              <w:spacing w:after="0"/>
              <w:rPr>
                <w:sz w:val="21"/>
                <w:szCs w:val="21"/>
                <w:color w:val="auto"/>
              </w:rPr>
            </w:pPr>
          </w:p>
        </w:tc>
        <w:tc>
          <w:tcPr>
            <w:tcW w:w="1240" w:type="dxa"/>
            <w:vAlign w:val="bottom"/>
            <w:shd w:val="clear" w:color="auto" w:fill="34657F"/>
          </w:tcPr>
          <w:p>
            <w:pPr>
              <w:spacing w:after="0"/>
              <w:rPr>
                <w:sz w:val="21"/>
                <w:szCs w:val="21"/>
                <w:color w:val="auto"/>
              </w:rPr>
            </w:pPr>
          </w:p>
        </w:tc>
      </w:tr>
      <w:tr>
        <w:trPr>
          <w:trHeight w:val="268"/>
        </w:trPr>
        <w:tc>
          <w:tcPr>
            <w:tcW w:w="5720" w:type="dxa"/>
            <w:vAlign w:val="bottom"/>
            <w:shd w:val="clear" w:color="auto" w:fill="34657F"/>
          </w:tcPr>
          <w:p>
            <w:pPr>
              <w:ind w:left="20"/>
              <w:spacing w:after="0"/>
              <w:rPr>
                <w:sz w:val="20"/>
                <w:szCs w:val="20"/>
                <w:color w:val="auto"/>
              </w:rPr>
            </w:pPr>
            <w:r>
              <w:rPr>
                <w:rFonts w:ascii="Arial" w:cs="Arial" w:eastAsia="Arial" w:hAnsi="Arial"/>
                <w:sz w:val="14"/>
                <w:szCs w:val="14"/>
                <w:b w:val="1"/>
                <w:bCs w:val="1"/>
                <w:color w:val="FFFFFF"/>
              </w:rPr>
              <w:t>($M, except per share amount)</w:t>
            </w:r>
          </w:p>
        </w:tc>
        <w:tc>
          <w:tcPr>
            <w:tcW w:w="720" w:type="dxa"/>
            <w:vAlign w:val="bottom"/>
            <w:shd w:val="clear" w:color="auto" w:fill="34657F"/>
          </w:tcPr>
          <w:p>
            <w:pPr>
              <w:spacing w:after="0"/>
              <w:rPr>
                <w:sz w:val="23"/>
                <w:szCs w:val="23"/>
                <w:color w:val="auto"/>
              </w:rPr>
            </w:pPr>
          </w:p>
        </w:tc>
        <w:tc>
          <w:tcPr>
            <w:tcW w:w="1240" w:type="dxa"/>
            <w:vAlign w:val="bottom"/>
            <w:shd w:val="clear" w:color="auto" w:fill="34657F"/>
          </w:tcPr>
          <w:p>
            <w:pPr>
              <w:jc w:val="right"/>
              <w:ind w:right="695"/>
              <w:spacing w:after="0"/>
              <w:rPr>
                <w:sz w:val="20"/>
                <w:szCs w:val="20"/>
                <w:color w:val="auto"/>
              </w:rPr>
            </w:pPr>
            <w:r>
              <w:rPr>
                <w:rFonts w:ascii="Arial" w:cs="Arial" w:eastAsia="Arial" w:hAnsi="Arial"/>
                <w:sz w:val="14"/>
                <w:szCs w:val="14"/>
                <w:b w:val="1"/>
                <w:bCs w:val="1"/>
                <w:color w:val="FFFFFF"/>
              </w:rPr>
              <w:t>2018</w:t>
            </w:r>
          </w:p>
        </w:tc>
        <w:tc>
          <w:tcPr>
            <w:tcW w:w="540" w:type="dxa"/>
            <w:vAlign w:val="bottom"/>
            <w:shd w:val="clear" w:color="auto" w:fill="34657F"/>
          </w:tcPr>
          <w:p>
            <w:pPr>
              <w:spacing w:after="0"/>
              <w:rPr>
                <w:sz w:val="23"/>
                <w:szCs w:val="23"/>
                <w:color w:val="auto"/>
              </w:rPr>
            </w:pPr>
          </w:p>
        </w:tc>
        <w:tc>
          <w:tcPr>
            <w:tcW w:w="1500" w:type="dxa"/>
            <w:vAlign w:val="bottom"/>
            <w:shd w:val="clear" w:color="auto" w:fill="34657F"/>
          </w:tcPr>
          <w:p>
            <w:pPr>
              <w:jc w:val="right"/>
              <w:ind w:right="876"/>
              <w:spacing w:after="0"/>
              <w:rPr>
                <w:sz w:val="20"/>
                <w:szCs w:val="20"/>
                <w:color w:val="auto"/>
              </w:rPr>
            </w:pPr>
            <w:r>
              <w:rPr>
                <w:rFonts w:ascii="Arial" w:cs="Arial" w:eastAsia="Arial" w:hAnsi="Arial"/>
                <w:sz w:val="14"/>
                <w:szCs w:val="14"/>
                <w:b w:val="1"/>
                <w:bCs w:val="1"/>
                <w:color w:val="FFFFFF"/>
              </w:rPr>
              <w:t>2017</w:t>
            </w:r>
          </w:p>
        </w:tc>
        <w:tc>
          <w:tcPr>
            <w:tcW w:w="460" w:type="dxa"/>
            <w:vAlign w:val="bottom"/>
            <w:shd w:val="clear" w:color="auto" w:fill="34657F"/>
          </w:tcPr>
          <w:p>
            <w:pPr>
              <w:spacing w:after="0"/>
              <w:rPr>
                <w:sz w:val="23"/>
                <w:szCs w:val="23"/>
                <w:color w:val="auto"/>
              </w:rPr>
            </w:pPr>
          </w:p>
        </w:tc>
        <w:tc>
          <w:tcPr>
            <w:tcW w:w="1240" w:type="dxa"/>
            <w:vAlign w:val="bottom"/>
            <w:shd w:val="clear" w:color="auto" w:fill="34657F"/>
          </w:tcPr>
          <w:p>
            <w:pPr>
              <w:jc w:val="right"/>
              <w:ind w:right="695"/>
              <w:spacing w:after="0"/>
              <w:rPr>
                <w:sz w:val="20"/>
                <w:szCs w:val="20"/>
                <w:color w:val="auto"/>
              </w:rPr>
            </w:pPr>
            <w:r>
              <w:rPr>
                <w:rFonts w:ascii="Arial" w:cs="Arial" w:eastAsia="Arial" w:hAnsi="Arial"/>
                <w:sz w:val="14"/>
                <w:szCs w:val="14"/>
                <w:b w:val="1"/>
                <w:bCs w:val="1"/>
                <w:color w:val="FFFFFF"/>
              </w:rPr>
              <w:t>2016</w:t>
            </w:r>
          </w:p>
        </w:tc>
      </w:tr>
      <w:tr>
        <w:trPr>
          <w:trHeight w:val="229"/>
        </w:trPr>
        <w:tc>
          <w:tcPr>
            <w:tcW w:w="5720" w:type="dxa"/>
            <w:vAlign w:val="bottom"/>
          </w:tcPr>
          <w:p>
            <w:pPr>
              <w:ind w:left="20"/>
              <w:spacing w:after="0"/>
              <w:rPr>
                <w:sz w:val="20"/>
                <w:szCs w:val="20"/>
                <w:color w:val="auto"/>
              </w:rPr>
            </w:pPr>
            <w:r>
              <w:rPr>
                <w:rFonts w:ascii="Arial" w:cs="Arial" w:eastAsia="Arial" w:hAnsi="Arial"/>
                <w:sz w:val="17"/>
                <w:szCs w:val="17"/>
                <w:b w:val="1"/>
                <w:bCs w:val="1"/>
                <w:color w:val="auto"/>
              </w:rPr>
              <w:t>Net cash provided by operating activities</w:t>
            </w:r>
          </w:p>
        </w:tc>
        <w:tc>
          <w:tcPr>
            <w:tcW w:w="720" w:type="dxa"/>
            <w:vAlign w:val="bottom"/>
          </w:tcPr>
          <w:p>
            <w:pPr>
              <w:jc w:val="right"/>
              <w:ind w:right="75"/>
              <w:spacing w:after="0"/>
              <w:rPr>
                <w:sz w:val="20"/>
                <w:szCs w:val="20"/>
                <w:color w:val="auto"/>
              </w:rPr>
            </w:pPr>
            <w:r>
              <w:rPr>
                <w:rFonts w:ascii="Arial" w:cs="Arial" w:eastAsia="Arial" w:hAnsi="Arial"/>
                <w:sz w:val="17"/>
                <w:szCs w:val="17"/>
                <w:b w:val="1"/>
                <w:bCs w:val="1"/>
                <w:color w:val="auto"/>
              </w:rPr>
              <w:t>$</w:t>
            </w:r>
          </w:p>
        </w:tc>
        <w:tc>
          <w:tcPr>
            <w:tcW w:w="1240" w:type="dxa"/>
            <w:vAlign w:val="bottom"/>
          </w:tcPr>
          <w:p>
            <w:pPr>
              <w:jc w:val="right"/>
              <w:ind w:right="95"/>
              <w:spacing w:after="0"/>
              <w:rPr>
                <w:sz w:val="20"/>
                <w:szCs w:val="20"/>
                <w:color w:val="auto"/>
              </w:rPr>
            </w:pPr>
            <w:r>
              <w:rPr>
                <w:rFonts w:ascii="Arial" w:cs="Arial" w:eastAsia="Arial" w:hAnsi="Arial"/>
                <w:sz w:val="17"/>
                <w:szCs w:val="17"/>
                <w:b w:val="1"/>
                <w:bCs w:val="1"/>
                <w:color w:val="auto"/>
              </w:rPr>
              <w:t>3,827</w:t>
            </w:r>
          </w:p>
        </w:tc>
        <w:tc>
          <w:tcPr>
            <w:tcW w:w="54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500" w:type="dxa"/>
            <w:vAlign w:val="bottom"/>
          </w:tcPr>
          <w:p>
            <w:pPr>
              <w:jc w:val="right"/>
              <w:ind w:right="256"/>
              <w:spacing w:after="0"/>
              <w:rPr>
                <w:sz w:val="20"/>
                <w:szCs w:val="20"/>
                <w:color w:val="auto"/>
              </w:rPr>
            </w:pPr>
            <w:r>
              <w:rPr>
                <w:rFonts w:ascii="Arial" w:cs="Arial" w:eastAsia="Arial" w:hAnsi="Arial"/>
                <w:sz w:val="17"/>
                <w:szCs w:val="17"/>
                <w:b w:val="1"/>
                <w:bCs w:val="1"/>
                <w:color w:val="auto"/>
              </w:rPr>
              <w:t>2,613</w:t>
            </w:r>
          </w:p>
        </w:tc>
        <w:tc>
          <w:tcPr>
            <w:tcW w:w="460" w:type="dxa"/>
            <w:vAlign w:val="bottom"/>
          </w:tcPr>
          <w:p>
            <w:pPr>
              <w:jc w:val="right"/>
              <w:ind w:right="95"/>
              <w:spacing w:after="0"/>
              <w:rPr>
                <w:sz w:val="20"/>
                <w:szCs w:val="20"/>
                <w:color w:val="auto"/>
              </w:rPr>
            </w:pPr>
            <w:r>
              <w:rPr>
                <w:rFonts w:ascii="Arial" w:cs="Arial" w:eastAsia="Arial" w:hAnsi="Arial"/>
                <w:sz w:val="17"/>
                <w:szCs w:val="17"/>
                <w:b w:val="1"/>
                <w:bCs w:val="1"/>
                <w:color w:val="auto"/>
              </w:rPr>
              <w:t>$</w:t>
            </w:r>
          </w:p>
        </w:tc>
        <w:tc>
          <w:tcPr>
            <w:tcW w:w="1240" w:type="dxa"/>
            <w:vAlign w:val="bottom"/>
          </w:tcPr>
          <w:p>
            <w:pPr>
              <w:jc w:val="right"/>
              <w:ind w:right="95"/>
              <w:spacing w:after="0"/>
              <w:rPr>
                <w:sz w:val="20"/>
                <w:szCs w:val="20"/>
                <w:color w:val="auto"/>
              </w:rPr>
            </w:pPr>
            <w:r>
              <w:rPr>
                <w:rFonts w:ascii="Arial" w:cs="Arial" w:eastAsia="Arial" w:hAnsi="Arial"/>
                <w:sz w:val="17"/>
                <w:szCs w:val="17"/>
                <w:b w:val="1"/>
                <w:bCs w:val="1"/>
                <w:color w:val="auto"/>
              </w:rPr>
              <w:t>2,813</w:t>
            </w:r>
          </w:p>
        </w:tc>
      </w:tr>
      <w:tr>
        <w:trPr>
          <w:trHeight w:val="276"/>
        </w:trPr>
        <w:tc>
          <w:tcPr>
            <w:tcW w:w="5720" w:type="dxa"/>
            <w:vAlign w:val="bottom"/>
            <w:tcBorders>
              <w:bottom w:val="single" w:sz="8" w:color="34657F"/>
            </w:tcBorders>
          </w:tcPr>
          <w:p>
            <w:pPr>
              <w:ind w:left="20"/>
              <w:spacing w:after="0"/>
              <w:rPr>
                <w:sz w:val="20"/>
                <w:szCs w:val="20"/>
                <w:color w:val="auto"/>
              </w:rPr>
            </w:pPr>
            <w:r>
              <w:rPr>
                <w:rFonts w:ascii="Arial" w:cs="Arial" w:eastAsia="Arial" w:hAnsi="Arial"/>
                <w:sz w:val="17"/>
                <w:szCs w:val="17"/>
                <w:color w:val="auto"/>
              </w:rPr>
              <w:t>After-tax discretionary pension contributions impact</w:t>
            </w:r>
          </w:p>
        </w:tc>
        <w:tc>
          <w:tcPr>
            <w:tcW w:w="720" w:type="dxa"/>
            <w:vAlign w:val="bottom"/>
            <w:tcBorders>
              <w:bottom w:val="single" w:sz="8" w:color="34657F"/>
            </w:tcBorders>
          </w:tcPr>
          <w:p>
            <w:pPr>
              <w:spacing w:after="0"/>
              <w:rPr>
                <w:sz w:val="24"/>
                <w:szCs w:val="24"/>
                <w:color w:val="auto"/>
              </w:rPr>
            </w:pPr>
          </w:p>
        </w:tc>
        <w:tc>
          <w:tcPr>
            <w:tcW w:w="1240" w:type="dxa"/>
            <w:vAlign w:val="bottom"/>
            <w:tcBorders>
              <w:bottom w:val="single" w:sz="8" w:color="34657F"/>
            </w:tcBorders>
          </w:tcPr>
          <w:p>
            <w:pPr>
              <w:jc w:val="right"/>
              <w:ind w:right="95"/>
              <w:spacing w:after="0"/>
              <w:rPr>
                <w:sz w:val="20"/>
                <w:szCs w:val="20"/>
                <w:color w:val="auto"/>
              </w:rPr>
            </w:pPr>
            <w:r>
              <w:rPr>
                <w:rFonts w:ascii="Arial" w:cs="Arial" w:eastAsia="Arial" w:hAnsi="Arial"/>
                <w:sz w:val="17"/>
                <w:szCs w:val="17"/>
                <w:color w:val="auto"/>
              </w:rPr>
              <w:t>186</w:t>
            </w:r>
          </w:p>
        </w:tc>
        <w:tc>
          <w:tcPr>
            <w:tcW w:w="540" w:type="dxa"/>
            <w:vAlign w:val="bottom"/>
            <w:tcBorders>
              <w:bottom w:val="single" w:sz="8" w:color="34657F"/>
            </w:tcBorders>
          </w:tcPr>
          <w:p>
            <w:pPr>
              <w:spacing w:after="0"/>
              <w:rPr>
                <w:sz w:val="24"/>
                <w:szCs w:val="24"/>
                <w:color w:val="auto"/>
              </w:rPr>
            </w:pPr>
          </w:p>
        </w:tc>
        <w:tc>
          <w:tcPr>
            <w:tcW w:w="1500" w:type="dxa"/>
            <w:vAlign w:val="bottom"/>
            <w:tcBorders>
              <w:bottom w:val="single" w:sz="8" w:color="34657F"/>
            </w:tcBorders>
          </w:tcPr>
          <w:p>
            <w:pPr>
              <w:jc w:val="right"/>
              <w:ind w:right="256"/>
              <w:spacing w:after="0"/>
              <w:rPr>
                <w:sz w:val="20"/>
                <w:szCs w:val="20"/>
                <w:color w:val="auto"/>
              </w:rPr>
            </w:pPr>
            <w:r>
              <w:rPr>
                <w:rFonts w:ascii="Arial" w:cs="Arial" w:eastAsia="Arial" w:hAnsi="Arial"/>
                <w:sz w:val="17"/>
                <w:szCs w:val="17"/>
                <w:color w:val="auto"/>
              </w:rPr>
              <w:t>325</w:t>
            </w:r>
          </w:p>
        </w:tc>
        <w:tc>
          <w:tcPr>
            <w:tcW w:w="460" w:type="dxa"/>
            <w:vAlign w:val="bottom"/>
            <w:tcBorders>
              <w:bottom w:val="single" w:sz="8" w:color="34657F"/>
            </w:tcBorders>
          </w:tcPr>
          <w:p>
            <w:pPr>
              <w:spacing w:after="0"/>
              <w:rPr>
                <w:sz w:val="24"/>
                <w:szCs w:val="24"/>
                <w:color w:val="auto"/>
              </w:rPr>
            </w:pPr>
          </w:p>
        </w:tc>
        <w:tc>
          <w:tcPr>
            <w:tcW w:w="1240" w:type="dxa"/>
            <w:vAlign w:val="bottom"/>
            <w:tcBorders>
              <w:bottom w:val="single" w:sz="8" w:color="34657F"/>
            </w:tcBorders>
          </w:tcPr>
          <w:p>
            <w:pPr>
              <w:jc w:val="right"/>
              <w:ind w:right="95"/>
              <w:spacing w:after="0"/>
              <w:rPr>
                <w:sz w:val="20"/>
                <w:szCs w:val="20"/>
                <w:color w:val="auto"/>
              </w:rPr>
            </w:pPr>
            <w:r>
              <w:rPr>
                <w:rFonts w:ascii="Arial" w:cs="Arial" w:eastAsia="Arial" w:hAnsi="Arial"/>
                <w:sz w:val="17"/>
                <w:szCs w:val="17"/>
                <w:color w:val="auto"/>
              </w:rPr>
              <w:t>—</w:t>
            </w:r>
          </w:p>
        </w:tc>
      </w:tr>
      <w:tr>
        <w:trPr>
          <w:trHeight w:val="197"/>
        </w:trPr>
        <w:tc>
          <w:tcPr>
            <w:tcW w:w="5720" w:type="dxa"/>
            <w:vAlign w:val="bottom"/>
          </w:tcPr>
          <w:p>
            <w:pPr>
              <w:ind w:left="20"/>
              <w:spacing w:after="0"/>
              <w:rPr>
                <w:sz w:val="20"/>
                <w:szCs w:val="20"/>
                <w:color w:val="auto"/>
              </w:rPr>
            </w:pPr>
            <w:r>
              <w:rPr>
                <w:rFonts w:ascii="Arial" w:cs="Arial" w:eastAsia="Arial" w:hAnsi="Arial"/>
                <w:sz w:val="17"/>
                <w:szCs w:val="17"/>
                <w:b w:val="1"/>
                <w:bCs w:val="1"/>
                <w:color w:val="auto"/>
              </w:rPr>
              <w:t>Cash provided by operating activities before after-tax discretionary</w:t>
            </w:r>
          </w:p>
        </w:tc>
        <w:tc>
          <w:tcPr>
            <w:tcW w:w="720" w:type="dxa"/>
            <w:vAlign w:val="bottom"/>
          </w:tcPr>
          <w:p>
            <w:pPr>
              <w:jc w:val="right"/>
              <w:ind w:right="75"/>
              <w:spacing w:after="0"/>
              <w:rPr>
                <w:sz w:val="20"/>
                <w:szCs w:val="20"/>
                <w:color w:val="auto"/>
              </w:rPr>
            </w:pPr>
            <w:r>
              <w:rPr>
                <w:rFonts w:ascii="Arial" w:cs="Arial" w:eastAsia="Arial" w:hAnsi="Arial"/>
                <w:sz w:val="17"/>
                <w:szCs w:val="17"/>
                <w:b w:val="1"/>
                <w:bCs w:val="1"/>
                <w:color w:val="auto"/>
              </w:rPr>
              <w:t>$</w:t>
            </w:r>
          </w:p>
        </w:tc>
        <w:tc>
          <w:tcPr>
            <w:tcW w:w="1240" w:type="dxa"/>
            <w:vAlign w:val="bottom"/>
          </w:tcPr>
          <w:p>
            <w:pPr>
              <w:jc w:val="right"/>
              <w:ind w:right="95"/>
              <w:spacing w:after="0"/>
              <w:rPr>
                <w:sz w:val="20"/>
                <w:szCs w:val="20"/>
                <w:color w:val="auto"/>
              </w:rPr>
            </w:pPr>
            <w:r>
              <w:rPr>
                <w:rFonts w:ascii="Arial" w:cs="Arial" w:eastAsia="Arial" w:hAnsi="Arial"/>
                <w:sz w:val="17"/>
                <w:szCs w:val="17"/>
                <w:b w:val="1"/>
                <w:bCs w:val="1"/>
                <w:color w:val="auto"/>
              </w:rPr>
              <w:t>4,013</w:t>
            </w:r>
          </w:p>
        </w:tc>
        <w:tc>
          <w:tcPr>
            <w:tcW w:w="54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500" w:type="dxa"/>
            <w:vAlign w:val="bottom"/>
          </w:tcPr>
          <w:p>
            <w:pPr>
              <w:jc w:val="right"/>
              <w:ind w:right="256"/>
              <w:spacing w:after="0"/>
              <w:rPr>
                <w:sz w:val="20"/>
                <w:szCs w:val="20"/>
                <w:color w:val="auto"/>
              </w:rPr>
            </w:pPr>
            <w:r>
              <w:rPr>
                <w:rFonts w:ascii="Arial" w:cs="Arial" w:eastAsia="Arial" w:hAnsi="Arial"/>
                <w:sz w:val="17"/>
                <w:szCs w:val="17"/>
                <w:b w:val="1"/>
                <w:bCs w:val="1"/>
                <w:color w:val="auto"/>
              </w:rPr>
              <w:t>2,938</w:t>
            </w:r>
          </w:p>
        </w:tc>
        <w:tc>
          <w:tcPr>
            <w:tcW w:w="460" w:type="dxa"/>
            <w:vAlign w:val="bottom"/>
          </w:tcPr>
          <w:p>
            <w:pPr>
              <w:jc w:val="right"/>
              <w:ind w:right="95"/>
              <w:spacing w:after="0"/>
              <w:rPr>
                <w:sz w:val="20"/>
                <w:szCs w:val="20"/>
                <w:color w:val="auto"/>
              </w:rPr>
            </w:pPr>
            <w:r>
              <w:rPr>
                <w:rFonts w:ascii="Arial" w:cs="Arial" w:eastAsia="Arial" w:hAnsi="Arial"/>
                <w:sz w:val="17"/>
                <w:szCs w:val="17"/>
                <w:b w:val="1"/>
                <w:bCs w:val="1"/>
                <w:color w:val="auto"/>
              </w:rPr>
              <w:t>$</w:t>
            </w:r>
          </w:p>
        </w:tc>
        <w:tc>
          <w:tcPr>
            <w:tcW w:w="1240" w:type="dxa"/>
            <w:vAlign w:val="bottom"/>
          </w:tcPr>
          <w:p>
            <w:pPr>
              <w:jc w:val="right"/>
              <w:ind w:right="95"/>
              <w:spacing w:after="0"/>
              <w:rPr>
                <w:sz w:val="20"/>
                <w:szCs w:val="20"/>
                <w:color w:val="auto"/>
              </w:rPr>
            </w:pPr>
            <w:r>
              <w:rPr>
                <w:rFonts w:ascii="Arial" w:cs="Arial" w:eastAsia="Arial" w:hAnsi="Arial"/>
                <w:sz w:val="17"/>
                <w:szCs w:val="17"/>
                <w:b w:val="1"/>
                <w:bCs w:val="1"/>
                <w:color w:val="auto"/>
              </w:rPr>
              <w:t>2,813</w:t>
            </w:r>
          </w:p>
        </w:tc>
      </w:tr>
      <w:tr>
        <w:trPr>
          <w:trHeight w:val="232"/>
        </w:trPr>
        <w:tc>
          <w:tcPr>
            <w:tcW w:w="5720" w:type="dxa"/>
            <w:vAlign w:val="bottom"/>
            <w:tcBorders>
              <w:bottom w:val="single" w:sz="8" w:color="34657F"/>
            </w:tcBorders>
          </w:tcPr>
          <w:p>
            <w:pPr>
              <w:ind w:left="20"/>
              <w:spacing w:after="0"/>
              <w:rPr>
                <w:sz w:val="20"/>
                <w:szCs w:val="20"/>
                <w:color w:val="auto"/>
              </w:rPr>
            </w:pPr>
            <w:r>
              <w:rPr>
                <w:rFonts w:ascii="Arial" w:cs="Arial" w:eastAsia="Arial" w:hAnsi="Arial"/>
                <w:sz w:val="17"/>
                <w:szCs w:val="17"/>
                <w:b w:val="1"/>
                <w:bCs w:val="1"/>
                <w:color w:val="auto"/>
              </w:rPr>
              <w:t>pension contributions</w:t>
            </w:r>
          </w:p>
        </w:tc>
        <w:tc>
          <w:tcPr>
            <w:tcW w:w="720" w:type="dxa"/>
            <w:vAlign w:val="bottom"/>
            <w:tcBorders>
              <w:bottom w:val="single" w:sz="8" w:color="34657F"/>
            </w:tcBorders>
          </w:tcPr>
          <w:p>
            <w:pPr>
              <w:spacing w:after="0"/>
              <w:rPr>
                <w:sz w:val="20"/>
                <w:szCs w:val="20"/>
                <w:color w:val="auto"/>
              </w:rPr>
            </w:pPr>
          </w:p>
        </w:tc>
        <w:tc>
          <w:tcPr>
            <w:tcW w:w="1240" w:type="dxa"/>
            <w:vAlign w:val="bottom"/>
            <w:tcBorders>
              <w:bottom w:val="single" w:sz="8" w:color="34657F"/>
            </w:tcBorders>
          </w:tcPr>
          <w:p>
            <w:pPr>
              <w:spacing w:after="0"/>
              <w:rPr>
                <w:sz w:val="20"/>
                <w:szCs w:val="20"/>
                <w:color w:val="auto"/>
              </w:rPr>
            </w:pPr>
          </w:p>
        </w:tc>
        <w:tc>
          <w:tcPr>
            <w:tcW w:w="540" w:type="dxa"/>
            <w:vAlign w:val="bottom"/>
            <w:tcBorders>
              <w:bottom w:val="single" w:sz="8" w:color="34657F"/>
            </w:tcBorders>
          </w:tcPr>
          <w:p>
            <w:pPr>
              <w:spacing w:after="0"/>
              <w:rPr>
                <w:sz w:val="20"/>
                <w:szCs w:val="20"/>
                <w:color w:val="auto"/>
              </w:rPr>
            </w:pPr>
          </w:p>
        </w:tc>
        <w:tc>
          <w:tcPr>
            <w:tcW w:w="1500" w:type="dxa"/>
            <w:vAlign w:val="bottom"/>
            <w:tcBorders>
              <w:bottom w:val="single" w:sz="8" w:color="34657F"/>
            </w:tcBorders>
          </w:tcPr>
          <w:p>
            <w:pPr>
              <w:spacing w:after="0"/>
              <w:rPr>
                <w:sz w:val="20"/>
                <w:szCs w:val="20"/>
                <w:color w:val="auto"/>
              </w:rPr>
            </w:pPr>
          </w:p>
        </w:tc>
        <w:tc>
          <w:tcPr>
            <w:tcW w:w="460" w:type="dxa"/>
            <w:vAlign w:val="bottom"/>
            <w:tcBorders>
              <w:bottom w:val="single" w:sz="8" w:color="34657F"/>
            </w:tcBorders>
          </w:tcPr>
          <w:p>
            <w:pPr>
              <w:spacing w:after="0"/>
              <w:rPr>
                <w:sz w:val="20"/>
                <w:szCs w:val="20"/>
                <w:color w:val="auto"/>
              </w:rPr>
            </w:pPr>
          </w:p>
        </w:tc>
        <w:tc>
          <w:tcPr>
            <w:tcW w:w="1240" w:type="dxa"/>
            <w:vAlign w:val="bottom"/>
            <w:tcBorders>
              <w:bottom w:val="single" w:sz="8" w:color="34657F"/>
            </w:tcBorders>
          </w:tcPr>
          <w:p>
            <w:pPr>
              <w:spacing w:after="0"/>
              <w:rPr>
                <w:sz w:val="20"/>
                <w:szCs w:val="20"/>
                <w:color w:val="auto"/>
              </w:rPr>
            </w:pPr>
          </w:p>
        </w:tc>
      </w:tr>
      <w:tr>
        <w:trPr>
          <w:trHeight w:val="537"/>
        </w:trPr>
        <w:tc>
          <w:tcPr>
            <w:tcW w:w="5720" w:type="dxa"/>
            <w:vAlign w:val="bottom"/>
          </w:tcPr>
          <w:p>
            <w:pPr>
              <w:ind w:left="20"/>
              <w:spacing w:after="0"/>
              <w:rPr>
                <w:sz w:val="20"/>
                <w:szCs w:val="20"/>
                <w:color w:val="auto"/>
              </w:rPr>
            </w:pPr>
            <w:r>
              <w:rPr>
                <w:rFonts w:ascii="Arial" w:cs="Arial" w:eastAsia="Arial" w:hAnsi="Arial"/>
                <w:sz w:val="17"/>
                <w:szCs w:val="17"/>
                <w:b w:val="1"/>
                <w:bCs w:val="1"/>
                <w:color w:val="auto"/>
              </w:rPr>
              <w:t>Net cash provided by operating activities</w:t>
            </w:r>
          </w:p>
        </w:tc>
        <w:tc>
          <w:tcPr>
            <w:tcW w:w="720" w:type="dxa"/>
            <w:vAlign w:val="bottom"/>
          </w:tcPr>
          <w:p>
            <w:pPr>
              <w:jc w:val="right"/>
              <w:ind w:right="75"/>
              <w:spacing w:after="0"/>
              <w:rPr>
                <w:sz w:val="20"/>
                <w:szCs w:val="20"/>
                <w:color w:val="auto"/>
              </w:rPr>
            </w:pPr>
            <w:r>
              <w:rPr>
                <w:rFonts w:ascii="Arial" w:cs="Arial" w:eastAsia="Arial" w:hAnsi="Arial"/>
                <w:sz w:val="17"/>
                <w:szCs w:val="17"/>
                <w:b w:val="1"/>
                <w:bCs w:val="1"/>
                <w:color w:val="auto"/>
              </w:rPr>
              <w:t>$</w:t>
            </w:r>
          </w:p>
        </w:tc>
        <w:tc>
          <w:tcPr>
            <w:tcW w:w="1240" w:type="dxa"/>
            <w:vAlign w:val="bottom"/>
          </w:tcPr>
          <w:p>
            <w:pPr>
              <w:jc w:val="right"/>
              <w:ind w:right="95"/>
              <w:spacing w:after="0"/>
              <w:rPr>
                <w:sz w:val="20"/>
                <w:szCs w:val="20"/>
                <w:color w:val="auto"/>
              </w:rPr>
            </w:pPr>
            <w:r>
              <w:rPr>
                <w:rFonts w:ascii="Arial" w:cs="Arial" w:eastAsia="Arial" w:hAnsi="Arial"/>
                <w:sz w:val="17"/>
                <w:szCs w:val="17"/>
                <w:b w:val="1"/>
                <w:bCs w:val="1"/>
                <w:color w:val="auto"/>
              </w:rPr>
              <w:t>3,827</w:t>
            </w:r>
          </w:p>
        </w:tc>
        <w:tc>
          <w:tcPr>
            <w:tcW w:w="54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500" w:type="dxa"/>
            <w:vAlign w:val="bottom"/>
          </w:tcPr>
          <w:p>
            <w:pPr>
              <w:jc w:val="right"/>
              <w:ind w:right="256"/>
              <w:spacing w:after="0"/>
              <w:rPr>
                <w:sz w:val="20"/>
                <w:szCs w:val="20"/>
                <w:color w:val="auto"/>
              </w:rPr>
            </w:pPr>
            <w:r>
              <w:rPr>
                <w:rFonts w:ascii="Arial" w:cs="Arial" w:eastAsia="Arial" w:hAnsi="Arial"/>
                <w:sz w:val="17"/>
                <w:szCs w:val="17"/>
                <w:b w:val="1"/>
                <w:bCs w:val="1"/>
                <w:color w:val="auto"/>
              </w:rPr>
              <w:t>2,613</w:t>
            </w:r>
          </w:p>
        </w:tc>
        <w:tc>
          <w:tcPr>
            <w:tcW w:w="460" w:type="dxa"/>
            <w:vAlign w:val="bottom"/>
          </w:tcPr>
          <w:p>
            <w:pPr>
              <w:jc w:val="right"/>
              <w:ind w:right="95"/>
              <w:spacing w:after="0"/>
              <w:rPr>
                <w:sz w:val="20"/>
                <w:szCs w:val="20"/>
                <w:color w:val="auto"/>
              </w:rPr>
            </w:pPr>
            <w:r>
              <w:rPr>
                <w:rFonts w:ascii="Arial" w:cs="Arial" w:eastAsia="Arial" w:hAnsi="Arial"/>
                <w:sz w:val="17"/>
                <w:szCs w:val="17"/>
                <w:b w:val="1"/>
                <w:bCs w:val="1"/>
                <w:color w:val="auto"/>
              </w:rPr>
              <w:t>$</w:t>
            </w:r>
          </w:p>
        </w:tc>
        <w:tc>
          <w:tcPr>
            <w:tcW w:w="1240" w:type="dxa"/>
            <w:vAlign w:val="bottom"/>
          </w:tcPr>
          <w:p>
            <w:pPr>
              <w:jc w:val="right"/>
              <w:ind w:right="95"/>
              <w:spacing w:after="0"/>
              <w:rPr>
                <w:sz w:val="20"/>
                <w:szCs w:val="20"/>
                <w:color w:val="auto"/>
              </w:rPr>
            </w:pPr>
            <w:r>
              <w:rPr>
                <w:rFonts w:ascii="Arial" w:cs="Arial" w:eastAsia="Arial" w:hAnsi="Arial"/>
                <w:sz w:val="17"/>
                <w:szCs w:val="17"/>
                <w:b w:val="1"/>
                <w:bCs w:val="1"/>
                <w:color w:val="auto"/>
              </w:rPr>
              <w:t>2,813</w:t>
            </w:r>
          </w:p>
        </w:tc>
      </w:tr>
      <w:tr>
        <w:trPr>
          <w:trHeight w:val="256"/>
        </w:trPr>
        <w:tc>
          <w:tcPr>
            <w:tcW w:w="5720" w:type="dxa"/>
            <w:vAlign w:val="bottom"/>
          </w:tcPr>
          <w:p>
            <w:pPr>
              <w:ind w:left="20"/>
              <w:spacing w:after="0"/>
              <w:rPr>
                <w:sz w:val="20"/>
                <w:szCs w:val="20"/>
                <w:color w:val="auto"/>
              </w:rPr>
            </w:pPr>
            <w:r>
              <w:rPr>
                <w:rFonts w:ascii="Arial" w:cs="Arial" w:eastAsia="Arial" w:hAnsi="Arial"/>
                <w:sz w:val="17"/>
                <w:szCs w:val="17"/>
                <w:color w:val="auto"/>
              </w:rPr>
              <w:t>Less: capital expenditures</w:t>
            </w:r>
          </w:p>
        </w:tc>
        <w:tc>
          <w:tcPr>
            <w:tcW w:w="720" w:type="dxa"/>
            <w:vAlign w:val="bottom"/>
          </w:tcPr>
          <w:p>
            <w:pPr>
              <w:spacing w:after="0"/>
              <w:rPr>
                <w:sz w:val="22"/>
                <w:szCs w:val="22"/>
                <w:color w:val="auto"/>
              </w:rPr>
            </w:pPr>
          </w:p>
        </w:tc>
        <w:tc>
          <w:tcPr>
            <w:tcW w:w="1240" w:type="dxa"/>
            <w:vAlign w:val="bottom"/>
          </w:tcPr>
          <w:p>
            <w:pPr>
              <w:jc w:val="right"/>
              <w:ind w:right="35"/>
              <w:spacing w:after="0"/>
              <w:rPr>
                <w:sz w:val="20"/>
                <w:szCs w:val="20"/>
                <w:color w:val="auto"/>
              </w:rPr>
            </w:pPr>
            <w:r>
              <w:rPr>
                <w:rFonts w:ascii="Arial" w:cs="Arial" w:eastAsia="Arial" w:hAnsi="Arial"/>
                <w:sz w:val="17"/>
                <w:szCs w:val="17"/>
                <w:color w:val="auto"/>
              </w:rPr>
              <w:t>(1,249)</w:t>
            </w:r>
          </w:p>
        </w:tc>
        <w:tc>
          <w:tcPr>
            <w:tcW w:w="540" w:type="dxa"/>
            <w:vAlign w:val="bottom"/>
          </w:tcPr>
          <w:p>
            <w:pPr>
              <w:spacing w:after="0"/>
              <w:rPr>
                <w:sz w:val="22"/>
                <w:szCs w:val="22"/>
                <w:color w:val="auto"/>
              </w:rPr>
            </w:pPr>
          </w:p>
        </w:tc>
        <w:tc>
          <w:tcPr>
            <w:tcW w:w="1500" w:type="dxa"/>
            <w:vAlign w:val="bottom"/>
          </w:tcPr>
          <w:p>
            <w:pPr>
              <w:jc w:val="right"/>
              <w:ind w:right="196"/>
              <w:spacing w:after="0"/>
              <w:rPr>
                <w:sz w:val="20"/>
                <w:szCs w:val="20"/>
                <w:color w:val="auto"/>
              </w:rPr>
            </w:pPr>
            <w:r>
              <w:rPr>
                <w:rFonts w:ascii="Arial" w:cs="Arial" w:eastAsia="Arial" w:hAnsi="Arial"/>
                <w:sz w:val="17"/>
                <w:szCs w:val="17"/>
                <w:color w:val="auto"/>
              </w:rPr>
              <w:t>(928)</w:t>
            </w:r>
          </w:p>
        </w:tc>
        <w:tc>
          <w:tcPr>
            <w:tcW w:w="460" w:type="dxa"/>
            <w:vAlign w:val="bottom"/>
          </w:tcPr>
          <w:p>
            <w:pPr>
              <w:spacing w:after="0"/>
              <w:rPr>
                <w:sz w:val="22"/>
                <w:szCs w:val="22"/>
                <w:color w:val="auto"/>
              </w:rPr>
            </w:pPr>
          </w:p>
        </w:tc>
        <w:tc>
          <w:tcPr>
            <w:tcW w:w="1240" w:type="dxa"/>
            <w:vAlign w:val="bottom"/>
          </w:tcPr>
          <w:p>
            <w:pPr>
              <w:jc w:val="right"/>
              <w:ind w:right="35"/>
              <w:spacing w:after="0"/>
              <w:rPr>
                <w:sz w:val="20"/>
                <w:szCs w:val="20"/>
                <w:color w:val="auto"/>
              </w:rPr>
            </w:pPr>
            <w:r>
              <w:rPr>
                <w:rFonts w:ascii="Arial" w:cs="Arial" w:eastAsia="Arial" w:hAnsi="Arial"/>
                <w:sz w:val="17"/>
                <w:szCs w:val="17"/>
                <w:color w:val="auto"/>
              </w:rPr>
              <w:t>(920)</w:t>
            </w:r>
          </w:p>
        </w:tc>
      </w:tr>
      <w:tr>
        <w:trPr>
          <w:trHeight w:val="27"/>
        </w:trPr>
        <w:tc>
          <w:tcPr>
            <w:tcW w:w="5720" w:type="dxa"/>
            <w:vAlign w:val="bottom"/>
            <w:tcBorders>
              <w:bottom w:val="single" w:sz="8" w:color="34657F"/>
            </w:tcBorders>
          </w:tcPr>
          <w:p>
            <w:pPr>
              <w:spacing w:after="0"/>
              <w:rPr>
                <w:sz w:val="2"/>
                <w:szCs w:val="2"/>
                <w:color w:val="auto"/>
              </w:rPr>
            </w:pPr>
          </w:p>
        </w:tc>
        <w:tc>
          <w:tcPr>
            <w:tcW w:w="720" w:type="dxa"/>
            <w:vAlign w:val="bottom"/>
            <w:tcBorders>
              <w:bottom w:val="single" w:sz="8" w:color="34657F"/>
            </w:tcBorders>
          </w:tcPr>
          <w:p>
            <w:pPr>
              <w:spacing w:after="0"/>
              <w:rPr>
                <w:sz w:val="2"/>
                <w:szCs w:val="2"/>
                <w:color w:val="auto"/>
              </w:rPr>
            </w:pPr>
          </w:p>
        </w:tc>
        <w:tc>
          <w:tcPr>
            <w:tcW w:w="1240" w:type="dxa"/>
            <w:vAlign w:val="bottom"/>
            <w:tcBorders>
              <w:bottom w:val="single" w:sz="8" w:color="34657F"/>
            </w:tcBorders>
          </w:tcPr>
          <w:p>
            <w:pPr>
              <w:spacing w:after="0"/>
              <w:rPr>
                <w:sz w:val="2"/>
                <w:szCs w:val="2"/>
                <w:color w:val="auto"/>
              </w:rPr>
            </w:pPr>
          </w:p>
        </w:tc>
        <w:tc>
          <w:tcPr>
            <w:tcW w:w="540" w:type="dxa"/>
            <w:vAlign w:val="bottom"/>
            <w:tcBorders>
              <w:bottom w:val="single" w:sz="8" w:color="34657F"/>
            </w:tcBorders>
          </w:tcPr>
          <w:p>
            <w:pPr>
              <w:spacing w:after="0"/>
              <w:rPr>
                <w:sz w:val="2"/>
                <w:szCs w:val="2"/>
                <w:color w:val="auto"/>
              </w:rPr>
            </w:pPr>
          </w:p>
        </w:tc>
        <w:tc>
          <w:tcPr>
            <w:tcW w:w="1500" w:type="dxa"/>
            <w:vAlign w:val="bottom"/>
            <w:tcBorders>
              <w:bottom w:val="single" w:sz="8" w:color="34657F"/>
            </w:tcBorders>
          </w:tcPr>
          <w:p>
            <w:pPr>
              <w:spacing w:after="0"/>
              <w:rPr>
                <w:sz w:val="2"/>
                <w:szCs w:val="2"/>
                <w:color w:val="auto"/>
              </w:rPr>
            </w:pPr>
          </w:p>
        </w:tc>
        <w:tc>
          <w:tcPr>
            <w:tcW w:w="460" w:type="dxa"/>
            <w:vAlign w:val="bottom"/>
            <w:tcBorders>
              <w:bottom w:val="single" w:sz="8" w:color="34657F"/>
            </w:tcBorders>
          </w:tcPr>
          <w:p>
            <w:pPr>
              <w:spacing w:after="0"/>
              <w:rPr>
                <w:sz w:val="2"/>
                <w:szCs w:val="2"/>
                <w:color w:val="auto"/>
              </w:rPr>
            </w:pPr>
          </w:p>
        </w:tc>
        <w:tc>
          <w:tcPr>
            <w:tcW w:w="1240" w:type="dxa"/>
            <w:vAlign w:val="bottom"/>
            <w:tcBorders>
              <w:bottom w:val="single" w:sz="8" w:color="34657F"/>
            </w:tcBorders>
          </w:tcPr>
          <w:p>
            <w:pPr>
              <w:spacing w:after="0"/>
              <w:rPr>
                <w:sz w:val="2"/>
                <w:szCs w:val="2"/>
                <w:color w:val="auto"/>
              </w:rPr>
            </w:pPr>
          </w:p>
        </w:tc>
      </w:tr>
      <w:tr>
        <w:trPr>
          <w:trHeight w:val="222"/>
        </w:trPr>
        <w:tc>
          <w:tcPr>
            <w:tcW w:w="5720" w:type="dxa"/>
            <w:vAlign w:val="bottom"/>
          </w:tcPr>
          <w:p>
            <w:pPr>
              <w:ind w:left="20"/>
              <w:spacing w:after="0"/>
              <w:rPr>
                <w:sz w:val="20"/>
                <w:szCs w:val="20"/>
                <w:color w:val="auto"/>
              </w:rPr>
            </w:pPr>
            <w:r>
              <w:rPr>
                <w:rFonts w:ascii="Arial" w:cs="Arial" w:eastAsia="Arial" w:hAnsi="Arial"/>
                <w:sz w:val="17"/>
                <w:szCs w:val="17"/>
                <w:b w:val="1"/>
                <w:bCs w:val="1"/>
                <w:color w:val="auto"/>
              </w:rPr>
              <w:t>Free cash flow</w:t>
            </w:r>
          </w:p>
        </w:tc>
        <w:tc>
          <w:tcPr>
            <w:tcW w:w="720" w:type="dxa"/>
            <w:vAlign w:val="bottom"/>
          </w:tcPr>
          <w:p>
            <w:pPr>
              <w:jc w:val="right"/>
              <w:ind w:right="75"/>
              <w:spacing w:after="0"/>
              <w:rPr>
                <w:sz w:val="20"/>
                <w:szCs w:val="20"/>
                <w:color w:val="auto"/>
              </w:rPr>
            </w:pPr>
            <w:r>
              <w:rPr>
                <w:rFonts w:ascii="Arial" w:cs="Arial" w:eastAsia="Arial" w:hAnsi="Arial"/>
                <w:sz w:val="17"/>
                <w:szCs w:val="17"/>
                <w:b w:val="1"/>
                <w:bCs w:val="1"/>
                <w:color w:val="auto"/>
              </w:rPr>
              <w:t>$</w:t>
            </w:r>
          </w:p>
        </w:tc>
        <w:tc>
          <w:tcPr>
            <w:tcW w:w="1240" w:type="dxa"/>
            <w:vAlign w:val="bottom"/>
          </w:tcPr>
          <w:p>
            <w:pPr>
              <w:jc w:val="right"/>
              <w:ind w:right="95"/>
              <w:spacing w:after="0"/>
              <w:rPr>
                <w:sz w:val="20"/>
                <w:szCs w:val="20"/>
                <w:color w:val="auto"/>
              </w:rPr>
            </w:pPr>
            <w:r>
              <w:rPr>
                <w:rFonts w:ascii="Arial" w:cs="Arial" w:eastAsia="Arial" w:hAnsi="Arial"/>
                <w:sz w:val="17"/>
                <w:szCs w:val="17"/>
                <w:b w:val="1"/>
                <w:bCs w:val="1"/>
                <w:color w:val="auto"/>
              </w:rPr>
              <w:t>2,578</w:t>
            </w:r>
          </w:p>
        </w:tc>
        <w:tc>
          <w:tcPr>
            <w:tcW w:w="54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500" w:type="dxa"/>
            <w:vAlign w:val="bottom"/>
          </w:tcPr>
          <w:p>
            <w:pPr>
              <w:jc w:val="right"/>
              <w:ind w:right="256"/>
              <w:spacing w:after="0"/>
              <w:rPr>
                <w:sz w:val="20"/>
                <w:szCs w:val="20"/>
                <w:color w:val="auto"/>
              </w:rPr>
            </w:pPr>
            <w:r>
              <w:rPr>
                <w:rFonts w:ascii="Arial" w:cs="Arial" w:eastAsia="Arial" w:hAnsi="Arial"/>
                <w:sz w:val="17"/>
                <w:szCs w:val="17"/>
                <w:b w:val="1"/>
                <w:bCs w:val="1"/>
                <w:color w:val="auto"/>
              </w:rPr>
              <w:t>1,685</w:t>
            </w:r>
          </w:p>
        </w:tc>
        <w:tc>
          <w:tcPr>
            <w:tcW w:w="460" w:type="dxa"/>
            <w:vAlign w:val="bottom"/>
          </w:tcPr>
          <w:p>
            <w:pPr>
              <w:jc w:val="right"/>
              <w:ind w:right="95"/>
              <w:spacing w:after="0"/>
              <w:rPr>
                <w:sz w:val="20"/>
                <w:szCs w:val="20"/>
                <w:color w:val="auto"/>
              </w:rPr>
            </w:pPr>
            <w:r>
              <w:rPr>
                <w:rFonts w:ascii="Arial" w:cs="Arial" w:eastAsia="Arial" w:hAnsi="Arial"/>
                <w:sz w:val="17"/>
                <w:szCs w:val="17"/>
                <w:b w:val="1"/>
                <w:bCs w:val="1"/>
                <w:color w:val="auto"/>
              </w:rPr>
              <w:t>$</w:t>
            </w:r>
          </w:p>
        </w:tc>
        <w:tc>
          <w:tcPr>
            <w:tcW w:w="1240" w:type="dxa"/>
            <w:vAlign w:val="bottom"/>
          </w:tcPr>
          <w:p>
            <w:pPr>
              <w:jc w:val="right"/>
              <w:ind w:right="95"/>
              <w:spacing w:after="0"/>
              <w:rPr>
                <w:sz w:val="20"/>
                <w:szCs w:val="20"/>
                <w:color w:val="auto"/>
              </w:rPr>
            </w:pPr>
            <w:r>
              <w:rPr>
                <w:rFonts w:ascii="Arial" w:cs="Arial" w:eastAsia="Arial" w:hAnsi="Arial"/>
                <w:sz w:val="17"/>
                <w:szCs w:val="17"/>
                <w:b w:val="1"/>
                <w:bCs w:val="1"/>
                <w:color w:val="auto"/>
              </w:rPr>
              <w:t>1,893</w:t>
            </w:r>
          </w:p>
        </w:tc>
      </w:tr>
      <w:tr>
        <w:trPr>
          <w:trHeight w:val="256"/>
        </w:trPr>
        <w:tc>
          <w:tcPr>
            <w:tcW w:w="5720" w:type="dxa"/>
            <w:vAlign w:val="bottom"/>
          </w:tcPr>
          <w:p>
            <w:pPr>
              <w:ind w:left="20"/>
              <w:spacing w:after="0"/>
              <w:rPr>
                <w:sz w:val="20"/>
                <w:szCs w:val="20"/>
                <w:color w:val="auto"/>
              </w:rPr>
            </w:pPr>
            <w:r>
              <w:rPr>
                <w:rFonts w:ascii="Arial" w:cs="Arial" w:eastAsia="Arial" w:hAnsi="Arial"/>
                <w:sz w:val="17"/>
                <w:szCs w:val="17"/>
                <w:color w:val="auto"/>
              </w:rPr>
              <w:t>After-tax total pension contributions impact</w:t>
            </w:r>
          </w:p>
        </w:tc>
        <w:tc>
          <w:tcPr>
            <w:tcW w:w="720" w:type="dxa"/>
            <w:vAlign w:val="bottom"/>
          </w:tcPr>
          <w:p>
            <w:pPr>
              <w:spacing w:after="0"/>
              <w:rPr>
                <w:sz w:val="22"/>
                <w:szCs w:val="22"/>
                <w:color w:val="auto"/>
              </w:rPr>
            </w:pPr>
          </w:p>
        </w:tc>
        <w:tc>
          <w:tcPr>
            <w:tcW w:w="1240" w:type="dxa"/>
            <w:vAlign w:val="bottom"/>
          </w:tcPr>
          <w:p>
            <w:pPr>
              <w:jc w:val="right"/>
              <w:ind w:right="95"/>
              <w:spacing w:after="0"/>
              <w:rPr>
                <w:sz w:val="20"/>
                <w:szCs w:val="20"/>
                <w:color w:val="auto"/>
              </w:rPr>
            </w:pPr>
            <w:r>
              <w:rPr>
                <w:rFonts w:ascii="Arial" w:cs="Arial" w:eastAsia="Arial" w:hAnsi="Arial"/>
                <w:sz w:val="17"/>
                <w:szCs w:val="17"/>
                <w:color w:val="auto"/>
              </w:rPr>
              <w:t>246</w:t>
            </w:r>
          </w:p>
        </w:tc>
        <w:tc>
          <w:tcPr>
            <w:tcW w:w="540" w:type="dxa"/>
            <w:vAlign w:val="bottom"/>
          </w:tcPr>
          <w:p>
            <w:pPr>
              <w:spacing w:after="0"/>
              <w:rPr>
                <w:sz w:val="22"/>
                <w:szCs w:val="22"/>
                <w:color w:val="auto"/>
              </w:rPr>
            </w:pPr>
          </w:p>
        </w:tc>
        <w:tc>
          <w:tcPr>
            <w:tcW w:w="1500" w:type="dxa"/>
            <w:vAlign w:val="bottom"/>
          </w:tcPr>
          <w:p>
            <w:pPr>
              <w:jc w:val="right"/>
              <w:ind w:right="256"/>
              <w:spacing w:after="0"/>
              <w:rPr>
                <w:sz w:val="20"/>
                <w:szCs w:val="20"/>
                <w:color w:val="auto"/>
              </w:rPr>
            </w:pPr>
            <w:r>
              <w:rPr>
                <w:rFonts w:ascii="Arial" w:cs="Arial" w:eastAsia="Arial" w:hAnsi="Arial"/>
                <w:sz w:val="17"/>
                <w:szCs w:val="17"/>
                <w:color w:val="auto"/>
              </w:rPr>
              <w:t>376</w:t>
            </w:r>
          </w:p>
        </w:tc>
        <w:tc>
          <w:tcPr>
            <w:tcW w:w="460" w:type="dxa"/>
            <w:vAlign w:val="bottom"/>
          </w:tcPr>
          <w:p>
            <w:pPr>
              <w:spacing w:after="0"/>
              <w:rPr>
                <w:sz w:val="22"/>
                <w:szCs w:val="22"/>
                <w:color w:val="auto"/>
              </w:rPr>
            </w:pPr>
          </w:p>
        </w:tc>
        <w:tc>
          <w:tcPr>
            <w:tcW w:w="1240" w:type="dxa"/>
            <w:vAlign w:val="bottom"/>
          </w:tcPr>
          <w:p>
            <w:pPr>
              <w:jc w:val="right"/>
              <w:ind w:right="95"/>
              <w:spacing w:after="0"/>
              <w:rPr>
                <w:sz w:val="20"/>
                <w:szCs w:val="20"/>
                <w:color w:val="auto"/>
              </w:rPr>
            </w:pPr>
            <w:r>
              <w:rPr>
                <w:rFonts w:ascii="Arial" w:cs="Arial" w:eastAsia="Arial" w:hAnsi="Arial"/>
                <w:sz w:val="17"/>
                <w:szCs w:val="17"/>
                <w:color w:val="auto"/>
              </w:rPr>
              <w:t>46</w:t>
            </w:r>
          </w:p>
        </w:tc>
      </w:tr>
      <w:tr>
        <w:trPr>
          <w:trHeight w:val="269"/>
        </w:trPr>
        <w:tc>
          <w:tcPr>
            <w:tcW w:w="5720" w:type="dxa"/>
            <w:vAlign w:val="bottom"/>
          </w:tcPr>
          <w:p>
            <w:pPr>
              <w:ind w:left="20"/>
              <w:spacing w:after="0"/>
              <w:rPr>
                <w:sz w:val="20"/>
                <w:szCs w:val="20"/>
                <w:color w:val="auto"/>
              </w:rPr>
            </w:pPr>
            <w:r>
              <w:rPr>
                <w:rFonts w:ascii="Arial" w:cs="Arial" w:eastAsia="Arial" w:hAnsi="Arial"/>
                <w:sz w:val="17"/>
                <w:szCs w:val="17"/>
                <w:color w:val="auto"/>
              </w:rPr>
              <w:t>After-tax Orbital ATK transaction-related expenses</w:t>
            </w:r>
          </w:p>
        </w:tc>
        <w:tc>
          <w:tcPr>
            <w:tcW w:w="720" w:type="dxa"/>
            <w:vAlign w:val="bottom"/>
          </w:tcPr>
          <w:p>
            <w:pPr>
              <w:spacing w:after="0"/>
              <w:rPr>
                <w:sz w:val="23"/>
                <w:szCs w:val="23"/>
                <w:color w:val="auto"/>
              </w:rPr>
            </w:pPr>
          </w:p>
        </w:tc>
        <w:tc>
          <w:tcPr>
            <w:tcW w:w="1240" w:type="dxa"/>
            <w:vAlign w:val="bottom"/>
          </w:tcPr>
          <w:p>
            <w:pPr>
              <w:jc w:val="right"/>
              <w:ind w:right="95"/>
              <w:spacing w:after="0"/>
              <w:rPr>
                <w:sz w:val="20"/>
                <w:szCs w:val="20"/>
                <w:color w:val="auto"/>
              </w:rPr>
            </w:pPr>
            <w:r>
              <w:rPr>
                <w:rFonts w:ascii="Arial" w:cs="Arial" w:eastAsia="Arial" w:hAnsi="Arial"/>
                <w:sz w:val="17"/>
                <w:szCs w:val="17"/>
                <w:color w:val="auto"/>
              </w:rPr>
              <w:t>36</w:t>
            </w:r>
          </w:p>
        </w:tc>
        <w:tc>
          <w:tcPr>
            <w:tcW w:w="540" w:type="dxa"/>
            <w:vAlign w:val="bottom"/>
          </w:tcPr>
          <w:p>
            <w:pPr>
              <w:spacing w:after="0"/>
              <w:rPr>
                <w:sz w:val="23"/>
                <w:szCs w:val="23"/>
                <w:color w:val="auto"/>
              </w:rPr>
            </w:pPr>
          </w:p>
        </w:tc>
        <w:tc>
          <w:tcPr>
            <w:tcW w:w="1500" w:type="dxa"/>
            <w:vAlign w:val="bottom"/>
          </w:tcPr>
          <w:p>
            <w:pPr>
              <w:jc w:val="right"/>
              <w:ind w:right="256"/>
              <w:spacing w:after="0"/>
              <w:rPr>
                <w:sz w:val="20"/>
                <w:szCs w:val="20"/>
                <w:color w:val="auto"/>
              </w:rPr>
            </w:pPr>
            <w:r>
              <w:rPr>
                <w:rFonts w:ascii="Arial" w:cs="Arial" w:eastAsia="Arial" w:hAnsi="Arial"/>
                <w:sz w:val="17"/>
                <w:szCs w:val="17"/>
                <w:color w:val="auto"/>
              </w:rPr>
              <w:t>—</w:t>
            </w:r>
          </w:p>
        </w:tc>
        <w:tc>
          <w:tcPr>
            <w:tcW w:w="460" w:type="dxa"/>
            <w:vAlign w:val="bottom"/>
          </w:tcPr>
          <w:p>
            <w:pPr>
              <w:spacing w:after="0"/>
              <w:rPr>
                <w:sz w:val="23"/>
                <w:szCs w:val="23"/>
                <w:color w:val="auto"/>
              </w:rPr>
            </w:pPr>
          </w:p>
        </w:tc>
        <w:tc>
          <w:tcPr>
            <w:tcW w:w="1240" w:type="dxa"/>
            <w:vAlign w:val="bottom"/>
          </w:tcPr>
          <w:p>
            <w:pPr>
              <w:jc w:val="right"/>
              <w:ind w:right="95"/>
              <w:spacing w:after="0"/>
              <w:rPr>
                <w:sz w:val="20"/>
                <w:szCs w:val="20"/>
                <w:color w:val="auto"/>
              </w:rPr>
            </w:pPr>
            <w:r>
              <w:rPr>
                <w:rFonts w:ascii="Arial" w:cs="Arial" w:eastAsia="Arial" w:hAnsi="Arial"/>
                <w:sz w:val="17"/>
                <w:szCs w:val="17"/>
                <w:color w:val="auto"/>
              </w:rPr>
              <w:t>—</w:t>
            </w:r>
          </w:p>
        </w:tc>
      </w:tr>
      <w:tr>
        <w:trPr>
          <w:trHeight w:val="244"/>
        </w:trPr>
        <w:tc>
          <w:tcPr>
            <w:tcW w:w="5720" w:type="dxa"/>
            <w:vAlign w:val="bottom"/>
          </w:tcPr>
          <w:p>
            <w:pPr>
              <w:ind w:left="20"/>
              <w:spacing w:after="0"/>
              <w:rPr>
                <w:sz w:val="20"/>
                <w:szCs w:val="20"/>
                <w:color w:val="auto"/>
              </w:rPr>
            </w:pPr>
            <w:r>
              <w:rPr>
                <w:rFonts w:ascii="Arial" w:cs="Arial" w:eastAsia="Arial" w:hAnsi="Arial"/>
                <w:sz w:val="17"/>
                <w:szCs w:val="17"/>
                <w:color w:val="auto"/>
              </w:rPr>
              <w:t>Impacts related to the addition of Innovation Systems</w:t>
            </w:r>
          </w:p>
        </w:tc>
        <w:tc>
          <w:tcPr>
            <w:tcW w:w="720" w:type="dxa"/>
            <w:vAlign w:val="bottom"/>
          </w:tcPr>
          <w:p>
            <w:pPr>
              <w:spacing w:after="0"/>
              <w:rPr>
                <w:sz w:val="21"/>
                <w:szCs w:val="21"/>
                <w:color w:val="auto"/>
              </w:rPr>
            </w:pPr>
          </w:p>
        </w:tc>
        <w:tc>
          <w:tcPr>
            <w:tcW w:w="1240" w:type="dxa"/>
            <w:vAlign w:val="bottom"/>
          </w:tcPr>
          <w:p>
            <w:pPr>
              <w:jc w:val="right"/>
              <w:ind w:right="35"/>
              <w:spacing w:after="0"/>
              <w:rPr>
                <w:sz w:val="20"/>
                <w:szCs w:val="20"/>
                <w:color w:val="auto"/>
              </w:rPr>
            </w:pPr>
            <w:r>
              <w:rPr>
                <w:rFonts w:ascii="Arial" w:cs="Arial" w:eastAsia="Arial" w:hAnsi="Arial"/>
                <w:sz w:val="17"/>
                <w:szCs w:val="17"/>
                <w:color w:val="auto"/>
              </w:rPr>
              <w:t>(721)</w:t>
            </w:r>
          </w:p>
        </w:tc>
        <w:tc>
          <w:tcPr>
            <w:tcW w:w="540" w:type="dxa"/>
            <w:vAlign w:val="bottom"/>
          </w:tcPr>
          <w:p>
            <w:pPr>
              <w:spacing w:after="0"/>
              <w:rPr>
                <w:sz w:val="21"/>
                <w:szCs w:val="21"/>
                <w:color w:val="auto"/>
              </w:rPr>
            </w:pPr>
          </w:p>
        </w:tc>
        <w:tc>
          <w:tcPr>
            <w:tcW w:w="1500" w:type="dxa"/>
            <w:vAlign w:val="bottom"/>
          </w:tcPr>
          <w:p>
            <w:pPr>
              <w:jc w:val="right"/>
              <w:ind w:right="256"/>
              <w:spacing w:after="0"/>
              <w:rPr>
                <w:sz w:val="20"/>
                <w:szCs w:val="20"/>
                <w:color w:val="auto"/>
              </w:rPr>
            </w:pPr>
            <w:r>
              <w:rPr>
                <w:rFonts w:ascii="Arial" w:cs="Arial" w:eastAsia="Arial" w:hAnsi="Arial"/>
                <w:sz w:val="17"/>
                <w:szCs w:val="17"/>
                <w:color w:val="auto"/>
              </w:rPr>
              <w:t>—</w:t>
            </w:r>
          </w:p>
        </w:tc>
        <w:tc>
          <w:tcPr>
            <w:tcW w:w="460" w:type="dxa"/>
            <w:vAlign w:val="bottom"/>
          </w:tcPr>
          <w:p>
            <w:pPr>
              <w:spacing w:after="0"/>
              <w:rPr>
                <w:sz w:val="21"/>
                <w:szCs w:val="21"/>
                <w:color w:val="auto"/>
              </w:rPr>
            </w:pPr>
          </w:p>
        </w:tc>
        <w:tc>
          <w:tcPr>
            <w:tcW w:w="1240" w:type="dxa"/>
            <w:vAlign w:val="bottom"/>
          </w:tcPr>
          <w:p>
            <w:pPr>
              <w:jc w:val="right"/>
              <w:ind w:right="95"/>
              <w:spacing w:after="0"/>
              <w:rPr>
                <w:sz w:val="20"/>
                <w:szCs w:val="20"/>
                <w:color w:val="auto"/>
              </w:rPr>
            </w:pPr>
            <w:r>
              <w:rPr>
                <w:rFonts w:ascii="Arial" w:cs="Arial" w:eastAsia="Arial" w:hAnsi="Arial"/>
                <w:sz w:val="17"/>
                <w:szCs w:val="17"/>
                <w:color w:val="auto"/>
              </w:rPr>
              <w:t>—</w:t>
            </w:r>
          </w:p>
        </w:tc>
      </w:tr>
      <w:tr>
        <w:trPr>
          <w:trHeight w:val="27"/>
        </w:trPr>
        <w:tc>
          <w:tcPr>
            <w:tcW w:w="5720" w:type="dxa"/>
            <w:vAlign w:val="bottom"/>
            <w:tcBorders>
              <w:bottom w:val="single" w:sz="8" w:color="34657F"/>
            </w:tcBorders>
          </w:tcPr>
          <w:p>
            <w:pPr>
              <w:spacing w:after="0"/>
              <w:rPr>
                <w:sz w:val="2"/>
                <w:szCs w:val="2"/>
                <w:color w:val="auto"/>
              </w:rPr>
            </w:pPr>
          </w:p>
        </w:tc>
        <w:tc>
          <w:tcPr>
            <w:tcW w:w="720" w:type="dxa"/>
            <w:vAlign w:val="bottom"/>
            <w:tcBorders>
              <w:bottom w:val="single" w:sz="8" w:color="34657F"/>
            </w:tcBorders>
          </w:tcPr>
          <w:p>
            <w:pPr>
              <w:spacing w:after="0"/>
              <w:rPr>
                <w:sz w:val="2"/>
                <w:szCs w:val="2"/>
                <w:color w:val="auto"/>
              </w:rPr>
            </w:pPr>
          </w:p>
        </w:tc>
        <w:tc>
          <w:tcPr>
            <w:tcW w:w="1240" w:type="dxa"/>
            <w:vAlign w:val="bottom"/>
            <w:tcBorders>
              <w:bottom w:val="single" w:sz="8" w:color="34657F"/>
            </w:tcBorders>
          </w:tcPr>
          <w:p>
            <w:pPr>
              <w:spacing w:after="0"/>
              <w:rPr>
                <w:sz w:val="2"/>
                <w:szCs w:val="2"/>
                <w:color w:val="auto"/>
              </w:rPr>
            </w:pPr>
          </w:p>
        </w:tc>
        <w:tc>
          <w:tcPr>
            <w:tcW w:w="540" w:type="dxa"/>
            <w:vAlign w:val="bottom"/>
            <w:tcBorders>
              <w:bottom w:val="single" w:sz="8" w:color="34657F"/>
            </w:tcBorders>
          </w:tcPr>
          <w:p>
            <w:pPr>
              <w:spacing w:after="0"/>
              <w:rPr>
                <w:sz w:val="2"/>
                <w:szCs w:val="2"/>
                <w:color w:val="auto"/>
              </w:rPr>
            </w:pPr>
          </w:p>
        </w:tc>
        <w:tc>
          <w:tcPr>
            <w:tcW w:w="1500" w:type="dxa"/>
            <w:vAlign w:val="bottom"/>
            <w:tcBorders>
              <w:bottom w:val="single" w:sz="8" w:color="34657F"/>
            </w:tcBorders>
          </w:tcPr>
          <w:p>
            <w:pPr>
              <w:spacing w:after="0"/>
              <w:rPr>
                <w:sz w:val="2"/>
                <w:szCs w:val="2"/>
                <w:color w:val="auto"/>
              </w:rPr>
            </w:pPr>
          </w:p>
        </w:tc>
        <w:tc>
          <w:tcPr>
            <w:tcW w:w="460" w:type="dxa"/>
            <w:vAlign w:val="bottom"/>
            <w:tcBorders>
              <w:bottom w:val="single" w:sz="8" w:color="34657F"/>
            </w:tcBorders>
          </w:tcPr>
          <w:p>
            <w:pPr>
              <w:spacing w:after="0"/>
              <w:rPr>
                <w:sz w:val="2"/>
                <w:szCs w:val="2"/>
                <w:color w:val="auto"/>
              </w:rPr>
            </w:pPr>
          </w:p>
        </w:tc>
        <w:tc>
          <w:tcPr>
            <w:tcW w:w="1240" w:type="dxa"/>
            <w:vAlign w:val="bottom"/>
            <w:tcBorders>
              <w:bottom w:val="single" w:sz="8" w:color="34657F"/>
            </w:tcBorders>
          </w:tcPr>
          <w:p>
            <w:pPr>
              <w:spacing w:after="0"/>
              <w:rPr>
                <w:sz w:val="2"/>
                <w:szCs w:val="2"/>
                <w:color w:val="auto"/>
              </w:rPr>
            </w:pPr>
          </w:p>
        </w:tc>
      </w:tr>
      <w:tr>
        <w:trPr>
          <w:trHeight w:val="242"/>
        </w:trPr>
        <w:tc>
          <w:tcPr>
            <w:tcW w:w="5720" w:type="dxa"/>
            <w:vAlign w:val="bottom"/>
            <w:tcBorders>
              <w:bottom w:val="single" w:sz="8" w:color="34657F"/>
            </w:tcBorders>
          </w:tcPr>
          <w:p>
            <w:pPr>
              <w:ind w:left="20"/>
              <w:spacing w:after="0"/>
              <w:rPr>
                <w:sz w:val="20"/>
                <w:szCs w:val="20"/>
                <w:color w:val="auto"/>
              </w:rPr>
            </w:pPr>
            <w:r>
              <w:rPr>
                <w:rFonts w:ascii="Arial" w:cs="Arial" w:eastAsia="Arial" w:hAnsi="Arial"/>
                <w:sz w:val="17"/>
                <w:szCs w:val="17"/>
                <w:color w:val="auto"/>
              </w:rPr>
              <w:t>Free cash flow before after-tax total pension contributions</w:t>
            </w:r>
          </w:p>
        </w:tc>
        <w:tc>
          <w:tcPr>
            <w:tcW w:w="720" w:type="dxa"/>
            <w:vAlign w:val="bottom"/>
            <w:tcBorders>
              <w:bottom w:val="single" w:sz="8" w:color="34657F"/>
            </w:tcBorders>
          </w:tcPr>
          <w:p>
            <w:pPr>
              <w:spacing w:after="0"/>
              <w:rPr>
                <w:sz w:val="21"/>
                <w:szCs w:val="21"/>
                <w:color w:val="auto"/>
              </w:rPr>
            </w:pPr>
          </w:p>
        </w:tc>
        <w:tc>
          <w:tcPr>
            <w:tcW w:w="1240" w:type="dxa"/>
            <w:vAlign w:val="bottom"/>
            <w:tcBorders>
              <w:bottom w:val="single" w:sz="8" w:color="34657F"/>
            </w:tcBorders>
          </w:tcPr>
          <w:p>
            <w:pPr>
              <w:jc w:val="right"/>
              <w:ind w:right="95"/>
              <w:spacing w:after="0"/>
              <w:rPr>
                <w:sz w:val="20"/>
                <w:szCs w:val="20"/>
                <w:color w:val="auto"/>
              </w:rPr>
            </w:pPr>
            <w:r>
              <w:rPr>
                <w:rFonts w:ascii="Arial" w:cs="Arial" w:eastAsia="Arial" w:hAnsi="Arial"/>
                <w:sz w:val="17"/>
                <w:szCs w:val="17"/>
                <w:color w:val="auto"/>
              </w:rPr>
              <w:t>2,139</w:t>
            </w:r>
          </w:p>
        </w:tc>
        <w:tc>
          <w:tcPr>
            <w:tcW w:w="540" w:type="dxa"/>
            <w:vAlign w:val="bottom"/>
            <w:tcBorders>
              <w:bottom w:val="single" w:sz="8" w:color="34657F"/>
            </w:tcBorders>
          </w:tcPr>
          <w:p>
            <w:pPr>
              <w:spacing w:after="0"/>
              <w:rPr>
                <w:sz w:val="21"/>
                <w:szCs w:val="21"/>
                <w:color w:val="auto"/>
              </w:rPr>
            </w:pPr>
          </w:p>
        </w:tc>
        <w:tc>
          <w:tcPr>
            <w:tcW w:w="1500" w:type="dxa"/>
            <w:vAlign w:val="bottom"/>
            <w:tcBorders>
              <w:bottom w:val="single" w:sz="8" w:color="34657F"/>
            </w:tcBorders>
          </w:tcPr>
          <w:p>
            <w:pPr>
              <w:jc w:val="right"/>
              <w:ind w:right="256"/>
              <w:spacing w:after="0"/>
              <w:rPr>
                <w:sz w:val="20"/>
                <w:szCs w:val="20"/>
                <w:color w:val="auto"/>
              </w:rPr>
            </w:pPr>
            <w:r>
              <w:rPr>
                <w:rFonts w:ascii="Arial" w:cs="Arial" w:eastAsia="Arial" w:hAnsi="Arial"/>
                <w:sz w:val="17"/>
                <w:szCs w:val="17"/>
                <w:color w:val="auto"/>
              </w:rPr>
              <w:t>2,061</w:t>
            </w:r>
          </w:p>
        </w:tc>
        <w:tc>
          <w:tcPr>
            <w:tcW w:w="460" w:type="dxa"/>
            <w:vAlign w:val="bottom"/>
            <w:tcBorders>
              <w:bottom w:val="single" w:sz="8" w:color="34657F"/>
            </w:tcBorders>
          </w:tcPr>
          <w:p>
            <w:pPr>
              <w:spacing w:after="0"/>
              <w:rPr>
                <w:sz w:val="21"/>
                <w:szCs w:val="21"/>
                <w:color w:val="auto"/>
              </w:rPr>
            </w:pPr>
          </w:p>
        </w:tc>
        <w:tc>
          <w:tcPr>
            <w:tcW w:w="1240" w:type="dxa"/>
            <w:vAlign w:val="bottom"/>
            <w:tcBorders>
              <w:bottom w:val="single" w:sz="8" w:color="34657F"/>
            </w:tcBorders>
          </w:tcPr>
          <w:p>
            <w:pPr>
              <w:jc w:val="right"/>
              <w:ind w:right="95"/>
              <w:spacing w:after="0"/>
              <w:rPr>
                <w:sz w:val="20"/>
                <w:szCs w:val="20"/>
                <w:color w:val="auto"/>
              </w:rPr>
            </w:pPr>
            <w:r>
              <w:rPr>
                <w:rFonts w:ascii="Arial" w:cs="Arial" w:eastAsia="Arial" w:hAnsi="Arial"/>
                <w:sz w:val="17"/>
                <w:szCs w:val="17"/>
                <w:color w:val="auto"/>
              </w:rPr>
              <w:t>1,939</w:t>
            </w:r>
          </w:p>
        </w:tc>
      </w:tr>
      <w:tr>
        <w:trPr>
          <w:trHeight w:val="229"/>
        </w:trPr>
        <w:tc>
          <w:tcPr>
            <w:tcW w:w="5720" w:type="dxa"/>
            <w:vAlign w:val="bottom"/>
          </w:tcPr>
          <w:p>
            <w:pPr>
              <w:ind w:left="20"/>
              <w:spacing w:after="0"/>
              <w:rPr>
                <w:sz w:val="20"/>
                <w:szCs w:val="20"/>
                <w:color w:val="auto"/>
              </w:rPr>
            </w:pPr>
            <w:r>
              <w:rPr>
                <w:rFonts w:ascii="Arial" w:cs="Arial" w:eastAsia="Arial" w:hAnsi="Arial"/>
                <w:sz w:val="17"/>
                <w:szCs w:val="17"/>
                <w:b w:val="1"/>
                <w:bCs w:val="1"/>
                <w:color w:val="auto"/>
              </w:rPr>
              <w:t>Cumulative free cash flow</w:t>
            </w:r>
          </w:p>
        </w:tc>
        <w:tc>
          <w:tcPr>
            <w:tcW w:w="720" w:type="dxa"/>
            <w:vAlign w:val="bottom"/>
          </w:tcPr>
          <w:p>
            <w:pPr>
              <w:jc w:val="right"/>
              <w:ind w:right="75"/>
              <w:spacing w:after="0"/>
              <w:rPr>
                <w:sz w:val="20"/>
                <w:szCs w:val="20"/>
                <w:color w:val="auto"/>
              </w:rPr>
            </w:pPr>
            <w:r>
              <w:rPr>
                <w:rFonts w:ascii="Arial" w:cs="Arial" w:eastAsia="Arial" w:hAnsi="Arial"/>
                <w:sz w:val="17"/>
                <w:szCs w:val="17"/>
                <w:b w:val="1"/>
                <w:bCs w:val="1"/>
                <w:color w:val="auto"/>
              </w:rPr>
              <w:t>$</w:t>
            </w:r>
          </w:p>
        </w:tc>
        <w:tc>
          <w:tcPr>
            <w:tcW w:w="1240" w:type="dxa"/>
            <w:vAlign w:val="bottom"/>
          </w:tcPr>
          <w:p>
            <w:pPr>
              <w:jc w:val="right"/>
              <w:ind w:right="95"/>
              <w:spacing w:after="0"/>
              <w:rPr>
                <w:sz w:val="20"/>
                <w:szCs w:val="20"/>
                <w:color w:val="auto"/>
              </w:rPr>
            </w:pPr>
            <w:r>
              <w:rPr>
                <w:rFonts w:ascii="Arial" w:cs="Arial" w:eastAsia="Arial" w:hAnsi="Arial"/>
                <w:sz w:val="17"/>
                <w:szCs w:val="17"/>
                <w:b w:val="1"/>
                <w:bCs w:val="1"/>
                <w:color w:val="auto"/>
              </w:rPr>
              <w:t>6,139</w:t>
            </w:r>
          </w:p>
        </w:tc>
        <w:tc>
          <w:tcPr>
            <w:tcW w:w="5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7"/>
        </w:trPr>
        <w:tc>
          <w:tcPr>
            <w:tcW w:w="5720" w:type="dxa"/>
            <w:vAlign w:val="bottom"/>
            <w:tcBorders>
              <w:bottom w:val="single" w:sz="8" w:color="34657F"/>
            </w:tcBorders>
          </w:tcPr>
          <w:p>
            <w:pPr>
              <w:spacing w:after="0"/>
              <w:rPr>
                <w:sz w:val="2"/>
                <w:szCs w:val="2"/>
                <w:color w:val="auto"/>
              </w:rPr>
            </w:pPr>
          </w:p>
        </w:tc>
        <w:tc>
          <w:tcPr>
            <w:tcW w:w="720" w:type="dxa"/>
            <w:vAlign w:val="bottom"/>
            <w:tcBorders>
              <w:bottom w:val="single" w:sz="8" w:color="34657F"/>
            </w:tcBorders>
          </w:tcPr>
          <w:p>
            <w:pPr>
              <w:spacing w:after="0"/>
              <w:rPr>
                <w:sz w:val="2"/>
                <w:szCs w:val="2"/>
                <w:color w:val="auto"/>
              </w:rPr>
            </w:pPr>
          </w:p>
        </w:tc>
        <w:tc>
          <w:tcPr>
            <w:tcW w:w="1240" w:type="dxa"/>
            <w:vAlign w:val="bottom"/>
            <w:tcBorders>
              <w:bottom w:val="single" w:sz="8" w:color="34657F"/>
            </w:tcBorders>
          </w:tcPr>
          <w:p>
            <w:pPr>
              <w:spacing w:after="0"/>
              <w:rPr>
                <w:sz w:val="2"/>
                <w:szCs w:val="2"/>
                <w:color w:val="auto"/>
              </w:rPr>
            </w:pPr>
          </w:p>
        </w:tc>
        <w:tc>
          <w:tcPr>
            <w:tcW w:w="5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543"/>
        </w:trPr>
        <w:tc>
          <w:tcPr>
            <w:tcW w:w="5720" w:type="dxa"/>
            <w:vAlign w:val="bottom"/>
          </w:tcPr>
          <w:p>
            <w:pPr>
              <w:ind w:left="20"/>
              <w:spacing w:after="0"/>
              <w:rPr>
                <w:sz w:val="20"/>
                <w:szCs w:val="20"/>
                <w:color w:val="auto"/>
              </w:rPr>
            </w:pPr>
            <w:r>
              <w:rPr>
                <w:rFonts w:ascii="Arial" w:cs="Arial" w:eastAsia="Arial" w:hAnsi="Arial"/>
                <w:sz w:val="17"/>
                <w:szCs w:val="17"/>
                <w:color w:val="auto"/>
              </w:rPr>
              <w:t>Sales</w:t>
            </w:r>
          </w:p>
        </w:tc>
        <w:tc>
          <w:tcPr>
            <w:tcW w:w="720" w:type="dxa"/>
            <w:vAlign w:val="bottom"/>
          </w:tcPr>
          <w:p>
            <w:pPr>
              <w:spacing w:after="0"/>
              <w:rPr>
                <w:sz w:val="24"/>
                <w:szCs w:val="24"/>
                <w:color w:val="auto"/>
              </w:rPr>
            </w:pPr>
          </w:p>
        </w:tc>
        <w:tc>
          <w:tcPr>
            <w:tcW w:w="1240" w:type="dxa"/>
            <w:vAlign w:val="bottom"/>
          </w:tcPr>
          <w:p>
            <w:pPr>
              <w:jc w:val="right"/>
              <w:ind w:right="95"/>
              <w:spacing w:after="0"/>
              <w:rPr>
                <w:sz w:val="20"/>
                <w:szCs w:val="20"/>
                <w:color w:val="auto"/>
              </w:rPr>
            </w:pPr>
            <w:r>
              <w:rPr>
                <w:rFonts w:ascii="Arial" w:cs="Arial" w:eastAsia="Arial" w:hAnsi="Arial"/>
                <w:sz w:val="17"/>
                <w:szCs w:val="17"/>
                <w:color w:val="auto"/>
              </w:rPr>
              <w:t>30,095</w:t>
            </w:r>
          </w:p>
        </w:tc>
        <w:tc>
          <w:tcPr>
            <w:tcW w:w="540" w:type="dxa"/>
            <w:vAlign w:val="bottom"/>
          </w:tcPr>
          <w:p>
            <w:pPr>
              <w:spacing w:after="0"/>
              <w:rPr>
                <w:sz w:val="24"/>
                <w:szCs w:val="24"/>
                <w:color w:val="auto"/>
              </w:rPr>
            </w:pPr>
          </w:p>
        </w:tc>
        <w:tc>
          <w:tcPr>
            <w:tcW w:w="1500" w:type="dxa"/>
            <w:vAlign w:val="bottom"/>
          </w:tcPr>
          <w:p>
            <w:pPr>
              <w:jc w:val="right"/>
              <w:ind w:right="256"/>
              <w:spacing w:after="0"/>
              <w:rPr>
                <w:sz w:val="20"/>
                <w:szCs w:val="20"/>
                <w:color w:val="auto"/>
              </w:rPr>
            </w:pPr>
            <w:r>
              <w:rPr>
                <w:rFonts w:ascii="Arial" w:cs="Arial" w:eastAsia="Arial" w:hAnsi="Arial"/>
                <w:sz w:val="17"/>
                <w:szCs w:val="17"/>
                <w:color w:val="auto"/>
              </w:rPr>
              <w:t>26,004</w:t>
            </w:r>
          </w:p>
        </w:tc>
        <w:tc>
          <w:tcPr>
            <w:tcW w:w="460" w:type="dxa"/>
            <w:vAlign w:val="bottom"/>
          </w:tcPr>
          <w:p>
            <w:pPr>
              <w:spacing w:after="0"/>
              <w:rPr>
                <w:sz w:val="24"/>
                <w:szCs w:val="24"/>
                <w:color w:val="auto"/>
              </w:rPr>
            </w:pPr>
          </w:p>
        </w:tc>
        <w:tc>
          <w:tcPr>
            <w:tcW w:w="1240" w:type="dxa"/>
            <w:vAlign w:val="bottom"/>
          </w:tcPr>
          <w:p>
            <w:pPr>
              <w:jc w:val="right"/>
              <w:ind w:right="95"/>
              <w:spacing w:after="0"/>
              <w:rPr>
                <w:sz w:val="20"/>
                <w:szCs w:val="20"/>
                <w:color w:val="auto"/>
              </w:rPr>
            </w:pPr>
            <w:r>
              <w:rPr>
                <w:rFonts w:ascii="Arial" w:cs="Arial" w:eastAsia="Arial" w:hAnsi="Arial"/>
                <w:sz w:val="17"/>
                <w:szCs w:val="17"/>
                <w:color w:val="auto"/>
              </w:rPr>
              <w:t>24,706</w:t>
            </w:r>
          </w:p>
        </w:tc>
      </w:tr>
      <w:tr>
        <w:trPr>
          <w:trHeight w:val="244"/>
        </w:trPr>
        <w:tc>
          <w:tcPr>
            <w:tcW w:w="5720" w:type="dxa"/>
            <w:vAlign w:val="bottom"/>
          </w:tcPr>
          <w:p>
            <w:pPr>
              <w:ind w:left="20"/>
              <w:spacing w:after="0"/>
              <w:rPr>
                <w:sz w:val="20"/>
                <w:szCs w:val="20"/>
                <w:color w:val="auto"/>
              </w:rPr>
            </w:pPr>
            <w:r>
              <w:rPr>
                <w:rFonts w:ascii="Arial" w:cs="Arial" w:eastAsia="Arial" w:hAnsi="Arial"/>
                <w:sz w:val="17"/>
                <w:szCs w:val="17"/>
                <w:b w:val="1"/>
                <w:bCs w:val="1"/>
                <w:color w:val="auto"/>
              </w:rPr>
              <w:t>Operating income</w:t>
            </w:r>
          </w:p>
        </w:tc>
        <w:tc>
          <w:tcPr>
            <w:tcW w:w="720" w:type="dxa"/>
            <w:vAlign w:val="bottom"/>
          </w:tcPr>
          <w:p>
            <w:pPr>
              <w:jc w:val="right"/>
              <w:ind w:right="75"/>
              <w:spacing w:after="0"/>
              <w:rPr>
                <w:sz w:val="20"/>
                <w:szCs w:val="20"/>
                <w:color w:val="auto"/>
              </w:rPr>
            </w:pPr>
            <w:r>
              <w:rPr>
                <w:rFonts w:ascii="Arial" w:cs="Arial" w:eastAsia="Arial" w:hAnsi="Arial"/>
                <w:sz w:val="17"/>
                <w:szCs w:val="17"/>
                <w:b w:val="1"/>
                <w:bCs w:val="1"/>
                <w:color w:val="auto"/>
              </w:rPr>
              <w:t>$</w:t>
            </w:r>
          </w:p>
        </w:tc>
        <w:tc>
          <w:tcPr>
            <w:tcW w:w="1240" w:type="dxa"/>
            <w:vAlign w:val="bottom"/>
          </w:tcPr>
          <w:p>
            <w:pPr>
              <w:jc w:val="right"/>
              <w:ind w:right="95"/>
              <w:spacing w:after="0"/>
              <w:rPr>
                <w:sz w:val="20"/>
                <w:szCs w:val="20"/>
                <w:color w:val="auto"/>
              </w:rPr>
            </w:pPr>
            <w:r>
              <w:rPr>
                <w:rFonts w:ascii="Arial" w:cs="Arial" w:eastAsia="Arial" w:hAnsi="Arial"/>
                <w:sz w:val="17"/>
                <w:szCs w:val="17"/>
                <w:b w:val="1"/>
                <w:bCs w:val="1"/>
                <w:color w:val="auto"/>
              </w:rPr>
              <w:t>3,780</w:t>
            </w:r>
          </w:p>
        </w:tc>
        <w:tc>
          <w:tcPr>
            <w:tcW w:w="54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500" w:type="dxa"/>
            <w:vAlign w:val="bottom"/>
          </w:tcPr>
          <w:p>
            <w:pPr>
              <w:jc w:val="right"/>
              <w:ind w:right="256"/>
              <w:spacing w:after="0"/>
              <w:rPr>
                <w:sz w:val="20"/>
                <w:szCs w:val="20"/>
                <w:color w:val="auto"/>
              </w:rPr>
            </w:pPr>
            <w:r>
              <w:rPr>
                <w:rFonts w:ascii="Arial" w:cs="Arial" w:eastAsia="Arial" w:hAnsi="Arial"/>
                <w:sz w:val="17"/>
                <w:szCs w:val="17"/>
                <w:b w:val="1"/>
                <w:bCs w:val="1"/>
                <w:color w:val="auto"/>
              </w:rPr>
              <w:t>3,218</w:t>
            </w:r>
          </w:p>
        </w:tc>
        <w:tc>
          <w:tcPr>
            <w:tcW w:w="460" w:type="dxa"/>
            <w:vAlign w:val="bottom"/>
          </w:tcPr>
          <w:p>
            <w:pPr>
              <w:jc w:val="right"/>
              <w:ind w:right="95"/>
              <w:spacing w:after="0"/>
              <w:rPr>
                <w:sz w:val="20"/>
                <w:szCs w:val="20"/>
                <w:color w:val="auto"/>
              </w:rPr>
            </w:pPr>
            <w:r>
              <w:rPr>
                <w:rFonts w:ascii="Arial" w:cs="Arial" w:eastAsia="Arial" w:hAnsi="Arial"/>
                <w:sz w:val="17"/>
                <w:szCs w:val="17"/>
                <w:b w:val="1"/>
                <w:bCs w:val="1"/>
                <w:color w:val="auto"/>
              </w:rPr>
              <w:t>$</w:t>
            </w:r>
          </w:p>
        </w:tc>
        <w:tc>
          <w:tcPr>
            <w:tcW w:w="1240" w:type="dxa"/>
            <w:vAlign w:val="bottom"/>
          </w:tcPr>
          <w:p>
            <w:pPr>
              <w:jc w:val="right"/>
              <w:ind w:right="95"/>
              <w:spacing w:after="0"/>
              <w:rPr>
                <w:sz w:val="20"/>
                <w:szCs w:val="20"/>
                <w:color w:val="auto"/>
              </w:rPr>
            </w:pPr>
            <w:r>
              <w:rPr>
                <w:rFonts w:ascii="Arial" w:cs="Arial" w:eastAsia="Arial" w:hAnsi="Arial"/>
                <w:sz w:val="17"/>
                <w:szCs w:val="17"/>
                <w:b w:val="1"/>
                <w:bCs w:val="1"/>
                <w:color w:val="auto"/>
              </w:rPr>
              <w:t>3,277</w:t>
            </w:r>
          </w:p>
        </w:tc>
      </w:tr>
      <w:tr>
        <w:trPr>
          <w:trHeight w:val="269"/>
        </w:trPr>
        <w:tc>
          <w:tcPr>
            <w:tcW w:w="5720" w:type="dxa"/>
            <w:vAlign w:val="bottom"/>
          </w:tcPr>
          <w:p>
            <w:pPr>
              <w:ind w:left="20"/>
              <w:spacing w:after="0"/>
              <w:rPr>
                <w:sz w:val="20"/>
                <w:szCs w:val="20"/>
                <w:color w:val="auto"/>
              </w:rPr>
            </w:pPr>
            <w:r>
              <w:rPr>
                <w:rFonts w:ascii="Arial" w:cs="Arial" w:eastAsia="Arial" w:hAnsi="Arial"/>
                <w:sz w:val="17"/>
                <w:szCs w:val="17"/>
                <w:i w:val="1"/>
                <w:iCs w:val="1"/>
                <w:color w:val="auto"/>
              </w:rPr>
              <w:t>Operating margin rate</w:t>
            </w:r>
          </w:p>
        </w:tc>
        <w:tc>
          <w:tcPr>
            <w:tcW w:w="72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7"/>
                <w:szCs w:val="17"/>
                <w:i w:val="1"/>
                <w:iCs w:val="1"/>
                <w:color w:val="auto"/>
              </w:rPr>
              <w:t>12.6%</w:t>
            </w:r>
          </w:p>
        </w:tc>
        <w:tc>
          <w:tcPr>
            <w:tcW w:w="540" w:type="dxa"/>
            <w:vAlign w:val="bottom"/>
          </w:tcPr>
          <w:p>
            <w:pPr>
              <w:spacing w:after="0"/>
              <w:rPr>
                <w:sz w:val="23"/>
                <w:szCs w:val="23"/>
                <w:color w:val="auto"/>
              </w:rPr>
            </w:pPr>
          </w:p>
        </w:tc>
        <w:tc>
          <w:tcPr>
            <w:tcW w:w="1500" w:type="dxa"/>
            <w:vAlign w:val="bottom"/>
          </w:tcPr>
          <w:p>
            <w:pPr>
              <w:jc w:val="right"/>
              <w:ind w:right="116"/>
              <w:spacing w:after="0"/>
              <w:rPr>
                <w:sz w:val="20"/>
                <w:szCs w:val="20"/>
                <w:color w:val="auto"/>
              </w:rPr>
            </w:pPr>
            <w:r>
              <w:rPr>
                <w:rFonts w:ascii="Arial" w:cs="Arial" w:eastAsia="Arial" w:hAnsi="Arial"/>
                <w:sz w:val="17"/>
                <w:szCs w:val="17"/>
                <w:i w:val="1"/>
                <w:iCs w:val="1"/>
                <w:color w:val="auto"/>
              </w:rPr>
              <w:t>12.4%</w:t>
            </w:r>
          </w:p>
        </w:tc>
        <w:tc>
          <w:tcPr>
            <w:tcW w:w="4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7"/>
                <w:szCs w:val="17"/>
                <w:i w:val="1"/>
                <w:iCs w:val="1"/>
                <w:color w:val="auto"/>
              </w:rPr>
              <w:t>13.3%</w:t>
            </w:r>
          </w:p>
        </w:tc>
      </w:tr>
      <w:tr>
        <w:trPr>
          <w:trHeight w:val="244"/>
        </w:trPr>
        <w:tc>
          <w:tcPr>
            <w:tcW w:w="5720" w:type="dxa"/>
            <w:vAlign w:val="bottom"/>
          </w:tcPr>
          <w:p>
            <w:pPr>
              <w:ind w:left="20"/>
              <w:spacing w:after="0"/>
              <w:rPr>
                <w:sz w:val="20"/>
                <w:szCs w:val="20"/>
                <w:color w:val="auto"/>
              </w:rPr>
            </w:pPr>
            <w:r>
              <w:rPr>
                <w:rFonts w:ascii="Arial" w:cs="Arial" w:eastAsia="Arial" w:hAnsi="Arial"/>
                <w:sz w:val="17"/>
                <w:szCs w:val="17"/>
                <w:b w:val="1"/>
                <w:bCs w:val="1"/>
                <w:color w:val="auto"/>
              </w:rPr>
              <w:t>Reconciliation to segment operating income</w:t>
            </w:r>
          </w:p>
        </w:tc>
        <w:tc>
          <w:tcPr>
            <w:tcW w:w="7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69"/>
        </w:trPr>
        <w:tc>
          <w:tcPr>
            <w:tcW w:w="5720" w:type="dxa"/>
            <w:vAlign w:val="bottom"/>
          </w:tcPr>
          <w:p>
            <w:pPr>
              <w:ind w:left="360"/>
              <w:spacing w:after="0"/>
              <w:rPr>
                <w:sz w:val="20"/>
                <w:szCs w:val="20"/>
                <w:color w:val="auto"/>
              </w:rPr>
            </w:pPr>
            <w:r>
              <w:rPr>
                <w:rFonts w:ascii="Arial" w:cs="Arial" w:eastAsia="Arial" w:hAnsi="Arial"/>
                <w:sz w:val="17"/>
                <w:szCs w:val="17"/>
                <w:color w:val="auto"/>
              </w:rPr>
              <w:t>Net FAS (service)/CAS pension adjustment</w:t>
            </w:r>
          </w:p>
        </w:tc>
        <w:tc>
          <w:tcPr>
            <w:tcW w:w="720" w:type="dxa"/>
            <w:vAlign w:val="bottom"/>
          </w:tcPr>
          <w:p>
            <w:pPr>
              <w:spacing w:after="0"/>
              <w:rPr>
                <w:sz w:val="23"/>
                <w:szCs w:val="23"/>
                <w:color w:val="auto"/>
              </w:rPr>
            </w:pPr>
          </w:p>
        </w:tc>
        <w:tc>
          <w:tcPr>
            <w:tcW w:w="1240" w:type="dxa"/>
            <w:vAlign w:val="bottom"/>
          </w:tcPr>
          <w:p>
            <w:pPr>
              <w:jc w:val="right"/>
              <w:ind w:right="35"/>
              <w:spacing w:after="0"/>
              <w:rPr>
                <w:sz w:val="20"/>
                <w:szCs w:val="20"/>
                <w:color w:val="auto"/>
              </w:rPr>
            </w:pPr>
            <w:r>
              <w:rPr>
                <w:rFonts w:ascii="Arial" w:cs="Arial" w:eastAsia="Arial" w:hAnsi="Arial"/>
                <w:sz w:val="17"/>
                <w:szCs w:val="17"/>
                <w:color w:val="auto"/>
              </w:rPr>
              <w:t>(613)</w:t>
            </w:r>
          </w:p>
        </w:tc>
        <w:tc>
          <w:tcPr>
            <w:tcW w:w="540" w:type="dxa"/>
            <w:vAlign w:val="bottom"/>
          </w:tcPr>
          <w:p>
            <w:pPr>
              <w:spacing w:after="0"/>
              <w:rPr>
                <w:sz w:val="23"/>
                <w:szCs w:val="23"/>
                <w:color w:val="auto"/>
              </w:rPr>
            </w:pPr>
          </w:p>
        </w:tc>
        <w:tc>
          <w:tcPr>
            <w:tcW w:w="1500" w:type="dxa"/>
            <w:vAlign w:val="bottom"/>
          </w:tcPr>
          <w:p>
            <w:pPr>
              <w:jc w:val="right"/>
              <w:ind w:right="196"/>
              <w:spacing w:after="0"/>
              <w:rPr>
                <w:sz w:val="20"/>
                <w:szCs w:val="20"/>
                <w:color w:val="auto"/>
              </w:rPr>
            </w:pPr>
            <w:r>
              <w:rPr>
                <w:rFonts w:ascii="Arial" w:cs="Arial" w:eastAsia="Arial" w:hAnsi="Arial"/>
                <w:sz w:val="17"/>
                <w:szCs w:val="17"/>
                <w:color w:val="auto"/>
              </w:rPr>
              <w:t>(638)</w:t>
            </w:r>
          </w:p>
        </w:tc>
        <w:tc>
          <w:tcPr>
            <w:tcW w:w="460" w:type="dxa"/>
            <w:vAlign w:val="bottom"/>
          </w:tcPr>
          <w:p>
            <w:pPr>
              <w:spacing w:after="0"/>
              <w:rPr>
                <w:sz w:val="23"/>
                <w:szCs w:val="23"/>
                <w:color w:val="auto"/>
              </w:rPr>
            </w:pPr>
          </w:p>
        </w:tc>
        <w:tc>
          <w:tcPr>
            <w:tcW w:w="1240" w:type="dxa"/>
            <w:vAlign w:val="bottom"/>
          </w:tcPr>
          <w:p>
            <w:pPr>
              <w:jc w:val="right"/>
              <w:ind w:right="35"/>
              <w:spacing w:after="0"/>
              <w:rPr>
                <w:sz w:val="20"/>
                <w:szCs w:val="20"/>
                <w:color w:val="auto"/>
              </w:rPr>
            </w:pPr>
            <w:r>
              <w:rPr>
                <w:rFonts w:ascii="Arial" w:cs="Arial" w:eastAsia="Arial" w:hAnsi="Arial"/>
                <w:sz w:val="17"/>
                <w:szCs w:val="17"/>
                <w:color w:val="auto"/>
              </w:rPr>
              <w:t>(457)</w:t>
            </w:r>
          </w:p>
        </w:tc>
      </w:tr>
      <w:tr>
        <w:trPr>
          <w:trHeight w:val="256"/>
        </w:trPr>
        <w:tc>
          <w:tcPr>
            <w:tcW w:w="5720" w:type="dxa"/>
            <w:vAlign w:val="bottom"/>
          </w:tcPr>
          <w:p>
            <w:pPr>
              <w:ind w:left="360"/>
              <w:spacing w:after="0"/>
              <w:rPr>
                <w:sz w:val="20"/>
                <w:szCs w:val="20"/>
                <w:color w:val="auto"/>
              </w:rPr>
            </w:pPr>
            <w:r>
              <w:rPr>
                <w:rFonts w:ascii="Arial" w:cs="Arial" w:eastAsia="Arial" w:hAnsi="Arial"/>
                <w:sz w:val="17"/>
                <w:szCs w:val="17"/>
                <w:color w:val="auto"/>
              </w:rPr>
              <w:t>Unallocated corporate expenses</w:t>
            </w:r>
          </w:p>
        </w:tc>
        <w:tc>
          <w:tcPr>
            <w:tcW w:w="720" w:type="dxa"/>
            <w:vAlign w:val="bottom"/>
          </w:tcPr>
          <w:p>
            <w:pPr>
              <w:spacing w:after="0"/>
              <w:rPr>
                <w:sz w:val="22"/>
                <w:szCs w:val="22"/>
                <w:color w:val="auto"/>
              </w:rPr>
            </w:pPr>
          </w:p>
        </w:tc>
        <w:tc>
          <w:tcPr>
            <w:tcW w:w="1240" w:type="dxa"/>
            <w:vAlign w:val="bottom"/>
          </w:tcPr>
          <w:p>
            <w:pPr>
              <w:jc w:val="right"/>
              <w:ind w:right="95"/>
              <w:spacing w:after="0"/>
              <w:rPr>
                <w:sz w:val="20"/>
                <w:szCs w:val="20"/>
                <w:color w:val="auto"/>
              </w:rPr>
            </w:pPr>
            <w:r>
              <w:rPr>
                <w:rFonts w:ascii="Arial" w:cs="Arial" w:eastAsia="Arial" w:hAnsi="Arial"/>
                <w:sz w:val="17"/>
                <w:szCs w:val="17"/>
                <w:color w:val="auto"/>
              </w:rPr>
              <w:t>277</w:t>
            </w:r>
          </w:p>
        </w:tc>
        <w:tc>
          <w:tcPr>
            <w:tcW w:w="540" w:type="dxa"/>
            <w:vAlign w:val="bottom"/>
          </w:tcPr>
          <w:p>
            <w:pPr>
              <w:spacing w:after="0"/>
              <w:rPr>
                <w:sz w:val="22"/>
                <w:szCs w:val="22"/>
                <w:color w:val="auto"/>
              </w:rPr>
            </w:pPr>
          </w:p>
        </w:tc>
        <w:tc>
          <w:tcPr>
            <w:tcW w:w="1500" w:type="dxa"/>
            <w:vAlign w:val="bottom"/>
          </w:tcPr>
          <w:p>
            <w:pPr>
              <w:jc w:val="right"/>
              <w:ind w:right="256"/>
              <w:spacing w:after="0"/>
              <w:rPr>
                <w:sz w:val="20"/>
                <w:szCs w:val="20"/>
                <w:color w:val="auto"/>
              </w:rPr>
            </w:pPr>
            <w:r>
              <w:rPr>
                <w:rFonts w:ascii="Arial" w:cs="Arial" w:eastAsia="Arial" w:hAnsi="Arial"/>
                <w:sz w:val="17"/>
                <w:szCs w:val="17"/>
                <w:color w:val="auto"/>
              </w:rPr>
              <w:t>319</w:t>
            </w:r>
          </w:p>
        </w:tc>
        <w:tc>
          <w:tcPr>
            <w:tcW w:w="460" w:type="dxa"/>
            <w:vAlign w:val="bottom"/>
          </w:tcPr>
          <w:p>
            <w:pPr>
              <w:spacing w:after="0"/>
              <w:rPr>
                <w:sz w:val="22"/>
                <w:szCs w:val="22"/>
                <w:color w:val="auto"/>
              </w:rPr>
            </w:pPr>
          </w:p>
        </w:tc>
        <w:tc>
          <w:tcPr>
            <w:tcW w:w="1240" w:type="dxa"/>
            <w:vAlign w:val="bottom"/>
          </w:tcPr>
          <w:p>
            <w:pPr>
              <w:jc w:val="right"/>
              <w:ind w:right="95"/>
              <w:spacing w:after="0"/>
              <w:rPr>
                <w:sz w:val="20"/>
                <w:szCs w:val="20"/>
                <w:color w:val="auto"/>
              </w:rPr>
            </w:pPr>
            <w:r>
              <w:rPr>
                <w:rFonts w:ascii="Arial" w:cs="Arial" w:eastAsia="Arial" w:hAnsi="Arial"/>
                <w:sz w:val="17"/>
                <w:szCs w:val="17"/>
                <w:color w:val="auto"/>
              </w:rPr>
              <w:t>39</w:t>
            </w:r>
          </w:p>
        </w:tc>
      </w:tr>
      <w:tr>
        <w:trPr>
          <w:trHeight w:val="263"/>
        </w:trPr>
        <w:tc>
          <w:tcPr>
            <w:tcW w:w="5720" w:type="dxa"/>
            <w:vAlign w:val="bottom"/>
            <w:tcBorders>
              <w:bottom w:val="single" w:sz="8" w:color="34657F"/>
            </w:tcBorders>
          </w:tcPr>
          <w:p>
            <w:pPr>
              <w:ind w:left="360"/>
              <w:spacing w:after="0"/>
              <w:rPr>
                <w:sz w:val="20"/>
                <w:szCs w:val="20"/>
                <w:color w:val="auto"/>
              </w:rPr>
            </w:pPr>
            <w:r>
              <w:rPr>
                <w:rFonts w:ascii="Arial" w:cs="Arial" w:eastAsia="Arial" w:hAnsi="Arial"/>
                <w:sz w:val="17"/>
                <w:szCs w:val="17"/>
                <w:color w:val="auto"/>
              </w:rPr>
              <w:t>Other</w:t>
            </w:r>
          </w:p>
        </w:tc>
        <w:tc>
          <w:tcPr>
            <w:tcW w:w="720" w:type="dxa"/>
            <w:vAlign w:val="bottom"/>
            <w:tcBorders>
              <w:bottom w:val="single" w:sz="8" w:color="34657F"/>
            </w:tcBorders>
          </w:tcPr>
          <w:p>
            <w:pPr>
              <w:spacing w:after="0"/>
              <w:rPr>
                <w:sz w:val="22"/>
                <w:szCs w:val="22"/>
                <w:color w:val="auto"/>
              </w:rPr>
            </w:pPr>
          </w:p>
        </w:tc>
        <w:tc>
          <w:tcPr>
            <w:tcW w:w="1240" w:type="dxa"/>
            <w:vAlign w:val="bottom"/>
            <w:tcBorders>
              <w:bottom w:val="single" w:sz="8" w:color="34657F"/>
            </w:tcBorders>
          </w:tcPr>
          <w:p>
            <w:pPr>
              <w:jc w:val="right"/>
              <w:ind w:right="95"/>
              <w:spacing w:after="0"/>
              <w:rPr>
                <w:sz w:val="20"/>
                <w:szCs w:val="20"/>
                <w:color w:val="auto"/>
              </w:rPr>
            </w:pPr>
            <w:r>
              <w:rPr>
                <w:rFonts w:ascii="Arial" w:cs="Arial" w:eastAsia="Arial" w:hAnsi="Arial"/>
                <w:sz w:val="17"/>
                <w:szCs w:val="17"/>
                <w:color w:val="auto"/>
              </w:rPr>
              <w:t>3</w:t>
            </w:r>
          </w:p>
        </w:tc>
        <w:tc>
          <w:tcPr>
            <w:tcW w:w="540" w:type="dxa"/>
            <w:vAlign w:val="bottom"/>
            <w:tcBorders>
              <w:bottom w:val="single" w:sz="8" w:color="34657F"/>
            </w:tcBorders>
          </w:tcPr>
          <w:p>
            <w:pPr>
              <w:spacing w:after="0"/>
              <w:rPr>
                <w:sz w:val="22"/>
                <w:szCs w:val="22"/>
                <w:color w:val="auto"/>
              </w:rPr>
            </w:pPr>
          </w:p>
        </w:tc>
        <w:tc>
          <w:tcPr>
            <w:tcW w:w="1500" w:type="dxa"/>
            <w:vAlign w:val="bottom"/>
            <w:tcBorders>
              <w:bottom w:val="single" w:sz="8" w:color="34657F"/>
            </w:tcBorders>
          </w:tcPr>
          <w:p>
            <w:pPr>
              <w:jc w:val="right"/>
              <w:ind w:right="256"/>
              <w:spacing w:after="0"/>
              <w:rPr>
                <w:sz w:val="20"/>
                <w:szCs w:val="20"/>
                <w:color w:val="auto"/>
              </w:rPr>
            </w:pPr>
            <w:r>
              <w:rPr>
                <w:rFonts w:ascii="Arial" w:cs="Arial" w:eastAsia="Arial" w:hAnsi="Arial"/>
                <w:sz w:val="17"/>
                <w:szCs w:val="17"/>
                <w:color w:val="auto"/>
              </w:rPr>
              <w:t>4</w:t>
            </w:r>
          </w:p>
        </w:tc>
        <w:tc>
          <w:tcPr>
            <w:tcW w:w="460" w:type="dxa"/>
            <w:vAlign w:val="bottom"/>
            <w:tcBorders>
              <w:bottom w:val="single" w:sz="8" w:color="34657F"/>
            </w:tcBorders>
          </w:tcPr>
          <w:p>
            <w:pPr>
              <w:spacing w:after="0"/>
              <w:rPr>
                <w:sz w:val="22"/>
                <w:szCs w:val="22"/>
                <w:color w:val="auto"/>
              </w:rPr>
            </w:pPr>
          </w:p>
        </w:tc>
        <w:tc>
          <w:tcPr>
            <w:tcW w:w="1240" w:type="dxa"/>
            <w:vAlign w:val="bottom"/>
            <w:tcBorders>
              <w:bottom w:val="single" w:sz="8" w:color="34657F"/>
            </w:tcBorders>
          </w:tcPr>
          <w:p>
            <w:pPr>
              <w:jc w:val="right"/>
              <w:ind w:right="95"/>
              <w:spacing w:after="0"/>
              <w:rPr>
                <w:sz w:val="20"/>
                <w:szCs w:val="20"/>
                <w:color w:val="auto"/>
              </w:rPr>
            </w:pPr>
            <w:r>
              <w:rPr>
                <w:rFonts w:ascii="Arial" w:cs="Arial" w:eastAsia="Arial" w:hAnsi="Arial"/>
                <w:sz w:val="17"/>
                <w:szCs w:val="17"/>
                <w:color w:val="auto"/>
              </w:rPr>
              <w:t>5</w:t>
            </w:r>
          </w:p>
        </w:tc>
      </w:tr>
      <w:tr>
        <w:trPr>
          <w:trHeight w:val="229"/>
        </w:trPr>
        <w:tc>
          <w:tcPr>
            <w:tcW w:w="5720" w:type="dxa"/>
            <w:vAlign w:val="bottom"/>
          </w:tcPr>
          <w:p>
            <w:pPr>
              <w:ind w:left="20"/>
              <w:spacing w:after="0"/>
              <w:rPr>
                <w:sz w:val="20"/>
                <w:szCs w:val="20"/>
                <w:color w:val="auto"/>
              </w:rPr>
            </w:pPr>
            <w:r>
              <w:rPr>
                <w:rFonts w:ascii="Arial" w:cs="Arial" w:eastAsia="Arial" w:hAnsi="Arial"/>
                <w:sz w:val="17"/>
                <w:szCs w:val="17"/>
                <w:b w:val="1"/>
                <w:bCs w:val="1"/>
                <w:color w:val="auto"/>
              </w:rPr>
              <w:t>Segment operating income</w:t>
            </w:r>
          </w:p>
        </w:tc>
        <w:tc>
          <w:tcPr>
            <w:tcW w:w="720" w:type="dxa"/>
            <w:vAlign w:val="bottom"/>
          </w:tcPr>
          <w:p>
            <w:pPr>
              <w:jc w:val="right"/>
              <w:ind w:right="75"/>
              <w:spacing w:after="0"/>
              <w:rPr>
                <w:sz w:val="20"/>
                <w:szCs w:val="20"/>
                <w:color w:val="auto"/>
              </w:rPr>
            </w:pPr>
            <w:r>
              <w:rPr>
                <w:rFonts w:ascii="Arial" w:cs="Arial" w:eastAsia="Arial" w:hAnsi="Arial"/>
                <w:sz w:val="17"/>
                <w:szCs w:val="17"/>
                <w:b w:val="1"/>
                <w:bCs w:val="1"/>
                <w:color w:val="auto"/>
              </w:rPr>
              <w:t>$</w:t>
            </w:r>
          </w:p>
        </w:tc>
        <w:tc>
          <w:tcPr>
            <w:tcW w:w="1240" w:type="dxa"/>
            <w:vAlign w:val="bottom"/>
          </w:tcPr>
          <w:p>
            <w:pPr>
              <w:jc w:val="right"/>
              <w:ind w:right="95"/>
              <w:spacing w:after="0"/>
              <w:rPr>
                <w:sz w:val="20"/>
                <w:szCs w:val="20"/>
                <w:color w:val="auto"/>
              </w:rPr>
            </w:pPr>
            <w:r>
              <w:rPr>
                <w:rFonts w:ascii="Arial" w:cs="Arial" w:eastAsia="Arial" w:hAnsi="Arial"/>
                <w:sz w:val="17"/>
                <w:szCs w:val="17"/>
                <w:b w:val="1"/>
                <w:bCs w:val="1"/>
                <w:color w:val="auto"/>
              </w:rPr>
              <w:t>3,447</w:t>
            </w:r>
          </w:p>
        </w:tc>
        <w:tc>
          <w:tcPr>
            <w:tcW w:w="540" w:type="dxa"/>
            <w:vAlign w:val="bottom"/>
          </w:tcPr>
          <w:p>
            <w:pPr>
              <w:jc w:val="right"/>
              <w:ind w:right="335"/>
              <w:spacing w:after="0"/>
              <w:rPr>
                <w:sz w:val="20"/>
                <w:szCs w:val="20"/>
                <w:color w:val="auto"/>
              </w:rPr>
            </w:pPr>
            <w:r>
              <w:rPr>
                <w:rFonts w:ascii="Arial" w:cs="Arial" w:eastAsia="Arial" w:hAnsi="Arial"/>
                <w:sz w:val="17"/>
                <w:szCs w:val="17"/>
                <w:b w:val="1"/>
                <w:bCs w:val="1"/>
                <w:color w:val="auto"/>
              </w:rPr>
              <w:t>$</w:t>
            </w:r>
          </w:p>
        </w:tc>
        <w:tc>
          <w:tcPr>
            <w:tcW w:w="1500" w:type="dxa"/>
            <w:vAlign w:val="bottom"/>
          </w:tcPr>
          <w:p>
            <w:pPr>
              <w:jc w:val="right"/>
              <w:ind w:right="256"/>
              <w:spacing w:after="0"/>
              <w:rPr>
                <w:sz w:val="20"/>
                <w:szCs w:val="20"/>
                <w:color w:val="auto"/>
              </w:rPr>
            </w:pPr>
            <w:r>
              <w:rPr>
                <w:rFonts w:ascii="Arial" w:cs="Arial" w:eastAsia="Arial" w:hAnsi="Arial"/>
                <w:sz w:val="17"/>
                <w:szCs w:val="17"/>
                <w:b w:val="1"/>
                <w:bCs w:val="1"/>
                <w:color w:val="auto"/>
              </w:rPr>
              <w:t>2,903</w:t>
            </w:r>
          </w:p>
        </w:tc>
        <w:tc>
          <w:tcPr>
            <w:tcW w:w="460" w:type="dxa"/>
            <w:vAlign w:val="bottom"/>
          </w:tcPr>
          <w:p>
            <w:pPr>
              <w:jc w:val="right"/>
              <w:ind w:right="95"/>
              <w:spacing w:after="0"/>
              <w:rPr>
                <w:sz w:val="20"/>
                <w:szCs w:val="20"/>
                <w:color w:val="auto"/>
              </w:rPr>
            </w:pPr>
            <w:r>
              <w:rPr>
                <w:rFonts w:ascii="Arial" w:cs="Arial" w:eastAsia="Arial" w:hAnsi="Arial"/>
                <w:sz w:val="17"/>
                <w:szCs w:val="17"/>
                <w:b w:val="1"/>
                <w:bCs w:val="1"/>
                <w:color w:val="auto"/>
              </w:rPr>
              <w:t>$</w:t>
            </w:r>
          </w:p>
        </w:tc>
        <w:tc>
          <w:tcPr>
            <w:tcW w:w="1240" w:type="dxa"/>
            <w:vAlign w:val="bottom"/>
          </w:tcPr>
          <w:p>
            <w:pPr>
              <w:jc w:val="right"/>
              <w:ind w:right="95"/>
              <w:spacing w:after="0"/>
              <w:rPr>
                <w:sz w:val="20"/>
                <w:szCs w:val="20"/>
                <w:color w:val="auto"/>
              </w:rPr>
            </w:pPr>
            <w:r>
              <w:rPr>
                <w:rFonts w:ascii="Arial" w:cs="Arial" w:eastAsia="Arial" w:hAnsi="Arial"/>
                <w:sz w:val="17"/>
                <w:szCs w:val="17"/>
                <w:b w:val="1"/>
                <w:bCs w:val="1"/>
                <w:color w:val="auto"/>
              </w:rPr>
              <w:t>2,864</w:t>
            </w:r>
          </w:p>
        </w:tc>
      </w:tr>
      <w:tr>
        <w:trPr>
          <w:trHeight w:val="256"/>
        </w:trPr>
        <w:tc>
          <w:tcPr>
            <w:tcW w:w="5720" w:type="dxa"/>
            <w:vAlign w:val="bottom"/>
          </w:tcPr>
          <w:p>
            <w:pPr>
              <w:ind w:left="20"/>
              <w:spacing w:after="0"/>
              <w:rPr>
                <w:sz w:val="20"/>
                <w:szCs w:val="20"/>
                <w:color w:val="auto"/>
              </w:rPr>
            </w:pPr>
            <w:r>
              <w:rPr>
                <w:rFonts w:ascii="Arial" w:cs="Arial" w:eastAsia="Arial" w:hAnsi="Arial"/>
                <w:sz w:val="17"/>
                <w:szCs w:val="17"/>
                <w:i w:val="1"/>
                <w:iCs w:val="1"/>
                <w:color w:val="auto"/>
              </w:rPr>
              <w:t>Segment operating margin rate</w:t>
            </w:r>
          </w:p>
        </w:tc>
        <w:tc>
          <w:tcPr>
            <w:tcW w:w="7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7"/>
                <w:szCs w:val="17"/>
                <w:i w:val="1"/>
                <w:iCs w:val="1"/>
                <w:color w:val="auto"/>
              </w:rPr>
              <w:t>11.5%</w:t>
            </w:r>
          </w:p>
        </w:tc>
        <w:tc>
          <w:tcPr>
            <w:tcW w:w="540" w:type="dxa"/>
            <w:vAlign w:val="bottom"/>
          </w:tcPr>
          <w:p>
            <w:pPr>
              <w:spacing w:after="0"/>
              <w:rPr>
                <w:sz w:val="22"/>
                <w:szCs w:val="22"/>
                <w:color w:val="auto"/>
              </w:rPr>
            </w:pPr>
          </w:p>
        </w:tc>
        <w:tc>
          <w:tcPr>
            <w:tcW w:w="1500" w:type="dxa"/>
            <w:vAlign w:val="bottom"/>
          </w:tcPr>
          <w:p>
            <w:pPr>
              <w:jc w:val="right"/>
              <w:ind w:right="116"/>
              <w:spacing w:after="0"/>
              <w:rPr>
                <w:sz w:val="20"/>
                <w:szCs w:val="20"/>
                <w:color w:val="auto"/>
              </w:rPr>
            </w:pPr>
            <w:r>
              <w:rPr>
                <w:rFonts w:ascii="Arial" w:cs="Arial" w:eastAsia="Arial" w:hAnsi="Arial"/>
                <w:sz w:val="17"/>
                <w:szCs w:val="17"/>
                <w:i w:val="1"/>
                <w:iCs w:val="1"/>
                <w:color w:val="auto"/>
              </w:rPr>
              <w:t>11.2%</w:t>
            </w:r>
          </w:p>
        </w:tc>
        <w:tc>
          <w:tcPr>
            <w:tcW w:w="4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7"/>
                <w:szCs w:val="17"/>
                <w:i w:val="1"/>
                <w:iCs w:val="1"/>
                <w:color w:val="auto"/>
              </w:rPr>
              <w:t>11.6%</w:t>
            </w:r>
          </w:p>
        </w:tc>
      </w:tr>
      <w:tr>
        <w:trPr>
          <w:trHeight w:val="27"/>
        </w:trPr>
        <w:tc>
          <w:tcPr>
            <w:tcW w:w="5720" w:type="dxa"/>
            <w:vAlign w:val="bottom"/>
            <w:tcBorders>
              <w:bottom w:val="single" w:sz="8" w:color="34657F"/>
            </w:tcBorders>
          </w:tcPr>
          <w:p>
            <w:pPr>
              <w:spacing w:after="0"/>
              <w:rPr>
                <w:sz w:val="2"/>
                <w:szCs w:val="2"/>
                <w:color w:val="auto"/>
              </w:rPr>
            </w:pPr>
          </w:p>
        </w:tc>
        <w:tc>
          <w:tcPr>
            <w:tcW w:w="720" w:type="dxa"/>
            <w:vAlign w:val="bottom"/>
            <w:tcBorders>
              <w:bottom w:val="single" w:sz="8" w:color="34657F"/>
            </w:tcBorders>
          </w:tcPr>
          <w:p>
            <w:pPr>
              <w:spacing w:after="0"/>
              <w:rPr>
                <w:sz w:val="2"/>
                <w:szCs w:val="2"/>
                <w:color w:val="auto"/>
              </w:rPr>
            </w:pPr>
          </w:p>
        </w:tc>
        <w:tc>
          <w:tcPr>
            <w:tcW w:w="1240" w:type="dxa"/>
            <w:vAlign w:val="bottom"/>
            <w:tcBorders>
              <w:bottom w:val="single" w:sz="8" w:color="34657F"/>
            </w:tcBorders>
          </w:tcPr>
          <w:p>
            <w:pPr>
              <w:spacing w:after="0"/>
              <w:rPr>
                <w:sz w:val="2"/>
                <w:szCs w:val="2"/>
                <w:color w:val="auto"/>
              </w:rPr>
            </w:pPr>
          </w:p>
        </w:tc>
        <w:tc>
          <w:tcPr>
            <w:tcW w:w="540" w:type="dxa"/>
            <w:vAlign w:val="bottom"/>
            <w:tcBorders>
              <w:bottom w:val="single" w:sz="8" w:color="34657F"/>
            </w:tcBorders>
          </w:tcPr>
          <w:p>
            <w:pPr>
              <w:spacing w:after="0"/>
              <w:rPr>
                <w:sz w:val="2"/>
                <w:szCs w:val="2"/>
                <w:color w:val="auto"/>
              </w:rPr>
            </w:pPr>
          </w:p>
        </w:tc>
        <w:tc>
          <w:tcPr>
            <w:tcW w:w="1500" w:type="dxa"/>
            <w:vAlign w:val="bottom"/>
            <w:tcBorders>
              <w:bottom w:val="single" w:sz="8" w:color="34657F"/>
            </w:tcBorders>
          </w:tcPr>
          <w:p>
            <w:pPr>
              <w:spacing w:after="0"/>
              <w:rPr>
                <w:sz w:val="2"/>
                <w:szCs w:val="2"/>
                <w:color w:val="auto"/>
              </w:rPr>
            </w:pPr>
          </w:p>
        </w:tc>
        <w:tc>
          <w:tcPr>
            <w:tcW w:w="460" w:type="dxa"/>
            <w:vAlign w:val="bottom"/>
            <w:tcBorders>
              <w:bottom w:val="single" w:sz="8" w:color="34657F"/>
            </w:tcBorders>
          </w:tcPr>
          <w:p>
            <w:pPr>
              <w:spacing w:after="0"/>
              <w:rPr>
                <w:sz w:val="2"/>
                <w:szCs w:val="2"/>
                <w:color w:val="auto"/>
              </w:rPr>
            </w:pPr>
          </w:p>
        </w:tc>
        <w:tc>
          <w:tcPr>
            <w:tcW w:w="1240" w:type="dxa"/>
            <w:vAlign w:val="bottom"/>
            <w:tcBorders>
              <w:bottom w:val="single" w:sz="8" w:color="34657F"/>
            </w:tcBorders>
          </w:tcPr>
          <w:p>
            <w:pPr>
              <w:spacing w:after="0"/>
              <w:rPr>
                <w:sz w:val="2"/>
                <w:szCs w:val="2"/>
                <w:color w:val="auto"/>
              </w:rPr>
            </w:pPr>
          </w:p>
        </w:tc>
      </w:tr>
      <w:tr>
        <w:trPr>
          <w:trHeight w:val="530"/>
        </w:trPr>
        <w:tc>
          <w:tcPr>
            <w:tcW w:w="5720" w:type="dxa"/>
            <w:vAlign w:val="bottom"/>
          </w:tcPr>
          <w:p>
            <w:pPr>
              <w:ind w:left="20"/>
              <w:spacing w:after="0"/>
              <w:rPr>
                <w:sz w:val="20"/>
                <w:szCs w:val="20"/>
                <w:color w:val="auto"/>
              </w:rPr>
            </w:pPr>
            <w:r>
              <w:rPr>
                <w:rFonts w:ascii="Arial" w:cs="Arial" w:eastAsia="Arial" w:hAnsi="Arial"/>
                <w:sz w:val="17"/>
                <w:szCs w:val="17"/>
                <w:b w:val="1"/>
                <w:bCs w:val="1"/>
                <w:color w:val="auto"/>
              </w:rPr>
              <w:t>Net earnings</w:t>
            </w:r>
          </w:p>
        </w:tc>
        <w:tc>
          <w:tcPr>
            <w:tcW w:w="720" w:type="dxa"/>
            <w:vAlign w:val="bottom"/>
          </w:tcPr>
          <w:p>
            <w:pPr>
              <w:jc w:val="right"/>
              <w:ind w:right="75"/>
              <w:spacing w:after="0"/>
              <w:rPr>
                <w:sz w:val="20"/>
                <w:szCs w:val="20"/>
                <w:color w:val="auto"/>
              </w:rPr>
            </w:pPr>
            <w:r>
              <w:rPr>
                <w:rFonts w:ascii="Arial" w:cs="Arial" w:eastAsia="Arial" w:hAnsi="Arial"/>
                <w:sz w:val="17"/>
                <w:szCs w:val="17"/>
                <w:b w:val="1"/>
                <w:bCs w:val="1"/>
                <w:color w:val="auto"/>
              </w:rPr>
              <w:t>$</w:t>
            </w:r>
          </w:p>
        </w:tc>
        <w:tc>
          <w:tcPr>
            <w:tcW w:w="1240" w:type="dxa"/>
            <w:vAlign w:val="bottom"/>
          </w:tcPr>
          <w:p>
            <w:pPr>
              <w:jc w:val="right"/>
              <w:ind w:right="95"/>
              <w:spacing w:after="0"/>
              <w:rPr>
                <w:sz w:val="20"/>
                <w:szCs w:val="20"/>
                <w:color w:val="auto"/>
              </w:rPr>
            </w:pPr>
            <w:r>
              <w:rPr>
                <w:rFonts w:ascii="Arial" w:cs="Arial" w:eastAsia="Arial" w:hAnsi="Arial"/>
                <w:sz w:val="17"/>
                <w:szCs w:val="17"/>
                <w:b w:val="1"/>
                <w:bCs w:val="1"/>
                <w:color w:val="auto"/>
              </w:rPr>
              <w:t>3,229</w:t>
            </w:r>
          </w:p>
        </w:tc>
        <w:tc>
          <w:tcPr>
            <w:tcW w:w="54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500" w:type="dxa"/>
            <w:vAlign w:val="bottom"/>
          </w:tcPr>
          <w:p>
            <w:pPr>
              <w:jc w:val="right"/>
              <w:ind w:right="256"/>
              <w:spacing w:after="0"/>
              <w:rPr>
                <w:sz w:val="20"/>
                <w:szCs w:val="20"/>
                <w:color w:val="auto"/>
              </w:rPr>
            </w:pPr>
            <w:r>
              <w:rPr>
                <w:rFonts w:ascii="Arial" w:cs="Arial" w:eastAsia="Arial" w:hAnsi="Arial"/>
                <w:sz w:val="17"/>
                <w:szCs w:val="17"/>
                <w:b w:val="1"/>
                <w:bCs w:val="1"/>
                <w:color w:val="auto"/>
              </w:rPr>
              <w:t>2,869</w:t>
            </w:r>
          </w:p>
        </w:tc>
        <w:tc>
          <w:tcPr>
            <w:tcW w:w="460" w:type="dxa"/>
            <w:vAlign w:val="bottom"/>
          </w:tcPr>
          <w:p>
            <w:pPr>
              <w:jc w:val="right"/>
              <w:ind w:right="95"/>
              <w:spacing w:after="0"/>
              <w:rPr>
                <w:sz w:val="20"/>
                <w:szCs w:val="20"/>
                <w:color w:val="auto"/>
              </w:rPr>
            </w:pPr>
            <w:r>
              <w:rPr>
                <w:rFonts w:ascii="Arial" w:cs="Arial" w:eastAsia="Arial" w:hAnsi="Arial"/>
                <w:sz w:val="17"/>
                <w:szCs w:val="17"/>
                <w:b w:val="1"/>
                <w:bCs w:val="1"/>
                <w:color w:val="auto"/>
              </w:rPr>
              <w:t>$</w:t>
            </w:r>
          </w:p>
        </w:tc>
        <w:tc>
          <w:tcPr>
            <w:tcW w:w="1240" w:type="dxa"/>
            <w:vAlign w:val="bottom"/>
          </w:tcPr>
          <w:p>
            <w:pPr>
              <w:jc w:val="right"/>
              <w:ind w:right="95"/>
              <w:spacing w:after="0"/>
              <w:rPr>
                <w:sz w:val="20"/>
                <w:szCs w:val="20"/>
                <w:color w:val="auto"/>
              </w:rPr>
            </w:pPr>
            <w:r>
              <w:rPr>
                <w:rFonts w:ascii="Arial" w:cs="Arial" w:eastAsia="Arial" w:hAnsi="Arial"/>
                <w:sz w:val="17"/>
                <w:szCs w:val="17"/>
                <w:b w:val="1"/>
                <w:bCs w:val="1"/>
                <w:color w:val="auto"/>
              </w:rPr>
              <w:t>2,043</w:t>
            </w:r>
          </w:p>
        </w:tc>
      </w:tr>
      <w:tr>
        <w:trPr>
          <w:trHeight w:val="256"/>
        </w:trPr>
        <w:tc>
          <w:tcPr>
            <w:tcW w:w="5720" w:type="dxa"/>
            <w:vAlign w:val="bottom"/>
          </w:tcPr>
          <w:p>
            <w:pPr>
              <w:ind w:left="360"/>
              <w:spacing w:after="0"/>
              <w:rPr>
                <w:sz w:val="20"/>
                <w:szCs w:val="20"/>
                <w:color w:val="auto"/>
              </w:rPr>
            </w:pPr>
            <w:r>
              <w:rPr>
                <w:rFonts w:ascii="Arial" w:cs="Arial" w:eastAsia="Arial" w:hAnsi="Arial"/>
                <w:sz w:val="17"/>
                <w:szCs w:val="17"/>
                <w:color w:val="auto"/>
              </w:rPr>
              <w:t>MTM expense (benefit)</w:t>
            </w:r>
          </w:p>
        </w:tc>
        <w:tc>
          <w:tcPr>
            <w:tcW w:w="720" w:type="dxa"/>
            <w:vAlign w:val="bottom"/>
          </w:tcPr>
          <w:p>
            <w:pPr>
              <w:spacing w:after="0"/>
              <w:rPr>
                <w:sz w:val="22"/>
                <w:szCs w:val="22"/>
                <w:color w:val="auto"/>
              </w:rPr>
            </w:pPr>
          </w:p>
        </w:tc>
        <w:tc>
          <w:tcPr>
            <w:tcW w:w="1240" w:type="dxa"/>
            <w:vAlign w:val="bottom"/>
          </w:tcPr>
          <w:p>
            <w:pPr>
              <w:jc w:val="right"/>
              <w:ind w:right="95"/>
              <w:spacing w:after="0"/>
              <w:rPr>
                <w:sz w:val="20"/>
                <w:szCs w:val="20"/>
                <w:color w:val="auto"/>
              </w:rPr>
            </w:pPr>
            <w:r>
              <w:rPr>
                <w:rFonts w:ascii="Arial" w:cs="Arial" w:eastAsia="Arial" w:hAnsi="Arial"/>
                <w:sz w:val="17"/>
                <w:szCs w:val="17"/>
                <w:color w:val="auto"/>
              </w:rPr>
              <w:t>655</w:t>
            </w:r>
          </w:p>
        </w:tc>
        <w:tc>
          <w:tcPr>
            <w:tcW w:w="540" w:type="dxa"/>
            <w:vAlign w:val="bottom"/>
          </w:tcPr>
          <w:p>
            <w:pPr>
              <w:spacing w:after="0"/>
              <w:rPr>
                <w:sz w:val="22"/>
                <w:szCs w:val="22"/>
                <w:color w:val="auto"/>
              </w:rPr>
            </w:pPr>
          </w:p>
        </w:tc>
        <w:tc>
          <w:tcPr>
            <w:tcW w:w="1500" w:type="dxa"/>
            <w:vAlign w:val="bottom"/>
          </w:tcPr>
          <w:p>
            <w:pPr>
              <w:jc w:val="right"/>
              <w:ind w:right="196"/>
              <w:spacing w:after="0"/>
              <w:rPr>
                <w:sz w:val="20"/>
                <w:szCs w:val="20"/>
                <w:color w:val="auto"/>
              </w:rPr>
            </w:pPr>
            <w:r>
              <w:rPr>
                <w:rFonts w:ascii="Arial" w:cs="Arial" w:eastAsia="Arial" w:hAnsi="Arial"/>
                <w:sz w:val="17"/>
                <w:szCs w:val="17"/>
                <w:color w:val="auto"/>
              </w:rPr>
              <w:t>(536)</w:t>
            </w:r>
          </w:p>
        </w:tc>
        <w:tc>
          <w:tcPr>
            <w:tcW w:w="460" w:type="dxa"/>
            <w:vAlign w:val="bottom"/>
          </w:tcPr>
          <w:p>
            <w:pPr>
              <w:spacing w:after="0"/>
              <w:rPr>
                <w:sz w:val="22"/>
                <w:szCs w:val="22"/>
                <w:color w:val="auto"/>
              </w:rPr>
            </w:pPr>
          </w:p>
        </w:tc>
        <w:tc>
          <w:tcPr>
            <w:tcW w:w="1240" w:type="dxa"/>
            <w:vAlign w:val="bottom"/>
          </w:tcPr>
          <w:p>
            <w:pPr>
              <w:jc w:val="right"/>
              <w:ind w:right="95"/>
              <w:spacing w:after="0"/>
              <w:rPr>
                <w:sz w:val="20"/>
                <w:szCs w:val="20"/>
                <w:color w:val="auto"/>
              </w:rPr>
            </w:pPr>
            <w:r>
              <w:rPr>
                <w:rFonts w:ascii="Arial" w:cs="Arial" w:eastAsia="Arial" w:hAnsi="Arial"/>
                <w:sz w:val="17"/>
                <w:szCs w:val="17"/>
                <w:color w:val="auto"/>
              </w:rPr>
              <w:t>950</w:t>
            </w:r>
          </w:p>
        </w:tc>
      </w:tr>
      <w:tr>
        <w:trPr>
          <w:trHeight w:val="269"/>
        </w:trPr>
        <w:tc>
          <w:tcPr>
            <w:tcW w:w="5720" w:type="dxa"/>
            <w:vAlign w:val="bottom"/>
          </w:tcPr>
          <w:p>
            <w:pPr>
              <w:ind w:left="360"/>
              <w:spacing w:after="0"/>
              <w:rPr>
                <w:sz w:val="20"/>
                <w:szCs w:val="20"/>
                <w:color w:val="auto"/>
              </w:rPr>
            </w:pPr>
            <w:r>
              <w:rPr>
                <w:rFonts w:ascii="Arial" w:cs="Arial" w:eastAsia="Arial" w:hAnsi="Arial"/>
                <w:sz w:val="17"/>
                <w:szCs w:val="17"/>
                <w:color w:val="auto"/>
              </w:rPr>
              <w:t>MTM-related deferred state tax (benefit) expense</w:t>
            </w:r>
          </w:p>
        </w:tc>
        <w:tc>
          <w:tcPr>
            <w:tcW w:w="720" w:type="dxa"/>
            <w:vAlign w:val="bottom"/>
          </w:tcPr>
          <w:p>
            <w:pPr>
              <w:spacing w:after="0"/>
              <w:rPr>
                <w:sz w:val="23"/>
                <w:szCs w:val="23"/>
                <w:color w:val="auto"/>
              </w:rPr>
            </w:pPr>
          </w:p>
        </w:tc>
        <w:tc>
          <w:tcPr>
            <w:tcW w:w="1240" w:type="dxa"/>
            <w:vAlign w:val="bottom"/>
          </w:tcPr>
          <w:p>
            <w:pPr>
              <w:jc w:val="right"/>
              <w:ind w:right="35"/>
              <w:spacing w:after="0"/>
              <w:rPr>
                <w:sz w:val="20"/>
                <w:szCs w:val="20"/>
                <w:color w:val="auto"/>
              </w:rPr>
            </w:pPr>
            <w:r>
              <w:rPr>
                <w:rFonts w:ascii="Arial" w:cs="Arial" w:eastAsia="Arial" w:hAnsi="Arial"/>
                <w:sz w:val="17"/>
                <w:szCs w:val="17"/>
                <w:color w:val="auto"/>
              </w:rPr>
              <w:t>(29)</w:t>
            </w:r>
          </w:p>
        </w:tc>
        <w:tc>
          <w:tcPr>
            <w:tcW w:w="540" w:type="dxa"/>
            <w:vAlign w:val="bottom"/>
          </w:tcPr>
          <w:p>
            <w:pPr>
              <w:spacing w:after="0"/>
              <w:rPr>
                <w:sz w:val="23"/>
                <w:szCs w:val="23"/>
                <w:color w:val="auto"/>
              </w:rPr>
            </w:pPr>
          </w:p>
        </w:tc>
        <w:tc>
          <w:tcPr>
            <w:tcW w:w="1500" w:type="dxa"/>
            <w:vAlign w:val="bottom"/>
          </w:tcPr>
          <w:p>
            <w:pPr>
              <w:jc w:val="right"/>
              <w:ind w:right="256"/>
              <w:spacing w:after="0"/>
              <w:rPr>
                <w:sz w:val="20"/>
                <w:szCs w:val="20"/>
                <w:color w:val="auto"/>
              </w:rPr>
            </w:pPr>
            <w:r>
              <w:rPr>
                <w:rFonts w:ascii="Arial" w:cs="Arial" w:eastAsia="Arial" w:hAnsi="Arial"/>
                <w:sz w:val="17"/>
                <w:szCs w:val="17"/>
                <w:color w:val="auto"/>
              </w:rPr>
              <w:t>24</w:t>
            </w:r>
          </w:p>
        </w:tc>
        <w:tc>
          <w:tcPr>
            <w:tcW w:w="460" w:type="dxa"/>
            <w:vAlign w:val="bottom"/>
          </w:tcPr>
          <w:p>
            <w:pPr>
              <w:spacing w:after="0"/>
              <w:rPr>
                <w:sz w:val="23"/>
                <w:szCs w:val="23"/>
                <w:color w:val="auto"/>
              </w:rPr>
            </w:pPr>
          </w:p>
        </w:tc>
        <w:tc>
          <w:tcPr>
            <w:tcW w:w="1240" w:type="dxa"/>
            <w:vAlign w:val="bottom"/>
          </w:tcPr>
          <w:p>
            <w:pPr>
              <w:jc w:val="right"/>
              <w:ind w:right="35"/>
              <w:spacing w:after="0"/>
              <w:rPr>
                <w:sz w:val="20"/>
                <w:szCs w:val="20"/>
                <w:color w:val="auto"/>
              </w:rPr>
            </w:pPr>
            <w:r>
              <w:rPr>
                <w:rFonts w:ascii="Arial" w:cs="Arial" w:eastAsia="Arial" w:hAnsi="Arial"/>
                <w:sz w:val="17"/>
                <w:szCs w:val="17"/>
                <w:color w:val="auto"/>
              </w:rPr>
              <w:t>(43)</w:t>
            </w:r>
          </w:p>
        </w:tc>
      </w:tr>
      <w:tr>
        <w:trPr>
          <w:trHeight w:val="263"/>
        </w:trPr>
        <w:tc>
          <w:tcPr>
            <w:tcW w:w="5720" w:type="dxa"/>
            <w:vAlign w:val="bottom"/>
            <w:tcBorders>
              <w:bottom w:val="single" w:sz="8" w:color="34657F"/>
            </w:tcBorders>
          </w:tcPr>
          <w:p>
            <w:pPr>
              <w:ind w:left="360"/>
              <w:spacing w:after="0"/>
              <w:rPr>
                <w:sz w:val="20"/>
                <w:szCs w:val="20"/>
                <w:color w:val="auto"/>
              </w:rPr>
            </w:pPr>
            <w:r>
              <w:rPr>
                <w:rFonts w:ascii="Arial" w:cs="Arial" w:eastAsia="Arial" w:hAnsi="Arial"/>
                <w:sz w:val="17"/>
                <w:szCs w:val="17"/>
                <w:color w:val="auto"/>
              </w:rPr>
              <w:t>Federal tax (benefit) expense of items above</w:t>
            </w:r>
          </w:p>
        </w:tc>
        <w:tc>
          <w:tcPr>
            <w:tcW w:w="720" w:type="dxa"/>
            <w:vAlign w:val="bottom"/>
            <w:tcBorders>
              <w:bottom w:val="single" w:sz="8" w:color="34657F"/>
            </w:tcBorders>
          </w:tcPr>
          <w:p>
            <w:pPr>
              <w:spacing w:after="0"/>
              <w:rPr>
                <w:sz w:val="22"/>
                <w:szCs w:val="22"/>
                <w:color w:val="auto"/>
              </w:rPr>
            </w:pPr>
          </w:p>
        </w:tc>
        <w:tc>
          <w:tcPr>
            <w:tcW w:w="1240" w:type="dxa"/>
            <w:vAlign w:val="bottom"/>
            <w:tcBorders>
              <w:bottom w:val="single" w:sz="8" w:color="34657F"/>
            </w:tcBorders>
          </w:tcPr>
          <w:p>
            <w:pPr>
              <w:jc w:val="right"/>
              <w:ind w:right="35"/>
              <w:spacing w:after="0"/>
              <w:rPr>
                <w:sz w:val="20"/>
                <w:szCs w:val="20"/>
                <w:color w:val="auto"/>
              </w:rPr>
            </w:pPr>
            <w:r>
              <w:rPr>
                <w:rFonts w:ascii="Arial" w:cs="Arial" w:eastAsia="Arial" w:hAnsi="Arial"/>
                <w:sz w:val="17"/>
                <w:szCs w:val="17"/>
                <w:color w:val="auto"/>
              </w:rPr>
              <w:t>(131)</w:t>
            </w:r>
          </w:p>
        </w:tc>
        <w:tc>
          <w:tcPr>
            <w:tcW w:w="540" w:type="dxa"/>
            <w:vAlign w:val="bottom"/>
            <w:tcBorders>
              <w:bottom w:val="single" w:sz="8" w:color="34657F"/>
            </w:tcBorders>
          </w:tcPr>
          <w:p>
            <w:pPr>
              <w:spacing w:after="0"/>
              <w:rPr>
                <w:sz w:val="22"/>
                <w:szCs w:val="22"/>
                <w:color w:val="auto"/>
              </w:rPr>
            </w:pPr>
          </w:p>
        </w:tc>
        <w:tc>
          <w:tcPr>
            <w:tcW w:w="1500" w:type="dxa"/>
            <w:vAlign w:val="bottom"/>
            <w:tcBorders>
              <w:bottom w:val="single" w:sz="8" w:color="34657F"/>
            </w:tcBorders>
          </w:tcPr>
          <w:p>
            <w:pPr>
              <w:jc w:val="right"/>
              <w:ind w:right="256"/>
              <w:spacing w:after="0"/>
              <w:rPr>
                <w:sz w:val="20"/>
                <w:szCs w:val="20"/>
                <w:color w:val="auto"/>
              </w:rPr>
            </w:pPr>
            <w:r>
              <w:rPr>
                <w:rFonts w:ascii="Arial" w:cs="Arial" w:eastAsia="Arial" w:hAnsi="Arial"/>
                <w:sz w:val="17"/>
                <w:szCs w:val="17"/>
                <w:color w:val="auto"/>
              </w:rPr>
              <w:t>108</w:t>
            </w:r>
          </w:p>
        </w:tc>
        <w:tc>
          <w:tcPr>
            <w:tcW w:w="460" w:type="dxa"/>
            <w:vAlign w:val="bottom"/>
            <w:tcBorders>
              <w:bottom w:val="single" w:sz="8" w:color="34657F"/>
            </w:tcBorders>
          </w:tcPr>
          <w:p>
            <w:pPr>
              <w:spacing w:after="0"/>
              <w:rPr>
                <w:sz w:val="22"/>
                <w:szCs w:val="22"/>
                <w:color w:val="auto"/>
              </w:rPr>
            </w:pPr>
          </w:p>
        </w:tc>
        <w:tc>
          <w:tcPr>
            <w:tcW w:w="1240" w:type="dxa"/>
            <w:vAlign w:val="bottom"/>
            <w:tcBorders>
              <w:bottom w:val="single" w:sz="8" w:color="34657F"/>
            </w:tcBorders>
          </w:tcPr>
          <w:p>
            <w:pPr>
              <w:jc w:val="right"/>
              <w:ind w:right="35"/>
              <w:spacing w:after="0"/>
              <w:rPr>
                <w:sz w:val="20"/>
                <w:szCs w:val="20"/>
                <w:color w:val="auto"/>
              </w:rPr>
            </w:pPr>
            <w:r>
              <w:rPr>
                <w:rFonts w:ascii="Arial" w:cs="Arial" w:eastAsia="Arial" w:hAnsi="Arial"/>
                <w:sz w:val="17"/>
                <w:szCs w:val="17"/>
                <w:color w:val="auto"/>
              </w:rPr>
              <w:t>(317)</w:t>
            </w:r>
          </w:p>
        </w:tc>
      </w:tr>
      <w:tr>
        <w:trPr>
          <w:trHeight w:val="249"/>
        </w:trPr>
        <w:tc>
          <w:tcPr>
            <w:tcW w:w="5720" w:type="dxa"/>
            <w:vAlign w:val="bottom"/>
            <w:tcBorders>
              <w:bottom w:val="single" w:sz="8" w:color="34657F"/>
            </w:tcBorders>
          </w:tcPr>
          <w:p>
            <w:pPr>
              <w:ind w:left="20"/>
              <w:spacing w:after="0"/>
              <w:rPr>
                <w:sz w:val="20"/>
                <w:szCs w:val="20"/>
                <w:color w:val="auto"/>
              </w:rPr>
            </w:pPr>
            <w:r>
              <w:rPr>
                <w:rFonts w:ascii="Arial" w:cs="Arial" w:eastAsia="Arial" w:hAnsi="Arial"/>
                <w:sz w:val="17"/>
                <w:szCs w:val="17"/>
                <w:color w:val="auto"/>
              </w:rPr>
              <w:t>After-tax MTM adjustment</w:t>
            </w:r>
          </w:p>
        </w:tc>
        <w:tc>
          <w:tcPr>
            <w:tcW w:w="720" w:type="dxa"/>
            <w:vAlign w:val="bottom"/>
            <w:tcBorders>
              <w:bottom w:val="single" w:sz="8" w:color="34657F"/>
            </w:tcBorders>
          </w:tcPr>
          <w:p>
            <w:pPr>
              <w:spacing w:after="0"/>
              <w:rPr>
                <w:sz w:val="21"/>
                <w:szCs w:val="21"/>
                <w:color w:val="auto"/>
              </w:rPr>
            </w:pPr>
          </w:p>
        </w:tc>
        <w:tc>
          <w:tcPr>
            <w:tcW w:w="1240" w:type="dxa"/>
            <w:vAlign w:val="bottom"/>
            <w:tcBorders>
              <w:bottom w:val="single" w:sz="8" w:color="34657F"/>
            </w:tcBorders>
          </w:tcPr>
          <w:p>
            <w:pPr>
              <w:jc w:val="right"/>
              <w:ind w:right="95"/>
              <w:spacing w:after="0"/>
              <w:rPr>
                <w:sz w:val="20"/>
                <w:szCs w:val="20"/>
                <w:color w:val="auto"/>
              </w:rPr>
            </w:pPr>
            <w:r>
              <w:rPr>
                <w:rFonts w:ascii="Arial" w:cs="Arial" w:eastAsia="Arial" w:hAnsi="Arial"/>
                <w:sz w:val="17"/>
                <w:szCs w:val="17"/>
                <w:color w:val="auto"/>
              </w:rPr>
              <w:t>495</w:t>
            </w:r>
          </w:p>
        </w:tc>
        <w:tc>
          <w:tcPr>
            <w:tcW w:w="540" w:type="dxa"/>
            <w:vAlign w:val="bottom"/>
            <w:tcBorders>
              <w:bottom w:val="single" w:sz="8" w:color="34657F"/>
            </w:tcBorders>
          </w:tcPr>
          <w:p>
            <w:pPr>
              <w:spacing w:after="0"/>
              <w:rPr>
                <w:sz w:val="21"/>
                <w:szCs w:val="21"/>
                <w:color w:val="auto"/>
              </w:rPr>
            </w:pPr>
          </w:p>
        </w:tc>
        <w:tc>
          <w:tcPr>
            <w:tcW w:w="1500" w:type="dxa"/>
            <w:vAlign w:val="bottom"/>
            <w:tcBorders>
              <w:bottom w:val="single" w:sz="8" w:color="34657F"/>
            </w:tcBorders>
          </w:tcPr>
          <w:p>
            <w:pPr>
              <w:jc w:val="right"/>
              <w:ind w:right="196"/>
              <w:spacing w:after="0"/>
              <w:rPr>
                <w:sz w:val="20"/>
                <w:szCs w:val="20"/>
                <w:color w:val="auto"/>
              </w:rPr>
            </w:pPr>
            <w:r>
              <w:rPr>
                <w:rFonts w:ascii="Arial" w:cs="Arial" w:eastAsia="Arial" w:hAnsi="Arial"/>
                <w:sz w:val="17"/>
                <w:szCs w:val="17"/>
                <w:color w:val="auto"/>
              </w:rPr>
              <w:t>(404)</w:t>
            </w:r>
          </w:p>
        </w:tc>
        <w:tc>
          <w:tcPr>
            <w:tcW w:w="460" w:type="dxa"/>
            <w:vAlign w:val="bottom"/>
            <w:tcBorders>
              <w:bottom w:val="single" w:sz="8" w:color="34657F"/>
            </w:tcBorders>
          </w:tcPr>
          <w:p>
            <w:pPr>
              <w:spacing w:after="0"/>
              <w:rPr>
                <w:sz w:val="21"/>
                <w:szCs w:val="21"/>
                <w:color w:val="auto"/>
              </w:rPr>
            </w:pPr>
          </w:p>
        </w:tc>
        <w:tc>
          <w:tcPr>
            <w:tcW w:w="1240" w:type="dxa"/>
            <w:vAlign w:val="bottom"/>
            <w:tcBorders>
              <w:bottom w:val="single" w:sz="8" w:color="34657F"/>
            </w:tcBorders>
          </w:tcPr>
          <w:p>
            <w:pPr>
              <w:jc w:val="right"/>
              <w:ind w:right="95"/>
              <w:spacing w:after="0"/>
              <w:rPr>
                <w:sz w:val="20"/>
                <w:szCs w:val="20"/>
                <w:color w:val="auto"/>
              </w:rPr>
            </w:pPr>
            <w:r>
              <w:rPr>
                <w:rFonts w:ascii="Arial" w:cs="Arial" w:eastAsia="Arial" w:hAnsi="Arial"/>
                <w:sz w:val="17"/>
                <w:szCs w:val="17"/>
                <w:color w:val="auto"/>
              </w:rPr>
              <w:t>590</w:t>
            </w:r>
          </w:p>
        </w:tc>
      </w:tr>
      <w:tr>
        <w:trPr>
          <w:trHeight w:val="229"/>
        </w:trPr>
        <w:tc>
          <w:tcPr>
            <w:tcW w:w="5720" w:type="dxa"/>
            <w:vAlign w:val="bottom"/>
          </w:tcPr>
          <w:p>
            <w:pPr>
              <w:ind w:left="20"/>
              <w:spacing w:after="0"/>
              <w:rPr>
                <w:sz w:val="20"/>
                <w:szCs w:val="20"/>
                <w:color w:val="auto"/>
              </w:rPr>
            </w:pPr>
            <w:r>
              <w:rPr>
                <w:rFonts w:ascii="Arial" w:cs="Arial" w:eastAsia="Arial" w:hAnsi="Arial"/>
                <w:sz w:val="17"/>
                <w:szCs w:val="17"/>
                <w:b w:val="1"/>
                <w:bCs w:val="1"/>
                <w:color w:val="auto"/>
              </w:rPr>
              <w:t>MTM-adjusted net earnings</w:t>
            </w:r>
          </w:p>
        </w:tc>
        <w:tc>
          <w:tcPr>
            <w:tcW w:w="720" w:type="dxa"/>
            <w:vAlign w:val="bottom"/>
          </w:tcPr>
          <w:p>
            <w:pPr>
              <w:jc w:val="right"/>
              <w:ind w:right="75"/>
              <w:spacing w:after="0"/>
              <w:rPr>
                <w:sz w:val="20"/>
                <w:szCs w:val="20"/>
                <w:color w:val="auto"/>
              </w:rPr>
            </w:pPr>
            <w:r>
              <w:rPr>
                <w:rFonts w:ascii="Arial" w:cs="Arial" w:eastAsia="Arial" w:hAnsi="Arial"/>
                <w:sz w:val="17"/>
                <w:szCs w:val="17"/>
                <w:b w:val="1"/>
                <w:bCs w:val="1"/>
                <w:color w:val="auto"/>
              </w:rPr>
              <w:t>$</w:t>
            </w:r>
          </w:p>
        </w:tc>
        <w:tc>
          <w:tcPr>
            <w:tcW w:w="1240" w:type="dxa"/>
            <w:vAlign w:val="bottom"/>
          </w:tcPr>
          <w:p>
            <w:pPr>
              <w:jc w:val="right"/>
              <w:ind w:right="95"/>
              <w:spacing w:after="0"/>
              <w:rPr>
                <w:sz w:val="20"/>
                <w:szCs w:val="20"/>
                <w:color w:val="auto"/>
              </w:rPr>
            </w:pPr>
            <w:r>
              <w:rPr>
                <w:rFonts w:ascii="Arial" w:cs="Arial" w:eastAsia="Arial" w:hAnsi="Arial"/>
                <w:sz w:val="17"/>
                <w:szCs w:val="17"/>
                <w:b w:val="1"/>
                <w:bCs w:val="1"/>
                <w:color w:val="auto"/>
              </w:rPr>
              <w:t>3,724</w:t>
            </w:r>
          </w:p>
        </w:tc>
        <w:tc>
          <w:tcPr>
            <w:tcW w:w="54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500" w:type="dxa"/>
            <w:vAlign w:val="bottom"/>
          </w:tcPr>
          <w:p>
            <w:pPr>
              <w:jc w:val="right"/>
              <w:ind w:right="256"/>
              <w:spacing w:after="0"/>
              <w:rPr>
                <w:sz w:val="20"/>
                <w:szCs w:val="20"/>
                <w:color w:val="auto"/>
              </w:rPr>
            </w:pPr>
            <w:r>
              <w:rPr>
                <w:rFonts w:ascii="Arial" w:cs="Arial" w:eastAsia="Arial" w:hAnsi="Arial"/>
                <w:sz w:val="17"/>
                <w:szCs w:val="17"/>
                <w:b w:val="1"/>
                <w:bCs w:val="1"/>
                <w:color w:val="auto"/>
              </w:rPr>
              <w:t>2,465</w:t>
            </w:r>
          </w:p>
        </w:tc>
        <w:tc>
          <w:tcPr>
            <w:tcW w:w="460" w:type="dxa"/>
            <w:vAlign w:val="bottom"/>
          </w:tcPr>
          <w:p>
            <w:pPr>
              <w:jc w:val="right"/>
              <w:ind w:right="95"/>
              <w:spacing w:after="0"/>
              <w:rPr>
                <w:sz w:val="20"/>
                <w:szCs w:val="20"/>
                <w:color w:val="auto"/>
              </w:rPr>
            </w:pPr>
            <w:r>
              <w:rPr>
                <w:rFonts w:ascii="Arial" w:cs="Arial" w:eastAsia="Arial" w:hAnsi="Arial"/>
                <w:sz w:val="17"/>
                <w:szCs w:val="17"/>
                <w:b w:val="1"/>
                <w:bCs w:val="1"/>
                <w:color w:val="auto"/>
              </w:rPr>
              <w:t>$</w:t>
            </w:r>
          </w:p>
        </w:tc>
        <w:tc>
          <w:tcPr>
            <w:tcW w:w="1240" w:type="dxa"/>
            <w:vAlign w:val="bottom"/>
          </w:tcPr>
          <w:p>
            <w:pPr>
              <w:jc w:val="right"/>
              <w:ind w:right="95"/>
              <w:spacing w:after="0"/>
              <w:rPr>
                <w:sz w:val="20"/>
                <w:szCs w:val="20"/>
                <w:color w:val="auto"/>
              </w:rPr>
            </w:pPr>
            <w:r>
              <w:rPr>
                <w:rFonts w:ascii="Arial" w:cs="Arial" w:eastAsia="Arial" w:hAnsi="Arial"/>
                <w:sz w:val="17"/>
                <w:szCs w:val="17"/>
                <w:b w:val="1"/>
                <w:bCs w:val="1"/>
                <w:color w:val="auto"/>
              </w:rPr>
              <w:t>2,633</w:t>
            </w:r>
          </w:p>
        </w:tc>
      </w:tr>
      <w:tr>
        <w:trPr>
          <w:trHeight w:val="27"/>
        </w:trPr>
        <w:tc>
          <w:tcPr>
            <w:tcW w:w="5720" w:type="dxa"/>
            <w:vAlign w:val="bottom"/>
            <w:tcBorders>
              <w:bottom w:val="single" w:sz="8" w:color="34657F"/>
            </w:tcBorders>
          </w:tcPr>
          <w:p>
            <w:pPr>
              <w:spacing w:after="0"/>
              <w:rPr>
                <w:sz w:val="2"/>
                <w:szCs w:val="2"/>
                <w:color w:val="auto"/>
              </w:rPr>
            </w:pPr>
          </w:p>
        </w:tc>
        <w:tc>
          <w:tcPr>
            <w:tcW w:w="720" w:type="dxa"/>
            <w:vAlign w:val="bottom"/>
            <w:tcBorders>
              <w:bottom w:val="single" w:sz="8" w:color="34657F"/>
            </w:tcBorders>
          </w:tcPr>
          <w:p>
            <w:pPr>
              <w:spacing w:after="0"/>
              <w:rPr>
                <w:sz w:val="2"/>
                <w:szCs w:val="2"/>
                <w:color w:val="auto"/>
              </w:rPr>
            </w:pPr>
          </w:p>
        </w:tc>
        <w:tc>
          <w:tcPr>
            <w:tcW w:w="1240" w:type="dxa"/>
            <w:vAlign w:val="bottom"/>
            <w:tcBorders>
              <w:bottom w:val="single" w:sz="8" w:color="34657F"/>
            </w:tcBorders>
          </w:tcPr>
          <w:p>
            <w:pPr>
              <w:spacing w:after="0"/>
              <w:rPr>
                <w:sz w:val="2"/>
                <w:szCs w:val="2"/>
                <w:color w:val="auto"/>
              </w:rPr>
            </w:pPr>
          </w:p>
        </w:tc>
        <w:tc>
          <w:tcPr>
            <w:tcW w:w="540" w:type="dxa"/>
            <w:vAlign w:val="bottom"/>
            <w:tcBorders>
              <w:bottom w:val="single" w:sz="8" w:color="34657F"/>
            </w:tcBorders>
          </w:tcPr>
          <w:p>
            <w:pPr>
              <w:spacing w:after="0"/>
              <w:rPr>
                <w:sz w:val="2"/>
                <w:szCs w:val="2"/>
                <w:color w:val="auto"/>
              </w:rPr>
            </w:pPr>
          </w:p>
        </w:tc>
        <w:tc>
          <w:tcPr>
            <w:tcW w:w="1500" w:type="dxa"/>
            <w:vAlign w:val="bottom"/>
            <w:tcBorders>
              <w:bottom w:val="single" w:sz="8" w:color="34657F"/>
            </w:tcBorders>
          </w:tcPr>
          <w:p>
            <w:pPr>
              <w:spacing w:after="0"/>
              <w:rPr>
                <w:sz w:val="2"/>
                <w:szCs w:val="2"/>
                <w:color w:val="auto"/>
              </w:rPr>
            </w:pPr>
          </w:p>
        </w:tc>
        <w:tc>
          <w:tcPr>
            <w:tcW w:w="460" w:type="dxa"/>
            <w:vAlign w:val="bottom"/>
            <w:tcBorders>
              <w:bottom w:val="single" w:sz="8" w:color="34657F"/>
            </w:tcBorders>
          </w:tcPr>
          <w:p>
            <w:pPr>
              <w:spacing w:after="0"/>
              <w:rPr>
                <w:sz w:val="2"/>
                <w:szCs w:val="2"/>
                <w:color w:val="auto"/>
              </w:rPr>
            </w:pPr>
          </w:p>
        </w:tc>
        <w:tc>
          <w:tcPr>
            <w:tcW w:w="1240" w:type="dxa"/>
            <w:vAlign w:val="bottom"/>
            <w:tcBorders>
              <w:bottom w:val="single" w:sz="8" w:color="34657F"/>
            </w:tcBorders>
          </w:tcPr>
          <w:p>
            <w:pPr>
              <w:spacing w:after="0"/>
              <w:rPr>
                <w:sz w:val="2"/>
                <w:szCs w:val="2"/>
                <w:color w:val="auto"/>
              </w:rPr>
            </w:pPr>
          </w:p>
        </w:tc>
      </w:tr>
      <w:tr>
        <w:trPr>
          <w:trHeight w:val="530"/>
        </w:trPr>
        <w:tc>
          <w:tcPr>
            <w:tcW w:w="5720" w:type="dxa"/>
            <w:vAlign w:val="bottom"/>
          </w:tcPr>
          <w:p>
            <w:pPr>
              <w:ind w:left="20"/>
              <w:spacing w:after="0"/>
              <w:rPr>
                <w:sz w:val="20"/>
                <w:szCs w:val="20"/>
                <w:color w:val="auto"/>
              </w:rPr>
            </w:pPr>
            <w:r>
              <w:rPr>
                <w:rFonts w:ascii="Arial" w:cs="Arial" w:eastAsia="Arial" w:hAnsi="Arial"/>
                <w:sz w:val="17"/>
                <w:szCs w:val="17"/>
                <w:b w:val="1"/>
                <w:bCs w:val="1"/>
                <w:color w:val="auto"/>
              </w:rPr>
              <w:t>Diluted EPS</w:t>
            </w:r>
          </w:p>
        </w:tc>
        <w:tc>
          <w:tcPr>
            <w:tcW w:w="720" w:type="dxa"/>
            <w:vAlign w:val="bottom"/>
          </w:tcPr>
          <w:p>
            <w:pPr>
              <w:jc w:val="right"/>
              <w:ind w:right="75"/>
              <w:spacing w:after="0"/>
              <w:rPr>
                <w:sz w:val="20"/>
                <w:szCs w:val="20"/>
                <w:color w:val="auto"/>
              </w:rPr>
            </w:pPr>
            <w:r>
              <w:rPr>
                <w:rFonts w:ascii="Arial" w:cs="Arial" w:eastAsia="Arial" w:hAnsi="Arial"/>
                <w:sz w:val="17"/>
                <w:szCs w:val="17"/>
                <w:b w:val="1"/>
                <w:bCs w:val="1"/>
                <w:color w:val="auto"/>
              </w:rPr>
              <w:t>$</w:t>
            </w:r>
          </w:p>
        </w:tc>
        <w:tc>
          <w:tcPr>
            <w:tcW w:w="1240" w:type="dxa"/>
            <w:vAlign w:val="bottom"/>
          </w:tcPr>
          <w:p>
            <w:pPr>
              <w:jc w:val="right"/>
              <w:ind w:right="95"/>
              <w:spacing w:after="0"/>
              <w:rPr>
                <w:sz w:val="20"/>
                <w:szCs w:val="20"/>
                <w:color w:val="auto"/>
              </w:rPr>
            </w:pPr>
            <w:r>
              <w:rPr>
                <w:rFonts w:ascii="Arial" w:cs="Arial" w:eastAsia="Arial" w:hAnsi="Arial"/>
                <w:sz w:val="17"/>
                <w:szCs w:val="17"/>
                <w:b w:val="1"/>
                <w:bCs w:val="1"/>
                <w:color w:val="auto"/>
              </w:rPr>
              <w:t>18.49</w:t>
            </w:r>
          </w:p>
        </w:tc>
        <w:tc>
          <w:tcPr>
            <w:tcW w:w="54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500" w:type="dxa"/>
            <w:vAlign w:val="bottom"/>
          </w:tcPr>
          <w:p>
            <w:pPr>
              <w:jc w:val="right"/>
              <w:ind w:right="256"/>
              <w:spacing w:after="0"/>
              <w:rPr>
                <w:sz w:val="20"/>
                <w:szCs w:val="20"/>
                <w:color w:val="auto"/>
              </w:rPr>
            </w:pPr>
            <w:r>
              <w:rPr>
                <w:rFonts w:ascii="Arial" w:cs="Arial" w:eastAsia="Arial" w:hAnsi="Arial"/>
                <w:sz w:val="17"/>
                <w:szCs w:val="17"/>
                <w:b w:val="1"/>
                <w:bCs w:val="1"/>
                <w:color w:val="auto"/>
              </w:rPr>
              <w:t>16.34</w:t>
            </w:r>
          </w:p>
        </w:tc>
        <w:tc>
          <w:tcPr>
            <w:tcW w:w="460" w:type="dxa"/>
            <w:vAlign w:val="bottom"/>
          </w:tcPr>
          <w:p>
            <w:pPr>
              <w:jc w:val="right"/>
              <w:ind w:right="95"/>
              <w:spacing w:after="0"/>
              <w:rPr>
                <w:sz w:val="20"/>
                <w:szCs w:val="20"/>
                <w:color w:val="auto"/>
              </w:rPr>
            </w:pPr>
            <w:r>
              <w:rPr>
                <w:rFonts w:ascii="Arial" w:cs="Arial" w:eastAsia="Arial" w:hAnsi="Arial"/>
                <w:sz w:val="17"/>
                <w:szCs w:val="17"/>
                <w:b w:val="1"/>
                <w:bCs w:val="1"/>
                <w:color w:val="auto"/>
              </w:rPr>
              <w:t>$</w:t>
            </w:r>
          </w:p>
        </w:tc>
        <w:tc>
          <w:tcPr>
            <w:tcW w:w="1240" w:type="dxa"/>
            <w:vAlign w:val="bottom"/>
          </w:tcPr>
          <w:p>
            <w:pPr>
              <w:jc w:val="right"/>
              <w:ind w:right="95"/>
              <w:spacing w:after="0"/>
              <w:rPr>
                <w:sz w:val="20"/>
                <w:szCs w:val="20"/>
                <w:color w:val="auto"/>
              </w:rPr>
            </w:pPr>
            <w:r>
              <w:rPr>
                <w:rFonts w:ascii="Arial" w:cs="Arial" w:eastAsia="Arial" w:hAnsi="Arial"/>
                <w:sz w:val="17"/>
                <w:szCs w:val="17"/>
                <w:b w:val="1"/>
                <w:bCs w:val="1"/>
                <w:color w:val="auto"/>
              </w:rPr>
              <w:t>11.32</w:t>
            </w:r>
          </w:p>
        </w:tc>
      </w:tr>
      <w:tr>
        <w:trPr>
          <w:trHeight w:val="269"/>
        </w:trPr>
        <w:tc>
          <w:tcPr>
            <w:tcW w:w="5720" w:type="dxa"/>
            <w:vAlign w:val="bottom"/>
          </w:tcPr>
          <w:p>
            <w:pPr>
              <w:ind w:left="360"/>
              <w:spacing w:after="0"/>
              <w:rPr>
                <w:sz w:val="20"/>
                <w:szCs w:val="20"/>
                <w:color w:val="auto"/>
              </w:rPr>
            </w:pPr>
            <w:r>
              <w:rPr>
                <w:rFonts w:ascii="Arial" w:cs="Arial" w:eastAsia="Arial" w:hAnsi="Arial"/>
                <w:sz w:val="17"/>
                <w:szCs w:val="17"/>
                <w:color w:val="auto"/>
              </w:rPr>
              <w:t>MTM expense (benefit) per share</w:t>
            </w:r>
          </w:p>
        </w:tc>
        <w:tc>
          <w:tcPr>
            <w:tcW w:w="720" w:type="dxa"/>
            <w:vAlign w:val="bottom"/>
          </w:tcPr>
          <w:p>
            <w:pPr>
              <w:spacing w:after="0"/>
              <w:rPr>
                <w:sz w:val="23"/>
                <w:szCs w:val="23"/>
                <w:color w:val="auto"/>
              </w:rPr>
            </w:pPr>
          </w:p>
        </w:tc>
        <w:tc>
          <w:tcPr>
            <w:tcW w:w="1240" w:type="dxa"/>
            <w:vAlign w:val="bottom"/>
          </w:tcPr>
          <w:p>
            <w:pPr>
              <w:jc w:val="right"/>
              <w:ind w:right="95"/>
              <w:spacing w:after="0"/>
              <w:rPr>
                <w:sz w:val="20"/>
                <w:szCs w:val="20"/>
                <w:color w:val="auto"/>
              </w:rPr>
            </w:pPr>
            <w:r>
              <w:rPr>
                <w:rFonts w:ascii="Arial" w:cs="Arial" w:eastAsia="Arial" w:hAnsi="Arial"/>
                <w:sz w:val="17"/>
                <w:szCs w:val="17"/>
                <w:color w:val="auto"/>
              </w:rPr>
              <w:t>3.76</w:t>
            </w:r>
          </w:p>
        </w:tc>
        <w:tc>
          <w:tcPr>
            <w:tcW w:w="540" w:type="dxa"/>
            <w:vAlign w:val="bottom"/>
          </w:tcPr>
          <w:p>
            <w:pPr>
              <w:spacing w:after="0"/>
              <w:rPr>
                <w:sz w:val="23"/>
                <w:szCs w:val="23"/>
                <w:color w:val="auto"/>
              </w:rPr>
            </w:pPr>
          </w:p>
        </w:tc>
        <w:tc>
          <w:tcPr>
            <w:tcW w:w="1500" w:type="dxa"/>
            <w:vAlign w:val="bottom"/>
          </w:tcPr>
          <w:p>
            <w:pPr>
              <w:jc w:val="right"/>
              <w:ind w:right="196"/>
              <w:spacing w:after="0"/>
              <w:rPr>
                <w:sz w:val="20"/>
                <w:szCs w:val="20"/>
                <w:color w:val="auto"/>
              </w:rPr>
            </w:pPr>
            <w:r>
              <w:rPr>
                <w:rFonts w:ascii="Arial" w:cs="Arial" w:eastAsia="Arial" w:hAnsi="Arial"/>
                <w:sz w:val="17"/>
                <w:szCs w:val="17"/>
                <w:color w:val="auto"/>
              </w:rPr>
              <w:t>(3.06)</w:t>
            </w:r>
          </w:p>
        </w:tc>
        <w:tc>
          <w:tcPr>
            <w:tcW w:w="460" w:type="dxa"/>
            <w:vAlign w:val="bottom"/>
          </w:tcPr>
          <w:p>
            <w:pPr>
              <w:spacing w:after="0"/>
              <w:rPr>
                <w:sz w:val="23"/>
                <w:szCs w:val="23"/>
                <w:color w:val="auto"/>
              </w:rPr>
            </w:pPr>
          </w:p>
        </w:tc>
        <w:tc>
          <w:tcPr>
            <w:tcW w:w="1240" w:type="dxa"/>
            <w:vAlign w:val="bottom"/>
          </w:tcPr>
          <w:p>
            <w:pPr>
              <w:jc w:val="right"/>
              <w:ind w:right="95"/>
              <w:spacing w:after="0"/>
              <w:rPr>
                <w:sz w:val="20"/>
                <w:szCs w:val="20"/>
                <w:color w:val="auto"/>
              </w:rPr>
            </w:pPr>
            <w:r>
              <w:rPr>
                <w:rFonts w:ascii="Arial" w:cs="Arial" w:eastAsia="Arial" w:hAnsi="Arial"/>
                <w:sz w:val="17"/>
                <w:szCs w:val="17"/>
                <w:color w:val="auto"/>
              </w:rPr>
              <w:t>5.27</w:t>
            </w:r>
          </w:p>
        </w:tc>
      </w:tr>
      <w:tr>
        <w:trPr>
          <w:trHeight w:val="256"/>
        </w:trPr>
        <w:tc>
          <w:tcPr>
            <w:tcW w:w="5720" w:type="dxa"/>
            <w:vAlign w:val="bottom"/>
          </w:tcPr>
          <w:p>
            <w:pPr>
              <w:ind w:left="360"/>
              <w:spacing w:after="0"/>
              <w:rPr>
                <w:sz w:val="20"/>
                <w:szCs w:val="20"/>
                <w:color w:val="auto"/>
              </w:rPr>
            </w:pPr>
            <w:r>
              <w:rPr>
                <w:rFonts w:ascii="Arial" w:cs="Arial" w:eastAsia="Arial" w:hAnsi="Arial"/>
                <w:sz w:val="17"/>
                <w:szCs w:val="17"/>
                <w:color w:val="auto"/>
              </w:rPr>
              <w:t>MTM-related deferred state tax (benefit) expense per share</w:t>
            </w:r>
          </w:p>
        </w:tc>
        <w:tc>
          <w:tcPr>
            <w:tcW w:w="720" w:type="dxa"/>
            <w:vAlign w:val="bottom"/>
          </w:tcPr>
          <w:p>
            <w:pPr>
              <w:spacing w:after="0"/>
              <w:rPr>
                <w:sz w:val="22"/>
                <w:szCs w:val="22"/>
                <w:color w:val="auto"/>
              </w:rPr>
            </w:pPr>
          </w:p>
        </w:tc>
        <w:tc>
          <w:tcPr>
            <w:tcW w:w="1240" w:type="dxa"/>
            <w:vAlign w:val="bottom"/>
          </w:tcPr>
          <w:p>
            <w:pPr>
              <w:jc w:val="right"/>
              <w:ind w:right="35"/>
              <w:spacing w:after="0"/>
              <w:rPr>
                <w:sz w:val="20"/>
                <w:szCs w:val="20"/>
                <w:color w:val="auto"/>
              </w:rPr>
            </w:pPr>
            <w:r>
              <w:rPr>
                <w:rFonts w:ascii="Arial" w:cs="Arial" w:eastAsia="Arial" w:hAnsi="Arial"/>
                <w:sz w:val="17"/>
                <w:szCs w:val="17"/>
                <w:color w:val="auto"/>
              </w:rPr>
              <w:t>(0.17)</w:t>
            </w:r>
          </w:p>
        </w:tc>
        <w:tc>
          <w:tcPr>
            <w:tcW w:w="540" w:type="dxa"/>
            <w:vAlign w:val="bottom"/>
          </w:tcPr>
          <w:p>
            <w:pPr>
              <w:spacing w:after="0"/>
              <w:rPr>
                <w:sz w:val="22"/>
                <w:szCs w:val="22"/>
                <w:color w:val="auto"/>
              </w:rPr>
            </w:pPr>
          </w:p>
        </w:tc>
        <w:tc>
          <w:tcPr>
            <w:tcW w:w="1500" w:type="dxa"/>
            <w:vAlign w:val="bottom"/>
          </w:tcPr>
          <w:p>
            <w:pPr>
              <w:jc w:val="right"/>
              <w:ind w:right="256"/>
              <w:spacing w:after="0"/>
              <w:rPr>
                <w:sz w:val="20"/>
                <w:szCs w:val="20"/>
                <w:color w:val="auto"/>
              </w:rPr>
            </w:pPr>
            <w:r>
              <w:rPr>
                <w:rFonts w:ascii="Arial" w:cs="Arial" w:eastAsia="Arial" w:hAnsi="Arial"/>
                <w:sz w:val="17"/>
                <w:szCs w:val="17"/>
                <w:color w:val="auto"/>
              </w:rPr>
              <w:t>0.14</w:t>
            </w:r>
          </w:p>
        </w:tc>
        <w:tc>
          <w:tcPr>
            <w:tcW w:w="460" w:type="dxa"/>
            <w:vAlign w:val="bottom"/>
          </w:tcPr>
          <w:p>
            <w:pPr>
              <w:spacing w:after="0"/>
              <w:rPr>
                <w:sz w:val="22"/>
                <w:szCs w:val="22"/>
                <w:color w:val="auto"/>
              </w:rPr>
            </w:pPr>
          </w:p>
        </w:tc>
        <w:tc>
          <w:tcPr>
            <w:tcW w:w="1240" w:type="dxa"/>
            <w:vAlign w:val="bottom"/>
          </w:tcPr>
          <w:p>
            <w:pPr>
              <w:jc w:val="right"/>
              <w:ind w:right="35"/>
              <w:spacing w:after="0"/>
              <w:rPr>
                <w:sz w:val="20"/>
                <w:szCs w:val="20"/>
                <w:color w:val="auto"/>
              </w:rPr>
            </w:pPr>
            <w:r>
              <w:rPr>
                <w:rFonts w:ascii="Arial" w:cs="Arial" w:eastAsia="Arial" w:hAnsi="Arial"/>
                <w:sz w:val="17"/>
                <w:szCs w:val="17"/>
                <w:color w:val="auto"/>
              </w:rPr>
              <w:t>(0.24)</w:t>
            </w:r>
          </w:p>
        </w:tc>
      </w:tr>
      <w:tr>
        <w:trPr>
          <w:trHeight w:val="263"/>
        </w:trPr>
        <w:tc>
          <w:tcPr>
            <w:tcW w:w="5720" w:type="dxa"/>
            <w:vAlign w:val="bottom"/>
            <w:tcBorders>
              <w:bottom w:val="single" w:sz="8" w:color="34657F"/>
            </w:tcBorders>
          </w:tcPr>
          <w:p>
            <w:pPr>
              <w:ind w:left="360"/>
              <w:spacing w:after="0"/>
              <w:rPr>
                <w:sz w:val="20"/>
                <w:szCs w:val="20"/>
                <w:color w:val="auto"/>
              </w:rPr>
            </w:pPr>
            <w:r>
              <w:rPr>
                <w:rFonts w:ascii="Arial" w:cs="Arial" w:eastAsia="Arial" w:hAnsi="Arial"/>
                <w:sz w:val="17"/>
                <w:szCs w:val="17"/>
                <w:color w:val="auto"/>
              </w:rPr>
              <w:t>Federal tax (benefit) expense of items above per share</w:t>
            </w:r>
          </w:p>
        </w:tc>
        <w:tc>
          <w:tcPr>
            <w:tcW w:w="720" w:type="dxa"/>
            <w:vAlign w:val="bottom"/>
            <w:tcBorders>
              <w:bottom w:val="single" w:sz="8" w:color="34657F"/>
            </w:tcBorders>
          </w:tcPr>
          <w:p>
            <w:pPr>
              <w:spacing w:after="0"/>
              <w:rPr>
                <w:sz w:val="22"/>
                <w:szCs w:val="22"/>
                <w:color w:val="auto"/>
              </w:rPr>
            </w:pPr>
          </w:p>
        </w:tc>
        <w:tc>
          <w:tcPr>
            <w:tcW w:w="1240" w:type="dxa"/>
            <w:vAlign w:val="bottom"/>
            <w:tcBorders>
              <w:bottom w:val="single" w:sz="8" w:color="34657F"/>
            </w:tcBorders>
          </w:tcPr>
          <w:p>
            <w:pPr>
              <w:jc w:val="right"/>
              <w:ind w:right="35"/>
              <w:spacing w:after="0"/>
              <w:rPr>
                <w:sz w:val="20"/>
                <w:szCs w:val="20"/>
                <w:color w:val="auto"/>
              </w:rPr>
            </w:pPr>
            <w:r>
              <w:rPr>
                <w:rFonts w:ascii="Arial" w:cs="Arial" w:eastAsia="Arial" w:hAnsi="Arial"/>
                <w:sz w:val="17"/>
                <w:szCs w:val="17"/>
                <w:color w:val="auto"/>
              </w:rPr>
              <w:t>(0.75)</w:t>
            </w:r>
          </w:p>
        </w:tc>
        <w:tc>
          <w:tcPr>
            <w:tcW w:w="540" w:type="dxa"/>
            <w:vAlign w:val="bottom"/>
            <w:tcBorders>
              <w:bottom w:val="single" w:sz="8" w:color="34657F"/>
            </w:tcBorders>
          </w:tcPr>
          <w:p>
            <w:pPr>
              <w:spacing w:after="0"/>
              <w:rPr>
                <w:sz w:val="22"/>
                <w:szCs w:val="22"/>
                <w:color w:val="auto"/>
              </w:rPr>
            </w:pPr>
          </w:p>
        </w:tc>
        <w:tc>
          <w:tcPr>
            <w:tcW w:w="1500" w:type="dxa"/>
            <w:vAlign w:val="bottom"/>
            <w:tcBorders>
              <w:bottom w:val="single" w:sz="8" w:color="34657F"/>
            </w:tcBorders>
          </w:tcPr>
          <w:p>
            <w:pPr>
              <w:jc w:val="right"/>
              <w:ind w:right="256"/>
              <w:spacing w:after="0"/>
              <w:rPr>
                <w:sz w:val="20"/>
                <w:szCs w:val="20"/>
                <w:color w:val="auto"/>
              </w:rPr>
            </w:pPr>
            <w:r>
              <w:rPr>
                <w:rFonts w:ascii="Arial" w:cs="Arial" w:eastAsia="Arial" w:hAnsi="Arial"/>
                <w:sz w:val="17"/>
                <w:szCs w:val="17"/>
                <w:color w:val="auto"/>
              </w:rPr>
              <w:t>0.62</w:t>
            </w:r>
          </w:p>
        </w:tc>
        <w:tc>
          <w:tcPr>
            <w:tcW w:w="460" w:type="dxa"/>
            <w:vAlign w:val="bottom"/>
            <w:tcBorders>
              <w:bottom w:val="single" w:sz="8" w:color="34657F"/>
            </w:tcBorders>
          </w:tcPr>
          <w:p>
            <w:pPr>
              <w:spacing w:after="0"/>
              <w:rPr>
                <w:sz w:val="22"/>
                <w:szCs w:val="22"/>
                <w:color w:val="auto"/>
              </w:rPr>
            </w:pPr>
          </w:p>
        </w:tc>
        <w:tc>
          <w:tcPr>
            <w:tcW w:w="1240" w:type="dxa"/>
            <w:vAlign w:val="bottom"/>
            <w:tcBorders>
              <w:bottom w:val="single" w:sz="8" w:color="34657F"/>
            </w:tcBorders>
          </w:tcPr>
          <w:p>
            <w:pPr>
              <w:jc w:val="right"/>
              <w:ind w:right="35"/>
              <w:spacing w:after="0"/>
              <w:rPr>
                <w:sz w:val="20"/>
                <w:szCs w:val="20"/>
                <w:color w:val="auto"/>
              </w:rPr>
            </w:pPr>
            <w:r>
              <w:rPr>
                <w:rFonts w:ascii="Arial" w:cs="Arial" w:eastAsia="Arial" w:hAnsi="Arial"/>
                <w:sz w:val="17"/>
                <w:szCs w:val="17"/>
                <w:color w:val="auto"/>
              </w:rPr>
              <w:t>(1.76)</w:t>
            </w:r>
          </w:p>
        </w:tc>
      </w:tr>
      <w:tr>
        <w:trPr>
          <w:trHeight w:val="249"/>
        </w:trPr>
        <w:tc>
          <w:tcPr>
            <w:tcW w:w="5720" w:type="dxa"/>
            <w:vAlign w:val="bottom"/>
            <w:tcBorders>
              <w:bottom w:val="single" w:sz="8" w:color="34657F"/>
            </w:tcBorders>
          </w:tcPr>
          <w:p>
            <w:pPr>
              <w:ind w:left="20"/>
              <w:spacing w:after="0"/>
              <w:rPr>
                <w:sz w:val="20"/>
                <w:szCs w:val="20"/>
                <w:color w:val="auto"/>
              </w:rPr>
            </w:pPr>
            <w:r>
              <w:rPr>
                <w:rFonts w:ascii="Arial" w:cs="Arial" w:eastAsia="Arial" w:hAnsi="Arial"/>
                <w:sz w:val="17"/>
                <w:szCs w:val="17"/>
                <w:color w:val="auto"/>
              </w:rPr>
              <w:t>After-tax MTM adjustment per share</w:t>
            </w:r>
          </w:p>
        </w:tc>
        <w:tc>
          <w:tcPr>
            <w:tcW w:w="720" w:type="dxa"/>
            <w:vAlign w:val="bottom"/>
            <w:tcBorders>
              <w:bottom w:val="single" w:sz="8" w:color="34657F"/>
            </w:tcBorders>
          </w:tcPr>
          <w:p>
            <w:pPr>
              <w:spacing w:after="0"/>
              <w:rPr>
                <w:sz w:val="21"/>
                <w:szCs w:val="21"/>
                <w:color w:val="auto"/>
              </w:rPr>
            </w:pPr>
          </w:p>
        </w:tc>
        <w:tc>
          <w:tcPr>
            <w:tcW w:w="1240" w:type="dxa"/>
            <w:vAlign w:val="bottom"/>
            <w:tcBorders>
              <w:bottom w:val="single" w:sz="8" w:color="34657F"/>
            </w:tcBorders>
          </w:tcPr>
          <w:p>
            <w:pPr>
              <w:jc w:val="right"/>
              <w:ind w:right="95"/>
              <w:spacing w:after="0"/>
              <w:rPr>
                <w:sz w:val="20"/>
                <w:szCs w:val="20"/>
                <w:color w:val="auto"/>
              </w:rPr>
            </w:pPr>
            <w:r>
              <w:rPr>
                <w:rFonts w:ascii="Arial" w:cs="Arial" w:eastAsia="Arial" w:hAnsi="Arial"/>
                <w:sz w:val="17"/>
                <w:szCs w:val="17"/>
                <w:color w:val="auto"/>
              </w:rPr>
              <w:t>2.84</w:t>
            </w:r>
          </w:p>
        </w:tc>
        <w:tc>
          <w:tcPr>
            <w:tcW w:w="540" w:type="dxa"/>
            <w:vAlign w:val="bottom"/>
            <w:tcBorders>
              <w:bottom w:val="single" w:sz="8" w:color="34657F"/>
            </w:tcBorders>
          </w:tcPr>
          <w:p>
            <w:pPr>
              <w:spacing w:after="0"/>
              <w:rPr>
                <w:sz w:val="21"/>
                <w:szCs w:val="21"/>
                <w:color w:val="auto"/>
              </w:rPr>
            </w:pPr>
          </w:p>
        </w:tc>
        <w:tc>
          <w:tcPr>
            <w:tcW w:w="1500" w:type="dxa"/>
            <w:vAlign w:val="bottom"/>
            <w:tcBorders>
              <w:bottom w:val="single" w:sz="8" w:color="34657F"/>
            </w:tcBorders>
          </w:tcPr>
          <w:p>
            <w:pPr>
              <w:jc w:val="right"/>
              <w:ind w:right="196"/>
              <w:spacing w:after="0"/>
              <w:rPr>
                <w:sz w:val="20"/>
                <w:szCs w:val="20"/>
                <w:color w:val="auto"/>
              </w:rPr>
            </w:pPr>
            <w:r>
              <w:rPr>
                <w:rFonts w:ascii="Arial" w:cs="Arial" w:eastAsia="Arial" w:hAnsi="Arial"/>
                <w:sz w:val="17"/>
                <w:szCs w:val="17"/>
                <w:color w:val="auto"/>
              </w:rPr>
              <w:t>(2.30)</w:t>
            </w:r>
          </w:p>
        </w:tc>
        <w:tc>
          <w:tcPr>
            <w:tcW w:w="460" w:type="dxa"/>
            <w:vAlign w:val="bottom"/>
            <w:tcBorders>
              <w:bottom w:val="single" w:sz="8" w:color="34657F"/>
            </w:tcBorders>
          </w:tcPr>
          <w:p>
            <w:pPr>
              <w:spacing w:after="0"/>
              <w:rPr>
                <w:sz w:val="21"/>
                <w:szCs w:val="21"/>
                <w:color w:val="auto"/>
              </w:rPr>
            </w:pPr>
          </w:p>
        </w:tc>
        <w:tc>
          <w:tcPr>
            <w:tcW w:w="1240" w:type="dxa"/>
            <w:vAlign w:val="bottom"/>
            <w:tcBorders>
              <w:bottom w:val="single" w:sz="8" w:color="34657F"/>
            </w:tcBorders>
          </w:tcPr>
          <w:p>
            <w:pPr>
              <w:jc w:val="right"/>
              <w:ind w:right="95"/>
              <w:spacing w:after="0"/>
              <w:rPr>
                <w:sz w:val="20"/>
                <w:szCs w:val="20"/>
                <w:color w:val="auto"/>
              </w:rPr>
            </w:pPr>
            <w:r>
              <w:rPr>
                <w:rFonts w:ascii="Arial" w:cs="Arial" w:eastAsia="Arial" w:hAnsi="Arial"/>
                <w:sz w:val="17"/>
                <w:szCs w:val="17"/>
                <w:color w:val="auto"/>
              </w:rPr>
              <w:t>3.27</w:t>
            </w:r>
          </w:p>
        </w:tc>
      </w:tr>
      <w:tr>
        <w:trPr>
          <w:trHeight w:val="229"/>
        </w:trPr>
        <w:tc>
          <w:tcPr>
            <w:tcW w:w="5720" w:type="dxa"/>
            <w:vAlign w:val="bottom"/>
          </w:tcPr>
          <w:p>
            <w:pPr>
              <w:ind w:left="20"/>
              <w:spacing w:after="0"/>
              <w:rPr>
                <w:sz w:val="20"/>
                <w:szCs w:val="20"/>
                <w:color w:val="auto"/>
              </w:rPr>
            </w:pPr>
            <w:r>
              <w:rPr>
                <w:rFonts w:ascii="Arial" w:cs="Arial" w:eastAsia="Arial" w:hAnsi="Arial"/>
                <w:sz w:val="17"/>
                <w:szCs w:val="17"/>
                <w:b w:val="1"/>
                <w:bCs w:val="1"/>
                <w:color w:val="auto"/>
              </w:rPr>
              <w:t>MTM-adjusted diluted EPS</w:t>
            </w:r>
          </w:p>
        </w:tc>
        <w:tc>
          <w:tcPr>
            <w:tcW w:w="720" w:type="dxa"/>
            <w:vAlign w:val="bottom"/>
          </w:tcPr>
          <w:p>
            <w:pPr>
              <w:jc w:val="right"/>
              <w:ind w:right="75"/>
              <w:spacing w:after="0"/>
              <w:rPr>
                <w:sz w:val="20"/>
                <w:szCs w:val="20"/>
                <w:color w:val="auto"/>
              </w:rPr>
            </w:pPr>
            <w:r>
              <w:rPr>
                <w:rFonts w:ascii="Arial" w:cs="Arial" w:eastAsia="Arial" w:hAnsi="Arial"/>
                <w:sz w:val="17"/>
                <w:szCs w:val="17"/>
                <w:b w:val="1"/>
                <w:bCs w:val="1"/>
                <w:color w:val="auto"/>
              </w:rPr>
              <w:t>$</w:t>
            </w:r>
          </w:p>
        </w:tc>
        <w:tc>
          <w:tcPr>
            <w:tcW w:w="1240" w:type="dxa"/>
            <w:vAlign w:val="bottom"/>
          </w:tcPr>
          <w:p>
            <w:pPr>
              <w:jc w:val="right"/>
              <w:ind w:right="95"/>
              <w:spacing w:after="0"/>
              <w:rPr>
                <w:sz w:val="20"/>
                <w:szCs w:val="20"/>
                <w:color w:val="auto"/>
              </w:rPr>
            </w:pPr>
            <w:r>
              <w:rPr>
                <w:rFonts w:ascii="Arial" w:cs="Arial" w:eastAsia="Arial" w:hAnsi="Arial"/>
                <w:sz w:val="17"/>
                <w:szCs w:val="17"/>
                <w:b w:val="1"/>
                <w:bCs w:val="1"/>
                <w:color w:val="auto"/>
              </w:rPr>
              <w:t>21.33</w:t>
            </w:r>
          </w:p>
        </w:tc>
        <w:tc>
          <w:tcPr>
            <w:tcW w:w="54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500" w:type="dxa"/>
            <w:vAlign w:val="bottom"/>
          </w:tcPr>
          <w:p>
            <w:pPr>
              <w:jc w:val="right"/>
              <w:ind w:right="256"/>
              <w:spacing w:after="0"/>
              <w:rPr>
                <w:sz w:val="20"/>
                <w:szCs w:val="20"/>
                <w:color w:val="auto"/>
              </w:rPr>
            </w:pPr>
            <w:r>
              <w:rPr>
                <w:rFonts w:ascii="Arial" w:cs="Arial" w:eastAsia="Arial" w:hAnsi="Arial"/>
                <w:sz w:val="17"/>
                <w:szCs w:val="17"/>
                <w:b w:val="1"/>
                <w:bCs w:val="1"/>
                <w:color w:val="auto"/>
              </w:rPr>
              <w:t>14.04</w:t>
            </w:r>
          </w:p>
        </w:tc>
        <w:tc>
          <w:tcPr>
            <w:tcW w:w="460" w:type="dxa"/>
            <w:vAlign w:val="bottom"/>
          </w:tcPr>
          <w:p>
            <w:pPr>
              <w:jc w:val="right"/>
              <w:ind w:right="95"/>
              <w:spacing w:after="0"/>
              <w:rPr>
                <w:sz w:val="20"/>
                <w:szCs w:val="20"/>
                <w:color w:val="auto"/>
              </w:rPr>
            </w:pPr>
            <w:r>
              <w:rPr>
                <w:rFonts w:ascii="Arial" w:cs="Arial" w:eastAsia="Arial" w:hAnsi="Arial"/>
                <w:sz w:val="17"/>
                <w:szCs w:val="17"/>
                <w:b w:val="1"/>
                <w:bCs w:val="1"/>
                <w:color w:val="auto"/>
              </w:rPr>
              <w:t>$</w:t>
            </w:r>
          </w:p>
        </w:tc>
        <w:tc>
          <w:tcPr>
            <w:tcW w:w="1240" w:type="dxa"/>
            <w:vAlign w:val="bottom"/>
          </w:tcPr>
          <w:p>
            <w:pPr>
              <w:jc w:val="right"/>
              <w:ind w:right="95"/>
              <w:spacing w:after="0"/>
              <w:rPr>
                <w:sz w:val="20"/>
                <w:szCs w:val="20"/>
                <w:color w:val="auto"/>
              </w:rPr>
            </w:pPr>
            <w:r>
              <w:rPr>
                <w:rFonts w:ascii="Arial" w:cs="Arial" w:eastAsia="Arial" w:hAnsi="Arial"/>
                <w:sz w:val="17"/>
                <w:szCs w:val="17"/>
                <w:b w:val="1"/>
                <w:bCs w:val="1"/>
                <w:color w:val="auto"/>
              </w:rPr>
              <w:t>14.59</w:t>
            </w:r>
          </w:p>
        </w:tc>
      </w:tr>
      <w:tr>
        <w:trPr>
          <w:trHeight w:val="27"/>
        </w:trPr>
        <w:tc>
          <w:tcPr>
            <w:tcW w:w="5720" w:type="dxa"/>
            <w:vAlign w:val="bottom"/>
            <w:tcBorders>
              <w:bottom w:val="single" w:sz="8" w:color="34657F"/>
            </w:tcBorders>
          </w:tcPr>
          <w:p>
            <w:pPr>
              <w:spacing w:after="0"/>
              <w:rPr>
                <w:sz w:val="2"/>
                <w:szCs w:val="2"/>
                <w:color w:val="auto"/>
              </w:rPr>
            </w:pPr>
          </w:p>
        </w:tc>
        <w:tc>
          <w:tcPr>
            <w:tcW w:w="720" w:type="dxa"/>
            <w:vAlign w:val="bottom"/>
            <w:tcBorders>
              <w:bottom w:val="single" w:sz="8" w:color="34657F"/>
            </w:tcBorders>
          </w:tcPr>
          <w:p>
            <w:pPr>
              <w:spacing w:after="0"/>
              <w:rPr>
                <w:sz w:val="2"/>
                <w:szCs w:val="2"/>
                <w:color w:val="auto"/>
              </w:rPr>
            </w:pPr>
          </w:p>
        </w:tc>
        <w:tc>
          <w:tcPr>
            <w:tcW w:w="1240" w:type="dxa"/>
            <w:vAlign w:val="bottom"/>
            <w:tcBorders>
              <w:bottom w:val="single" w:sz="8" w:color="34657F"/>
            </w:tcBorders>
          </w:tcPr>
          <w:p>
            <w:pPr>
              <w:spacing w:after="0"/>
              <w:rPr>
                <w:sz w:val="2"/>
                <w:szCs w:val="2"/>
                <w:color w:val="auto"/>
              </w:rPr>
            </w:pPr>
          </w:p>
        </w:tc>
        <w:tc>
          <w:tcPr>
            <w:tcW w:w="540" w:type="dxa"/>
            <w:vAlign w:val="bottom"/>
            <w:tcBorders>
              <w:bottom w:val="single" w:sz="8" w:color="34657F"/>
            </w:tcBorders>
          </w:tcPr>
          <w:p>
            <w:pPr>
              <w:spacing w:after="0"/>
              <w:rPr>
                <w:sz w:val="2"/>
                <w:szCs w:val="2"/>
                <w:color w:val="auto"/>
              </w:rPr>
            </w:pPr>
          </w:p>
        </w:tc>
        <w:tc>
          <w:tcPr>
            <w:tcW w:w="1500" w:type="dxa"/>
            <w:vAlign w:val="bottom"/>
            <w:tcBorders>
              <w:bottom w:val="single" w:sz="8" w:color="34657F"/>
            </w:tcBorders>
          </w:tcPr>
          <w:p>
            <w:pPr>
              <w:spacing w:after="0"/>
              <w:rPr>
                <w:sz w:val="2"/>
                <w:szCs w:val="2"/>
                <w:color w:val="auto"/>
              </w:rPr>
            </w:pPr>
          </w:p>
        </w:tc>
        <w:tc>
          <w:tcPr>
            <w:tcW w:w="460" w:type="dxa"/>
            <w:vAlign w:val="bottom"/>
            <w:tcBorders>
              <w:bottom w:val="single" w:sz="8" w:color="34657F"/>
            </w:tcBorders>
          </w:tcPr>
          <w:p>
            <w:pPr>
              <w:spacing w:after="0"/>
              <w:rPr>
                <w:sz w:val="2"/>
                <w:szCs w:val="2"/>
                <w:color w:val="auto"/>
              </w:rPr>
            </w:pPr>
          </w:p>
        </w:tc>
        <w:tc>
          <w:tcPr>
            <w:tcW w:w="1240" w:type="dxa"/>
            <w:vAlign w:val="bottom"/>
            <w:tcBorders>
              <w:bottom w:val="single" w:sz="8" w:color="34657F"/>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3697605</wp:posOffset>
            </wp:positionH>
            <wp:positionV relativeFrom="paragraph">
              <wp:posOffset>-6381750</wp:posOffset>
            </wp:positionV>
            <wp:extent cx="355727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287"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A-3 </w:t>
      </w:r>
      <w:r>
        <w:rPr>
          <w:rFonts w:ascii="Arial" w:cs="Arial" w:eastAsia="Arial" w:hAnsi="Arial"/>
          <w:sz w:val="13"/>
          <w:szCs w:val="13"/>
          <w:color w:val="auto"/>
        </w:rPr>
        <w:t>I</w:t>
      </w:r>
      <w:r>
        <w:rPr>
          <w:rFonts w:ascii="Arial" w:cs="Arial" w:eastAsia="Arial" w:hAnsi="Arial"/>
          <w:sz w:val="17"/>
          <w:szCs w:val="17"/>
          <w:color w:val="auto"/>
        </w:rPr>
        <w:t xml:space="preserve"> </w:t>
      </w:r>
      <w:r>
        <w:rPr>
          <w:rFonts w:ascii="Arial" w:cs="Arial" w:eastAsia="Arial" w:hAnsi="Arial"/>
          <w:sz w:val="13"/>
          <w:szCs w:val="13"/>
          <w:color w:val="34657F"/>
        </w:rPr>
        <w:t>NOTICE OF 2019 ANNUAL MEETING OF SHAREHOLDERS AND PROXY STATEMENT</w:t>
      </w:r>
    </w:p>
    <w:p>
      <w:pPr>
        <w:sectPr>
          <w:pgSz w:w="11900" w:h="16838" w:orient="portrait"/>
          <w:cols w:equalWidth="0" w:num="1">
            <w:col w:w="11420"/>
          </w:cols>
          <w:pgMar w:left="240" w:top="646" w:right="239" w:bottom="1440" w:gutter="0" w:footer="0" w:header="0"/>
        </w:sectPr>
      </w:pPr>
    </w:p>
    <w:bookmarkStart w:id="91" w:name="page92"/>
    <w:bookmarkEnd w:id="91"/>
    <w:p>
      <w:pPr>
        <w:ind w:left="20"/>
        <w:spacing w:after="0"/>
        <w:rPr>
          <w:sz w:val="20"/>
          <w:szCs w:val="20"/>
          <w:color w:val="auto"/>
        </w:rPr>
      </w:pPr>
      <w:r>
        <w:rPr>
          <w:rFonts w:ascii="Arial" w:cs="Arial" w:eastAsia="Arial" w:hAnsi="Arial"/>
          <w:sz w:val="21"/>
          <w:szCs w:val="21"/>
          <w:b w:val="1"/>
          <w:bCs w:val="1"/>
          <w:color w:val="FFFFFF"/>
        </w:rPr>
        <w:drawing>
          <wp:anchor simplePos="0" relativeHeight="251657728" behindDoc="1" locked="0" layoutInCell="0" allowOverlap="1">
            <wp:simplePos x="0" y="0"/>
            <wp:positionH relativeFrom="page">
              <wp:posOffset>154305</wp:posOffset>
            </wp:positionH>
            <wp:positionV relativeFrom="page">
              <wp:posOffset>349250</wp:posOffset>
            </wp:positionV>
            <wp:extent cx="7253605" cy="3092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53605" cy="309245"/>
                    </a:xfrm>
                    <a:prstGeom prst="rect">
                      <a:avLst/>
                    </a:prstGeom>
                    <a:noFill/>
                  </pic:spPr>
                </pic:pic>
              </a:graphicData>
            </a:graphic>
          </wp:anchor>
        </w:drawing>
        <w:t>APPENDIX A - USE OF NON-GAAP FINANCIAL MEASURES</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9460" w:type="dxa"/>
            <w:vAlign w:val="bottom"/>
            <w:shd w:val="clear" w:color="auto" w:fill="34657F"/>
          </w:tcPr>
          <w:p>
            <w:pPr>
              <w:spacing w:after="0"/>
              <w:rPr>
                <w:sz w:val="21"/>
                <w:szCs w:val="21"/>
                <w:color w:val="auto"/>
              </w:rPr>
            </w:pPr>
          </w:p>
        </w:tc>
        <w:tc>
          <w:tcPr>
            <w:tcW w:w="620" w:type="dxa"/>
            <w:vAlign w:val="bottom"/>
            <w:shd w:val="clear" w:color="auto" w:fill="34657F"/>
          </w:tcPr>
          <w:p>
            <w:pPr>
              <w:spacing w:after="0"/>
              <w:rPr>
                <w:sz w:val="21"/>
                <w:szCs w:val="21"/>
                <w:color w:val="auto"/>
              </w:rPr>
            </w:pPr>
          </w:p>
        </w:tc>
        <w:tc>
          <w:tcPr>
            <w:tcW w:w="1340" w:type="dxa"/>
            <w:vAlign w:val="bottom"/>
            <w:shd w:val="clear" w:color="auto" w:fill="34657F"/>
          </w:tcPr>
          <w:p>
            <w:pPr>
              <w:jc w:val="right"/>
              <w:ind w:right="516"/>
              <w:spacing w:after="0"/>
              <w:rPr>
                <w:sz w:val="20"/>
                <w:szCs w:val="20"/>
                <w:color w:val="auto"/>
              </w:rPr>
            </w:pPr>
            <w:r>
              <w:rPr>
                <w:rFonts w:ascii="Arial" w:cs="Arial" w:eastAsia="Arial" w:hAnsi="Arial"/>
                <w:sz w:val="14"/>
                <w:szCs w:val="14"/>
                <w:b w:val="1"/>
                <w:bCs w:val="1"/>
                <w:color w:val="FFFFFF"/>
              </w:rPr>
              <w:t>Total Year</w:t>
            </w:r>
          </w:p>
        </w:tc>
      </w:tr>
      <w:tr>
        <w:trPr>
          <w:trHeight w:val="268"/>
        </w:trPr>
        <w:tc>
          <w:tcPr>
            <w:tcW w:w="9460" w:type="dxa"/>
            <w:vAlign w:val="bottom"/>
            <w:shd w:val="clear" w:color="auto" w:fill="34657F"/>
          </w:tcPr>
          <w:p>
            <w:pPr>
              <w:ind w:left="20"/>
              <w:spacing w:after="0"/>
              <w:rPr>
                <w:sz w:val="20"/>
                <w:szCs w:val="20"/>
                <w:color w:val="auto"/>
              </w:rPr>
            </w:pPr>
            <w:r>
              <w:rPr>
                <w:rFonts w:ascii="Arial" w:cs="Arial" w:eastAsia="Arial" w:hAnsi="Arial"/>
                <w:sz w:val="14"/>
                <w:szCs w:val="14"/>
                <w:b w:val="1"/>
                <w:bCs w:val="1"/>
                <w:color w:val="FFFFFF"/>
              </w:rPr>
              <w:t>($M)</w:t>
            </w:r>
          </w:p>
        </w:tc>
        <w:tc>
          <w:tcPr>
            <w:tcW w:w="620" w:type="dxa"/>
            <w:vAlign w:val="bottom"/>
            <w:shd w:val="clear" w:color="auto" w:fill="34657F"/>
          </w:tcPr>
          <w:p>
            <w:pPr>
              <w:spacing w:after="0"/>
              <w:rPr>
                <w:sz w:val="23"/>
                <w:szCs w:val="23"/>
                <w:color w:val="auto"/>
              </w:rPr>
            </w:pPr>
          </w:p>
        </w:tc>
        <w:tc>
          <w:tcPr>
            <w:tcW w:w="1340" w:type="dxa"/>
            <w:vAlign w:val="bottom"/>
            <w:shd w:val="clear" w:color="auto" w:fill="34657F"/>
          </w:tcPr>
          <w:p>
            <w:pPr>
              <w:jc w:val="right"/>
              <w:ind w:right="696"/>
              <w:spacing w:after="0"/>
              <w:rPr>
                <w:sz w:val="20"/>
                <w:szCs w:val="20"/>
                <w:color w:val="auto"/>
              </w:rPr>
            </w:pPr>
            <w:r>
              <w:rPr>
                <w:rFonts w:ascii="Arial" w:cs="Arial" w:eastAsia="Arial" w:hAnsi="Arial"/>
                <w:sz w:val="14"/>
                <w:szCs w:val="14"/>
                <w:b w:val="1"/>
                <w:bCs w:val="1"/>
                <w:color w:val="FFFFFF"/>
              </w:rPr>
              <w:t>2018</w:t>
            </w:r>
          </w:p>
        </w:tc>
      </w:tr>
      <w:tr>
        <w:trPr>
          <w:trHeight w:val="229"/>
        </w:trPr>
        <w:tc>
          <w:tcPr>
            <w:tcW w:w="9460" w:type="dxa"/>
            <w:vAlign w:val="bottom"/>
          </w:tcPr>
          <w:p>
            <w:pPr>
              <w:ind w:left="20"/>
              <w:spacing w:after="0"/>
              <w:rPr>
                <w:sz w:val="20"/>
                <w:szCs w:val="20"/>
                <w:color w:val="auto"/>
              </w:rPr>
            </w:pPr>
            <w:r>
              <w:rPr>
                <w:rFonts w:ascii="Arial" w:cs="Arial" w:eastAsia="Arial" w:hAnsi="Arial"/>
                <w:sz w:val="17"/>
                <w:szCs w:val="17"/>
                <w:b w:val="1"/>
                <w:bCs w:val="1"/>
                <w:color w:val="auto"/>
              </w:rPr>
              <w:t>Cash provided by operating activities before after-tax discretionary pension contributions</w:t>
            </w:r>
          </w:p>
        </w:tc>
        <w:tc>
          <w:tcPr>
            <w:tcW w:w="62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340" w:type="dxa"/>
            <w:vAlign w:val="bottom"/>
          </w:tcPr>
          <w:p>
            <w:pPr>
              <w:jc w:val="right"/>
              <w:ind w:right="96"/>
              <w:spacing w:after="0"/>
              <w:rPr>
                <w:sz w:val="20"/>
                <w:szCs w:val="20"/>
                <w:color w:val="auto"/>
              </w:rPr>
            </w:pPr>
            <w:r>
              <w:rPr>
                <w:rFonts w:ascii="Arial" w:cs="Arial" w:eastAsia="Arial" w:hAnsi="Arial"/>
                <w:sz w:val="17"/>
                <w:szCs w:val="17"/>
                <w:b w:val="1"/>
                <w:bCs w:val="1"/>
                <w:color w:val="auto"/>
              </w:rPr>
              <w:t>4,013</w:t>
            </w:r>
          </w:p>
        </w:tc>
      </w:tr>
      <w:tr>
        <w:trPr>
          <w:trHeight w:val="256"/>
        </w:trPr>
        <w:tc>
          <w:tcPr>
            <w:tcW w:w="9460" w:type="dxa"/>
            <w:vAlign w:val="bottom"/>
          </w:tcPr>
          <w:p>
            <w:pPr>
              <w:ind w:left="20"/>
              <w:spacing w:after="0"/>
              <w:rPr>
                <w:sz w:val="20"/>
                <w:szCs w:val="20"/>
                <w:color w:val="auto"/>
              </w:rPr>
            </w:pPr>
            <w:r>
              <w:rPr>
                <w:rFonts w:ascii="Arial" w:cs="Arial" w:eastAsia="Arial" w:hAnsi="Arial"/>
                <w:sz w:val="17"/>
                <w:szCs w:val="17"/>
                <w:color w:val="auto"/>
              </w:rPr>
              <w:t>Impacts related to the addition of Innovation Systems</w:t>
            </w:r>
          </w:p>
        </w:tc>
        <w:tc>
          <w:tcPr>
            <w:tcW w:w="620" w:type="dxa"/>
            <w:vAlign w:val="bottom"/>
          </w:tcPr>
          <w:p>
            <w:pPr>
              <w:spacing w:after="0"/>
              <w:rPr>
                <w:sz w:val="22"/>
                <w:szCs w:val="22"/>
                <w:color w:val="auto"/>
              </w:rPr>
            </w:pPr>
          </w:p>
        </w:tc>
        <w:tc>
          <w:tcPr>
            <w:tcW w:w="1340" w:type="dxa"/>
            <w:vAlign w:val="bottom"/>
          </w:tcPr>
          <w:p>
            <w:pPr>
              <w:jc w:val="right"/>
              <w:ind w:right="36"/>
              <w:spacing w:after="0"/>
              <w:rPr>
                <w:sz w:val="20"/>
                <w:szCs w:val="20"/>
                <w:color w:val="auto"/>
              </w:rPr>
            </w:pPr>
            <w:r>
              <w:rPr>
                <w:rFonts w:ascii="Arial" w:cs="Arial" w:eastAsia="Arial" w:hAnsi="Arial"/>
                <w:sz w:val="17"/>
                <w:szCs w:val="17"/>
                <w:color w:val="auto"/>
              </w:rPr>
              <w:t>(862)</w:t>
            </w:r>
          </w:p>
        </w:tc>
      </w:tr>
      <w:tr>
        <w:trPr>
          <w:trHeight w:val="256"/>
        </w:trPr>
        <w:tc>
          <w:tcPr>
            <w:tcW w:w="9460" w:type="dxa"/>
            <w:vAlign w:val="bottom"/>
          </w:tcPr>
          <w:p>
            <w:pPr>
              <w:ind w:left="20"/>
              <w:spacing w:after="0"/>
              <w:rPr>
                <w:sz w:val="20"/>
                <w:szCs w:val="20"/>
                <w:color w:val="auto"/>
              </w:rPr>
            </w:pPr>
            <w:r>
              <w:rPr>
                <w:rFonts w:ascii="Arial" w:cs="Arial" w:eastAsia="Arial" w:hAnsi="Arial"/>
                <w:sz w:val="17"/>
                <w:szCs w:val="17"/>
                <w:color w:val="auto"/>
              </w:rPr>
              <w:t>After-tax Orbital ATK transaction-related expenses</w:t>
            </w:r>
          </w:p>
        </w:tc>
        <w:tc>
          <w:tcPr>
            <w:tcW w:w="620" w:type="dxa"/>
            <w:vAlign w:val="bottom"/>
          </w:tcPr>
          <w:p>
            <w:pPr>
              <w:spacing w:after="0"/>
              <w:rPr>
                <w:sz w:val="22"/>
                <w:szCs w:val="22"/>
                <w:color w:val="auto"/>
              </w:rPr>
            </w:pPr>
          </w:p>
        </w:tc>
        <w:tc>
          <w:tcPr>
            <w:tcW w:w="1340" w:type="dxa"/>
            <w:vAlign w:val="bottom"/>
          </w:tcPr>
          <w:p>
            <w:pPr>
              <w:jc w:val="right"/>
              <w:ind w:right="96"/>
              <w:spacing w:after="0"/>
              <w:rPr>
                <w:sz w:val="20"/>
                <w:szCs w:val="20"/>
                <w:color w:val="auto"/>
              </w:rPr>
            </w:pPr>
            <w:r>
              <w:rPr>
                <w:rFonts w:ascii="Arial" w:cs="Arial" w:eastAsia="Arial" w:hAnsi="Arial"/>
                <w:sz w:val="17"/>
                <w:szCs w:val="17"/>
                <w:color w:val="auto"/>
              </w:rPr>
              <w:t>36</w:t>
            </w:r>
          </w:p>
        </w:tc>
      </w:tr>
      <w:tr>
        <w:trPr>
          <w:trHeight w:val="27"/>
        </w:trPr>
        <w:tc>
          <w:tcPr>
            <w:tcW w:w="9460" w:type="dxa"/>
            <w:vAlign w:val="bottom"/>
            <w:tcBorders>
              <w:bottom w:val="single" w:sz="8" w:color="34657F"/>
            </w:tcBorders>
          </w:tcPr>
          <w:p>
            <w:pPr>
              <w:spacing w:after="0"/>
              <w:rPr>
                <w:sz w:val="2"/>
                <w:szCs w:val="2"/>
                <w:color w:val="auto"/>
              </w:rPr>
            </w:pPr>
          </w:p>
        </w:tc>
        <w:tc>
          <w:tcPr>
            <w:tcW w:w="620" w:type="dxa"/>
            <w:vAlign w:val="bottom"/>
            <w:tcBorders>
              <w:bottom w:val="single" w:sz="8" w:color="34657F"/>
            </w:tcBorders>
          </w:tcPr>
          <w:p>
            <w:pPr>
              <w:spacing w:after="0"/>
              <w:rPr>
                <w:sz w:val="2"/>
                <w:szCs w:val="2"/>
                <w:color w:val="auto"/>
              </w:rPr>
            </w:pPr>
          </w:p>
        </w:tc>
        <w:tc>
          <w:tcPr>
            <w:tcW w:w="1340" w:type="dxa"/>
            <w:vAlign w:val="bottom"/>
            <w:tcBorders>
              <w:bottom w:val="single" w:sz="8" w:color="34657F"/>
            </w:tcBorders>
          </w:tcPr>
          <w:p>
            <w:pPr>
              <w:spacing w:after="0"/>
              <w:rPr>
                <w:sz w:val="2"/>
                <w:szCs w:val="2"/>
                <w:color w:val="auto"/>
              </w:rPr>
            </w:pPr>
          </w:p>
        </w:tc>
      </w:tr>
      <w:tr>
        <w:trPr>
          <w:trHeight w:val="222"/>
        </w:trPr>
        <w:tc>
          <w:tcPr>
            <w:tcW w:w="9460" w:type="dxa"/>
            <w:vAlign w:val="bottom"/>
          </w:tcPr>
          <w:p>
            <w:pPr>
              <w:ind w:left="20"/>
              <w:spacing w:after="0"/>
              <w:rPr>
                <w:sz w:val="20"/>
                <w:szCs w:val="20"/>
                <w:color w:val="auto"/>
              </w:rPr>
            </w:pPr>
            <w:r>
              <w:rPr>
                <w:rFonts w:ascii="Arial" w:cs="Arial" w:eastAsia="Arial" w:hAnsi="Arial"/>
                <w:sz w:val="17"/>
                <w:szCs w:val="17"/>
                <w:color w:val="auto"/>
              </w:rPr>
              <w:t>Pension-adjusted cash flow from operations</w:t>
            </w:r>
          </w:p>
        </w:tc>
        <w:tc>
          <w:tcPr>
            <w:tcW w:w="62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340" w:type="dxa"/>
            <w:vAlign w:val="bottom"/>
          </w:tcPr>
          <w:p>
            <w:pPr>
              <w:jc w:val="right"/>
              <w:ind w:right="96"/>
              <w:spacing w:after="0"/>
              <w:rPr>
                <w:sz w:val="20"/>
                <w:szCs w:val="20"/>
                <w:color w:val="auto"/>
              </w:rPr>
            </w:pPr>
            <w:r>
              <w:rPr>
                <w:rFonts w:ascii="Arial" w:cs="Arial" w:eastAsia="Arial" w:hAnsi="Arial"/>
                <w:sz w:val="17"/>
                <w:szCs w:val="17"/>
                <w:b w:val="1"/>
                <w:bCs w:val="1"/>
                <w:color w:val="auto"/>
              </w:rPr>
              <w:t>3,187</w:t>
            </w:r>
          </w:p>
        </w:tc>
      </w:tr>
      <w:tr>
        <w:trPr>
          <w:trHeight w:val="27"/>
        </w:trPr>
        <w:tc>
          <w:tcPr>
            <w:tcW w:w="9460" w:type="dxa"/>
            <w:vAlign w:val="bottom"/>
            <w:tcBorders>
              <w:bottom w:val="single" w:sz="8" w:color="34657F"/>
            </w:tcBorders>
          </w:tcPr>
          <w:p>
            <w:pPr>
              <w:spacing w:after="0"/>
              <w:rPr>
                <w:sz w:val="2"/>
                <w:szCs w:val="2"/>
                <w:color w:val="auto"/>
              </w:rPr>
            </w:pPr>
          </w:p>
        </w:tc>
        <w:tc>
          <w:tcPr>
            <w:tcW w:w="620" w:type="dxa"/>
            <w:vAlign w:val="bottom"/>
            <w:tcBorders>
              <w:bottom w:val="single" w:sz="8" w:color="34657F"/>
            </w:tcBorders>
          </w:tcPr>
          <w:p>
            <w:pPr>
              <w:spacing w:after="0"/>
              <w:rPr>
                <w:sz w:val="2"/>
                <w:szCs w:val="2"/>
                <w:color w:val="auto"/>
              </w:rPr>
            </w:pPr>
          </w:p>
        </w:tc>
        <w:tc>
          <w:tcPr>
            <w:tcW w:w="1340" w:type="dxa"/>
            <w:vAlign w:val="bottom"/>
            <w:tcBorders>
              <w:bottom w:val="single" w:sz="8" w:color="34657F"/>
            </w:tcBorders>
          </w:tcPr>
          <w:p>
            <w:pPr>
              <w:spacing w:after="0"/>
              <w:rPr>
                <w:sz w:val="2"/>
                <w:szCs w:val="2"/>
                <w:color w:val="auto"/>
              </w:rPr>
            </w:pPr>
          </w:p>
        </w:tc>
      </w:tr>
      <w:tr>
        <w:trPr>
          <w:trHeight w:val="479"/>
        </w:trPr>
        <w:tc>
          <w:tcPr>
            <w:tcW w:w="9460" w:type="dxa"/>
            <w:vAlign w:val="bottom"/>
          </w:tcPr>
          <w:p>
            <w:pPr>
              <w:ind w:left="20"/>
              <w:spacing w:after="0"/>
              <w:rPr>
                <w:sz w:val="20"/>
                <w:szCs w:val="20"/>
                <w:color w:val="auto"/>
              </w:rPr>
            </w:pPr>
            <w:r>
              <w:rPr>
                <w:rFonts w:ascii="Arial" w:cs="Arial" w:eastAsia="Arial" w:hAnsi="Arial"/>
                <w:sz w:val="17"/>
                <w:szCs w:val="17"/>
                <w:b w:val="1"/>
                <w:bCs w:val="1"/>
                <w:color w:val="auto"/>
              </w:rPr>
              <w:t>Total sales</w:t>
            </w:r>
          </w:p>
        </w:tc>
        <w:tc>
          <w:tcPr>
            <w:tcW w:w="62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340" w:type="dxa"/>
            <w:vAlign w:val="bottom"/>
          </w:tcPr>
          <w:p>
            <w:pPr>
              <w:jc w:val="right"/>
              <w:ind w:right="96"/>
              <w:spacing w:after="0"/>
              <w:rPr>
                <w:sz w:val="20"/>
                <w:szCs w:val="20"/>
                <w:color w:val="auto"/>
              </w:rPr>
            </w:pPr>
            <w:r>
              <w:rPr>
                <w:rFonts w:ascii="Arial" w:cs="Arial" w:eastAsia="Arial" w:hAnsi="Arial"/>
                <w:sz w:val="17"/>
                <w:szCs w:val="17"/>
                <w:b w:val="1"/>
                <w:bCs w:val="1"/>
                <w:color w:val="auto"/>
              </w:rPr>
              <w:t>30,095</w:t>
            </w:r>
          </w:p>
        </w:tc>
      </w:tr>
      <w:tr>
        <w:trPr>
          <w:trHeight w:val="256"/>
        </w:trPr>
        <w:tc>
          <w:tcPr>
            <w:tcW w:w="9460" w:type="dxa"/>
            <w:vAlign w:val="bottom"/>
          </w:tcPr>
          <w:p>
            <w:pPr>
              <w:ind w:left="20"/>
              <w:spacing w:after="0"/>
              <w:rPr>
                <w:sz w:val="20"/>
                <w:szCs w:val="20"/>
                <w:color w:val="auto"/>
              </w:rPr>
            </w:pPr>
            <w:r>
              <w:rPr>
                <w:rFonts w:ascii="Arial" w:cs="Arial" w:eastAsia="Arial" w:hAnsi="Arial"/>
                <w:sz w:val="17"/>
                <w:szCs w:val="17"/>
                <w:color w:val="auto"/>
              </w:rPr>
              <w:t>Less: Innovation Systems sales</w:t>
            </w:r>
          </w:p>
        </w:tc>
        <w:tc>
          <w:tcPr>
            <w:tcW w:w="620" w:type="dxa"/>
            <w:vAlign w:val="bottom"/>
          </w:tcPr>
          <w:p>
            <w:pPr>
              <w:spacing w:after="0"/>
              <w:rPr>
                <w:sz w:val="22"/>
                <w:szCs w:val="22"/>
                <w:color w:val="auto"/>
              </w:rPr>
            </w:pPr>
          </w:p>
        </w:tc>
        <w:tc>
          <w:tcPr>
            <w:tcW w:w="1340" w:type="dxa"/>
            <w:vAlign w:val="bottom"/>
          </w:tcPr>
          <w:p>
            <w:pPr>
              <w:jc w:val="right"/>
              <w:ind w:right="36"/>
              <w:spacing w:after="0"/>
              <w:rPr>
                <w:sz w:val="20"/>
                <w:szCs w:val="20"/>
                <w:color w:val="auto"/>
              </w:rPr>
            </w:pPr>
            <w:r>
              <w:rPr>
                <w:rFonts w:ascii="Arial" w:cs="Arial" w:eastAsia="Arial" w:hAnsi="Arial"/>
                <w:sz w:val="17"/>
                <w:szCs w:val="17"/>
                <w:color w:val="auto"/>
              </w:rPr>
              <w:t>(3,149)</w:t>
            </w:r>
          </w:p>
        </w:tc>
      </w:tr>
      <w:tr>
        <w:trPr>
          <w:trHeight w:val="27"/>
        </w:trPr>
        <w:tc>
          <w:tcPr>
            <w:tcW w:w="9460" w:type="dxa"/>
            <w:vAlign w:val="bottom"/>
            <w:tcBorders>
              <w:bottom w:val="single" w:sz="8" w:color="34657F"/>
            </w:tcBorders>
          </w:tcPr>
          <w:p>
            <w:pPr>
              <w:spacing w:after="0"/>
              <w:rPr>
                <w:sz w:val="2"/>
                <w:szCs w:val="2"/>
                <w:color w:val="auto"/>
              </w:rPr>
            </w:pPr>
          </w:p>
        </w:tc>
        <w:tc>
          <w:tcPr>
            <w:tcW w:w="620" w:type="dxa"/>
            <w:vAlign w:val="bottom"/>
            <w:tcBorders>
              <w:bottom w:val="single" w:sz="8" w:color="34657F"/>
            </w:tcBorders>
          </w:tcPr>
          <w:p>
            <w:pPr>
              <w:spacing w:after="0"/>
              <w:rPr>
                <w:sz w:val="2"/>
                <w:szCs w:val="2"/>
                <w:color w:val="auto"/>
              </w:rPr>
            </w:pPr>
          </w:p>
        </w:tc>
        <w:tc>
          <w:tcPr>
            <w:tcW w:w="1340" w:type="dxa"/>
            <w:vAlign w:val="bottom"/>
            <w:tcBorders>
              <w:bottom w:val="single" w:sz="8" w:color="34657F"/>
            </w:tcBorders>
          </w:tcPr>
          <w:p>
            <w:pPr>
              <w:spacing w:after="0"/>
              <w:rPr>
                <w:sz w:val="2"/>
                <w:szCs w:val="2"/>
                <w:color w:val="auto"/>
              </w:rPr>
            </w:pPr>
          </w:p>
        </w:tc>
      </w:tr>
      <w:tr>
        <w:trPr>
          <w:trHeight w:val="222"/>
        </w:trPr>
        <w:tc>
          <w:tcPr>
            <w:tcW w:w="9460" w:type="dxa"/>
            <w:vAlign w:val="bottom"/>
          </w:tcPr>
          <w:p>
            <w:pPr>
              <w:ind w:left="20"/>
              <w:spacing w:after="0"/>
              <w:rPr>
                <w:sz w:val="20"/>
                <w:szCs w:val="20"/>
                <w:color w:val="auto"/>
              </w:rPr>
            </w:pPr>
            <w:r>
              <w:rPr>
                <w:rFonts w:ascii="Arial" w:cs="Arial" w:eastAsia="Arial" w:hAnsi="Arial"/>
                <w:sz w:val="17"/>
                <w:szCs w:val="17"/>
                <w:b w:val="1"/>
                <w:bCs w:val="1"/>
                <w:color w:val="auto"/>
              </w:rPr>
              <w:t>Sales excluding Innovation Systems</w:t>
            </w:r>
          </w:p>
        </w:tc>
        <w:tc>
          <w:tcPr>
            <w:tcW w:w="62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340" w:type="dxa"/>
            <w:vAlign w:val="bottom"/>
          </w:tcPr>
          <w:p>
            <w:pPr>
              <w:jc w:val="right"/>
              <w:ind w:right="96"/>
              <w:spacing w:after="0"/>
              <w:rPr>
                <w:sz w:val="20"/>
                <w:szCs w:val="20"/>
                <w:color w:val="auto"/>
              </w:rPr>
            </w:pPr>
            <w:r>
              <w:rPr>
                <w:rFonts w:ascii="Arial" w:cs="Arial" w:eastAsia="Arial" w:hAnsi="Arial"/>
                <w:sz w:val="17"/>
                <w:szCs w:val="17"/>
                <w:b w:val="1"/>
                <w:bCs w:val="1"/>
                <w:color w:val="auto"/>
              </w:rPr>
              <w:t>26,946</w:t>
            </w:r>
          </w:p>
        </w:tc>
      </w:tr>
      <w:tr>
        <w:trPr>
          <w:trHeight w:val="564"/>
        </w:trPr>
        <w:tc>
          <w:tcPr>
            <w:tcW w:w="9460" w:type="dxa"/>
            <w:vAlign w:val="bottom"/>
          </w:tcPr>
          <w:p>
            <w:pPr>
              <w:ind w:left="20"/>
              <w:spacing w:after="0"/>
              <w:rPr>
                <w:sz w:val="20"/>
                <w:szCs w:val="20"/>
                <w:color w:val="auto"/>
              </w:rPr>
            </w:pPr>
            <w:r>
              <w:rPr>
                <w:rFonts w:ascii="Arial" w:cs="Arial" w:eastAsia="Arial" w:hAnsi="Arial"/>
                <w:sz w:val="17"/>
                <w:szCs w:val="17"/>
                <w:b w:val="1"/>
                <w:bCs w:val="1"/>
                <w:color w:val="auto"/>
              </w:rPr>
              <w:t>Operating income</w:t>
            </w:r>
          </w:p>
        </w:tc>
        <w:tc>
          <w:tcPr>
            <w:tcW w:w="62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340" w:type="dxa"/>
            <w:vAlign w:val="bottom"/>
          </w:tcPr>
          <w:p>
            <w:pPr>
              <w:jc w:val="right"/>
              <w:ind w:right="96"/>
              <w:spacing w:after="0"/>
              <w:rPr>
                <w:sz w:val="20"/>
                <w:szCs w:val="20"/>
                <w:color w:val="auto"/>
              </w:rPr>
            </w:pPr>
            <w:r>
              <w:rPr>
                <w:rFonts w:ascii="Arial" w:cs="Arial" w:eastAsia="Arial" w:hAnsi="Arial"/>
                <w:sz w:val="17"/>
                <w:szCs w:val="17"/>
                <w:b w:val="1"/>
                <w:bCs w:val="1"/>
                <w:color w:val="auto"/>
              </w:rPr>
              <w:t>3,780</w:t>
            </w:r>
          </w:p>
        </w:tc>
      </w:tr>
      <w:tr>
        <w:trPr>
          <w:trHeight w:val="256"/>
        </w:trPr>
        <w:tc>
          <w:tcPr>
            <w:tcW w:w="9460" w:type="dxa"/>
            <w:vAlign w:val="bottom"/>
          </w:tcPr>
          <w:p>
            <w:pPr>
              <w:ind w:left="360"/>
              <w:spacing w:after="0"/>
              <w:rPr>
                <w:sz w:val="20"/>
                <w:szCs w:val="20"/>
                <w:color w:val="auto"/>
              </w:rPr>
            </w:pPr>
            <w:r>
              <w:rPr>
                <w:rFonts w:ascii="Arial" w:cs="Arial" w:eastAsia="Arial" w:hAnsi="Arial"/>
                <w:sz w:val="17"/>
                <w:szCs w:val="17"/>
                <w:color w:val="auto"/>
              </w:rPr>
              <w:t>Net FAS (service)/CAS pension adjustment</w:t>
            </w:r>
          </w:p>
        </w:tc>
        <w:tc>
          <w:tcPr>
            <w:tcW w:w="620" w:type="dxa"/>
            <w:vAlign w:val="bottom"/>
          </w:tcPr>
          <w:p>
            <w:pPr>
              <w:spacing w:after="0"/>
              <w:rPr>
                <w:sz w:val="22"/>
                <w:szCs w:val="22"/>
                <w:color w:val="auto"/>
              </w:rPr>
            </w:pPr>
          </w:p>
        </w:tc>
        <w:tc>
          <w:tcPr>
            <w:tcW w:w="1340" w:type="dxa"/>
            <w:vAlign w:val="bottom"/>
          </w:tcPr>
          <w:p>
            <w:pPr>
              <w:jc w:val="right"/>
              <w:ind w:right="36"/>
              <w:spacing w:after="0"/>
              <w:rPr>
                <w:sz w:val="20"/>
                <w:szCs w:val="20"/>
                <w:color w:val="auto"/>
              </w:rPr>
            </w:pPr>
            <w:r>
              <w:rPr>
                <w:rFonts w:ascii="Arial" w:cs="Arial" w:eastAsia="Arial" w:hAnsi="Arial"/>
                <w:sz w:val="17"/>
                <w:szCs w:val="17"/>
                <w:color w:val="auto"/>
              </w:rPr>
              <w:t>(613)</w:t>
            </w:r>
          </w:p>
        </w:tc>
      </w:tr>
      <w:tr>
        <w:trPr>
          <w:trHeight w:val="256"/>
        </w:trPr>
        <w:tc>
          <w:tcPr>
            <w:tcW w:w="9460" w:type="dxa"/>
            <w:vAlign w:val="bottom"/>
          </w:tcPr>
          <w:p>
            <w:pPr>
              <w:ind w:left="360"/>
              <w:spacing w:after="0"/>
              <w:rPr>
                <w:sz w:val="20"/>
                <w:szCs w:val="20"/>
                <w:color w:val="auto"/>
              </w:rPr>
            </w:pPr>
            <w:r>
              <w:rPr>
                <w:rFonts w:ascii="Arial" w:cs="Arial" w:eastAsia="Arial" w:hAnsi="Arial"/>
                <w:sz w:val="17"/>
                <w:szCs w:val="17"/>
                <w:color w:val="auto"/>
              </w:rPr>
              <w:t>Innovation Systems operating income</w:t>
            </w:r>
          </w:p>
        </w:tc>
        <w:tc>
          <w:tcPr>
            <w:tcW w:w="620" w:type="dxa"/>
            <w:vAlign w:val="bottom"/>
          </w:tcPr>
          <w:p>
            <w:pPr>
              <w:spacing w:after="0"/>
              <w:rPr>
                <w:sz w:val="22"/>
                <w:szCs w:val="22"/>
                <w:color w:val="auto"/>
              </w:rPr>
            </w:pPr>
          </w:p>
        </w:tc>
        <w:tc>
          <w:tcPr>
            <w:tcW w:w="1340" w:type="dxa"/>
            <w:vAlign w:val="bottom"/>
          </w:tcPr>
          <w:p>
            <w:pPr>
              <w:jc w:val="right"/>
              <w:ind w:right="36"/>
              <w:spacing w:after="0"/>
              <w:rPr>
                <w:sz w:val="20"/>
                <w:szCs w:val="20"/>
                <w:color w:val="auto"/>
              </w:rPr>
            </w:pPr>
            <w:r>
              <w:rPr>
                <w:rFonts w:ascii="Arial" w:cs="Arial" w:eastAsia="Arial" w:hAnsi="Arial"/>
                <w:sz w:val="17"/>
                <w:szCs w:val="17"/>
                <w:color w:val="auto"/>
              </w:rPr>
              <w:t>(342)</w:t>
            </w:r>
          </w:p>
        </w:tc>
      </w:tr>
      <w:tr>
        <w:trPr>
          <w:trHeight w:val="256"/>
        </w:trPr>
        <w:tc>
          <w:tcPr>
            <w:tcW w:w="9460" w:type="dxa"/>
            <w:vAlign w:val="bottom"/>
          </w:tcPr>
          <w:p>
            <w:pPr>
              <w:ind w:left="360"/>
              <w:spacing w:after="0"/>
              <w:rPr>
                <w:sz w:val="20"/>
                <w:szCs w:val="20"/>
                <w:color w:val="auto"/>
              </w:rPr>
            </w:pPr>
            <w:r>
              <w:rPr>
                <w:rFonts w:ascii="Arial" w:cs="Arial" w:eastAsia="Arial" w:hAnsi="Arial"/>
                <w:sz w:val="17"/>
                <w:szCs w:val="17"/>
                <w:color w:val="auto"/>
              </w:rPr>
              <w:t>Innovation Systems intangible asset amortization and PP&amp;E step-up depreciation</w:t>
            </w:r>
          </w:p>
        </w:tc>
        <w:tc>
          <w:tcPr>
            <w:tcW w:w="620" w:type="dxa"/>
            <w:vAlign w:val="bottom"/>
          </w:tcPr>
          <w:p>
            <w:pPr>
              <w:spacing w:after="0"/>
              <w:rPr>
                <w:sz w:val="22"/>
                <w:szCs w:val="22"/>
                <w:color w:val="auto"/>
              </w:rPr>
            </w:pPr>
          </w:p>
        </w:tc>
        <w:tc>
          <w:tcPr>
            <w:tcW w:w="1340" w:type="dxa"/>
            <w:vAlign w:val="bottom"/>
          </w:tcPr>
          <w:p>
            <w:pPr>
              <w:jc w:val="right"/>
              <w:ind w:right="96"/>
              <w:spacing w:after="0"/>
              <w:rPr>
                <w:sz w:val="20"/>
                <w:szCs w:val="20"/>
                <w:color w:val="auto"/>
              </w:rPr>
            </w:pPr>
            <w:r>
              <w:rPr>
                <w:rFonts w:ascii="Arial" w:cs="Arial" w:eastAsia="Arial" w:hAnsi="Arial"/>
                <w:sz w:val="17"/>
                <w:szCs w:val="17"/>
                <w:color w:val="auto"/>
              </w:rPr>
              <w:t>208</w:t>
            </w:r>
          </w:p>
        </w:tc>
      </w:tr>
      <w:tr>
        <w:trPr>
          <w:trHeight w:val="256"/>
        </w:trPr>
        <w:tc>
          <w:tcPr>
            <w:tcW w:w="9460" w:type="dxa"/>
            <w:vAlign w:val="bottom"/>
          </w:tcPr>
          <w:p>
            <w:pPr>
              <w:ind w:left="360"/>
              <w:spacing w:after="0"/>
              <w:rPr>
                <w:sz w:val="20"/>
                <w:szCs w:val="20"/>
                <w:color w:val="auto"/>
              </w:rPr>
            </w:pPr>
            <w:r>
              <w:rPr>
                <w:rFonts w:ascii="Arial" w:cs="Arial" w:eastAsia="Arial" w:hAnsi="Arial"/>
                <w:sz w:val="17"/>
                <w:szCs w:val="17"/>
                <w:color w:val="auto"/>
              </w:rPr>
              <w:t>Orbital ATK transaction-related expenses</w:t>
            </w:r>
          </w:p>
        </w:tc>
        <w:tc>
          <w:tcPr>
            <w:tcW w:w="620" w:type="dxa"/>
            <w:vAlign w:val="bottom"/>
          </w:tcPr>
          <w:p>
            <w:pPr>
              <w:spacing w:after="0"/>
              <w:rPr>
                <w:sz w:val="22"/>
                <w:szCs w:val="22"/>
                <w:color w:val="auto"/>
              </w:rPr>
            </w:pPr>
          </w:p>
        </w:tc>
        <w:tc>
          <w:tcPr>
            <w:tcW w:w="1340" w:type="dxa"/>
            <w:vAlign w:val="bottom"/>
          </w:tcPr>
          <w:p>
            <w:pPr>
              <w:jc w:val="right"/>
              <w:ind w:right="96"/>
              <w:spacing w:after="0"/>
              <w:rPr>
                <w:sz w:val="20"/>
                <w:szCs w:val="20"/>
                <w:color w:val="auto"/>
              </w:rPr>
            </w:pPr>
            <w:r>
              <w:rPr>
                <w:rFonts w:ascii="Arial" w:cs="Arial" w:eastAsia="Arial" w:hAnsi="Arial"/>
                <w:sz w:val="17"/>
                <w:szCs w:val="17"/>
                <w:color w:val="auto"/>
              </w:rPr>
              <w:t>45</w:t>
            </w:r>
          </w:p>
        </w:tc>
      </w:tr>
      <w:tr>
        <w:trPr>
          <w:trHeight w:val="256"/>
        </w:trPr>
        <w:tc>
          <w:tcPr>
            <w:tcW w:w="9460" w:type="dxa"/>
            <w:vAlign w:val="bottom"/>
          </w:tcPr>
          <w:p>
            <w:pPr>
              <w:ind w:left="360"/>
              <w:spacing w:after="0"/>
              <w:rPr>
                <w:sz w:val="20"/>
                <w:szCs w:val="20"/>
                <w:color w:val="auto"/>
              </w:rPr>
            </w:pPr>
            <w:r>
              <w:rPr>
                <w:rFonts w:ascii="Arial" w:cs="Arial" w:eastAsia="Arial" w:hAnsi="Arial"/>
                <w:sz w:val="17"/>
                <w:szCs w:val="17"/>
                <w:color w:val="auto"/>
              </w:rPr>
              <w:t>Other</w:t>
            </w:r>
          </w:p>
        </w:tc>
        <w:tc>
          <w:tcPr>
            <w:tcW w:w="620" w:type="dxa"/>
            <w:vAlign w:val="bottom"/>
          </w:tcPr>
          <w:p>
            <w:pPr>
              <w:spacing w:after="0"/>
              <w:rPr>
                <w:sz w:val="22"/>
                <w:szCs w:val="22"/>
                <w:color w:val="auto"/>
              </w:rPr>
            </w:pPr>
          </w:p>
        </w:tc>
        <w:tc>
          <w:tcPr>
            <w:tcW w:w="1340" w:type="dxa"/>
            <w:vAlign w:val="bottom"/>
          </w:tcPr>
          <w:p>
            <w:pPr>
              <w:jc w:val="right"/>
              <w:ind w:right="36"/>
              <w:spacing w:after="0"/>
              <w:rPr>
                <w:sz w:val="20"/>
                <w:szCs w:val="20"/>
                <w:color w:val="auto"/>
              </w:rPr>
            </w:pPr>
            <w:r>
              <w:rPr>
                <w:rFonts w:ascii="Arial" w:cs="Arial" w:eastAsia="Arial" w:hAnsi="Arial"/>
                <w:sz w:val="17"/>
                <w:szCs w:val="17"/>
                <w:color w:val="auto"/>
              </w:rPr>
              <w:t>(6)</w:t>
            </w:r>
          </w:p>
        </w:tc>
      </w:tr>
      <w:tr>
        <w:trPr>
          <w:trHeight w:val="27"/>
        </w:trPr>
        <w:tc>
          <w:tcPr>
            <w:tcW w:w="9460" w:type="dxa"/>
            <w:vAlign w:val="bottom"/>
            <w:tcBorders>
              <w:bottom w:val="single" w:sz="8" w:color="34657F"/>
            </w:tcBorders>
          </w:tcPr>
          <w:p>
            <w:pPr>
              <w:spacing w:after="0"/>
              <w:rPr>
                <w:sz w:val="2"/>
                <w:szCs w:val="2"/>
                <w:color w:val="auto"/>
              </w:rPr>
            </w:pPr>
          </w:p>
        </w:tc>
        <w:tc>
          <w:tcPr>
            <w:tcW w:w="620" w:type="dxa"/>
            <w:vAlign w:val="bottom"/>
            <w:tcBorders>
              <w:bottom w:val="single" w:sz="8" w:color="34657F"/>
            </w:tcBorders>
          </w:tcPr>
          <w:p>
            <w:pPr>
              <w:spacing w:after="0"/>
              <w:rPr>
                <w:sz w:val="2"/>
                <w:szCs w:val="2"/>
                <w:color w:val="auto"/>
              </w:rPr>
            </w:pPr>
          </w:p>
        </w:tc>
        <w:tc>
          <w:tcPr>
            <w:tcW w:w="1340" w:type="dxa"/>
            <w:vAlign w:val="bottom"/>
            <w:tcBorders>
              <w:bottom w:val="single" w:sz="8" w:color="34657F"/>
            </w:tcBorders>
          </w:tcPr>
          <w:p>
            <w:pPr>
              <w:spacing w:after="0"/>
              <w:rPr>
                <w:sz w:val="2"/>
                <w:szCs w:val="2"/>
                <w:color w:val="auto"/>
              </w:rPr>
            </w:pPr>
          </w:p>
        </w:tc>
      </w:tr>
      <w:tr>
        <w:trPr>
          <w:trHeight w:val="222"/>
        </w:trPr>
        <w:tc>
          <w:tcPr>
            <w:tcW w:w="9460" w:type="dxa"/>
            <w:vAlign w:val="bottom"/>
          </w:tcPr>
          <w:p>
            <w:pPr>
              <w:ind w:left="20"/>
              <w:spacing w:after="0"/>
              <w:rPr>
                <w:sz w:val="20"/>
                <w:szCs w:val="20"/>
                <w:color w:val="auto"/>
              </w:rPr>
            </w:pPr>
            <w:r>
              <w:rPr>
                <w:rFonts w:ascii="Arial" w:cs="Arial" w:eastAsia="Arial" w:hAnsi="Arial"/>
                <w:sz w:val="17"/>
                <w:szCs w:val="17"/>
                <w:b w:val="1"/>
                <w:bCs w:val="1"/>
                <w:color w:val="auto"/>
              </w:rPr>
              <w:t>Pension-adjusted operating income</w:t>
            </w:r>
          </w:p>
        </w:tc>
        <w:tc>
          <w:tcPr>
            <w:tcW w:w="62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340" w:type="dxa"/>
            <w:vAlign w:val="bottom"/>
          </w:tcPr>
          <w:p>
            <w:pPr>
              <w:jc w:val="right"/>
              <w:ind w:right="96"/>
              <w:spacing w:after="0"/>
              <w:rPr>
                <w:sz w:val="20"/>
                <w:szCs w:val="20"/>
                <w:color w:val="auto"/>
              </w:rPr>
            </w:pPr>
            <w:r>
              <w:rPr>
                <w:rFonts w:ascii="Arial" w:cs="Arial" w:eastAsia="Arial" w:hAnsi="Arial"/>
                <w:sz w:val="17"/>
                <w:szCs w:val="17"/>
                <w:b w:val="1"/>
                <w:bCs w:val="1"/>
                <w:color w:val="auto"/>
              </w:rPr>
              <w:t>3,072</w:t>
            </w:r>
          </w:p>
        </w:tc>
      </w:tr>
      <w:tr>
        <w:trPr>
          <w:trHeight w:val="256"/>
        </w:trPr>
        <w:tc>
          <w:tcPr>
            <w:tcW w:w="9460" w:type="dxa"/>
            <w:vAlign w:val="bottom"/>
          </w:tcPr>
          <w:p>
            <w:pPr>
              <w:ind w:left="20"/>
              <w:spacing w:after="0"/>
              <w:rPr>
                <w:sz w:val="20"/>
                <w:szCs w:val="20"/>
                <w:color w:val="auto"/>
              </w:rPr>
            </w:pPr>
            <w:r>
              <w:rPr>
                <w:rFonts w:ascii="Arial" w:cs="Arial" w:eastAsia="Arial" w:hAnsi="Arial"/>
                <w:sz w:val="17"/>
                <w:szCs w:val="17"/>
                <w:i w:val="1"/>
                <w:iCs w:val="1"/>
                <w:color w:val="auto"/>
              </w:rPr>
              <w:t>Pension-adjusted operating margin rate</w:t>
            </w:r>
          </w:p>
        </w:tc>
        <w:tc>
          <w:tcPr>
            <w:tcW w:w="62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7"/>
                <w:szCs w:val="17"/>
                <w:i w:val="1"/>
                <w:iCs w:val="1"/>
                <w:color w:val="auto"/>
              </w:rPr>
              <w:t>11.4%</w:t>
            </w:r>
          </w:p>
        </w:tc>
      </w:tr>
      <w:tr>
        <w:trPr>
          <w:trHeight w:val="27"/>
        </w:trPr>
        <w:tc>
          <w:tcPr>
            <w:tcW w:w="9460" w:type="dxa"/>
            <w:vAlign w:val="bottom"/>
            <w:tcBorders>
              <w:bottom w:val="single" w:sz="8" w:color="34657F"/>
            </w:tcBorders>
          </w:tcPr>
          <w:p>
            <w:pPr>
              <w:spacing w:after="0"/>
              <w:rPr>
                <w:sz w:val="2"/>
                <w:szCs w:val="2"/>
                <w:color w:val="auto"/>
              </w:rPr>
            </w:pPr>
          </w:p>
        </w:tc>
        <w:tc>
          <w:tcPr>
            <w:tcW w:w="620" w:type="dxa"/>
            <w:vAlign w:val="bottom"/>
            <w:tcBorders>
              <w:bottom w:val="single" w:sz="8" w:color="34657F"/>
            </w:tcBorders>
          </w:tcPr>
          <w:p>
            <w:pPr>
              <w:spacing w:after="0"/>
              <w:rPr>
                <w:sz w:val="2"/>
                <w:szCs w:val="2"/>
                <w:color w:val="auto"/>
              </w:rPr>
            </w:pPr>
          </w:p>
        </w:tc>
        <w:tc>
          <w:tcPr>
            <w:tcW w:w="1340" w:type="dxa"/>
            <w:vAlign w:val="bottom"/>
            <w:tcBorders>
              <w:bottom w:val="single" w:sz="8" w:color="34657F"/>
            </w:tcBorders>
          </w:tcPr>
          <w:p>
            <w:pPr>
              <w:spacing w:after="0"/>
              <w:rPr>
                <w:sz w:val="2"/>
                <w:szCs w:val="2"/>
                <w:color w:val="auto"/>
              </w:rPr>
            </w:pPr>
          </w:p>
        </w:tc>
      </w:tr>
      <w:tr>
        <w:trPr>
          <w:trHeight w:val="530"/>
        </w:trPr>
        <w:tc>
          <w:tcPr>
            <w:tcW w:w="9460" w:type="dxa"/>
            <w:vAlign w:val="bottom"/>
          </w:tcPr>
          <w:p>
            <w:pPr>
              <w:ind w:left="20"/>
              <w:spacing w:after="0"/>
              <w:rPr>
                <w:sz w:val="20"/>
                <w:szCs w:val="20"/>
                <w:color w:val="auto"/>
              </w:rPr>
            </w:pPr>
            <w:r>
              <w:rPr>
                <w:rFonts w:ascii="Arial" w:cs="Arial" w:eastAsia="Arial" w:hAnsi="Arial"/>
                <w:sz w:val="17"/>
                <w:szCs w:val="17"/>
                <w:b w:val="1"/>
                <w:bCs w:val="1"/>
                <w:color w:val="auto"/>
              </w:rPr>
              <w:t>Net earnings</w:t>
            </w:r>
          </w:p>
        </w:tc>
        <w:tc>
          <w:tcPr>
            <w:tcW w:w="62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340" w:type="dxa"/>
            <w:vAlign w:val="bottom"/>
          </w:tcPr>
          <w:p>
            <w:pPr>
              <w:jc w:val="right"/>
              <w:ind w:right="96"/>
              <w:spacing w:after="0"/>
              <w:rPr>
                <w:sz w:val="20"/>
                <w:szCs w:val="20"/>
                <w:color w:val="auto"/>
              </w:rPr>
            </w:pPr>
            <w:r>
              <w:rPr>
                <w:rFonts w:ascii="Arial" w:cs="Arial" w:eastAsia="Arial" w:hAnsi="Arial"/>
                <w:sz w:val="17"/>
                <w:szCs w:val="17"/>
                <w:b w:val="1"/>
                <w:bCs w:val="1"/>
                <w:color w:val="auto"/>
              </w:rPr>
              <w:t>3,229</w:t>
            </w:r>
          </w:p>
        </w:tc>
      </w:tr>
      <w:tr>
        <w:trPr>
          <w:trHeight w:val="256"/>
        </w:trPr>
        <w:tc>
          <w:tcPr>
            <w:tcW w:w="9460" w:type="dxa"/>
            <w:vAlign w:val="bottom"/>
          </w:tcPr>
          <w:p>
            <w:pPr>
              <w:ind w:left="360"/>
              <w:spacing w:after="0"/>
              <w:rPr>
                <w:sz w:val="20"/>
                <w:szCs w:val="20"/>
                <w:color w:val="auto"/>
              </w:rPr>
            </w:pPr>
            <w:r>
              <w:rPr>
                <w:rFonts w:ascii="Arial" w:cs="Arial" w:eastAsia="Arial" w:hAnsi="Arial"/>
                <w:sz w:val="17"/>
                <w:szCs w:val="17"/>
                <w:color w:val="auto"/>
              </w:rPr>
              <w:t>Net FAS (service)/CAS pension adjustment</w:t>
            </w:r>
          </w:p>
        </w:tc>
        <w:tc>
          <w:tcPr>
            <w:tcW w:w="620" w:type="dxa"/>
            <w:vAlign w:val="bottom"/>
          </w:tcPr>
          <w:p>
            <w:pPr>
              <w:spacing w:after="0"/>
              <w:rPr>
                <w:sz w:val="22"/>
                <w:szCs w:val="22"/>
                <w:color w:val="auto"/>
              </w:rPr>
            </w:pPr>
          </w:p>
        </w:tc>
        <w:tc>
          <w:tcPr>
            <w:tcW w:w="1340" w:type="dxa"/>
            <w:vAlign w:val="bottom"/>
          </w:tcPr>
          <w:p>
            <w:pPr>
              <w:jc w:val="right"/>
              <w:ind w:right="36"/>
              <w:spacing w:after="0"/>
              <w:rPr>
                <w:sz w:val="20"/>
                <w:szCs w:val="20"/>
                <w:color w:val="auto"/>
              </w:rPr>
            </w:pPr>
            <w:r>
              <w:rPr>
                <w:rFonts w:ascii="Arial" w:cs="Arial" w:eastAsia="Arial" w:hAnsi="Arial"/>
                <w:sz w:val="17"/>
                <w:szCs w:val="17"/>
                <w:color w:val="auto"/>
              </w:rPr>
              <w:t>(613)</w:t>
            </w:r>
          </w:p>
        </w:tc>
      </w:tr>
      <w:tr>
        <w:trPr>
          <w:trHeight w:val="256"/>
        </w:trPr>
        <w:tc>
          <w:tcPr>
            <w:tcW w:w="9460" w:type="dxa"/>
            <w:vAlign w:val="bottom"/>
          </w:tcPr>
          <w:p>
            <w:pPr>
              <w:ind w:left="360"/>
              <w:spacing w:after="0"/>
              <w:rPr>
                <w:sz w:val="20"/>
                <w:szCs w:val="20"/>
                <w:color w:val="auto"/>
              </w:rPr>
            </w:pPr>
            <w:r>
              <w:rPr>
                <w:rFonts w:ascii="Arial" w:cs="Arial" w:eastAsia="Arial" w:hAnsi="Arial"/>
                <w:sz w:val="17"/>
                <w:szCs w:val="17"/>
                <w:color w:val="auto"/>
              </w:rPr>
              <w:t>Net FAS (non-service) pension benefit</w:t>
            </w:r>
          </w:p>
        </w:tc>
        <w:tc>
          <w:tcPr>
            <w:tcW w:w="620" w:type="dxa"/>
            <w:vAlign w:val="bottom"/>
          </w:tcPr>
          <w:p>
            <w:pPr>
              <w:spacing w:after="0"/>
              <w:rPr>
                <w:sz w:val="22"/>
                <w:szCs w:val="22"/>
                <w:color w:val="auto"/>
              </w:rPr>
            </w:pPr>
          </w:p>
        </w:tc>
        <w:tc>
          <w:tcPr>
            <w:tcW w:w="1340" w:type="dxa"/>
            <w:vAlign w:val="bottom"/>
          </w:tcPr>
          <w:p>
            <w:pPr>
              <w:jc w:val="right"/>
              <w:ind w:right="36"/>
              <w:spacing w:after="0"/>
              <w:rPr>
                <w:sz w:val="20"/>
                <w:szCs w:val="20"/>
                <w:color w:val="auto"/>
              </w:rPr>
            </w:pPr>
            <w:r>
              <w:rPr>
                <w:rFonts w:ascii="Arial" w:cs="Arial" w:eastAsia="Arial" w:hAnsi="Arial"/>
                <w:sz w:val="17"/>
                <w:szCs w:val="17"/>
                <w:color w:val="auto"/>
              </w:rPr>
              <w:t>(1,049)</w:t>
            </w:r>
          </w:p>
        </w:tc>
      </w:tr>
      <w:tr>
        <w:trPr>
          <w:trHeight w:val="256"/>
        </w:trPr>
        <w:tc>
          <w:tcPr>
            <w:tcW w:w="9460" w:type="dxa"/>
            <w:vAlign w:val="bottom"/>
          </w:tcPr>
          <w:p>
            <w:pPr>
              <w:ind w:left="360"/>
              <w:spacing w:after="0"/>
              <w:rPr>
                <w:sz w:val="20"/>
                <w:szCs w:val="20"/>
                <w:color w:val="auto"/>
              </w:rPr>
            </w:pPr>
            <w:r>
              <w:rPr>
                <w:rFonts w:ascii="Arial" w:cs="Arial" w:eastAsia="Arial" w:hAnsi="Arial"/>
                <w:sz w:val="17"/>
                <w:szCs w:val="17"/>
                <w:color w:val="auto"/>
              </w:rPr>
              <w:t>Tax effect of net pension adjustment</w:t>
            </w:r>
          </w:p>
        </w:tc>
        <w:tc>
          <w:tcPr>
            <w:tcW w:w="620" w:type="dxa"/>
            <w:vAlign w:val="bottom"/>
          </w:tcPr>
          <w:p>
            <w:pPr>
              <w:spacing w:after="0"/>
              <w:rPr>
                <w:sz w:val="22"/>
                <w:szCs w:val="22"/>
                <w:color w:val="auto"/>
              </w:rPr>
            </w:pPr>
          </w:p>
        </w:tc>
        <w:tc>
          <w:tcPr>
            <w:tcW w:w="1340" w:type="dxa"/>
            <w:vAlign w:val="bottom"/>
          </w:tcPr>
          <w:p>
            <w:pPr>
              <w:jc w:val="right"/>
              <w:ind w:right="96"/>
              <w:spacing w:after="0"/>
              <w:rPr>
                <w:sz w:val="20"/>
                <w:szCs w:val="20"/>
                <w:color w:val="auto"/>
              </w:rPr>
            </w:pPr>
            <w:r>
              <w:rPr>
                <w:rFonts w:ascii="Arial" w:cs="Arial" w:eastAsia="Arial" w:hAnsi="Arial"/>
                <w:sz w:val="17"/>
                <w:szCs w:val="17"/>
                <w:color w:val="auto"/>
              </w:rPr>
              <w:t>349</w:t>
            </w:r>
          </w:p>
        </w:tc>
      </w:tr>
      <w:tr>
        <w:trPr>
          <w:trHeight w:val="27"/>
        </w:trPr>
        <w:tc>
          <w:tcPr>
            <w:tcW w:w="9460" w:type="dxa"/>
            <w:vAlign w:val="bottom"/>
            <w:tcBorders>
              <w:bottom w:val="single" w:sz="8" w:color="34657F"/>
            </w:tcBorders>
          </w:tcPr>
          <w:p>
            <w:pPr>
              <w:spacing w:after="0"/>
              <w:rPr>
                <w:sz w:val="2"/>
                <w:szCs w:val="2"/>
                <w:color w:val="auto"/>
              </w:rPr>
            </w:pPr>
          </w:p>
        </w:tc>
        <w:tc>
          <w:tcPr>
            <w:tcW w:w="620" w:type="dxa"/>
            <w:vAlign w:val="bottom"/>
            <w:tcBorders>
              <w:bottom w:val="single" w:sz="8" w:color="34657F"/>
            </w:tcBorders>
          </w:tcPr>
          <w:p>
            <w:pPr>
              <w:spacing w:after="0"/>
              <w:rPr>
                <w:sz w:val="2"/>
                <w:szCs w:val="2"/>
                <w:color w:val="auto"/>
              </w:rPr>
            </w:pPr>
          </w:p>
        </w:tc>
        <w:tc>
          <w:tcPr>
            <w:tcW w:w="1340" w:type="dxa"/>
            <w:vAlign w:val="bottom"/>
            <w:tcBorders>
              <w:bottom w:val="single" w:sz="8" w:color="34657F"/>
            </w:tcBorders>
          </w:tcPr>
          <w:p>
            <w:pPr>
              <w:spacing w:after="0"/>
              <w:rPr>
                <w:sz w:val="2"/>
                <w:szCs w:val="2"/>
                <w:color w:val="auto"/>
              </w:rPr>
            </w:pPr>
          </w:p>
        </w:tc>
      </w:tr>
      <w:tr>
        <w:trPr>
          <w:trHeight w:val="222"/>
        </w:trPr>
        <w:tc>
          <w:tcPr>
            <w:tcW w:w="9460" w:type="dxa"/>
            <w:vAlign w:val="bottom"/>
          </w:tcPr>
          <w:p>
            <w:pPr>
              <w:ind w:left="20"/>
              <w:spacing w:after="0"/>
              <w:rPr>
                <w:sz w:val="20"/>
                <w:szCs w:val="20"/>
                <w:color w:val="auto"/>
              </w:rPr>
            </w:pPr>
            <w:r>
              <w:rPr>
                <w:rFonts w:ascii="Arial" w:cs="Arial" w:eastAsia="Arial" w:hAnsi="Arial"/>
                <w:sz w:val="17"/>
                <w:szCs w:val="17"/>
                <w:color w:val="auto"/>
              </w:rPr>
              <w:t>After-tax net pension adjustment</w:t>
            </w:r>
          </w:p>
        </w:tc>
        <w:tc>
          <w:tcPr>
            <w:tcW w:w="620" w:type="dxa"/>
            <w:vAlign w:val="bottom"/>
          </w:tcPr>
          <w:p>
            <w:pPr>
              <w:spacing w:after="0"/>
              <w:rPr>
                <w:sz w:val="19"/>
                <w:szCs w:val="19"/>
                <w:color w:val="auto"/>
              </w:rPr>
            </w:pPr>
          </w:p>
        </w:tc>
        <w:tc>
          <w:tcPr>
            <w:tcW w:w="1340" w:type="dxa"/>
            <w:vAlign w:val="bottom"/>
          </w:tcPr>
          <w:p>
            <w:pPr>
              <w:jc w:val="right"/>
              <w:ind w:right="36"/>
              <w:spacing w:after="0"/>
              <w:rPr>
                <w:sz w:val="20"/>
                <w:szCs w:val="20"/>
                <w:color w:val="auto"/>
              </w:rPr>
            </w:pPr>
            <w:r>
              <w:rPr>
                <w:rFonts w:ascii="Arial" w:cs="Arial" w:eastAsia="Arial" w:hAnsi="Arial"/>
                <w:sz w:val="17"/>
                <w:szCs w:val="17"/>
                <w:color w:val="auto"/>
              </w:rPr>
              <w:t>(1,313)</w:t>
            </w:r>
          </w:p>
        </w:tc>
      </w:tr>
      <w:tr>
        <w:trPr>
          <w:trHeight w:val="256"/>
        </w:trPr>
        <w:tc>
          <w:tcPr>
            <w:tcW w:w="9460" w:type="dxa"/>
            <w:vAlign w:val="bottom"/>
          </w:tcPr>
          <w:p>
            <w:pPr>
              <w:ind w:left="20"/>
              <w:spacing w:after="0"/>
              <w:rPr>
                <w:sz w:val="20"/>
                <w:szCs w:val="20"/>
                <w:color w:val="auto"/>
              </w:rPr>
            </w:pPr>
            <w:r>
              <w:rPr>
                <w:rFonts w:ascii="Arial" w:cs="Arial" w:eastAsia="Arial" w:hAnsi="Arial"/>
                <w:sz w:val="17"/>
                <w:szCs w:val="17"/>
                <w:color w:val="auto"/>
              </w:rPr>
              <w:t xml:space="preserve">MTM pension expense </w:t>
            </w:r>
            <w:r>
              <w:rPr>
                <w:rFonts w:ascii="Arial" w:cs="Arial" w:eastAsia="Arial" w:hAnsi="Arial"/>
                <w:sz w:val="14"/>
                <w:szCs w:val="14"/>
                <w:color w:val="auto"/>
              </w:rPr>
              <w:t>(1)</w:t>
            </w:r>
          </w:p>
        </w:tc>
        <w:tc>
          <w:tcPr>
            <w:tcW w:w="620" w:type="dxa"/>
            <w:vAlign w:val="bottom"/>
          </w:tcPr>
          <w:p>
            <w:pPr>
              <w:spacing w:after="0"/>
              <w:rPr>
                <w:sz w:val="22"/>
                <w:szCs w:val="22"/>
                <w:color w:val="auto"/>
              </w:rPr>
            </w:pPr>
          </w:p>
        </w:tc>
        <w:tc>
          <w:tcPr>
            <w:tcW w:w="1340" w:type="dxa"/>
            <w:vAlign w:val="bottom"/>
          </w:tcPr>
          <w:p>
            <w:pPr>
              <w:jc w:val="right"/>
              <w:ind w:right="96"/>
              <w:spacing w:after="0"/>
              <w:rPr>
                <w:sz w:val="20"/>
                <w:szCs w:val="20"/>
                <w:color w:val="auto"/>
              </w:rPr>
            </w:pPr>
            <w:r>
              <w:rPr>
                <w:rFonts w:ascii="Arial" w:cs="Arial" w:eastAsia="Arial" w:hAnsi="Arial"/>
                <w:sz w:val="17"/>
                <w:szCs w:val="17"/>
                <w:color w:val="auto"/>
              </w:rPr>
              <w:t>699</w:t>
            </w:r>
          </w:p>
        </w:tc>
      </w:tr>
      <w:tr>
        <w:trPr>
          <w:trHeight w:val="256"/>
        </w:trPr>
        <w:tc>
          <w:tcPr>
            <w:tcW w:w="9460" w:type="dxa"/>
            <w:vAlign w:val="bottom"/>
          </w:tcPr>
          <w:p>
            <w:pPr>
              <w:ind w:left="20"/>
              <w:spacing w:after="0"/>
              <w:rPr>
                <w:sz w:val="20"/>
                <w:szCs w:val="20"/>
                <w:color w:val="auto"/>
              </w:rPr>
            </w:pPr>
            <w:r>
              <w:rPr>
                <w:rFonts w:ascii="Arial" w:cs="Arial" w:eastAsia="Arial" w:hAnsi="Arial"/>
                <w:sz w:val="17"/>
                <w:szCs w:val="17"/>
                <w:color w:val="auto"/>
              </w:rPr>
              <w:t>Innovation Systems operating income</w:t>
            </w:r>
          </w:p>
        </w:tc>
        <w:tc>
          <w:tcPr>
            <w:tcW w:w="620" w:type="dxa"/>
            <w:vAlign w:val="bottom"/>
          </w:tcPr>
          <w:p>
            <w:pPr>
              <w:spacing w:after="0"/>
              <w:rPr>
                <w:sz w:val="22"/>
                <w:szCs w:val="22"/>
                <w:color w:val="auto"/>
              </w:rPr>
            </w:pPr>
          </w:p>
        </w:tc>
        <w:tc>
          <w:tcPr>
            <w:tcW w:w="1340" w:type="dxa"/>
            <w:vAlign w:val="bottom"/>
          </w:tcPr>
          <w:p>
            <w:pPr>
              <w:jc w:val="right"/>
              <w:ind w:right="36"/>
              <w:spacing w:after="0"/>
              <w:rPr>
                <w:sz w:val="20"/>
                <w:szCs w:val="20"/>
                <w:color w:val="auto"/>
              </w:rPr>
            </w:pPr>
            <w:r>
              <w:rPr>
                <w:rFonts w:ascii="Arial" w:cs="Arial" w:eastAsia="Arial" w:hAnsi="Arial"/>
                <w:sz w:val="17"/>
                <w:szCs w:val="17"/>
                <w:color w:val="auto"/>
              </w:rPr>
              <w:t>(342)</w:t>
            </w:r>
          </w:p>
        </w:tc>
      </w:tr>
      <w:tr>
        <w:trPr>
          <w:trHeight w:val="256"/>
        </w:trPr>
        <w:tc>
          <w:tcPr>
            <w:tcW w:w="9460" w:type="dxa"/>
            <w:vAlign w:val="bottom"/>
          </w:tcPr>
          <w:p>
            <w:pPr>
              <w:ind w:left="20"/>
              <w:spacing w:after="0"/>
              <w:rPr>
                <w:sz w:val="20"/>
                <w:szCs w:val="20"/>
                <w:color w:val="auto"/>
              </w:rPr>
            </w:pPr>
            <w:r>
              <w:rPr>
                <w:rFonts w:ascii="Arial" w:cs="Arial" w:eastAsia="Arial" w:hAnsi="Arial"/>
                <w:sz w:val="17"/>
                <w:szCs w:val="17"/>
                <w:color w:val="auto"/>
              </w:rPr>
              <w:t>Innovation Systems intangible asset amortization and PP&amp;E step-up depreciation</w:t>
            </w:r>
          </w:p>
        </w:tc>
        <w:tc>
          <w:tcPr>
            <w:tcW w:w="620" w:type="dxa"/>
            <w:vAlign w:val="bottom"/>
          </w:tcPr>
          <w:p>
            <w:pPr>
              <w:spacing w:after="0"/>
              <w:rPr>
                <w:sz w:val="22"/>
                <w:szCs w:val="22"/>
                <w:color w:val="auto"/>
              </w:rPr>
            </w:pPr>
          </w:p>
        </w:tc>
        <w:tc>
          <w:tcPr>
            <w:tcW w:w="1340" w:type="dxa"/>
            <w:vAlign w:val="bottom"/>
          </w:tcPr>
          <w:p>
            <w:pPr>
              <w:jc w:val="right"/>
              <w:ind w:right="96"/>
              <w:spacing w:after="0"/>
              <w:rPr>
                <w:sz w:val="20"/>
                <w:szCs w:val="20"/>
                <w:color w:val="auto"/>
              </w:rPr>
            </w:pPr>
            <w:r>
              <w:rPr>
                <w:rFonts w:ascii="Arial" w:cs="Arial" w:eastAsia="Arial" w:hAnsi="Arial"/>
                <w:sz w:val="17"/>
                <w:szCs w:val="17"/>
                <w:color w:val="auto"/>
              </w:rPr>
              <w:t>208</w:t>
            </w:r>
          </w:p>
        </w:tc>
      </w:tr>
      <w:tr>
        <w:trPr>
          <w:trHeight w:val="256"/>
        </w:trPr>
        <w:tc>
          <w:tcPr>
            <w:tcW w:w="9460" w:type="dxa"/>
            <w:vAlign w:val="bottom"/>
          </w:tcPr>
          <w:p>
            <w:pPr>
              <w:ind w:left="20"/>
              <w:spacing w:after="0"/>
              <w:rPr>
                <w:sz w:val="20"/>
                <w:szCs w:val="20"/>
                <w:color w:val="auto"/>
              </w:rPr>
            </w:pPr>
            <w:r>
              <w:rPr>
                <w:rFonts w:ascii="Arial" w:cs="Arial" w:eastAsia="Arial" w:hAnsi="Arial"/>
                <w:sz w:val="17"/>
                <w:szCs w:val="17"/>
                <w:color w:val="auto"/>
              </w:rPr>
              <w:t>Orbital ATK transaction-related expenses</w:t>
            </w:r>
          </w:p>
        </w:tc>
        <w:tc>
          <w:tcPr>
            <w:tcW w:w="620" w:type="dxa"/>
            <w:vAlign w:val="bottom"/>
          </w:tcPr>
          <w:p>
            <w:pPr>
              <w:spacing w:after="0"/>
              <w:rPr>
                <w:sz w:val="22"/>
                <w:szCs w:val="22"/>
                <w:color w:val="auto"/>
              </w:rPr>
            </w:pPr>
          </w:p>
        </w:tc>
        <w:tc>
          <w:tcPr>
            <w:tcW w:w="1340" w:type="dxa"/>
            <w:vAlign w:val="bottom"/>
          </w:tcPr>
          <w:p>
            <w:pPr>
              <w:jc w:val="right"/>
              <w:ind w:right="96"/>
              <w:spacing w:after="0"/>
              <w:rPr>
                <w:sz w:val="20"/>
                <w:szCs w:val="20"/>
                <w:color w:val="auto"/>
              </w:rPr>
            </w:pPr>
            <w:r>
              <w:rPr>
                <w:rFonts w:ascii="Arial" w:cs="Arial" w:eastAsia="Arial" w:hAnsi="Arial"/>
                <w:sz w:val="17"/>
                <w:szCs w:val="17"/>
                <w:color w:val="auto"/>
              </w:rPr>
              <w:t>45</w:t>
            </w:r>
          </w:p>
        </w:tc>
      </w:tr>
      <w:tr>
        <w:trPr>
          <w:trHeight w:val="256"/>
        </w:trPr>
        <w:tc>
          <w:tcPr>
            <w:tcW w:w="9460" w:type="dxa"/>
            <w:vAlign w:val="bottom"/>
          </w:tcPr>
          <w:p>
            <w:pPr>
              <w:ind w:left="20"/>
              <w:spacing w:after="0"/>
              <w:rPr>
                <w:sz w:val="20"/>
                <w:szCs w:val="20"/>
                <w:color w:val="auto"/>
              </w:rPr>
            </w:pPr>
            <w:r>
              <w:rPr>
                <w:rFonts w:ascii="Arial" w:cs="Arial" w:eastAsia="Arial" w:hAnsi="Arial"/>
                <w:sz w:val="17"/>
                <w:szCs w:val="17"/>
                <w:color w:val="auto"/>
              </w:rPr>
              <w:t>Other</w:t>
            </w:r>
          </w:p>
        </w:tc>
        <w:tc>
          <w:tcPr>
            <w:tcW w:w="620" w:type="dxa"/>
            <w:vAlign w:val="bottom"/>
          </w:tcPr>
          <w:p>
            <w:pPr>
              <w:spacing w:after="0"/>
              <w:rPr>
                <w:sz w:val="22"/>
                <w:szCs w:val="22"/>
                <w:color w:val="auto"/>
              </w:rPr>
            </w:pPr>
          </w:p>
        </w:tc>
        <w:tc>
          <w:tcPr>
            <w:tcW w:w="1340" w:type="dxa"/>
            <w:vAlign w:val="bottom"/>
          </w:tcPr>
          <w:p>
            <w:pPr>
              <w:jc w:val="right"/>
              <w:ind w:right="36"/>
              <w:spacing w:after="0"/>
              <w:rPr>
                <w:sz w:val="20"/>
                <w:szCs w:val="20"/>
                <w:color w:val="auto"/>
              </w:rPr>
            </w:pPr>
            <w:r>
              <w:rPr>
                <w:rFonts w:ascii="Arial" w:cs="Arial" w:eastAsia="Arial" w:hAnsi="Arial"/>
                <w:sz w:val="17"/>
                <w:szCs w:val="17"/>
                <w:color w:val="auto"/>
              </w:rPr>
              <w:t>(6)</w:t>
            </w:r>
          </w:p>
        </w:tc>
      </w:tr>
      <w:tr>
        <w:trPr>
          <w:trHeight w:val="256"/>
        </w:trPr>
        <w:tc>
          <w:tcPr>
            <w:tcW w:w="9460" w:type="dxa"/>
            <w:vAlign w:val="bottom"/>
          </w:tcPr>
          <w:p>
            <w:pPr>
              <w:ind w:left="20"/>
              <w:spacing w:after="0"/>
              <w:rPr>
                <w:sz w:val="20"/>
                <w:szCs w:val="20"/>
                <w:color w:val="auto"/>
              </w:rPr>
            </w:pPr>
            <w:r>
              <w:rPr>
                <w:rFonts w:ascii="Arial" w:cs="Arial" w:eastAsia="Arial" w:hAnsi="Arial"/>
                <w:sz w:val="17"/>
                <w:szCs w:val="17"/>
                <w:color w:val="auto"/>
              </w:rPr>
              <w:t>Tax effect of items above</w:t>
            </w:r>
          </w:p>
        </w:tc>
        <w:tc>
          <w:tcPr>
            <w:tcW w:w="620" w:type="dxa"/>
            <w:vAlign w:val="bottom"/>
          </w:tcPr>
          <w:p>
            <w:pPr>
              <w:spacing w:after="0"/>
              <w:rPr>
                <w:sz w:val="22"/>
                <w:szCs w:val="22"/>
                <w:color w:val="auto"/>
              </w:rPr>
            </w:pPr>
          </w:p>
        </w:tc>
        <w:tc>
          <w:tcPr>
            <w:tcW w:w="1340" w:type="dxa"/>
            <w:vAlign w:val="bottom"/>
          </w:tcPr>
          <w:p>
            <w:pPr>
              <w:jc w:val="right"/>
              <w:ind w:right="36"/>
              <w:spacing w:after="0"/>
              <w:rPr>
                <w:sz w:val="20"/>
                <w:szCs w:val="20"/>
                <w:color w:val="auto"/>
              </w:rPr>
            </w:pPr>
            <w:r>
              <w:rPr>
                <w:rFonts w:ascii="Arial" w:cs="Arial" w:eastAsia="Arial" w:hAnsi="Arial"/>
                <w:sz w:val="17"/>
                <w:szCs w:val="17"/>
                <w:color w:val="auto"/>
              </w:rPr>
              <w:t>(127)</w:t>
            </w:r>
          </w:p>
        </w:tc>
      </w:tr>
      <w:tr>
        <w:trPr>
          <w:trHeight w:val="27"/>
        </w:trPr>
        <w:tc>
          <w:tcPr>
            <w:tcW w:w="9460" w:type="dxa"/>
            <w:vAlign w:val="bottom"/>
            <w:tcBorders>
              <w:bottom w:val="single" w:sz="8" w:color="34657F"/>
            </w:tcBorders>
          </w:tcPr>
          <w:p>
            <w:pPr>
              <w:spacing w:after="0"/>
              <w:rPr>
                <w:sz w:val="2"/>
                <w:szCs w:val="2"/>
                <w:color w:val="auto"/>
              </w:rPr>
            </w:pPr>
          </w:p>
        </w:tc>
        <w:tc>
          <w:tcPr>
            <w:tcW w:w="620" w:type="dxa"/>
            <w:vAlign w:val="bottom"/>
            <w:tcBorders>
              <w:bottom w:val="single" w:sz="8" w:color="34657F"/>
            </w:tcBorders>
          </w:tcPr>
          <w:p>
            <w:pPr>
              <w:spacing w:after="0"/>
              <w:rPr>
                <w:sz w:val="2"/>
                <w:szCs w:val="2"/>
                <w:color w:val="auto"/>
              </w:rPr>
            </w:pPr>
          </w:p>
        </w:tc>
        <w:tc>
          <w:tcPr>
            <w:tcW w:w="1340" w:type="dxa"/>
            <w:vAlign w:val="bottom"/>
            <w:tcBorders>
              <w:bottom w:val="single" w:sz="8" w:color="34657F"/>
            </w:tcBorders>
          </w:tcPr>
          <w:p>
            <w:pPr>
              <w:spacing w:after="0"/>
              <w:rPr>
                <w:sz w:val="2"/>
                <w:szCs w:val="2"/>
                <w:color w:val="auto"/>
              </w:rPr>
            </w:pPr>
          </w:p>
        </w:tc>
      </w:tr>
      <w:tr>
        <w:trPr>
          <w:trHeight w:val="222"/>
        </w:trPr>
        <w:tc>
          <w:tcPr>
            <w:tcW w:w="9460" w:type="dxa"/>
            <w:vAlign w:val="bottom"/>
          </w:tcPr>
          <w:p>
            <w:pPr>
              <w:ind w:left="20"/>
              <w:spacing w:after="0"/>
              <w:rPr>
                <w:sz w:val="20"/>
                <w:szCs w:val="20"/>
                <w:color w:val="auto"/>
              </w:rPr>
            </w:pPr>
            <w:r>
              <w:rPr>
                <w:rFonts w:ascii="Arial" w:cs="Arial" w:eastAsia="Arial" w:hAnsi="Arial"/>
                <w:sz w:val="17"/>
                <w:szCs w:val="17"/>
                <w:b w:val="1"/>
                <w:bCs w:val="1"/>
                <w:color w:val="auto"/>
              </w:rPr>
              <w:t>Pension-adjusted net income</w:t>
            </w:r>
          </w:p>
        </w:tc>
        <w:tc>
          <w:tcPr>
            <w:tcW w:w="62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340" w:type="dxa"/>
            <w:vAlign w:val="bottom"/>
          </w:tcPr>
          <w:p>
            <w:pPr>
              <w:jc w:val="right"/>
              <w:ind w:right="96"/>
              <w:spacing w:after="0"/>
              <w:rPr>
                <w:sz w:val="20"/>
                <w:szCs w:val="20"/>
                <w:color w:val="auto"/>
              </w:rPr>
            </w:pPr>
            <w:r>
              <w:rPr>
                <w:rFonts w:ascii="Arial" w:cs="Arial" w:eastAsia="Arial" w:hAnsi="Arial"/>
                <w:sz w:val="17"/>
                <w:szCs w:val="17"/>
                <w:b w:val="1"/>
                <w:bCs w:val="1"/>
                <w:color w:val="auto"/>
              </w:rPr>
              <w:t>2,393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253605"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53605" cy="8255"/>
                    </a:xfrm>
                    <a:prstGeom prst="rect">
                      <a:avLst/>
                    </a:prstGeom>
                    <a:noFill/>
                  </pic:spPr>
                </pic:pic>
              </a:graphicData>
            </a:graphic>
          </wp:anchor>
        </w:drawing>
        <w:drawing>
          <wp:anchor simplePos="0" relativeHeight="251657728" behindDoc="1" locked="0" layoutInCell="0" allowOverlap="1">
            <wp:simplePos x="0" y="0"/>
            <wp:positionH relativeFrom="column">
              <wp:posOffset>6066790</wp:posOffset>
            </wp:positionH>
            <wp:positionV relativeFrom="paragraph">
              <wp:posOffset>-5151755</wp:posOffset>
            </wp:positionV>
            <wp:extent cx="118872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1188720" cy="8255"/>
                    </a:xfrm>
                    <a:prstGeom prst="rect">
                      <a:avLst/>
                    </a:prstGeom>
                    <a:noFill/>
                  </pic:spPr>
                </pic:pic>
              </a:graphicData>
            </a:graphic>
          </wp:anchor>
        </w:drawing>
      </w:r>
    </w:p>
    <w:p>
      <w:pPr>
        <w:spacing w:after="0" w:line="47" w:lineRule="exact"/>
        <w:rPr>
          <w:sz w:val="20"/>
          <w:szCs w:val="20"/>
          <w:color w:val="auto"/>
        </w:rPr>
      </w:pPr>
    </w:p>
    <w:p>
      <w:pPr>
        <w:ind w:left="100" w:right="340" w:hanging="72"/>
        <w:spacing w:after="0" w:line="211" w:lineRule="auto"/>
        <w:tabs>
          <w:tab w:leader="none" w:pos="215" w:val="left"/>
        </w:tabs>
        <w:numPr>
          <w:ilvl w:val="0"/>
          <w:numId w:val="102"/>
        </w:numPr>
        <w:rPr>
          <w:rFonts w:ascii="Arial" w:cs="Arial" w:eastAsia="Arial" w:hAnsi="Arial"/>
          <w:sz w:val="22"/>
          <w:szCs w:val="22"/>
          <w:color w:val="auto"/>
          <w:vertAlign w:val="superscript"/>
        </w:rPr>
      </w:pPr>
      <w:r>
        <w:rPr>
          <w:rFonts w:ascii="Arial" w:cs="Arial" w:eastAsia="Arial" w:hAnsi="Arial"/>
          <w:sz w:val="14"/>
          <w:szCs w:val="14"/>
          <w:color w:val="auto"/>
        </w:rPr>
        <w:t>Represents the MTM expense related to the Company's pension plans only. During 2018, the Company recorded a total MTM expense of $655 million, of which $699 million related to pension and ($44) million related to OPB.</w:t>
      </w:r>
    </w:p>
    <w:p>
      <w:pPr>
        <w:spacing w:after="0" w:line="200" w:lineRule="exact"/>
        <w:rPr>
          <w:sz w:val="20"/>
          <w:szCs w:val="20"/>
          <w:color w:val="auto"/>
        </w:rPr>
      </w:pPr>
    </w:p>
    <w:p>
      <w:pPr>
        <w:spacing w:after="0" w:line="259" w:lineRule="exact"/>
        <w:rPr>
          <w:sz w:val="20"/>
          <w:szCs w:val="20"/>
          <w:color w:val="auto"/>
        </w:rPr>
      </w:pPr>
    </w:p>
    <w:p>
      <w:pPr>
        <w:jc w:val="right"/>
        <w:spacing w:after="0"/>
        <w:rPr>
          <w:sz w:val="20"/>
          <w:szCs w:val="20"/>
          <w:color w:val="auto"/>
        </w:rPr>
      </w:pPr>
      <w:r>
        <w:rPr>
          <w:rFonts w:ascii="Arial" w:cs="Arial" w:eastAsia="Arial" w:hAnsi="Arial"/>
          <w:sz w:val="14"/>
          <w:szCs w:val="14"/>
          <w:color w:val="34657F"/>
        </w:rPr>
        <w:t xml:space="preserve">NOTICE OF 2019 ANNUAL MEETING OF SHAREHOLDERS AND PROXY STATEMENT </w:t>
      </w:r>
      <w:r>
        <w:rPr>
          <w:rFonts w:ascii="Arial" w:cs="Arial" w:eastAsia="Arial" w:hAnsi="Arial"/>
          <w:sz w:val="14"/>
          <w:szCs w:val="14"/>
          <w:color w:val="000000"/>
        </w:rPr>
        <w:t>I A-4</w:t>
      </w:r>
    </w:p>
    <w:p>
      <w:pPr>
        <w:sectPr>
          <w:pgSz w:w="11900" w:h="16838" w:orient="portrait"/>
          <w:cols w:equalWidth="0" w:num="1">
            <w:col w:w="11420"/>
          </w:cols>
          <w:pgMar w:left="240" w:top="646" w:right="239" w:bottom="1440" w:gutter="0" w:footer="0" w:header="0"/>
        </w:sectPr>
      </w:pPr>
    </w:p>
    <w:bookmarkStart w:id="92" w:name="page93"/>
    <w:bookmarkEnd w:id="92"/>
    <w:p>
      <w:pPr>
        <w:jc w:val="right"/>
        <w:spacing w:after="0"/>
        <w:rPr>
          <w:sz w:val="20"/>
          <w:szCs w:val="20"/>
          <w:color w:val="auto"/>
        </w:rPr>
      </w:pPr>
    </w:p>
    <w:p>
      <w:pPr>
        <w:sectPr>
          <w:pgSz w:w="11900" w:h="16838" w:orient="portrait"/>
          <w:cols w:equalWidth="1" w:num="1" w:space="0"/>
          <w:pgMar w:left="1440" w:top="1440" w:right="1440" w:bottom="875" w:gutter="0" w:footer="0" w:header="0"/>
        </w:sectPr>
      </w:pPr>
    </w:p>
    <w:bookmarkStart w:id="93" w:name="page94"/>
    <w:bookmarkEnd w:id="93"/>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894715</wp:posOffset>
            </wp:positionH>
            <wp:positionV relativeFrom="page">
              <wp:posOffset>626110</wp:posOffset>
            </wp:positionV>
            <wp:extent cx="5779770" cy="747331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clrChange>
                        <a:clrFrom>
                          <a:srgbClr val="FFFFFF"/>
                        </a:clrFrom>
                        <a:clrTo>
                          <a:srgbClr val="FFFFFF">
                            <a:alpha val="0"/>
                          </a:srgbClr>
                        </a:clrTo>
                      </a:clrChange>
                      <a:extLst>
                        <a:ext uri="{28A0092B-C50C-407E-A947-70E740481C1C}"/>
                      </a:extLst>
                    </a:blip>
                    <a:srcRect/>
                    <a:stretch>
                      <a:fillRect/>
                    </a:stretch>
                  </pic:blipFill>
                  <pic:spPr bwMode="auto">
                    <a:xfrm>
                      <a:off x="0" y="0"/>
                      <a:ext cx="5779770" cy="74733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4" w:name="page95"/>
    <w:bookmarkEnd w:id="9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154305</wp:posOffset>
            </wp:positionH>
            <wp:positionV relativeFrom="page">
              <wp:posOffset>626110</wp:posOffset>
            </wp:positionV>
            <wp:extent cx="5861685" cy="377761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clrChange>
                        <a:clrFrom>
                          <a:srgbClr val="FFFFFF"/>
                        </a:clrFrom>
                        <a:clrTo>
                          <a:srgbClr val="FFFFFF">
                            <a:alpha val="0"/>
                          </a:srgbClr>
                        </a:clrTo>
                      </a:clrChange>
                      <a:extLst>
                        <a:ext uri="{28A0092B-C50C-407E-A947-70E740481C1C}"/>
                      </a:extLst>
                    </a:blip>
                    <a:srcRect/>
                    <a:stretch>
                      <a:fillRect/>
                    </a:stretch>
                  </pic:blipFill>
                  <pic:spPr bwMode="auto">
                    <a:xfrm>
                      <a:off x="0" y="0"/>
                      <a:ext cx="5861685" cy="3777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5"/>
          <w:szCs w:val="15"/>
          <w:color w:val="FFFFFF"/>
          <w:highlight w:val="black"/>
        </w:rPr>
        <w:t xml:space="preserve">A </w:t>
      </w:r>
      <w:r>
        <w:rPr>
          <w:rFonts w:ascii="Arial" w:cs="Arial" w:eastAsia="Arial" w:hAnsi="Arial"/>
          <w:sz w:val="15"/>
          <w:szCs w:val="15"/>
          <w:b w:val="1"/>
          <w:bCs w:val="1"/>
          <w:color w:val="000000"/>
        </w:rPr>
        <w:t>Proposals - The Board of Directors recommends a vote</w:t>
      </w:r>
      <w:r>
        <w:rPr>
          <w:rFonts w:ascii="Arial" w:cs="Arial" w:eastAsia="Arial" w:hAnsi="Arial"/>
          <w:sz w:val="15"/>
          <w:szCs w:val="15"/>
          <w:color w:val="FFFFFF"/>
          <w:highlight w:val="black"/>
        </w:rPr>
        <w:t xml:space="preserve"> </w:t>
      </w:r>
      <w:r>
        <w:rPr>
          <w:rFonts w:ascii="Arial" w:cs="Arial" w:eastAsia="Arial" w:hAnsi="Arial"/>
          <w:sz w:val="15"/>
          <w:szCs w:val="15"/>
          <w:b w:val="1"/>
          <w:bCs w:val="1"/>
          <w:u w:val="single" w:color="auto"/>
          <w:color w:val="000000"/>
        </w:rPr>
        <w:t>FOR</w:t>
      </w:r>
      <w:r>
        <w:rPr>
          <w:rFonts w:ascii="Arial" w:cs="Arial" w:eastAsia="Arial" w:hAnsi="Arial"/>
          <w:sz w:val="15"/>
          <w:szCs w:val="15"/>
          <w:color w:val="FFFFFF"/>
          <w:highlight w:val="black"/>
        </w:rPr>
        <w:t xml:space="preserve"> </w:t>
      </w:r>
      <w:r>
        <w:rPr>
          <w:rFonts w:ascii="Arial" w:cs="Arial" w:eastAsia="Arial" w:hAnsi="Arial"/>
          <w:sz w:val="15"/>
          <w:szCs w:val="15"/>
          <w:b w:val="1"/>
          <w:bCs w:val="1"/>
          <w:color w:val="000000"/>
        </w:rPr>
        <w:t>all the nominees listed and</w:t>
      </w:r>
      <w:r>
        <w:rPr>
          <w:rFonts w:ascii="Arial" w:cs="Arial" w:eastAsia="Arial" w:hAnsi="Arial"/>
          <w:sz w:val="15"/>
          <w:szCs w:val="15"/>
          <w:color w:val="FFFFFF"/>
          <w:highlight w:val="black"/>
        </w:rPr>
        <w:t xml:space="preserve"> </w:t>
      </w:r>
      <w:r>
        <w:rPr>
          <w:rFonts w:ascii="Arial" w:cs="Arial" w:eastAsia="Arial" w:hAnsi="Arial"/>
          <w:sz w:val="15"/>
          <w:szCs w:val="15"/>
          <w:b w:val="1"/>
          <w:bCs w:val="1"/>
          <w:u w:val="single" w:color="auto"/>
          <w:color w:val="000000"/>
        </w:rPr>
        <w:t>FOR</w:t>
      </w:r>
      <w:r>
        <w:rPr>
          <w:rFonts w:ascii="Arial" w:cs="Arial" w:eastAsia="Arial" w:hAnsi="Arial"/>
          <w:sz w:val="15"/>
          <w:szCs w:val="15"/>
          <w:color w:val="FFFFFF"/>
          <w:highlight w:val="black"/>
        </w:rPr>
        <w:t xml:space="preserve"> </w:t>
      </w:r>
      <w:r>
        <w:rPr>
          <w:rFonts w:ascii="Arial" w:cs="Arial" w:eastAsia="Arial" w:hAnsi="Arial"/>
          <w:sz w:val="15"/>
          <w:szCs w:val="15"/>
          <w:b w:val="1"/>
          <w:bCs w:val="1"/>
          <w:color w:val="000000"/>
        </w:rPr>
        <w:t>Proposals 2 and 3.</w:t>
      </w:r>
    </w:p>
    <w:p>
      <w:pPr>
        <w:sectPr>
          <w:pgSz w:w="11900" w:h="16849" w:orient="portrait"/>
          <w:cols w:equalWidth="0" w:num="1">
            <w:col w:w="10219"/>
          </w:cols>
          <w:pgMar w:left="240" w:top="1440" w:right="1440" w:bottom="0" w:gutter="0" w:footer="0" w:header="0"/>
        </w:sectPr>
      </w:pPr>
    </w:p>
    <w:p>
      <w:pPr>
        <w:spacing w:after="0" w:line="157" w:lineRule="exact"/>
        <w:rPr>
          <w:sz w:val="20"/>
          <w:szCs w:val="20"/>
          <w:color w:val="auto"/>
        </w:rPr>
      </w:pPr>
    </w:p>
    <w:tbl>
      <w:tblPr>
        <w:tblLayout w:type="fixed"/>
        <w:tblInd w:w="20" w:type="dxa"/>
        <w:tblCellMar>
          <w:top w:w="0" w:type="dxa"/>
          <w:left w:w="0" w:type="dxa"/>
          <w:bottom w:w="0" w:type="dxa"/>
          <w:right w:w="0" w:type="dxa"/>
        </w:tblCellMar>
      </w:tblPr>
      <w:tr>
        <w:trPr>
          <w:trHeight w:val="176"/>
        </w:trPr>
        <w:tc>
          <w:tcPr>
            <w:tcW w:w="1440" w:type="dxa"/>
            <w:vAlign w:val="bottom"/>
            <w:gridSpan w:val="2"/>
          </w:tcPr>
          <w:p>
            <w:pPr>
              <w:spacing w:after="0"/>
              <w:rPr>
                <w:sz w:val="20"/>
                <w:szCs w:val="20"/>
                <w:color w:val="auto"/>
              </w:rPr>
            </w:pPr>
            <w:r>
              <w:rPr>
                <w:rFonts w:ascii="Arial" w:cs="Arial" w:eastAsia="Arial" w:hAnsi="Arial"/>
                <w:sz w:val="14"/>
                <w:szCs w:val="14"/>
                <w:b w:val="1"/>
                <w:bCs w:val="1"/>
                <w:color w:val="auto"/>
                <w:w w:val="90"/>
              </w:rPr>
              <w:t>1. Election of Directors:</w:t>
            </w:r>
          </w:p>
        </w:tc>
        <w:tc>
          <w:tcPr>
            <w:tcW w:w="1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256"/>
        </w:trPr>
        <w:tc>
          <w:tcPr>
            <w:tcW w:w="1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360" w:type="dxa"/>
            <w:vAlign w:val="bottom"/>
          </w:tcPr>
          <w:p>
            <w:pPr>
              <w:ind w:left="60"/>
              <w:spacing w:after="0"/>
              <w:rPr>
                <w:sz w:val="20"/>
                <w:szCs w:val="20"/>
                <w:color w:val="auto"/>
              </w:rPr>
            </w:pPr>
            <w:r>
              <w:rPr>
                <w:rFonts w:ascii="Arial" w:cs="Arial" w:eastAsia="Arial" w:hAnsi="Arial"/>
                <w:sz w:val="14"/>
                <w:szCs w:val="14"/>
                <w:color w:val="auto"/>
              </w:rPr>
              <w:t>For Against Abstain</w:t>
            </w:r>
          </w:p>
        </w:tc>
        <w:tc>
          <w:tcPr>
            <w:tcW w:w="34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400" w:type="dxa"/>
            <w:vAlign w:val="bottom"/>
          </w:tcPr>
          <w:p>
            <w:pPr>
              <w:ind w:left="80"/>
              <w:spacing w:after="0"/>
              <w:rPr>
                <w:sz w:val="20"/>
                <w:szCs w:val="20"/>
                <w:color w:val="auto"/>
              </w:rPr>
            </w:pPr>
            <w:r>
              <w:rPr>
                <w:rFonts w:ascii="Arial" w:cs="Arial" w:eastAsia="Arial" w:hAnsi="Arial"/>
                <w:sz w:val="14"/>
                <w:szCs w:val="14"/>
                <w:color w:val="auto"/>
              </w:rPr>
              <w:t>For Against Abstain</w:t>
            </w:r>
          </w:p>
        </w:tc>
        <w:tc>
          <w:tcPr>
            <w:tcW w:w="34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192"/>
        </w:trPr>
        <w:tc>
          <w:tcPr>
            <w:tcW w:w="160" w:type="dxa"/>
            <w:vAlign w:val="bottom"/>
          </w:tcPr>
          <w:p>
            <w:pPr>
              <w:spacing w:after="0"/>
              <w:rPr>
                <w:sz w:val="20"/>
                <w:szCs w:val="20"/>
                <w:color w:val="auto"/>
              </w:rPr>
            </w:pPr>
            <w:r>
              <w:rPr>
                <w:rFonts w:ascii="Arial" w:cs="Arial" w:eastAsia="Arial" w:hAnsi="Arial"/>
                <w:sz w:val="14"/>
                <w:szCs w:val="14"/>
                <w:color w:val="auto"/>
                <w:w w:val="89"/>
              </w:rPr>
              <w:t>01</w:t>
            </w:r>
          </w:p>
        </w:tc>
        <w:tc>
          <w:tcPr>
            <w:tcW w:w="1280" w:type="dxa"/>
            <w:vAlign w:val="bottom"/>
          </w:tcPr>
          <w:p>
            <w:pPr>
              <w:ind w:left="20"/>
              <w:spacing w:after="0"/>
              <w:rPr>
                <w:sz w:val="20"/>
                <w:szCs w:val="20"/>
                <w:color w:val="auto"/>
              </w:rPr>
            </w:pPr>
            <w:r>
              <w:rPr>
                <w:rFonts w:ascii="Arial" w:cs="Arial" w:eastAsia="Arial" w:hAnsi="Arial"/>
                <w:sz w:val="14"/>
                <w:szCs w:val="14"/>
                <w:color w:val="auto"/>
              </w:rPr>
              <w:t>- Wesley G. Bush</w:t>
            </w:r>
          </w:p>
        </w:tc>
        <w:tc>
          <w:tcPr>
            <w:tcW w:w="1360" w:type="dxa"/>
            <w:vAlign w:val="bottom"/>
          </w:tcPr>
          <w:p>
            <w:pPr>
              <w:ind w:left="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color w:val="FFFFFF"/>
              </w:rPr>
              <w:t>____</w:t>
            </w:r>
            <w:r>
              <w:rPr>
                <w:rFonts w:ascii="Arial" w:cs="Arial" w:eastAsia="Arial" w:hAnsi="Arial"/>
                <w:sz w:val="14"/>
                <w:szCs w:val="14"/>
                <w:color w:val="auto"/>
              </w:rPr>
              <w:t>□</w:t>
            </w:r>
            <w:r>
              <w:rPr>
                <w:rFonts w:ascii="Arial" w:cs="Arial" w:eastAsia="Arial" w:hAnsi="Arial"/>
                <w:sz w:val="14"/>
                <w:szCs w:val="14"/>
                <w:color w:val="FFFFFF"/>
              </w:rPr>
              <w:t>____</w:t>
            </w:r>
            <w:r>
              <w:rPr>
                <w:rFonts w:ascii="Arial" w:cs="Arial" w:eastAsia="Arial" w:hAnsi="Arial"/>
                <w:sz w:val="14"/>
                <w:szCs w:val="14"/>
                <w:color w:val="auto"/>
              </w:rPr>
              <w:t>□</w:t>
            </w:r>
          </w:p>
        </w:tc>
        <w:tc>
          <w:tcPr>
            <w:tcW w:w="340" w:type="dxa"/>
            <w:vAlign w:val="bottom"/>
          </w:tcPr>
          <w:p>
            <w:pPr>
              <w:jc w:val="right"/>
              <w:spacing w:after="0"/>
              <w:rPr>
                <w:sz w:val="20"/>
                <w:szCs w:val="20"/>
                <w:color w:val="auto"/>
              </w:rPr>
            </w:pPr>
            <w:r>
              <w:rPr>
                <w:rFonts w:ascii="Arial" w:cs="Arial" w:eastAsia="Arial" w:hAnsi="Arial"/>
                <w:sz w:val="14"/>
                <w:szCs w:val="14"/>
                <w:color w:val="auto"/>
              </w:rPr>
              <w:t>06</w:t>
            </w:r>
          </w:p>
        </w:tc>
        <w:tc>
          <w:tcPr>
            <w:tcW w:w="1420" w:type="dxa"/>
            <w:vAlign w:val="bottom"/>
          </w:tcPr>
          <w:p>
            <w:pPr>
              <w:ind w:left="20"/>
              <w:spacing w:after="0"/>
              <w:rPr>
                <w:sz w:val="20"/>
                <w:szCs w:val="20"/>
                <w:color w:val="auto"/>
              </w:rPr>
            </w:pPr>
            <w:r>
              <w:rPr>
                <w:rFonts w:ascii="Arial" w:cs="Arial" w:eastAsia="Arial" w:hAnsi="Arial"/>
                <w:sz w:val="14"/>
                <w:szCs w:val="14"/>
                <w:color w:val="auto"/>
                <w:w w:val="95"/>
              </w:rPr>
              <w:t>- William H. Hernandez</w:t>
            </w:r>
          </w:p>
        </w:tc>
        <w:tc>
          <w:tcPr>
            <w:tcW w:w="1400" w:type="dxa"/>
            <w:vAlign w:val="bottom"/>
          </w:tcPr>
          <w:p>
            <w:pPr>
              <w:ind w:left="8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color w:val="FFFFFF"/>
              </w:rPr>
              <w:t>____</w:t>
            </w:r>
            <w:r>
              <w:rPr>
                <w:rFonts w:ascii="Arial" w:cs="Arial" w:eastAsia="Arial" w:hAnsi="Arial"/>
                <w:sz w:val="14"/>
                <w:szCs w:val="14"/>
                <w:color w:val="auto"/>
              </w:rPr>
              <w:t>□</w:t>
            </w:r>
            <w:r>
              <w:rPr>
                <w:rFonts w:ascii="Arial" w:cs="Arial" w:eastAsia="Arial" w:hAnsi="Arial"/>
                <w:sz w:val="14"/>
                <w:szCs w:val="14"/>
                <w:color w:val="FFFFFF"/>
              </w:rPr>
              <w:t>____</w:t>
            </w:r>
            <w:r>
              <w:rPr>
                <w:rFonts w:ascii="Arial" w:cs="Arial" w:eastAsia="Arial" w:hAnsi="Arial"/>
                <w:sz w:val="14"/>
                <w:szCs w:val="14"/>
                <w:color w:val="auto"/>
              </w:rPr>
              <w:t>□</w:t>
            </w:r>
          </w:p>
        </w:tc>
        <w:tc>
          <w:tcPr>
            <w:tcW w:w="340" w:type="dxa"/>
            <w:vAlign w:val="bottom"/>
          </w:tcPr>
          <w:p>
            <w:pPr>
              <w:ind w:left="180"/>
              <w:spacing w:after="0"/>
              <w:rPr>
                <w:sz w:val="20"/>
                <w:szCs w:val="20"/>
                <w:color w:val="auto"/>
              </w:rPr>
            </w:pPr>
            <w:r>
              <w:rPr>
                <w:rFonts w:ascii="Arial" w:cs="Arial" w:eastAsia="Arial" w:hAnsi="Arial"/>
                <w:sz w:val="14"/>
                <w:szCs w:val="14"/>
                <w:color w:val="auto"/>
                <w:w w:val="89"/>
              </w:rPr>
              <w:t>10</w:t>
            </w:r>
          </w:p>
        </w:tc>
        <w:tc>
          <w:tcPr>
            <w:tcW w:w="1260" w:type="dxa"/>
            <w:vAlign w:val="bottom"/>
          </w:tcPr>
          <w:p>
            <w:pPr>
              <w:ind w:left="20"/>
              <w:spacing w:after="0"/>
              <w:rPr>
                <w:sz w:val="20"/>
                <w:szCs w:val="20"/>
                <w:color w:val="auto"/>
              </w:rPr>
            </w:pPr>
            <w:r>
              <w:rPr>
                <w:rFonts w:ascii="Arial" w:cs="Arial" w:eastAsia="Arial" w:hAnsi="Arial"/>
                <w:sz w:val="14"/>
                <w:szCs w:val="14"/>
                <w:color w:val="auto"/>
                <w:w w:val="87"/>
              </w:rPr>
              <w:t>- Thomas M. Schoewe</w:t>
            </w:r>
          </w:p>
        </w:tc>
      </w:tr>
      <w:tr>
        <w:trPr>
          <w:trHeight w:val="192"/>
        </w:trPr>
        <w:tc>
          <w:tcPr>
            <w:tcW w:w="160" w:type="dxa"/>
            <w:vAlign w:val="bottom"/>
          </w:tcPr>
          <w:p>
            <w:pPr>
              <w:spacing w:after="0"/>
              <w:rPr>
                <w:sz w:val="20"/>
                <w:szCs w:val="20"/>
                <w:color w:val="auto"/>
              </w:rPr>
            </w:pPr>
            <w:r>
              <w:rPr>
                <w:rFonts w:ascii="Arial" w:cs="Arial" w:eastAsia="Arial" w:hAnsi="Arial"/>
                <w:sz w:val="14"/>
                <w:szCs w:val="14"/>
                <w:color w:val="auto"/>
                <w:w w:val="89"/>
              </w:rPr>
              <w:t>02</w:t>
            </w:r>
          </w:p>
        </w:tc>
        <w:tc>
          <w:tcPr>
            <w:tcW w:w="1280" w:type="dxa"/>
            <w:vAlign w:val="bottom"/>
          </w:tcPr>
          <w:p>
            <w:pPr>
              <w:ind w:left="20"/>
              <w:spacing w:after="0"/>
              <w:rPr>
                <w:sz w:val="20"/>
                <w:szCs w:val="20"/>
                <w:color w:val="auto"/>
              </w:rPr>
            </w:pPr>
            <w:r>
              <w:rPr>
                <w:rFonts w:ascii="Arial" w:cs="Arial" w:eastAsia="Arial" w:hAnsi="Arial"/>
                <w:sz w:val="14"/>
                <w:szCs w:val="14"/>
                <w:color w:val="auto"/>
                <w:w w:val="96"/>
              </w:rPr>
              <w:t>- Marianne C. Brown</w:t>
            </w:r>
          </w:p>
        </w:tc>
        <w:tc>
          <w:tcPr>
            <w:tcW w:w="1360" w:type="dxa"/>
            <w:vAlign w:val="bottom"/>
          </w:tcPr>
          <w:p>
            <w:pPr>
              <w:ind w:left="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color w:val="FFFFFF"/>
              </w:rPr>
              <w:t>____</w:t>
            </w:r>
            <w:r>
              <w:rPr>
                <w:rFonts w:ascii="Arial" w:cs="Arial" w:eastAsia="Arial" w:hAnsi="Arial"/>
                <w:sz w:val="14"/>
                <w:szCs w:val="14"/>
                <w:color w:val="auto"/>
              </w:rPr>
              <w:t>□</w:t>
            </w:r>
            <w:r>
              <w:rPr>
                <w:rFonts w:ascii="Arial" w:cs="Arial" w:eastAsia="Arial" w:hAnsi="Arial"/>
                <w:sz w:val="14"/>
                <w:szCs w:val="14"/>
                <w:color w:val="FFFFFF"/>
              </w:rPr>
              <w:t>____</w:t>
            </w:r>
            <w:r>
              <w:rPr>
                <w:rFonts w:ascii="Arial" w:cs="Arial" w:eastAsia="Arial" w:hAnsi="Arial"/>
                <w:sz w:val="14"/>
                <w:szCs w:val="14"/>
                <w:color w:val="auto"/>
              </w:rPr>
              <w:t>□</w:t>
            </w:r>
          </w:p>
        </w:tc>
        <w:tc>
          <w:tcPr>
            <w:tcW w:w="340" w:type="dxa"/>
            <w:vAlign w:val="bottom"/>
          </w:tcPr>
          <w:p>
            <w:pPr>
              <w:jc w:val="right"/>
              <w:spacing w:after="0"/>
              <w:rPr>
                <w:sz w:val="20"/>
                <w:szCs w:val="20"/>
                <w:color w:val="auto"/>
              </w:rPr>
            </w:pPr>
            <w:r>
              <w:rPr>
                <w:rFonts w:ascii="Arial" w:cs="Arial" w:eastAsia="Arial" w:hAnsi="Arial"/>
                <w:sz w:val="14"/>
                <w:szCs w:val="14"/>
                <w:color w:val="auto"/>
              </w:rPr>
              <w:t>07</w:t>
            </w:r>
          </w:p>
        </w:tc>
        <w:tc>
          <w:tcPr>
            <w:tcW w:w="1420" w:type="dxa"/>
            <w:vAlign w:val="bottom"/>
          </w:tcPr>
          <w:p>
            <w:pPr>
              <w:ind w:left="20"/>
              <w:spacing w:after="0"/>
              <w:rPr>
                <w:sz w:val="20"/>
                <w:szCs w:val="20"/>
                <w:color w:val="auto"/>
              </w:rPr>
            </w:pPr>
            <w:r>
              <w:rPr>
                <w:rFonts w:ascii="Arial" w:cs="Arial" w:eastAsia="Arial" w:hAnsi="Arial"/>
                <w:sz w:val="14"/>
                <w:szCs w:val="14"/>
                <w:color w:val="auto"/>
              </w:rPr>
              <w:t>- Madeleine A. Kleiner</w:t>
            </w:r>
          </w:p>
        </w:tc>
        <w:tc>
          <w:tcPr>
            <w:tcW w:w="1400" w:type="dxa"/>
            <w:vAlign w:val="bottom"/>
          </w:tcPr>
          <w:p>
            <w:pPr>
              <w:ind w:left="8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color w:val="FFFFFF"/>
              </w:rPr>
              <w:t>____</w:t>
            </w:r>
            <w:r>
              <w:rPr>
                <w:rFonts w:ascii="Arial" w:cs="Arial" w:eastAsia="Arial" w:hAnsi="Arial"/>
                <w:sz w:val="14"/>
                <w:szCs w:val="14"/>
                <w:color w:val="auto"/>
              </w:rPr>
              <w:t>□</w:t>
            </w:r>
            <w:r>
              <w:rPr>
                <w:rFonts w:ascii="Arial" w:cs="Arial" w:eastAsia="Arial" w:hAnsi="Arial"/>
                <w:sz w:val="14"/>
                <w:szCs w:val="14"/>
                <w:color w:val="FFFFFF"/>
              </w:rPr>
              <w:t>____</w:t>
            </w:r>
            <w:r>
              <w:rPr>
                <w:rFonts w:ascii="Arial" w:cs="Arial" w:eastAsia="Arial" w:hAnsi="Arial"/>
                <w:sz w:val="14"/>
                <w:szCs w:val="14"/>
                <w:color w:val="auto"/>
              </w:rPr>
              <w:t>□</w:t>
            </w:r>
          </w:p>
        </w:tc>
        <w:tc>
          <w:tcPr>
            <w:tcW w:w="1600" w:type="dxa"/>
            <w:vAlign w:val="bottom"/>
            <w:gridSpan w:val="2"/>
          </w:tcPr>
          <w:p>
            <w:pPr>
              <w:ind w:left="180"/>
              <w:spacing w:after="0"/>
              <w:rPr>
                <w:sz w:val="20"/>
                <w:szCs w:val="20"/>
                <w:color w:val="auto"/>
              </w:rPr>
            </w:pPr>
            <w:r>
              <w:rPr>
                <w:rFonts w:ascii="Arial" w:cs="Arial" w:eastAsia="Arial" w:hAnsi="Arial"/>
                <w:sz w:val="14"/>
                <w:szCs w:val="14"/>
                <w:color w:val="auto"/>
              </w:rPr>
              <w:t>11 - James S. Turley</w:t>
            </w:r>
          </w:p>
        </w:tc>
      </w:tr>
      <w:tr>
        <w:trPr>
          <w:trHeight w:val="192"/>
        </w:trPr>
        <w:tc>
          <w:tcPr>
            <w:tcW w:w="160" w:type="dxa"/>
            <w:vAlign w:val="bottom"/>
          </w:tcPr>
          <w:p>
            <w:pPr>
              <w:spacing w:after="0"/>
              <w:rPr>
                <w:sz w:val="20"/>
                <w:szCs w:val="20"/>
                <w:color w:val="auto"/>
              </w:rPr>
            </w:pPr>
            <w:r>
              <w:rPr>
                <w:rFonts w:ascii="Arial" w:cs="Arial" w:eastAsia="Arial" w:hAnsi="Arial"/>
                <w:sz w:val="14"/>
                <w:szCs w:val="14"/>
                <w:color w:val="auto"/>
                <w:w w:val="89"/>
              </w:rPr>
              <w:t>03</w:t>
            </w:r>
          </w:p>
        </w:tc>
        <w:tc>
          <w:tcPr>
            <w:tcW w:w="1280" w:type="dxa"/>
            <w:vAlign w:val="bottom"/>
          </w:tcPr>
          <w:p>
            <w:pPr>
              <w:ind w:left="20"/>
              <w:spacing w:after="0"/>
              <w:rPr>
                <w:sz w:val="20"/>
                <w:szCs w:val="20"/>
                <w:color w:val="auto"/>
              </w:rPr>
            </w:pPr>
            <w:r>
              <w:rPr>
                <w:rFonts w:ascii="Arial" w:cs="Arial" w:eastAsia="Arial" w:hAnsi="Arial"/>
                <w:sz w:val="14"/>
                <w:szCs w:val="14"/>
                <w:color w:val="auto"/>
                <w:w w:val="94"/>
              </w:rPr>
              <w:t>- Donald E. Felsinger</w:t>
            </w:r>
          </w:p>
        </w:tc>
        <w:tc>
          <w:tcPr>
            <w:tcW w:w="1360" w:type="dxa"/>
            <w:vAlign w:val="bottom"/>
          </w:tcPr>
          <w:p>
            <w:pPr>
              <w:ind w:left="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color w:val="FFFFFF"/>
              </w:rPr>
              <w:t>____</w:t>
            </w:r>
            <w:r>
              <w:rPr>
                <w:rFonts w:ascii="Arial" w:cs="Arial" w:eastAsia="Arial" w:hAnsi="Arial"/>
                <w:sz w:val="14"/>
                <w:szCs w:val="14"/>
                <w:color w:val="auto"/>
              </w:rPr>
              <w:t>□</w:t>
            </w:r>
            <w:r>
              <w:rPr>
                <w:rFonts w:ascii="Arial" w:cs="Arial" w:eastAsia="Arial" w:hAnsi="Arial"/>
                <w:sz w:val="14"/>
                <w:szCs w:val="14"/>
                <w:color w:val="FFFFFF"/>
              </w:rPr>
              <w:t>____</w:t>
            </w:r>
            <w:r>
              <w:rPr>
                <w:rFonts w:ascii="Arial" w:cs="Arial" w:eastAsia="Arial" w:hAnsi="Arial"/>
                <w:sz w:val="14"/>
                <w:szCs w:val="14"/>
                <w:color w:val="auto"/>
              </w:rPr>
              <w:t>□</w:t>
            </w:r>
          </w:p>
        </w:tc>
        <w:tc>
          <w:tcPr>
            <w:tcW w:w="340" w:type="dxa"/>
            <w:vAlign w:val="bottom"/>
          </w:tcPr>
          <w:p>
            <w:pPr>
              <w:jc w:val="right"/>
              <w:spacing w:after="0"/>
              <w:rPr>
                <w:sz w:val="20"/>
                <w:szCs w:val="20"/>
                <w:color w:val="auto"/>
              </w:rPr>
            </w:pPr>
            <w:r>
              <w:rPr>
                <w:rFonts w:ascii="Arial" w:cs="Arial" w:eastAsia="Arial" w:hAnsi="Arial"/>
                <w:sz w:val="14"/>
                <w:szCs w:val="14"/>
                <w:color w:val="auto"/>
              </w:rPr>
              <w:t>08</w:t>
            </w:r>
          </w:p>
        </w:tc>
        <w:tc>
          <w:tcPr>
            <w:tcW w:w="1420" w:type="dxa"/>
            <w:vAlign w:val="bottom"/>
          </w:tcPr>
          <w:p>
            <w:pPr>
              <w:ind w:left="20"/>
              <w:spacing w:after="0"/>
              <w:rPr>
                <w:sz w:val="20"/>
                <w:szCs w:val="20"/>
                <w:color w:val="auto"/>
              </w:rPr>
            </w:pPr>
            <w:r>
              <w:rPr>
                <w:rFonts w:ascii="Arial" w:cs="Arial" w:eastAsia="Arial" w:hAnsi="Arial"/>
                <w:sz w:val="14"/>
                <w:szCs w:val="14"/>
                <w:color w:val="auto"/>
              </w:rPr>
              <w:t>- Karl J. Krapek</w:t>
            </w:r>
          </w:p>
        </w:tc>
        <w:tc>
          <w:tcPr>
            <w:tcW w:w="1400" w:type="dxa"/>
            <w:vAlign w:val="bottom"/>
          </w:tcPr>
          <w:p>
            <w:pPr>
              <w:ind w:left="8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color w:val="FFFFFF"/>
              </w:rPr>
              <w:t>____</w:t>
            </w:r>
            <w:r>
              <w:rPr>
                <w:rFonts w:ascii="Arial" w:cs="Arial" w:eastAsia="Arial" w:hAnsi="Arial"/>
                <w:sz w:val="14"/>
                <w:szCs w:val="14"/>
                <w:color w:val="auto"/>
              </w:rPr>
              <w:t>□</w:t>
            </w:r>
            <w:r>
              <w:rPr>
                <w:rFonts w:ascii="Arial" w:cs="Arial" w:eastAsia="Arial" w:hAnsi="Arial"/>
                <w:sz w:val="14"/>
                <w:szCs w:val="14"/>
                <w:color w:val="FFFFFF"/>
              </w:rPr>
              <w:t>____</w:t>
            </w:r>
            <w:r>
              <w:rPr>
                <w:rFonts w:ascii="Arial" w:cs="Arial" w:eastAsia="Arial" w:hAnsi="Arial"/>
                <w:sz w:val="14"/>
                <w:szCs w:val="14"/>
                <w:color w:val="auto"/>
              </w:rPr>
              <w:t>□</w:t>
            </w:r>
          </w:p>
        </w:tc>
        <w:tc>
          <w:tcPr>
            <w:tcW w:w="340" w:type="dxa"/>
            <w:vAlign w:val="bottom"/>
          </w:tcPr>
          <w:p>
            <w:pPr>
              <w:ind w:left="180"/>
              <w:spacing w:after="0"/>
              <w:rPr>
                <w:sz w:val="20"/>
                <w:szCs w:val="20"/>
                <w:color w:val="auto"/>
              </w:rPr>
            </w:pPr>
            <w:r>
              <w:rPr>
                <w:rFonts w:ascii="Arial" w:cs="Arial" w:eastAsia="Arial" w:hAnsi="Arial"/>
                <w:sz w:val="14"/>
                <w:szCs w:val="14"/>
                <w:color w:val="auto"/>
                <w:w w:val="89"/>
              </w:rPr>
              <w:t>12</w:t>
            </w:r>
          </w:p>
        </w:tc>
        <w:tc>
          <w:tcPr>
            <w:tcW w:w="1260" w:type="dxa"/>
            <w:vAlign w:val="bottom"/>
          </w:tcPr>
          <w:p>
            <w:pPr>
              <w:ind w:left="20"/>
              <w:spacing w:after="0"/>
              <w:rPr>
                <w:sz w:val="20"/>
                <w:szCs w:val="20"/>
                <w:color w:val="auto"/>
              </w:rPr>
            </w:pPr>
            <w:r>
              <w:rPr>
                <w:rFonts w:ascii="Arial" w:cs="Arial" w:eastAsia="Arial" w:hAnsi="Arial"/>
                <w:sz w:val="14"/>
                <w:szCs w:val="14"/>
                <w:color w:val="auto"/>
              </w:rPr>
              <w:t>- Kathy J. Warden</w:t>
            </w:r>
          </w:p>
        </w:tc>
      </w:tr>
      <w:tr>
        <w:trPr>
          <w:trHeight w:val="192"/>
        </w:trPr>
        <w:tc>
          <w:tcPr>
            <w:tcW w:w="160" w:type="dxa"/>
            <w:vAlign w:val="bottom"/>
          </w:tcPr>
          <w:p>
            <w:pPr>
              <w:spacing w:after="0"/>
              <w:rPr>
                <w:sz w:val="20"/>
                <w:szCs w:val="20"/>
                <w:color w:val="auto"/>
              </w:rPr>
            </w:pPr>
            <w:r>
              <w:rPr>
                <w:rFonts w:ascii="Arial" w:cs="Arial" w:eastAsia="Arial" w:hAnsi="Arial"/>
                <w:sz w:val="14"/>
                <w:szCs w:val="14"/>
                <w:color w:val="auto"/>
                <w:w w:val="89"/>
              </w:rPr>
              <w:t>04</w:t>
            </w:r>
          </w:p>
        </w:tc>
        <w:tc>
          <w:tcPr>
            <w:tcW w:w="1280" w:type="dxa"/>
            <w:vAlign w:val="bottom"/>
          </w:tcPr>
          <w:p>
            <w:pPr>
              <w:ind w:left="20"/>
              <w:spacing w:after="0"/>
              <w:rPr>
                <w:sz w:val="20"/>
                <w:szCs w:val="20"/>
                <w:color w:val="auto"/>
              </w:rPr>
            </w:pPr>
            <w:r>
              <w:rPr>
                <w:rFonts w:ascii="Arial" w:cs="Arial" w:eastAsia="Arial" w:hAnsi="Arial"/>
                <w:sz w:val="14"/>
                <w:szCs w:val="14"/>
                <w:color w:val="auto"/>
              </w:rPr>
              <w:t>- Ann M. Fudge</w:t>
            </w:r>
          </w:p>
        </w:tc>
        <w:tc>
          <w:tcPr>
            <w:tcW w:w="1360" w:type="dxa"/>
            <w:vAlign w:val="bottom"/>
          </w:tcPr>
          <w:p>
            <w:pPr>
              <w:ind w:left="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color w:val="FFFFFF"/>
              </w:rPr>
              <w:t>____</w:t>
            </w:r>
            <w:r>
              <w:rPr>
                <w:rFonts w:ascii="Arial" w:cs="Arial" w:eastAsia="Arial" w:hAnsi="Arial"/>
                <w:sz w:val="14"/>
                <w:szCs w:val="14"/>
                <w:color w:val="auto"/>
              </w:rPr>
              <w:t>□</w:t>
            </w:r>
            <w:r>
              <w:rPr>
                <w:rFonts w:ascii="Arial" w:cs="Arial" w:eastAsia="Arial" w:hAnsi="Arial"/>
                <w:sz w:val="14"/>
                <w:szCs w:val="14"/>
                <w:color w:val="FFFFFF"/>
              </w:rPr>
              <w:t>____</w:t>
            </w:r>
            <w:r>
              <w:rPr>
                <w:rFonts w:ascii="Arial" w:cs="Arial" w:eastAsia="Arial" w:hAnsi="Arial"/>
                <w:sz w:val="14"/>
                <w:szCs w:val="14"/>
                <w:color w:val="auto"/>
              </w:rPr>
              <w:t>□</w:t>
            </w:r>
          </w:p>
        </w:tc>
        <w:tc>
          <w:tcPr>
            <w:tcW w:w="340" w:type="dxa"/>
            <w:vAlign w:val="bottom"/>
          </w:tcPr>
          <w:p>
            <w:pPr>
              <w:jc w:val="right"/>
              <w:spacing w:after="0"/>
              <w:rPr>
                <w:sz w:val="20"/>
                <w:szCs w:val="20"/>
                <w:color w:val="auto"/>
              </w:rPr>
            </w:pPr>
            <w:r>
              <w:rPr>
                <w:rFonts w:ascii="Arial" w:cs="Arial" w:eastAsia="Arial" w:hAnsi="Arial"/>
                <w:sz w:val="14"/>
                <w:szCs w:val="14"/>
                <w:color w:val="auto"/>
              </w:rPr>
              <w:t>09</w:t>
            </w:r>
          </w:p>
        </w:tc>
        <w:tc>
          <w:tcPr>
            <w:tcW w:w="1420" w:type="dxa"/>
            <w:vAlign w:val="bottom"/>
          </w:tcPr>
          <w:p>
            <w:pPr>
              <w:ind w:left="20"/>
              <w:spacing w:after="0"/>
              <w:rPr>
                <w:sz w:val="20"/>
                <w:szCs w:val="20"/>
                <w:color w:val="auto"/>
              </w:rPr>
            </w:pPr>
            <w:r>
              <w:rPr>
                <w:rFonts w:ascii="Arial" w:cs="Arial" w:eastAsia="Arial" w:hAnsi="Arial"/>
                <w:sz w:val="14"/>
                <w:szCs w:val="14"/>
                <w:color w:val="auto"/>
              </w:rPr>
              <w:t>- Gary Roughead</w:t>
            </w:r>
          </w:p>
        </w:tc>
        <w:tc>
          <w:tcPr>
            <w:tcW w:w="1400" w:type="dxa"/>
            <w:vAlign w:val="bottom"/>
          </w:tcPr>
          <w:p>
            <w:pPr>
              <w:ind w:left="8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color w:val="FFFFFF"/>
              </w:rPr>
              <w:t>____</w:t>
            </w:r>
            <w:r>
              <w:rPr>
                <w:rFonts w:ascii="Arial" w:cs="Arial" w:eastAsia="Arial" w:hAnsi="Arial"/>
                <w:sz w:val="14"/>
                <w:szCs w:val="14"/>
                <w:color w:val="auto"/>
              </w:rPr>
              <w:t>□</w:t>
            </w:r>
            <w:r>
              <w:rPr>
                <w:rFonts w:ascii="Arial" w:cs="Arial" w:eastAsia="Arial" w:hAnsi="Arial"/>
                <w:sz w:val="14"/>
                <w:szCs w:val="14"/>
                <w:color w:val="FFFFFF"/>
              </w:rPr>
              <w:t>____</w:t>
            </w:r>
            <w:r>
              <w:rPr>
                <w:rFonts w:ascii="Arial" w:cs="Arial" w:eastAsia="Arial" w:hAnsi="Arial"/>
                <w:sz w:val="14"/>
                <w:szCs w:val="14"/>
                <w:color w:val="auto"/>
              </w:rPr>
              <w:t>□</w:t>
            </w:r>
          </w:p>
        </w:tc>
        <w:tc>
          <w:tcPr>
            <w:tcW w:w="340" w:type="dxa"/>
            <w:vAlign w:val="bottom"/>
          </w:tcPr>
          <w:p>
            <w:pPr>
              <w:ind w:left="180"/>
              <w:spacing w:after="0"/>
              <w:rPr>
                <w:sz w:val="20"/>
                <w:szCs w:val="20"/>
                <w:color w:val="auto"/>
              </w:rPr>
            </w:pPr>
            <w:r>
              <w:rPr>
                <w:rFonts w:ascii="Arial" w:cs="Arial" w:eastAsia="Arial" w:hAnsi="Arial"/>
                <w:sz w:val="14"/>
                <w:szCs w:val="14"/>
                <w:color w:val="auto"/>
                <w:w w:val="89"/>
              </w:rPr>
              <w:t>13</w:t>
            </w:r>
          </w:p>
        </w:tc>
        <w:tc>
          <w:tcPr>
            <w:tcW w:w="1260" w:type="dxa"/>
            <w:vAlign w:val="bottom"/>
          </w:tcPr>
          <w:p>
            <w:pPr>
              <w:ind w:left="20"/>
              <w:spacing w:after="0"/>
              <w:rPr>
                <w:sz w:val="20"/>
                <w:szCs w:val="20"/>
                <w:color w:val="auto"/>
              </w:rPr>
            </w:pPr>
            <w:r>
              <w:rPr>
                <w:rFonts w:ascii="Arial" w:cs="Arial" w:eastAsia="Arial" w:hAnsi="Arial"/>
                <w:sz w:val="14"/>
                <w:szCs w:val="14"/>
                <w:color w:val="auto"/>
              </w:rPr>
              <w:t>- Mark A. Welsh III</w:t>
            </w:r>
          </w:p>
        </w:tc>
      </w:tr>
      <w:tr>
        <w:trPr>
          <w:trHeight w:val="256"/>
        </w:trPr>
        <w:tc>
          <w:tcPr>
            <w:tcW w:w="160" w:type="dxa"/>
            <w:vAlign w:val="bottom"/>
          </w:tcPr>
          <w:p>
            <w:pPr>
              <w:spacing w:after="0"/>
              <w:rPr>
                <w:sz w:val="20"/>
                <w:szCs w:val="20"/>
                <w:color w:val="auto"/>
              </w:rPr>
            </w:pPr>
            <w:r>
              <w:rPr>
                <w:rFonts w:ascii="Arial" w:cs="Arial" w:eastAsia="Arial" w:hAnsi="Arial"/>
                <w:sz w:val="14"/>
                <w:szCs w:val="14"/>
                <w:color w:val="auto"/>
                <w:w w:val="89"/>
              </w:rPr>
              <w:t>05</w:t>
            </w:r>
          </w:p>
        </w:tc>
        <w:tc>
          <w:tcPr>
            <w:tcW w:w="1280" w:type="dxa"/>
            <w:vAlign w:val="bottom"/>
          </w:tcPr>
          <w:p>
            <w:pPr>
              <w:ind w:left="20"/>
              <w:spacing w:after="0"/>
              <w:rPr>
                <w:sz w:val="20"/>
                <w:szCs w:val="20"/>
                <w:color w:val="auto"/>
              </w:rPr>
            </w:pPr>
            <w:r>
              <w:rPr>
                <w:rFonts w:ascii="Arial" w:cs="Arial" w:eastAsia="Arial" w:hAnsi="Arial"/>
                <w:sz w:val="14"/>
                <w:szCs w:val="14"/>
                <w:color w:val="auto"/>
              </w:rPr>
              <w:t>- Bruce S. Gordon</w:t>
            </w:r>
          </w:p>
        </w:tc>
        <w:tc>
          <w:tcPr>
            <w:tcW w:w="1360" w:type="dxa"/>
            <w:vAlign w:val="bottom"/>
          </w:tcPr>
          <w:p>
            <w:pPr>
              <w:ind w:left="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color w:val="FFFFFF"/>
              </w:rPr>
              <w:t>____</w:t>
            </w:r>
            <w:r>
              <w:rPr>
                <w:rFonts w:ascii="Arial" w:cs="Arial" w:eastAsia="Arial" w:hAnsi="Arial"/>
                <w:sz w:val="14"/>
                <w:szCs w:val="14"/>
                <w:color w:val="auto"/>
              </w:rPr>
              <w:t>□</w:t>
            </w:r>
            <w:r>
              <w:rPr>
                <w:rFonts w:ascii="Arial" w:cs="Arial" w:eastAsia="Arial" w:hAnsi="Arial"/>
                <w:sz w:val="14"/>
                <w:szCs w:val="14"/>
                <w:color w:val="FFFFFF"/>
              </w:rPr>
              <w:t>____</w:t>
            </w: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60" w:type="dxa"/>
            <w:vAlign w:val="bottom"/>
          </w:tcPr>
          <w:p>
            <w:pPr>
              <w:spacing w:after="0"/>
              <w:rPr>
                <w:sz w:val="22"/>
                <w:szCs w:val="22"/>
                <w:color w:val="auto"/>
              </w:rPr>
            </w:pPr>
          </w:p>
        </w:tc>
      </w:tr>
    </w:tbl>
    <w:p>
      <w:pPr>
        <w:spacing w:after="0" w:line="273" w:lineRule="exact"/>
        <w:rPr>
          <w:sz w:val="20"/>
          <w:szCs w:val="20"/>
          <w:color w:val="auto"/>
        </w:rPr>
      </w:pPr>
    </w:p>
    <w:p>
      <w:pPr>
        <w:ind w:left="160" w:hanging="132"/>
        <w:spacing w:after="0"/>
        <w:tabs>
          <w:tab w:leader="none" w:pos="160" w:val="left"/>
        </w:tabs>
        <w:numPr>
          <w:ilvl w:val="0"/>
          <w:numId w:val="103"/>
        </w:numPr>
        <w:rPr>
          <w:rFonts w:ascii="Arial" w:cs="Arial" w:eastAsia="Arial" w:hAnsi="Arial"/>
          <w:sz w:val="14"/>
          <w:szCs w:val="14"/>
          <w:b w:val="1"/>
          <w:bCs w:val="1"/>
          <w:color w:val="auto"/>
        </w:rPr>
      </w:pPr>
      <w:r>
        <w:rPr>
          <w:rFonts w:ascii="Arial" w:cs="Arial" w:eastAsia="Arial" w:hAnsi="Arial"/>
          <w:sz w:val="14"/>
          <w:szCs w:val="14"/>
          <w:b w:val="1"/>
          <w:bCs w:val="1"/>
          <w:color w:val="auto"/>
        </w:rPr>
        <w:t>Proposal to approve, on an advisory basis, the compensation of the Company's Named Executive Officers.</w:t>
      </w:r>
    </w:p>
    <w:p>
      <w:pPr>
        <w:spacing w:after="0" w:line="281" w:lineRule="exact"/>
        <w:rPr>
          <w:rFonts w:ascii="Arial" w:cs="Arial" w:eastAsia="Arial" w:hAnsi="Arial"/>
          <w:sz w:val="14"/>
          <w:szCs w:val="14"/>
          <w:b w:val="1"/>
          <w:bCs w:val="1"/>
          <w:color w:val="auto"/>
        </w:rPr>
      </w:pPr>
    </w:p>
    <w:p>
      <w:pPr>
        <w:ind w:left="160" w:hanging="132"/>
        <w:spacing w:after="0"/>
        <w:tabs>
          <w:tab w:leader="none" w:pos="160" w:val="left"/>
        </w:tabs>
        <w:numPr>
          <w:ilvl w:val="0"/>
          <w:numId w:val="103"/>
        </w:numPr>
        <w:rPr>
          <w:rFonts w:ascii="Arial" w:cs="Arial" w:eastAsia="Arial" w:hAnsi="Arial"/>
          <w:sz w:val="14"/>
          <w:szCs w:val="14"/>
          <w:b w:val="1"/>
          <w:bCs w:val="1"/>
          <w:color w:val="auto"/>
        </w:rPr>
      </w:pPr>
      <w:r>
        <w:rPr>
          <w:rFonts w:ascii="Arial" w:cs="Arial" w:eastAsia="Arial" w:hAnsi="Arial"/>
          <w:sz w:val="14"/>
          <w:szCs w:val="14"/>
          <w:b w:val="1"/>
          <w:bCs w:val="1"/>
          <w:color w:val="auto"/>
        </w:rPr>
        <w:t>Proposal to ratify the appointment of Deloitte &amp; Touche LLP as the Company's Independent Auditor</w:t>
      </w:r>
    </w:p>
    <w:p>
      <w:pPr>
        <w:ind w:left="20"/>
        <w:spacing w:after="0"/>
        <w:rPr>
          <w:sz w:val="20"/>
          <w:szCs w:val="20"/>
          <w:color w:val="auto"/>
        </w:rPr>
      </w:pPr>
      <w:r>
        <w:rPr>
          <w:rFonts w:ascii="Arial" w:cs="Arial" w:eastAsia="Arial" w:hAnsi="Arial"/>
          <w:sz w:val="14"/>
          <w:szCs w:val="14"/>
          <w:b w:val="1"/>
          <w:bCs w:val="1"/>
          <w:color w:val="auto"/>
        </w:rPr>
        <w:t>for fiscal year ending December 31, 2019.</w:t>
      </w:r>
    </w:p>
    <w:p>
      <w:pPr>
        <w:spacing w:after="0" w:line="363" w:lineRule="exact"/>
        <w:rPr>
          <w:sz w:val="20"/>
          <w:szCs w:val="20"/>
          <w:color w:val="auto"/>
        </w:rPr>
      </w:pPr>
    </w:p>
    <w:p>
      <w:pPr>
        <w:ind w:left="420"/>
        <w:spacing w:after="0"/>
        <w:rPr>
          <w:sz w:val="20"/>
          <w:szCs w:val="20"/>
          <w:color w:val="auto"/>
        </w:rPr>
      </w:pPr>
      <w:r>
        <w:rPr>
          <w:rFonts w:ascii="Arial" w:cs="Arial" w:eastAsia="Arial" w:hAnsi="Arial"/>
          <w:sz w:val="14"/>
          <w:szCs w:val="14"/>
          <w:b w:val="1"/>
          <w:bCs w:val="1"/>
          <w:color w:val="auto"/>
        </w:rPr>
        <w:t xml:space="preserve">The Board of Directors recommends a vote </w:t>
      </w:r>
      <w:r>
        <w:rPr>
          <w:rFonts w:ascii="Arial" w:cs="Arial" w:eastAsia="Arial" w:hAnsi="Arial"/>
          <w:sz w:val="14"/>
          <w:szCs w:val="14"/>
          <w:b w:val="1"/>
          <w:bCs w:val="1"/>
          <w:u w:val="single" w:color="auto"/>
          <w:color w:val="auto"/>
        </w:rPr>
        <w:t>AGAINST</w:t>
      </w:r>
      <w:r>
        <w:rPr>
          <w:rFonts w:ascii="Arial" w:cs="Arial" w:eastAsia="Arial" w:hAnsi="Arial"/>
          <w:sz w:val="14"/>
          <w:szCs w:val="14"/>
          <w:b w:val="1"/>
          <w:bCs w:val="1"/>
          <w:color w:val="auto"/>
        </w:rPr>
        <w:t xml:space="preserve"> Proposals 4 and 5.</w:t>
      </w:r>
    </w:p>
    <w:p>
      <w:pPr>
        <w:spacing w:after="0" w:line="31" w:lineRule="exact"/>
        <w:rPr>
          <w:sz w:val="20"/>
          <w:szCs w:val="20"/>
          <w:color w:val="auto"/>
        </w:rPr>
      </w:pPr>
    </w:p>
    <w:p>
      <w:pPr>
        <w:ind w:left="20" w:right="1480" w:firstLine="8"/>
        <w:spacing w:after="0" w:line="236" w:lineRule="auto"/>
        <w:tabs>
          <w:tab w:leader="none" w:pos="157" w:val="left"/>
        </w:tabs>
        <w:numPr>
          <w:ilvl w:val="0"/>
          <w:numId w:val="104"/>
        </w:numPr>
        <w:rPr>
          <w:rFonts w:ascii="Arial" w:cs="Arial" w:eastAsia="Arial" w:hAnsi="Arial"/>
          <w:sz w:val="14"/>
          <w:szCs w:val="14"/>
          <w:b w:val="1"/>
          <w:bCs w:val="1"/>
          <w:color w:val="auto"/>
        </w:rPr>
      </w:pPr>
      <w:r>
        <w:rPr>
          <w:rFonts w:ascii="Arial" w:cs="Arial" w:eastAsia="Arial" w:hAnsi="Arial"/>
          <w:sz w:val="14"/>
          <w:szCs w:val="14"/>
          <w:b w:val="1"/>
          <w:bCs w:val="1"/>
          <w:color w:val="auto"/>
        </w:rPr>
        <w:t>Shareholder proposal to provide for a report on management systems and processes for implementing the Company's human rights policy.</w:t>
      </w:r>
    </w:p>
    <w:p>
      <w:pPr>
        <w:spacing w:after="0" w:line="337" w:lineRule="exact"/>
        <w:rPr>
          <w:rFonts w:ascii="Arial" w:cs="Arial" w:eastAsia="Arial" w:hAnsi="Arial"/>
          <w:sz w:val="14"/>
          <w:szCs w:val="14"/>
          <w:b w:val="1"/>
          <w:bCs w:val="1"/>
          <w:color w:val="auto"/>
        </w:rPr>
      </w:pPr>
    </w:p>
    <w:p>
      <w:pPr>
        <w:ind w:left="160" w:hanging="132"/>
        <w:spacing w:after="0"/>
        <w:tabs>
          <w:tab w:leader="none" w:pos="160" w:val="left"/>
        </w:tabs>
        <w:numPr>
          <w:ilvl w:val="0"/>
          <w:numId w:val="104"/>
        </w:numPr>
        <w:rPr>
          <w:rFonts w:ascii="Arial" w:cs="Arial" w:eastAsia="Arial" w:hAnsi="Arial"/>
          <w:sz w:val="14"/>
          <w:szCs w:val="14"/>
          <w:b w:val="1"/>
          <w:bCs w:val="1"/>
          <w:color w:val="auto"/>
        </w:rPr>
      </w:pPr>
      <w:r>
        <w:rPr>
          <w:rFonts w:ascii="Arial" w:cs="Arial" w:eastAsia="Arial" w:hAnsi="Arial"/>
          <w:sz w:val="14"/>
          <w:szCs w:val="14"/>
          <w:b w:val="1"/>
          <w:bCs w:val="1"/>
          <w:color w:val="auto"/>
        </w:rPr>
        <w:t>Shareholder proposal to provide for an independent chair.</w:t>
      </w:r>
    </w:p>
    <w:p>
      <w:pPr>
        <w:spacing w:after="0" w:line="20" w:lineRule="exact"/>
        <w:rPr>
          <w:sz w:val="20"/>
          <w:szCs w:val="20"/>
          <w:color w:val="auto"/>
        </w:rPr>
      </w:pPr>
      <w:r>
        <w:rPr>
          <w:sz w:val="20"/>
          <w:szCs w:val="20"/>
          <w:color w:val="auto"/>
        </w:rPr>
        <w:br w:type="column"/>
      </w:r>
    </w:p>
    <w:p>
      <w:pPr>
        <w:spacing w:after="0" w:line="331" w:lineRule="exact"/>
        <w:rPr>
          <w:sz w:val="20"/>
          <w:szCs w:val="20"/>
          <w:color w:val="auto"/>
        </w:rPr>
      </w:pPr>
    </w:p>
    <w:p>
      <w:pPr>
        <w:spacing w:after="0"/>
        <w:rPr>
          <w:sz w:val="20"/>
          <w:szCs w:val="20"/>
          <w:color w:val="auto"/>
        </w:rPr>
      </w:pPr>
      <w:r>
        <w:rPr>
          <w:rFonts w:ascii="Arial" w:cs="Arial" w:eastAsia="Arial" w:hAnsi="Arial"/>
          <w:sz w:val="11"/>
          <w:szCs w:val="11"/>
          <w:color w:val="auto"/>
        </w:rPr>
        <w:t>For Against Abstain</w:t>
      </w:r>
    </w:p>
    <w:p>
      <w:pPr>
        <w:spacing w:after="0" w:line="130" w:lineRule="exact"/>
        <w:rPr>
          <w:sz w:val="20"/>
          <w:szCs w:val="20"/>
          <w:color w:val="auto"/>
        </w:rPr>
      </w:pPr>
    </w:p>
    <w:p>
      <w:pPr>
        <w:spacing w:after="0"/>
        <w:rPr>
          <w:sz w:val="20"/>
          <w:szCs w:val="20"/>
          <w:color w:val="auto"/>
        </w:rPr>
      </w:pPr>
      <w:r>
        <w:rPr>
          <w:rFonts w:ascii="Arial" w:cs="Arial" w:eastAsia="Arial" w:hAnsi="Arial"/>
          <w:sz w:val="14"/>
          <w:szCs w:val="14"/>
          <w:color w:val="auto"/>
        </w:rPr>
        <w:t>□</w:t>
      </w:r>
      <w:r>
        <w:rPr>
          <w:rFonts w:ascii="Arial" w:cs="Arial" w:eastAsia="Arial" w:hAnsi="Arial"/>
          <w:sz w:val="14"/>
          <w:szCs w:val="14"/>
          <w:color w:val="FFFFFF"/>
        </w:rPr>
        <w:t>____</w:t>
      </w:r>
      <w:r>
        <w:rPr>
          <w:rFonts w:ascii="Arial" w:cs="Arial" w:eastAsia="Arial" w:hAnsi="Arial"/>
          <w:sz w:val="14"/>
          <w:szCs w:val="14"/>
          <w:color w:val="auto"/>
        </w:rPr>
        <w:t>□</w:t>
      </w:r>
      <w:r>
        <w:rPr>
          <w:rFonts w:ascii="Arial" w:cs="Arial" w:eastAsia="Arial" w:hAnsi="Arial"/>
          <w:sz w:val="14"/>
          <w:szCs w:val="14"/>
          <w:color w:val="FFFFFF"/>
        </w:rPr>
        <w:t>____</w:t>
      </w:r>
      <w:r>
        <w:rPr>
          <w:rFonts w:ascii="Arial" w:cs="Arial" w:eastAsia="Arial" w:hAnsi="Arial"/>
          <w:sz w:val="14"/>
          <w:szCs w:val="14"/>
          <w:color w:val="auto"/>
        </w:rPr>
        <w:t>□</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color w:val="auto"/>
        </w:rPr>
        <w:t>□</w:t>
      </w:r>
      <w:r>
        <w:rPr>
          <w:rFonts w:ascii="Arial" w:cs="Arial" w:eastAsia="Arial" w:hAnsi="Arial"/>
          <w:sz w:val="14"/>
          <w:szCs w:val="14"/>
          <w:color w:val="FFFFFF"/>
        </w:rPr>
        <w:t>____</w:t>
      </w:r>
      <w:r>
        <w:rPr>
          <w:rFonts w:ascii="Arial" w:cs="Arial" w:eastAsia="Arial" w:hAnsi="Arial"/>
          <w:sz w:val="14"/>
          <w:szCs w:val="14"/>
          <w:color w:val="auto"/>
        </w:rPr>
        <w:t>□</w:t>
      </w:r>
      <w:r>
        <w:rPr>
          <w:rFonts w:ascii="Arial" w:cs="Arial" w:eastAsia="Arial" w:hAnsi="Arial"/>
          <w:sz w:val="14"/>
          <w:szCs w:val="14"/>
          <w:color w:val="FFFFFF"/>
        </w:rPr>
        <w:t>____</w:t>
      </w:r>
      <w:r>
        <w:rPr>
          <w:rFonts w:ascii="Arial" w:cs="Arial" w:eastAsia="Arial" w:hAnsi="Arial"/>
          <w:sz w:val="14"/>
          <w:szCs w:val="14"/>
          <w:color w:val="auto"/>
        </w:rPr>
        <w:t>□</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color w:val="auto"/>
        </w:rPr>
        <w:t>□</w:t>
      </w:r>
      <w:r>
        <w:rPr>
          <w:rFonts w:ascii="Arial" w:cs="Arial" w:eastAsia="Arial" w:hAnsi="Arial"/>
          <w:sz w:val="14"/>
          <w:szCs w:val="14"/>
          <w:color w:val="FFFFFF"/>
        </w:rPr>
        <w:t>____</w:t>
      </w:r>
      <w:r>
        <w:rPr>
          <w:rFonts w:ascii="Arial" w:cs="Arial" w:eastAsia="Arial" w:hAnsi="Arial"/>
          <w:sz w:val="14"/>
          <w:szCs w:val="14"/>
          <w:color w:val="auto"/>
        </w:rPr>
        <w:t>□</w:t>
      </w:r>
      <w:r>
        <w:rPr>
          <w:rFonts w:ascii="Arial" w:cs="Arial" w:eastAsia="Arial" w:hAnsi="Arial"/>
          <w:sz w:val="14"/>
          <w:szCs w:val="14"/>
          <w:color w:val="FFFFFF"/>
        </w:rPr>
        <w:t>____</w:t>
      </w:r>
      <w:r>
        <w:rPr>
          <w:rFonts w:ascii="Arial" w:cs="Arial" w:eastAsia="Arial" w:hAnsi="Arial"/>
          <w:sz w:val="14"/>
          <w:szCs w:val="14"/>
          <w:color w:val="auto"/>
        </w:rPr>
        <w:t>□</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color w:val="auto"/>
        </w:rPr>
        <w:t>□</w:t>
      </w:r>
      <w:r>
        <w:rPr>
          <w:rFonts w:ascii="Arial" w:cs="Arial" w:eastAsia="Arial" w:hAnsi="Arial"/>
          <w:sz w:val="14"/>
          <w:szCs w:val="14"/>
          <w:color w:val="FFFFFF"/>
        </w:rPr>
        <w:t>____</w:t>
      </w:r>
      <w:r>
        <w:rPr>
          <w:rFonts w:ascii="Arial" w:cs="Arial" w:eastAsia="Arial" w:hAnsi="Arial"/>
          <w:sz w:val="14"/>
          <w:szCs w:val="14"/>
          <w:color w:val="auto"/>
        </w:rPr>
        <w:t>□</w:t>
      </w:r>
      <w:r>
        <w:rPr>
          <w:rFonts w:ascii="Arial" w:cs="Arial" w:eastAsia="Arial" w:hAnsi="Arial"/>
          <w:sz w:val="14"/>
          <w:szCs w:val="14"/>
          <w:color w:val="FFFFFF"/>
        </w:rPr>
        <w:t>____</w:t>
      </w:r>
      <w:r>
        <w:rPr>
          <w:rFonts w:ascii="Arial" w:cs="Arial" w:eastAsia="Arial" w:hAnsi="Arial"/>
          <w:sz w:val="14"/>
          <w:szCs w:val="14"/>
          <w:color w:val="auto"/>
        </w:rPr>
        <w:t>□</w:t>
      </w:r>
    </w:p>
    <w:p>
      <w:pPr>
        <w:spacing w:after="0" w:line="288" w:lineRule="exact"/>
        <w:rPr>
          <w:sz w:val="20"/>
          <w:szCs w:val="20"/>
          <w:color w:val="auto"/>
        </w:rPr>
      </w:pPr>
    </w:p>
    <w:p>
      <w:pPr>
        <w:spacing w:after="0"/>
        <w:rPr>
          <w:sz w:val="20"/>
          <w:szCs w:val="20"/>
          <w:color w:val="auto"/>
        </w:rPr>
      </w:pPr>
      <w:r>
        <w:rPr>
          <w:rFonts w:ascii="Arial" w:cs="Arial" w:eastAsia="Arial" w:hAnsi="Arial"/>
          <w:sz w:val="11"/>
          <w:szCs w:val="11"/>
          <w:color w:val="auto"/>
        </w:rPr>
        <w:t>For Against Abstain</w:t>
      </w:r>
    </w:p>
    <w:p>
      <w:pPr>
        <w:spacing w:after="0" w:line="130" w:lineRule="exact"/>
        <w:rPr>
          <w:sz w:val="20"/>
          <w:szCs w:val="20"/>
          <w:color w:val="auto"/>
        </w:rPr>
      </w:pPr>
    </w:p>
    <w:p>
      <w:pPr>
        <w:spacing w:after="0"/>
        <w:rPr>
          <w:sz w:val="20"/>
          <w:szCs w:val="20"/>
          <w:color w:val="auto"/>
        </w:rPr>
      </w:pPr>
      <w:r>
        <w:rPr>
          <w:rFonts w:ascii="Arial" w:cs="Arial" w:eastAsia="Arial" w:hAnsi="Arial"/>
          <w:sz w:val="14"/>
          <w:szCs w:val="14"/>
          <w:color w:val="auto"/>
        </w:rPr>
        <w:t>□</w:t>
      </w:r>
      <w:r>
        <w:rPr>
          <w:rFonts w:ascii="Arial" w:cs="Arial" w:eastAsia="Arial" w:hAnsi="Arial"/>
          <w:sz w:val="14"/>
          <w:szCs w:val="14"/>
          <w:color w:val="FFFFFF"/>
        </w:rPr>
        <w:t>____</w:t>
      </w:r>
      <w:r>
        <w:rPr>
          <w:rFonts w:ascii="Arial" w:cs="Arial" w:eastAsia="Arial" w:hAnsi="Arial"/>
          <w:sz w:val="14"/>
          <w:szCs w:val="14"/>
          <w:color w:val="auto"/>
        </w:rPr>
        <w:t>□</w:t>
      </w:r>
      <w:r>
        <w:rPr>
          <w:rFonts w:ascii="Arial" w:cs="Arial" w:eastAsia="Arial" w:hAnsi="Arial"/>
          <w:sz w:val="14"/>
          <w:szCs w:val="14"/>
          <w:color w:val="FFFFFF"/>
        </w:rPr>
        <w:t>____</w:t>
      </w:r>
      <w:r>
        <w:rPr>
          <w:rFonts w:ascii="Arial" w:cs="Arial" w:eastAsia="Arial" w:hAnsi="Arial"/>
          <w:sz w:val="14"/>
          <w:szCs w:val="14"/>
          <w:color w:val="auto"/>
        </w:rPr>
        <w:t>□</w:t>
      </w:r>
    </w:p>
    <w:p>
      <w:pPr>
        <w:spacing w:after="0" w:line="31" w:lineRule="exact"/>
        <w:rPr>
          <w:sz w:val="20"/>
          <w:szCs w:val="20"/>
          <w:color w:val="auto"/>
        </w:rPr>
      </w:pPr>
    </w:p>
    <w:p>
      <w:pPr>
        <w:spacing w:after="0"/>
        <w:rPr>
          <w:sz w:val="20"/>
          <w:szCs w:val="20"/>
          <w:color w:val="auto"/>
        </w:rPr>
      </w:pPr>
      <w:r>
        <w:rPr>
          <w:rFonts w:ascii="Arial" w:cs="Arial" w:eastAsia="Arial" w:hAnsi="Arial"/>
          <w:sz w:val="11"/>
          <w:szCs w:val="11"/>
          <w:color w:val="auto"/>
        </w:rPr>
        <w:t>For Against Abstain</w:t>
      </w:r>
    </w:p>
    <w:p>
      <w:pPr>
        <w:spacing w:after="0" w:line="130" w:lineRule="exact"/>
        <w:rPr>
          <w:sz w:val="20"/>
          <w:szCs w:val="20"/>
          <w:color w:val="auto"/>
        </w:rPr>
      </w:pPr>
    </w:p>
    <w:p>
      <w:pPr>
        <w:spacing w:after="0"/>
        <w:rPr>
          <w:sz w:val="20"/>
          <w:szCs w:val="20"/>
          <w:color w:val="auto"/>
        </w:rPr>
      </w:pPr>
      <w:r>
        <w:rPr>
          <w:rFonts w:ascii="Arial" w:cs="Arial" w:eastAsia="Arial" w:hAnsi="Arial"/>
          <w:sz w:val="14"/>
          <w:szCs w:val="14"/>
          <w:color w:val="auto"/>
        </w:rPr>
        <w:t>□</w:t>
      </w:r>
      <w:r>
        <w:rPr>
          <w:rFonts w:ascii="Arial" w:cs="Arial" w:eastAsia="Arial" w:hAnsi="Arial"/>
          <w:sz w:val="14"/>
          <w:szCs w:val="14"/>
          <w:color w:val="FFFFFF"/>
        </w:rPr>
        <w:t>____</w:t>
      </w:r>
      <w:r>
        <w:rPr>
          <w:rFonts w:ascii="Arial" w:cs="Arial" w:eastAsia="Arial" w:hAnsi="Arial"/>
          <w:sz w:val="14"/>
          <w:szCs w:val="14"/>
          <w:color w:val="auto"/>
        </w:rPr>
        <w:t>□</w:t>
      </w:r>
      <w:r>
        <w:rPr>
          <w:rFonts w:ascii="Arial" w:cs="Arial" w:eastAsia="Arial" w:hAnsi="Arial"/>
          <w:sz w:val="14"/>
          <w:szCs w:val="14"/>
          <w:color w:val="FFFFFF"/>
        </w:rPr>
        <w:t>____</w:t>
      </w:r>
      <w:r>
        <w:rPr>
          <w:rFonts w:ascii="Arial" w:cs="Arial" w:eastAsia="Arial" w:hAnsi="Arial"/>
          <w:sz w:val="14"/>
          <w:szCs w:val="14"/>
          <w:color w:val="auto"/>
        </w:rPr>
        <w:t>□</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1"/>
          <w:szCs w:val="11"/>
          <w:color w:val="auto"/>
        </w:rPr>
        <w:t>For Against Abstain</w:t>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color w:val="auto"/>
        </w:rPr>
        <w:t>□</w:t>
      </w:r>
      <w:r>
        <w:rPr>
          <w:rFonts w:ascii="Arial" w:cs="Arial" w:eastAsia="Arial" w:hAnsi="Arial"/>
          <w:sz w:val="14"/>
          <w:szCs w:val="14"/>
          <w:color w:val="FFFFFF"/>
        </w:rPr>
        <w:t>____</w:t>
      </w:r>
      <w:r>
        <w:rPr>
          <w:rFonts w:ascii="Arial" w:cs="Arial" w:eastAsia="Arial" w:hAnsi="Arial"/>
          <w:sz w:val="14"/>
          <w:szCs w:val="14"/>
          <w:color w:val="auto"/>
        </w:rPr>
        <w:t>□</w:t>
      </w:r>
      <w:r>
        <w:rPr>
          <w:rFonts w:ascii="Arial" w:cs="Arial" w:eastAsia="Arial" w:hAnsi="Arial"/>
          <w:sz w:val="14"/>
          <w:szCs w:val="14"/>
          <w:color w:val="FFFFFF"/>
        </w:rPr>
        <w:t>____</w:t>
      </w:r>
      <w:r>
        <w:rPr>
          <w:rFonts w:ascii="Arial" w:cs="Arial" w:eastAsia="Arial" w:hAnsi="Arial"/>
          <w:sz w:val="14"/>
          <w:szCs w:val="14"/>
          <w:color w:val="auto"/>
        </w:rPr>
        <w:t>□</w:t>
      </w:r>
    </w:p>
    <w:p>
      <w:pPr>
        <w:spacing w:after="0" w:line="172" w:lineRule="exact"/>
        <w:rPr>
          <w:sz w:val="20"/>
          <w:szCs w:val="20"/>
          <w:color w:val="auto"/>
        </w:rPr>
      </w:pPr>
    </w:p>
    <w:p>
      <w:pPr>
        <w:spacing w:after="0"/>
        <w:rPr>
          <w:sz w:val="20"/>
          <w:szCs w:val="20"/>
          <w:color w:val="auto"/>
        </w:rPr>
      </w:pPr>
      <w:r>
        <w:rPr>
          <w:rFonts w:ascii="Arial" w:cs="Arial" w:eastAsia="Arial" w:hAnsi="Arial"/>
          <w:sz w:val="11"/>
          <w:szCs w:val="11"/>
          <w:color w:val="auto"/>
        </w:rPr>
        <w:t>For Against Abstain</w:t>
      </w:r>
    </w:p>
    <w:p>
      <w:pPr>
        <w:spacing w:after="0" w:line="130" w:lineRule="exact"/>
        <w:rPr>
          <w:sz w:val="20"/>
          <w:szCs w:val="20"/>
          <w:color w:val="auto"/>
        </w:rPr>
      </w:pPr>
    </w:p>
    <w:p>
      <w:pPr>
        <w:spacing w:after="0"/>
        <w:rPr>
          <w:sz w:val="20"/>
          <w:szCs w:val="20"/>
          <w:color w:val="auto"/>
        </w:rPr>
      </w:pPr>
      <w:r>
        <w:rPr>
          <w:rFonts w:ascii="Arial" w:cs="Arial" w:eastAsia="Arial" w:hAnsi="Arial"/>
          <w:sz w:val="14"/>
          <w:szCs w:val="14"/>
          <w:color w:val="auto"/>
        </w:rPr>
        <w:t>□</w:t>
      </w:r>
      <w:r>
        <w:rPr>
          <w:rFonts w:ascii="Arial" w:cs="Arial" w:eastAsia="Arial" w:hAnsi="Arial"/>
          <w:sz w:val="14"/>
          <w:szCs w:val="14"/>
          <w:color w:val="FFFFFF"/>
        </w:rPr>
        <w:t>____</w:t>
      </w:r>
      <w:r>
        <w:rPr>
          <w:rFonts w:ascii="Arial" w:cs="Arial" w:eastAsia="Arial" w:hAnsi="Arial"/>
          <w:sz w:val="14"/>
          <w:szCs w:val="14"/>
          <w:color w:val="auto"/>
        </w:rPr>
        <w:t>□</w:t>
      </w:r>
      <w:r>
        <w:rPr>
          <w:rFonts w:ascii="Arial" w:cs="Arial" w:eastAsia="Arial" w:hAnsi="Arial"/>
          <w:sz w:val="14"/>
          <w:szCs w:val="14"/>
          <w:color w:val="FFFFFF"/>
        </w:rPr>
        <w:t>____</w:t>
      </w:r>
      <w:r>
        <w:rPr>
          <w:rFonts w:ascii="Arial" w:cs="Arial" w:eastAsia="Arial" w:hAnsi="Arial"/>
          <w:sz w:val="14"/>
          <w:szCs w:val="14"/>
          <w:color w:val="auto"/>
        </w:rPr>
        <w:t>□</w:t>
      </w:r>
    </w:p>
    <w:p>
      <w:pPr>
        <w:spacing w:after="0" w:line="162" w:lineRule="exact"/>
        <w:rPr>
          <w:sz w:val="20"/>
          <w:szCs w:val="20"/>
          <w:color w:val="auto"/>
        </w:rPr>
      </w:pPr>
    </w:p>
    <w:p>
      <w:pPr>
        <w:sectPr>
          <w:pgSz w:w="11900" w:h="16849" w:orient="portrait"/>
          <w:cols w:equalWidth="0" w:num="2">
            <w:col w:w="7580" w:space="140"/>
            <w:col w:w="2499"/>
          </w:cols>
          <w:pgMar w:left="240" w:top="1440" w:right="1440" w:bottom="0" w:gutter="0" w:footer="0" w:header="0"/>
          <w:type w:val="continuous"/>
        </w:sectPr>
      </w:pPr>
    </w:p>
    <w:p>
      <w:pPr>
        <w:ind w:left="80"/>
        <w:spacing w:after="0"/>
        <w:rPr>
          <w:sz w:val="20"/>
          <w:szCs w:val="20"/>
          <w:color w:val="auto"/>
        </w:rPr>
      </w:pPr>
      <w:r>
        <w:rPr>
          <w:rFonts w:ascii="Arial" w:cs="Arial" w:eastAsia="Arial" w:hAnsi="Arial"/>
          <w:sz w:val="17"/>
          <w:szCs w:val="17"/>
          <w:color w:val="FFFFFF"/>
          <w:highlight w:val="black"/>
        </w:rPr>
        <w:t xml:space="preserve">B </w:t>
      </w:r>
      <w:r>
        <w:rPr>
          <w:rFonts w:ascii="Arial" w:cs="Arial" w:eastAsia="Arial" w:hAnsi="Arial"/>
          <w:sz w:val="15"/>
          <w:szCs w:val="15"/>
          <w:b w:val="1"/>
          <w:bCs w:val="1"/>
          <w:color w:val="000000"/>
        </w:rPr>
        <w:t>Authorized Signatures - This section must be completed for your vote to be counted. Please date and sign below.</w:t>
      </w:r>
    </w:p>
    <w:p>
      <w:pPr>
        <w:spacing w:after="0" w:line="10" w:lineRule="exact"/>
        <w:rPr>
          <w:sz w:val="20"/>
          <w:szCs w:val="20"/>
          <w:color w:val="auto"/>
        </w:rPr>
      </w:pPr>
    </w:p>
    <w:p>
      <w:pPr>
        <w:ind w:left="100"/>
        <w:spacing w:after="0"/>
        <w:rPr>
          <w:sz w:val="20"/>
          <w:szCs w:val="20"/>
          <w:color w:val="auto"/>
        </w:rPr>
      </w:pPr>
      <w:r>
        <w:rPr>
          <w:rFonts w:ascii="Arial" w:cs="Arial" w:eastAsia="Arial" w:hAnsi="Arial"/>
          <w:sz w:val="14"/>
          <w:szCs w:val="14"/>
          <w:color w:val="auto"/>
        </w:rPr>
        <w:t>Please sign exactly as name(s) appears hereon. Joint owners should each sign.</w:t>
      </w:r>
    </w:p>
    <w:p>
      <w:pPr>
        <w:ind w:left="100"/>
        <w:spacing w:after="0"/>
        <w:rPr>
          <w:sz w:val="20"/>
          <w:szCs w:val="20"/>
          <w:color w:val="auto"/>
        </w:rPr>
      </w:pPr>
      <w:r>
        <w:rPr>
          <w:rFonts w:ascii="Arial" w:cs="Arial" w:eastAsia="Arial" w:hAnsi="Arial"/>
          <w:sz w:val="14"/>
          <w:szCs w:val="14"/>
          <w:color w:val="auto"/>
        </w:rPr>
        <w:t>When signing as attorney, executor, administrator, corporate officer, trustee, guardian, or custodian, please give full title.</w:t>
      </w:r>
    </w:p>
    <w:p>
      <w:pPr>
        <w:sectPr>
          <w:pgSz w:w="11900" w:h="16849" w:orient="portrait"/>
          <w:cols w:equalWidth="0" w:num="1">
            <w:col w:w="10219"/>
          </w:cols>
          <w:pgMar w:left="240" w:top="1440" w:right="1440" w:bottom="0" w:gutter="0" w:footer="0" w:header="0"/>
          <w:type w:val="continuous"/>
        </w:sectPr>
      </w:pPr>
    </w:p>
    <w:p>
      <w:pPr>
        <w:spacing w:after="0" w:line="140" w:lineRule="exact"/>
        <w:rPr>
          <w:sz w:val="20"/>
          <w:szCs w:val="20"/>
          <w:color w:val="auto"/>
        </w:rPr>
      </w:pPr>
    </w:p>
    <w:tbl>
      <w:tblPr>
        <w:tblLayout w:type="fixed"/>
        <w:tblInd w:w="110" w:type="dxa"/>
        <w:tblCellMar>
          <w:top w:w="0" w:type="dxa"/>
          <w:left w:w="0" w:type="dxa"/>
          <w:bottom w:w="0" w:type="dxa"/>
          <w:right w:w="0" w:type="dxa"/>
        </w:tblCellMar>
      </w:tblPr>
      <w:tr>
        <w:trPr>
          <w:trHeight w:val="161"/>
        </w:trPr>
        <w:tc>
          <w:tcPr>
            <w:tcW w:w="2760" w:type="dxa"/>
            <w:vAlign w:val="bottom"/>
            <w:gridSpan w:val="2"/>
          </w:tcPr>
          <w:p>
            <w:pPr>
              <w:ind w:left="40"/>
              <w:spacing w:after="0"/>
              <w:rPr>
                <w:sz w:val="20"/>
                <w:szCs w:val="20"/>
                <w:color w:val="auto"/>
              </w:rPr>
            </w:pPr>
            <w:r>
              <w:rPr>
                <w:rFonts w:ascii="Arial" w:cs="Arial" w:eastAsia="Arial" w:hAnsi="Arial"/>
                <w:sz w:val="14"/>
                <w:szCs w:val="14"/>
                <w:color w:val="auto"/>
              </w:rPr>
              <w:t>Date (mm/dd/yyyy) - Please print date</w:t>
            </w:r>
          </w:p>
        </w:tc>
        <w:tc>
          <w:tcPr>
            <w:tcW w:w="2680" w:type="dxa"/>
            <w:vAlign w:val="bottom"/>
          </w:tcPr>
          <w:p>
            <w:pPr>
              <w:spacing w:after="0"/>
              <w:rPr>
                <w:sz w:val="20"/>
                <w:szCs w:val="20"/>
                <w:color w:val="auto"/>
              </w:rPr>
            </w:pPr>
            <w:r>
              <w:rPr>
                <w:rFonts w:ascii="Arial" w:cs="Arial" w:eastAsia="Arial" w:hAnsi="Arial"/>
                <w:sz w:val="14"/>
                <w:szCs w:val="14"/>
                <w:color w:val="auto"/>
              </w:rPr>
              <w:t>Signature 1 - Please keep signature within</w:t>
            </w:r>
          </w:p>
        </w:tc>
      </w:tr>
      <w:tr>
        <w:trPr>
          <w:trHeight w:val="169"/>
        </w:trPr>
        <w:tc>
          <w:tcPr>
            <w:tcW w:w="2760" w:type="dxa"/>
            <w:vAlign w:val="bottom"/>
            <w:gridSpan w:val="2"/>
          </w:tcPr>
          <w:p>
            <w:pPr>
              <w:ind w:left="40"/>
              <w:spacing w:after="0"/>
              <w:rPr>
                <w:sz w:val="20"/>
                <w:szCs w:val="20"/>
                <w:color w:val="auto"/>
              </w:rPr>
            </w:pPr>
            <w:r>
              <w:rPr>
                <w:rFonts w:ascii="Arial" w:cs="Arial" w:eastAsia="Arial" w:hAnsi="Arial"/>
                <w:sz w:val="14"/>
                <w:szCs w:val="14"/>
                <w:color w:val="auto"/>
              </w:rPr>
              <w:t>below.</w:t>
            </w:r>
          </w:p>
        </w:tc>
        <w:tc>
          <w:tcPr>
            <w:tcW w:w="2680" w:type="dxa"/>
            <w:vAlign w:val="bottom"/>
          </w:tcPr>
          <w:p>
            <w:pPr>
              <w:spacing w:after="0"/>
              <w:rPr>
                <w:sz w:val="20"/>
                <w:szCs w:val="20"/>
                <w:color w:val="auto"/>
              </w:rPr>
            </w:pPr>
            <w:r>
              <w:rPr>
                <w:rFonts w:ascii="Arial" w:cs="Arial" w:eastAsia="Arial" w:hAnsi="Arial"/>
                <w:sz w:val="14"/>
                <w:szCs w:val="14"/>
                <w:color w:val="auto"/>
              </w:rPr>
              <w:t>the box.</w:t>
            </w:r>
          </w:p>
        </w:tc>
      </w:tr>
      <w:tr>
        <w:trPr>
          <w:trHeight w:val="306"/>
        </w:trPr>
        <w:tc>
          <w:tcPr>
            <w:tcW w:w="2400" w:type="dxa"/>
            <w:vAlign w:val="bottom"/>
            <w:tcBorders>
              <w:top w:val="single" w:sz="8" w:color="auto"/>
              <w:left w:val="single" w:sz="8" w:color="auto"/>
              <w:bottom w:val="single" w:sz="8" w:color="auto"/>
              <w:right w:val="single" w:sz="8" w:color="auto"/>
            </w:tcBorders>
          </w:tcPr>
          <w:p>
            <w:pPr>
              <w:spacing w:after="0"/>
              <w:rPr>
                <w:sz w:val="24"/>
                <w:szCs w:val="24"/>
                <w:color w:val="auto"/>
              </w:rPr>
            </w:pPr>
          </w:p>
        </w:tc>
        <w:tc>
          <w:tcPr>
            <w:tcW w:w="360" w:type="dxa"/>
            <w:vAlign w:val="bottom"/>
            <w:tcBorders>
              <w:right w:val="single" w:sz="8" w:color="auto"/>
            </w:tcBorders>
          </w:tcPr>
          <w:p>
            <w:pPr>
              <w:spacing w:after="0"/>
              <w:rPr>
                <w:sz w:val="24"/>
                <w:szCs w:val="24"/>
                <w:color w:val="auto"/>
              </w:rPr>
            </w:pPr>
          </w:p>
        </w:tc>
        <w:tc>
          <w:tcPr>
            <w:tcW w:w="2680" w:type="dxa"/>
            <w:vAlign w:val="bottom"/>
            <w:tcBorders>
              <w:top w:val="single" w:sz="8" w:color="auto"/>
              <w:bottom w:val="single" w:sz="8" w:color="auto"/>
              <w:right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701675</wp:posOffset>
            </wp:positionH>
            <wp:positionV relativeFrom="paragraph">
              <wp:posOffset>911860</wp:posOffset>
            </wp:positionV>
            <wp:extent cx="5861685" cy="145732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5861685" cy="14573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ind w:right="1659"/>
        <w:spacing w:after="0" w:line="236" w:lineRule="auto"/>
        <w:rPr>
          <w:sz w:val="20"/>
          <w:szCs w:val="20"/>
          <w:color w:val="auto"/>
        </w:rPr>
      </w:pPr>
      <w:r>
        <w:rPr>
          <w:rFonts w:ascii="Arial" w:cs="Arial" w:eastAsia="Arial" w:hAnsi="Arial"/>
          <w:sz w:val="14"/>
          <w:szCs w:val="14"/>
          <w:color w:val="auto"/>
        </w:rPr>
        <w:t>Signature 2 - Please keep signature within the box.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wp:posOffset>
            </wp:positionH>
            <wp:positionV relativeFrom="paragraph">
              <wp:posOffset>7620</wp:posOffset>
            </wp:positionV>
            <wp:extent cx="1766570" cy="2114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1766570" cy="211455"/>
                    </a:xfrm>
                    <a:prstGeom prst="rect">
                      <a:avLst/>
                    </a:prstGeom>
                    <a:noFill/>
                  </pic:spPr>
                </pic:pic>
              </a:graphicData>
            </a:graphic>
          </wp:anchor>
        </w:drawing>
      </w:r>
    </w:p>
    <w:p>
      <w:pPr>
        <w:spacing w:after="0" w:line="545" w:lineRule="exact"/>
        <w:rPr>
          <w:sz w:val="20"/>
          <w:szCs w:val="20"/>
          <w:color w:val="auto"/>
        </w:rPr>
      </w:pPr>
    </w:p>
    <w:p>
      <w:pPr>
        <w:sectPr>
          <w:pgSz w:w="11900" w:h="16849" w:orient="portrait"/>
          <w:cols w:equalWidth="0" w:num="2">
            <w:col w:w="5520" w:space="480"/>
            <w:col w:w="4219"/>
          </w:cols>
          <w:pgMar w:left="240" w:top="1440"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4440"/>
        <w:spacing w:after="0"/>
        <w:rPr>
          <w:sz w:val="20"/>
          <w:szCs w:val="20"/>
          <w:color w:val="auto"/>
        </w:rPr>
      </w:pPr>
      <w:r>
        <w:rPr>
          <w:rFonts w:ascii="Arial" w:cs="Arial" w:eastAsia="Arial" w:hAnsi="Arial"/>
          <w:sz w:val="13"/>
          <w:szCs w:val="13"/>
          <w:b w:val="1"/>
          <w:bCs w:val="1"/>
          <w:color w:val="auto"/>
        </w:rPr>
        <w:t>ANNUAL MEETING OF SHAREHOLDERS</w:t>
      </w:r>
    </w:p>
    <w:p>
      <w:pPr>
        <w:sectPr>
          <w:pgSz w:w="11900" w:h="16849" w:orient="portrait"/>
          <w:cols w:equalWidth="0" w:num="1">
            <w:col w:w="10219"/>
          </w:cols>
          <w:pgMar w:left="240" w:top="1440" w:right="1440" w:bottom="0" w:gutter="0" w:footer="0" w:header="0"/>
          <w:type w:val="continuous"/>
        </w:sectPr>
      </w:pPr>
    </w:p>
    <w:bookmarkStart w:id="95" w:name="page96"/>
    <w:bookmarkEnd w:id="95"/>
    <w:p>
      <w:pPr>
        <w:spacing w:after="0" w:line="62"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auto"/>
        </w:rPr>
        <w:t>MAY 15, 2019, 8:00 A.M.</w:t>
      </w:r>
    </w:p>
    <w:p>
      <w:pPr>
        <w:spacing w:after="0" w:line="2"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auto"/>
        </w:rPr>
        <w:t>Northrop Grumman Corporation Headquarters</w:t>
      </w:r>
    </w:p>
    <w:p>
      <w:pPr>
        <w:jc w:val="center"/>
        <w:ind w:right="-99"/>
        <w:spacing w:after="0"/>
        <w:rPr>
          <w:sz w:val="20"/>
          <w:szCs w:val="20"/>
          <w:color w:val="auto"/>
        </w:rPr>
      </w:pPr>
      <w:r>
        <w:rPr>
          <w:rFonts w:ascii="Arial" w:cs="Arial" w:eastAsia="Arial" w:hAnsi="Arial"/>
          <w:sz w:val="14"/>
          <w:szCs w:val="14"/>
          <w:b w:val="1"/>
          <w:bCs w:val="1"/>
          <w:color w:val="auto"/>
        </w:rPr>
        <w:t>2980 Fairview Park Drive, Falls Church, Virginia 22042</w:t>
      </w:r>
    </w:p>
    <w:p>
      <w:pPr>
        <w:spacing w:after="0" w:line="220"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auto"/>
        </w:rPr>
        <w:t>This Proxy/Voting Instruction Card is Solicited on Behalf of The Board of Directors for the 2019 Annual Meeting of Shareholders</w:t>
      </w:r>
    </w:p>
    <w:p>
      <w:pPr>
        <w:spacing w:after="0" w:line="99" w:lineRule="exact"/>
        <w:rPr>
          <w:sz w:val="20"/>
          <w:szCs w:val="20"/>
          <w:color w:val="auto"/>
        </w:rPr>
      </w:pPr>
    </w:p>
    <w:p>
      <w:pPr>
        <w:jc w:val="both"/>
        <w:ind w:left="100"/>
        <w:spacing w:after="0" w:line="231" w:lineRule="auto"/>
        <w:rPr>
          <w:sz w:val="20"/>
          <w:szCs w:val="20"/>
          <w:color w:val="auto"/>
        </w:rPr>
      </w:pPr>
      <w:r>
        <w:rPr>
          <w:rFonts w:ascii="Arial" w:cs="Arial" w:eastAsia="Arial" w:hAnsi="Arial"/>
          <w:sz w:val="14"/>
          <w:szCs w:val="14"/>
          <w:color w:val="auto"/>
        </w:rPr>
        <w:t>The undersigned hereby constitutes and appoints Sheila C. Cheston and Jennifer C. McGarey, and each of them, attorneys and proxies with full power of substitution, to represent the undersigned and to vote all shares of Common Stock, $1.00 par value, of Northrop Grumman Corporation (the “Company”), that the undersigned would be entitled to vote if personally present at the 2019 Annual Meeting of Shareholders of the Company to be held on Wednesday, May 15, 2019, at 8:00 a.m. (Eastern Daylight Time) at the Northrop Grumman Corporation Headquarters, 2980 Fairview Park Drive, Falls Church, Virginia 22042, and at any and all adjournments or postponements thereof (the “Meeting”), as herein specified and in such proxyholder’s discretion upon any other matter that may properly come before the Meeting including without limitation to vote on the election of such substitute nominees as such proxies may select in the event nominee(s) named on their card become(s) unable to serve as director. By granting this proxy, the undersigned hereby revokes any proxy previously granted by the undersigned.</w:t>
      </w:r>
    </w:p>
    <w:p>
      <w:pPr>
        <w:spacing w:after="0" w:line="59" w:lineRule="exact"/>
        <w:rPr>
          <w:sz w:val="20"/>
          <w:szCs w:val="20"/>
          <w:color w:val="auto"/>
        </w:rPr>
      </w:pPr>
    </w:p>
    <w:p>
      <w:pPr>
        <w:jc w:val="both"/>
        <w:ind w:left="100"/>
        <w:spacing w:after="0" w:line="267" w:lineRule="auto"/>
        <w:rPr>
          <w:sz w:val="20"/>
          <w:szCs w:val="20"/>
          <w:color w:val="auto"/>
        </w:rPr>
      </w:pPr>
      <w:r>
        <w:rPr>
          <w:rFonts w:ascii="Arial" w:cs="Arial" w:eastAsia="Arial" w:hAnsi="Arial"/>
          <w:sz w:val="14"/>
          <w:szCs w:val="14"/>
          <w:color w:val="auto"/>
        </w:rPr>
        <w:t>THIS PROXY WILL BE VOTED AS DIRECTED. IF NOT OTHERWISE DIRECTED, THIS PROXY WILL BE VOTED “FOR” THE NOMINEES LISTED UNDER PROPOSAL 1, “FOR” PROPOSALS 2 AND 3 AND “AGAINST” PROPOSALS 4 AND 5.</w:t>
      </w:r>
    </w:p>
    <w:p>
      <w:pPr>
        <w:spacing w:after="0" w:line="49" w:lineRule="exact"/>
        <w:rPr>
          <w:sz w:val="20"/>
          <w:szCs w:val="20"/>
          <w:color w:val="auto"/>
        </w:rPr>
      </w:pPr>
    </w:p>
    <w:p>
      <w:pPr>
        <w:ind w:left="100"/>
        <w:spacing w:after="0"/>
        <w:rPr>
          <w:sz w:val="20"/>
          <w:szCs w:val="20"/>
          <w:color w:val="auto"/>
        </w:rPr>
      </w:pPr>
      <w:r>
        <w:rPr>
          <w:rFonts w:ascii="Arial" w:cs="Arial" w:eastAsia="Arial" w:hAnsi="Arial"/>
          <w:sz w:val="14"/>
          <w:szCs w:val="14"/>
          <w:color w:val="auto"/>
        </w:rPr>
        <w:t>PLEASE MARK, DATE AND SIGN THIS PROXY AND RETURN IT PROMPTLY, EVEN IF YOU PLAN TO ATTEND THE ANNUAL MEETING.</w:t>
      </w:r>
    </w:p>
    <w:p>
      <w:pPr>
        <w:spacing w:after="0" w:line="83" w:lineRule="exact"/>
        <w:rPr>
          <w:sz w:val="20"/>
          <w:szCs w:val="20"/>
          <w:color w:val="auto"/>
        </w:rPr>
      </w:pPr>
    </w:p>
    <w:p>
      <w:pPr>
        <w:jc w:val="both"/>
        <w:ind w:left="100"/>
        <w:spacing w:after="0" w:line="233" w:lineRule="auto"/>
        <w:rPr>
          <w:sz w:val="20"/>
          <w:szCs w:val="20"/>
          <w:color w:val="auto"/>
        </w:rPr>
      </w:pPr>
      <w:r>
        <w:rPr>
          <w:rFonts w:ascii="Arial" w:cs="Arial" w:eastAsia="Arial" w:hAnsi="Arial"/>
          <w:sz w:val="14"/>
          <w:szCs w:val="14"/>
          <w:color w:val="auto"/>
        </w:rPr>
        <w:t>If shares are held on your behalf under any of the Company Savings Plans, the proxy serves to provide confidential instructions to the plan Trustee or Voting Manager who then votes the shares. Instructions must be received by 11:59 p.m. Eastern Time on May 12, 2019 to be included in the tabulation to the plan Trustee or Voting Manager. For shares represented by proxies not received by this date, the applicable plan Trustee or Voting Manager will treat the received proxies as instructions to vote the respective plan shares in the same proportion as shares held under the plan for which voting instructions have been received, unless contrary to the Employment Retirement Income Security Act.</w:t>
      </w:r>
    </w:p>
    <w:p>
      <w:pPr>
        <w:spacing w:after="0" w:line="67" w:lineRule="exact"/>
        <w:rPr>
          <w:sz w:val="20"/>
          <w:szCs w:val="20"/>
          <w:color w:val="auto"/>
        </w:rPr>
      </w:pPr>
    </w:p>
    <w:p>
      <w:pPr>
        <w:ind w:left="100"/>
        <w:spacing w:after="0"/>
        <w:rPr>
          <w:sz w:val="20"/>
          <w:szCs w:val="20"/>
          <w:color w:val="auto"/>
        </w:rPr>
      </w:pPr>
      <w:r>
        <w:rPr>
          <w:rFonts w:ascii="Arial" w:cs="Arial" w:eastAsia="Arial" w:hAnsi="Arial"/>
          <w:sz w:val="14"/>
          <w:szCs w:val="14"/>
          <w:color w:val="auto"/>
        </w:rPr>
        <w:t>(Continued and to be signed on the other side)</w:t>
      </w:r>
    </w:p>
    <w:p>
      <w:pPr>
        <w:spacing w:after="0" w:line="64" w:lineRule="exact"/>
        <w:rPr>
          <w:sz w:val="20"/>
          <w:szCs w:val="20"/>
          <w:color w:val="auto"/>
        </w:rPr>
      </w:pPr>
    </w:p>
    <w:p>
      <w:pPr>
        <w:ind w:left="80"/>
        <w:spacing w:after="0"/>
        <w:rPr>
          <w:sz w:val="20"/>
          <w:szCs w:val="20"/>
          <w:color w:val="auto"/>
        </w:rPr>
      </w:pPr>
      <w:r>
        <w:rPr>
          <w:rFonts w:ascii="Arial" w:cs="Arial" w:eastAsia="Arial" w:hAnsi="Arial"/>
          <w:sz w:val="17"/>
          <w:szCs w:val="17"/>
          <w:color w:val="FFFFFF"/>
          <w:highlight w:val="black"/>
        </w:rPr>
        <w:t xml:space="preserve">C </w:t>
      </w:r>
      <w:r>
        <w:rPr>
          <w:rFonts w:ascii="Arial" w:cs="Arial" w:eastAsia="Arial" w:hAnsi="Arial"/>
          <w:sz w:val="17"/>
          <w:szCs w:val="17"/>
          <w:color w:val="000000"/>
        </w:rPr>
        <w:t>Non-Voting Items</w:t>
      </w:r>
    </w:p>
    <w:p>
      <w:pPr>
        <w:spacing w:after="0" w:line="92" w:lineRule="exact"/>
        <w:rPr>
          <w:sz w:val="20"/>
          <w:szCs w:val="20"/>
          <w:color w:val="auto"/>
        </w:rPr>
      </w:pPr>
    </w:p>
    <w:p>
      <w:pPr>
        <w:ind w:left="100"/>
        <w:spacing w:after="0"/>
        <w:rPr>
          <w:sz w:val="20"/>
          <w:szCs w:val="20"/>
          <w:color w:val="auto"/>
        </w:rPr>
      </w:pPr>
      <w:r>
        <w:rPr>
          <w:rFonts w:ascii="Arial" w:cs="Arial" w:eastAsia="Arial" w:hAnsi="Arial"/>
          <w:sz w:val="14"/>
          <w:szCs w:val="14"/>
          <w:color w:val="auto"/>
        </w:rPr>
        <w:t>Change of Address - Please print new address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122555</wp:posOffset>
            </wp:positionV>
            <wp:extent cx="7266305" cy="424942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66305" cy="42494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5"/>
          <w:szCs w:val="15"/>
          <w:color w:val="FFFFFF"/>
          <w:highlight w:val="black"/>
        </w:rPr>
        <w:t xml:space="preserve">A </w:t>
      </w:r>
      <w:r>
        <w:rPr>
          <w:rFonts w:ascii="Arial" w:cs="Arial" w:eastAsia="Arial" w:hAnsi="Arial"/>
          <w:sz w:val="15"/>
          <w:szCs w:val="15"/>
          <w:b w:val="1"/>
          <w:bCs w:val="1"/>
          <w:color w:val="000000"/>
        </w:rPr>
        <w:t>Proposals - The Board of Directors recommends a vote</w:t>
      </w:r>
      <w:r>
        <w:rPr>
          <w:rFonts w:ascii="Arial" w:cs="Arial" w:eastAsia="Arial" w:hAnsi="Arial"/>
          <w:sz w:val="15"/>
          <w:szCs w:val="15"/>
          <w:color w:val="FFFFFF"/>
          <w:highlight w:val="black"/>
        </w:rPr>
        <w:t xml:space="preserve"> </w:t>
      </w:r>
      <w:r>
        <w:rPr>
          <w:rFonts w:ascii="Arial" w:cs="Arial" w:eastAsia="Arial" w:hAnsi="Arial"/>
          <w:sz w:val="15"/>
          <w:szCs w:val="15"/>
          <w:b w:val="1"/>
          <w:bCs w:val="1"/>
          <w:u w:val="single" w:color="auto"/>
          <w:color w:val="000000"/>
        </w:rPr>
        <w:t>FOR</w:t>
      </w:r>
      <w:r>
        <w:rPr>
          <w:rFonts w:ascii="Arial" w:cs="Arial" w:eastAsia="Arial" w:hAnsi="Arial"/>
          <w:sz w:val="15"/>
          <w:szCs w:val="15"/>
          <w:color w:val="FFFFFF"/>
          <w:highlight w:val="black"/>
        </w:rPr>
        <w:t xml:space="preserve"> </w:t>
      </w:r>
      <w:r>
        <w:rPr>
          <w:rFonts w:ascii="Arial" w:cs="Arial" w:eastAsia="Arial" w:hAnsi="Arial"/>
          <w:sz w:val="15"/>
          <w:szCs w:val="15"/>
          <w:b w:val="1"/>
          <w:bCs w:val="1"/>
          <w:color w:val="000000"/>
        </w:rPr>
        <w:t>all the nominees listed and</w:t>
      </w:r>
      <w:r>
        <w:rPr>
          <w:rFonts w:ascii="Arial" w:cs="Arial" w:eastAsia="Arial" w:hAnsi="Arial"/>
          <w:sz w:val="15"/>
          <w:szCs w:val="15"/>
          <w:color w:val="FFFFFF"/>
          <w:highlight w:val="black"/>
        </w:rPr>
        <w:t xml:space="preserve"> </w:t>
      </w:r>
      <w:r>
        <w:rPr>
          <w:rFonts w:ascii="Arial" w:cs="Arial" w:eastAsia="Arial" w:hAnsi="Arial"/>
          <w:sz w:val="15"/>
          <w:szCs w:val="15"/>
          <w:b w:val="1"/>
          <w:bCs w:val="1"/>
          <w:u w:val="single" w:color="auto"/>
          <w:color w:val="000000"/>
        </w:rPr>
        <w:t>FOR</w:t>
      </w:r>
      <w:r>
        <w:rPr>
          <w:rFonts w:ascii="Arial" w:cs="Arial" w:eastAsia="Arial" w:hAnsi="Arial"/>
          <w:sz w:val="15"/>
          <w:szCs w:val="15"/>
          <w:color w:val="FFFFFF"/>
          <w:highlight w:val="black"/>
        </w:rPr>
        <w:t xml:space="preserve"> </w:t>
      </w:r>
      <w:r>
        <w:rPr>
          <w:rFonts w:ascii="Arial" w:cs="Arial" w:eastAsia="Arial" w:hAnsi="Arial"/>
          <w:sz w:val="15"/>
          <w:szCs w:val="15"/>
          <w:b w:val="1"/>
          <w:bCs w:val="1"/>
          <w:color w:val="000000"/>
        </w:rPr>
        <w:t>Proposals 2 and 3.</w:t>
      </w:r>
    </w:p>
    <w:p>
      <w:pPr>
        <w:spacing w:after="0" w:line="157" w:lineRule="exact"/>
        <w:rPr>
          <w:sz w:val="20"/>
          <w:szCs w:val="20"/>
          <w:color w:val="auto"/>
        </w:rPr>
      </w:pPr>
    </w:p>
    <w:tbl>
      <w:tblPr>
        <w:tblLayout w:type="fixed"/>
        <w:tblInd w:w="20" w:type="dxa"/>
        <w:tblCellMar>
          <w:top w:w="0" w:type="dxa"/>
          <w:left w:w="0" w:type="dxa"/>
          <w:bottom w:w="0" w:type="dxa"/>
          <w:right w:w="0" w:type="dxa"/>
        </w:tblCellMar>
      </w:tblPr>
      <w:tr>
        <w:trPr>
          <w:trHeight w:val="176"/>
        </w:trPr>
        <w:tc>
          <w:tcPr>
            <w:tcW w:w="1440" w:type="dxa"/>
            <w:vAlign w:val="bottom"/>
            <w:gridSpan w:val="2"/>
          </w:tcPr>
          <w:p>
            <w:pPr>
              <w:spacing w:after="0"/>
              <w:rPr>
                <w:sz w:val="20"/>
                <w:szCs w:val="20"/>
                <w:color w:val="auto"/>
              </w:rPr>
            </w:pPr>
            <w:r>
              <w:rPr>
                <w:rFonts w:ascii="Arial" w:cs="Arial" w:eastAsia="Arial" w:hAnsi="Arial"/>
                <w:sz w:val="14"/>
                <w:szCs w:val="14"/>
                <w:b w:val="1"/>
                <w:bCs w:val="1"/>
                <w:color w:val="auto"/>
                <w:w w:val="90"/>
              </w:rPr>
              <w:t>1. Election of Directors:</w:t>
            </w:r>
          </w:p>
        </w:tc>
        <w:tc>
          <w:tcPr>
            <w:tcW w:w="1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1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360" w:type="dxa"/>
            <w:vAlign w:val="bottom"/>
            <w:vMerge w:val="restart"/>
          </w:tcPr>
          <w:p>
            <w:pPr>
              <w:ind w:left="60"/>
              <w:spacing w:after="0"/>
              <w:rPr>
                <w:sz w:val="20"/>
                <w:szCs w:val="20"/>
                <w:color w:val="auto"/>
              </w:rPr>
            </w:pPr>
            <w:r>
              <w:rPr>
                <w:rFonts w:ascii="Arial" w:cs="Arial" w:eastAsia="Arial" w:hAnsi="Arial"/>
                <w:sz w:val="14"/>
                <w:szCs w:val="14"/>
                <w:color w:val="auto"/>
              </w:rPr>
              <w:t>For Against Abstain</w:t>
            </w:r>
          </w:p>
        </w:tc>
        <w:tc>
          <w:tcPr>
            <w:tcW w:w="3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400" w:type="dxa"/>
            <w:vAlign w:val="bottom"/>
            <w:vMerge w:val="restart"/>
          </w:tcPr>
          <w:p>
            <w:pPr>
              <w:ind w:left="80"/>
              <w:spacing w:after="0"/>
              <w:rPr>
                <w:sz w:val="20"/>
                <w:szCs w:val="20"/>
                <w:color w:val="auto"/>
              </w:rPr>
            </w:pPr>
            <w:r>
              <w:rPr>
                <w:rFonts w:ascii="Arial" w:cs="Arial" w:eastAsia="Arial" w:hAnsi="Arial"/>
                <w:sz w:val="14"/>
                <w:szCs w:val="14"/>
                <w:color w:val="auto"/>
              </w:rPr>
              <w:t>For Against Abstain</w:t>
            </w:r>
          </w:p>
        </w:tc>
        <w:tc>
          <w:tcPr>
            <w:tcW w:w="3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180" w:type="dxa"/>
            <w:vAlign w:val="bottom"/>
          </w:tcPr>
          <w:p>
            <w:pPr>
              <w:ind w:left="80"/>
              <w:spacing w:after="0"/>
              <w:rPr>
                <w:sz w:val="20"/>
                <w:szCs w:val="20"/>
                <w:color w:val="auto"/>
              </w:rPr>
            </w:pPr>
            <w:r>
              <w:rPr>
                <w:rFonts w:ascii="Arial" w:cs="Arial" w:eastAsia="Arial" w:hAnsi="Arial"/>
                <w:sz w:val="14"/>
                <w:szCs w:val="14"/>
                <w:color w:val="auto"/>
                <w:w w:val="88"/>
              </w:rPr>
              <w:t>For Against Abstain</w:t>
            </w:r>
          </w:p>
        </w:tc>
        <w:tc>
          <w:tcPr>
            <w:tcW w:w="0" w:type="dxa"/>
            <w:vAlign w:val="bottom"/>
          </w:tcPr>
          <w:p>
            <w:pPr>
              <w:spacing w:after="0"/>
              <w:rPr>
                <w:sz w:val="1"/>
                <w:szCs w:val="1"/>
                <w:color w:val="auto"/>
              </w:rPr>
            </w:pPr>
          </w:p>
        </w:tc>
      </w:tr>
      <w:tr>
        <w:trPr>
          <w:trHeight w:val="64"/>
        </w:trPr>
        <w:tc>
          <w:tcPr>
            <w:tcW w:w="160" w:type="dxa"/>
            <w:vAlign w:val="bottom"/>
          </w:tcPr>
          <w:p>
            <w:pPr>
              <w:spacing w:after="0"/>
              <w:rPr>
                <w:sz w:val="5"/>
                <w:szCs w:val="5"/>
                <w:color w:val="auto"/>
              </w:rPr>
            </w:pPr>
          </w:p>
        </w:tc>
        <w:tc>
          <w:tcPr>
            <w:tcW w:w="1280" w:type="dxa"/>
            <w:vAlign w:val="bottom"/>
          </w:tcPr>
          <w:p>
            <w:pPr>
              <w:spacing w:after="0"/>
              <w:rPr>
                <w:sz w:val="5"/>
                <w:szCs w:val="5"/>
                <w:color w:val="auto"/>
              </w:rPr>
            </w:pPr>
          </w:p>
        </w:tc>
        <w:tc>
          <w:tcPr>
            <w:tcW w:w="136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1420" w:type="dxa"/>
            <w:vAlign w:val="bottom"/>
          </w:tcPr>
          <w:p>
            <w:pPr>
              <w:spacing w:after="0"/>
              <w:rPr>
                <w:sz w:val="5"/>
                <w:szCs w:val="5"/>
                <w:color w:val="auto"/>
              </w:rPr>
            </w:pPr>
          </w:p>
        </w:tc>
        <w:tc>
          <w:tcPr>
            <w:tcW w:w="14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1320" w:type="dxa"/>
            <w:vAlign w:val="bottom"/>
          </w:tcPr>
          <w:p>
            <w:pPr>
              <w:spacing w:after="0"/>
              <w:rPr>
                <w:sz w:val="5"/>
                <w:szCs w:val="5"/>
                <w:color w:val="auto"/>
              </w:rPr>
            </w:pPr>
          </w:p>
        </w:tc>
        <w:tc>
          <w:tcPr>
            <w:tcW w:w="1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160" w:type="dxa"/>
            <w:vAlign w:val="bottom"/>
          </w:tcPr>
          <w:p>
            <w:pPr>
              <w:spacing w:after="0"/>
              <w:rPr>
                <w:sz w:val="20"/>
                <w:szCs w:val="20"/>
                <w:color w:val="auto"/>
              </w:rPr>
            </w:pPr>
            <w:r>
              <w:rPr>
                <w:rFonts w:ascii="Arial" w:cs="Arial" w:eastAsia="Arial" w:hAnsi="Arial"/>
                <w:sz w:val="14"/>
                <w:szCs w:val="14"/>
                <w:color w:val="auto"/>
                <w:w w:val="89"/>
              </w:rPr>
              <w:t>01</w:t>
            </w:r>
          </w:p>
        </w:tc>
        <w:tc>
          <w:tcPr>
            <w:tcW w:w="1280" w:type="dxa"/>
            <w:vAlign w:val="bottom"/>
          </w:tcPr>
          <w:p>
            <w:pPr>
              <w:ind w:left="20"/>
              <w:spacing w:after="0"/>
              <w:rPr>
                <w:sz w:val="20"/>
                <w:szCs w:val="20"/>
                <w:color w:val="auto"/>
              </w:rPr>
            </w:pPr>
            <w:r>
              <w:rPr>
                <w:rFonts w:ascii="Arial" w:cs="Arial" w:eastAsia="Arial" w:hAnsi="Arial"/>
                <w:sz w:val="14"/>
                <w:szCs w:val="14"/>
                <w:color w:val="auto"/>
              </w:rPr>
              <w:t>- Wesley G. Bush</w:t>
            </w:r>
          </w:p>
        </w:tc>
        <w:tc>
          <w:tcPr>
            <w:tcW w:w="1360" w:type="dxa"/>
            <w:vAlign w:val="bottom"/>
          </w:tcPr>
          <w:p>
            <w:pPr>
              <w:ind w:left="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color w:val="FFFFFF"/>
              </w:rPr>
              <w:t>____</w:t>
            </w:r>
            <w:r>
              <w:rPr>
                <w:rFonts w:ascii="Arial" w:cs="Arial" w:eastAsia="Arial" w:hAnsi="Arial"/>
                <w:sz w:val="14"/>
                <w:szCs w:val="14"/>
                <w:color w:val="auto"/>
              </w:rPr>
              <w:t>□</w:t>
            </w:r>
            <w:r>
              <w:rPr>
                <w:rFonts w:ascii="Arial" w:cs="Arial" w:eastAsia="Arial" w:hAnsi="Arial"/>
                <w:sz w:val="14"/>
                <w:szCs w:val="14"/>
                <w:color w:val="FFFFFF"/>
              </w:rPr>
              <w:t>____</w:t>
            </w:r>
            <w:r>
              <w:rPr>
                <w:rFonts w:ascii="Arial" w:cs="Arial" w:eastAsia="Arial" w:hAnsi="Arial"/>
                <w:sz w:val="14"/>
                <w:szCs w:val="14"/>
                <w:color w:val="auto"/>
              </w:rPr>
              <w:t>□</w:t>
            </w:r>
          </w:p>
        </w:tc>
        <w:tc>
          <w:tcPr>
            <w:tcW w:w="340" w:type="dxa"/>
            <w:vAlign w:val="bottom"/>
          </w:tcPr>
          <w:p>
            <w:pPr>
              <w:jc w:val="right"/>
              <w:spacing w:after="0"/>
              <w:rPr>
                <w:sz w:val="20"/>
                <w:szCs w:val="20"/>
                <w:color w:val="auto"/>
              </w:rPr>
            </w:pPr>
            <w:r>
              <w:rPr>
                <w:rFonts w:ascii="Arial" w:cs="Arial" w:eastAsia="Arial" w:hAnsi="Arial"/>
                <w:sz w:val="14"/>
                <w:szCs w:val="14"/>
                <w:color w:val="auto"/>
              </w:rPr>
              <w:t>06</w:t>
            </w:r>
          </w:p>
        </w:tc>
        <w:tc>
          <w:tcPr>
            <w:tcW w:w="1420" w:type="dxa"/>
            <w:vAlign w:val="bottom"/>
          </w:tcPr>
          <w:p>
            <w:pPr>
              <w:ind w:left="20"/>
              <w:spacing w:after="0"/>
              <w:rPr>
                <w:sz w:val="20"/>
                <w:szCs w:val="20"/>
                <w:color w:val="auto"/>
              </w:rPr>
            </w:pPr>
            <w:r>
              <w:rPr>
                <w:rFonts w:ascii="Arial" w:cs="Arial" w:eastAsia="Arial" w:hAnsi="Arial"/>
                <w:sz w:val="14"/>
                <w:szCs w:val="14"/>
                <w:color w:val="auto"/>
                <w:w w:val="95"/>
              </w:rPr>
              <w:t>- William H. Hernandez</w:t>
            </w:r>
          </w:p>
        </w:tc>
        <w:tc>
          <w:tcPr>
            <w:tcW w:w="1400" w:type="dxa"/>
            <w:vAlign w:val="bottom"/>
          </w:tcPr>
          <w:p>
            <w:pPr>
              <w:ind w:left="8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color w:val="FFFFFF"/>
              </w:rPr>
              <w:t>____</w:t>
            </w:r>
            <w:r>
              <w:rPr>
                <w:rFonts w:ascii="Arial" w:cs="Arial" w:eastAsia="Arial" w:hAnsi="Arial"/>
                <w:sz w:val="14"/>
                <w:szCs w:val="14"/>
                <w:color w:val="auto"/>
              </w:rPr>
              <w:t>□</w:t>
            </w:r>
            <w:r>
              <w:rPr>
                <w:rFonts w:ascii="Arial" w:cs="Arial" w:eastAsia="Arial" w:hAnsi="Arial"/>
                <w:sz w:val="14"/>
                <w:szCs w:val="14"/>
                <w:color w:val="FFFFFF"/>
              </w:rPr>
              <w:t>____</w:t>
            </w:r>
            <w:r>
              <w:rPr>
                <w:rFonts w:ascii="Arial" w:cs="Arial" w:eastAsia="Arial" w:hAnsi="Arial"/>
                <w:sz w:val="14"/>
                <w:szCs w:val="14"/>
                <w:color w:val="auto"/>
              </w:rPr>
              <w:t>□</w:t>
            </w:r>
          </w:p>
        </w:tc>
        <w:tc>
          <w:tcPr>
            <w:tcW w:w="340" w:type="dxa"/>
            <w:vAlign w:val="bottom"/>
          </w:tcPr>
          <w:p>
            <w:pPr>
              <w:ind w:left="180"/>
              <w:spacing w:after="0"/>
              <w:rPr>
                <w:sz w:val="20"/>
                <w:szCs w:val="20"/>
                <w:color w:val="auto"/>
              </w:rPr>
            </w:pPr>
            <w:r>
              <w:rPr>
                <w:rFonts w:ascii="Arial" w:cs="Arial" w:eastAsia="Arial" w:hAnsi="Arial"/>
                <w:sz w:val="14"/>
                <w:szCs w:val="14"/>
                <w:color w:val="auto"/>
                <w:w w:val="89"/>
              </w:rPr>
              <w:t>10</w:t>
            </w:r>
          </w:p>
        </w:tc>
        <w:tc>
          <w:tcPr>
            <w:tcW w:w="1320" w:type="dxa"/>
            <w:vAlign w:val="bottom"/>
          </w:tcPr>
          <w:p>
            <w:pPr>
              <w:ind w:left="20"/>
              <w:spacing w:after="0"/>
              <w:rPr>
                <w:sz w:val="20"/>
                <w:szCs w:val="20"/>
                <w:color w:val="auto"/>
              </w:rPr>
            </w:pPr>
            <w:r>
              <w:rPr>
                <w:rFonts w:ascii="Arial" w:cs="Arial" w:eastAsia="Arial" w:hAnsi="Arial"/>
                <w:sz w:val="14"/>
                <w:szCs w:val="14"/>
                <w:color w:val="auto"/>
                <w:w w:val="91"/>
              </w:rPr>
              <w:t>- Thomas M. Schoewe</w:t>
            </w:r>
          </w:p>
        </w:tc>
        <w:tc>
          <w:tcPr>
            <w:tcW w:w="1180" w:type="dxa"/>
            <w:vAlign w:val="bottom"/>
          </w:tcPr>
          <w:p>
            <w:pPr>
              <w:ind w:left="8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color w:val="FFFFFF"/>
              </w:rPr>
              <w:t>____</w:t>
            </w:r>
            <w:r>
              <w:rPr>
                <w:rFonts w:ascii="Arial" w:cs="Arial" w:eastAsia="Arial" w:hAnsi="Arial"/>
                <w:sz w:val="14"/>
                <w:szCs w:val="14"/>
                <w:color w:val="auto"/>
              </w:rPr>
              <w:t>□</w:t>
            </w:r>
            <w:r>
              <w:rPr>
                <w:rFonts w:ascii="Arial" w:cs="Arial" w:eastAsia="Arial" w:hAnsi="Arial"/>
                <w:sz w:val="14"/>
                <w:szCs w:val="14"/>
                <w:color w:val="FFFFFF"/>
              </w:rPr>
              <w:t>____</w:t>
            </w: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160" w:type="dxa"/>
            <w:vAlign w:val="bottom"/>
          </w:tcPr>
          <w:p>
            <w:pPr>
              <w:spacing w:after="0"/>
              <w:rPr>
                <w:sz w:val="20"/>
                <w:szCs w:val="20"/>
                <w:color w:val="auto"/>
              </w:rPr>
            </w:pPr>
            <w:r>
              <w:rPr>
                <w:rFonts w:ascii="Arial" w:cs="Arial" w:eastAsia="Arial" w:hAnsi="Arial"/>
                <w:sz w:val="14"/>
                <w:szCs w:val="14"/>
                <w:color w:val="auto"/>
                <w:w w:val="89"/>
              </w:rPr>
              <w:t>02</w:t>
            </w:r>
          </w:p>
        </w:tc>
        <w:tc>
          <w:tcPr>
            <w:tcW w:w="1280" w:type="dxa"/>
            <w:vAlign w:val="bottom"/>
          </w:tcPr>
          <w:p>
            <w:pPr>
              <w:ind w:left="20"/>
              <w:spacing w:after="0"/>
              <w:rPr>
                <w:sz w:val="20"/>
                <w:szCs w:val="20"/>
                <w:color w:val="auto"/>
              </w:rPr>
            </w:pPr>
            <w:r>
              <w:rPr>
                <w:rFonts w:ascii="Arial" w:cs="Arial" w:eastAsia="Arial" w:hAnsi="Arial"/>
                <w:sz w:val="14"/>
                <w:szCs w:val="14"/>
                <w:color w:val="auto"/>
                <w:w w:val="96"/>
              </w:rPr>
              <w:t>- Marianne C. Brown</w:t>
            </w:r>
          </w:p>
        </w:tc>
        <w:tc>
          <w:tcPr>
            <w:tcW w:w="1360" w:type="dxa"/>
            <w:vAlign w:val="bottom"/>
          </w:tcPr>
          <w:p>
            <w:pPr>
              <w:ind w:left="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color w:val="FFFFFF"/>
              </w:rPr>
              <w:t>____</w:t>
            </w:r>
            <w:r>
              <w:rPr>
                <w:rFonts w:ascii="Arial" w:cs="Arial" w:eastAsia="Arial" w:hAnsi="Arial"/>
                <w:sz w:val="14"/>
                <w:szCs w:val="14"/>
                <w:color w:val="auto"/>
              </w:rPr>
              <w:t>□</w:t>
            </w:r>
            <w:r>
              <w:rPr>
                <w:rFonts w:ascii="Arial" w:cs="Arial" w:eastAsia="Arial" w:hAnsi="Arial"/>
                <w:sz w:val="14"/>
                <w:szCs w:val="14"/>
                <w:color w:val="FFFFFF"/>
              </w:rPr>
              <w:t>____</w:t>
            </w:r>
            <w:r>
              <w:rPr>
                <w:rFonts w:ascii="Arial" w:cs="Arial" w:eastAsia="Arial" w:hAnsi="Arial"/>
                <w:sz w:val="14"/>
                <w:szCs w:val="14"/>
                <w:color w:val="auto"/>
              </w:rPr>
              <w:t>□</w:t>
            </w:r>
          </w:p>
        </w:tc>
        <w:tc>
          <w:tcPr>
            <w:tcW w:w="340" w:type="dxa"/>
            <w:vAlign w:val="bottom"/>
          </w:tcPr>
          <w:p>
            <w:pPr>
              <w:jc w:val="right"/>
              <w:spacing w:after="0"/>
              <w:rPr>
                <w:sz w:val="20"/>
                <w:szCs w:val="20"/>
                <w:color w:val="auto"/>
              </w:rPr>
            </w:pPr>
            <w:r>
              <w:rPr>
                <w:rFonts w:ascii="Arial" w:cs="Arial" w:eastAsia="Arial" w:hAnsi="Arial"/>
                <w:sz w:val="14"/>
                <w:szCs w:val="14"/>
                <w:color w:val="auto"/>
              </w:rPr>
              <w:t>07</w:t>
            </w:r>
          </w:p>
        </w:tc>
        <w:tc>
          <w:tcPr>
            <w:tcW w:w="1420" w:type="dxa"/>
            <w:vAlign w:val="bottom"/>
          </w:tcPr>
          <w:p>
            <w:pPr>
              <w:ind w:left="20"/>
              <w:spacing w:after="0"/>
              <w:rPr>
                <w:sz w:val="20"/>
                <w:szCs w:val="20"/>
                <w:color w:val="auto"/>
              </w:rPr>
            </w:pPr>
            <w:r>
              <w:rPr>
                <w:rFonts w:ascii="Arial" w:cs="Arial" w:eastAsia="Arial" w:hAnsi="Arial"/>
                <w:sz w:val="14"/>
                <w:szCs w:val="14"/>
                <w:color w:val="auto"/>
              </w:rPr>
              <w:t>- Madeleine A. Kleiner</w:t>
            </w:r>
          </w:p>
        </w:tc>
        <w:tc>
          <w:tcPr>
            <w:tcW w:w="1400" w:type="dxa"/>
            <w:vAlign w:val="bottom"/>
          </w:tcPr>
          <w:p>
            <w:pPr>
              <w:ind w:left="8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color w:val="FFFFFF"/>
              </w:rPr>
              <w:t>____</w:t>
            </w:r>
            <w:r>
              <w:rPr>
                <w:rFonts w:ascii="Arial" w:cs="Arial" w:eastAsia="Arial" w:hAnsi="Arial"/>
                <w:sz w:val="14"/>
                <w:szCs w:val="14"/>
                <w:color w:val="auto"/>
              </w:rPr>
              <w:t>□</w:t>
            </w:r>
            <w:r>
              <w:rPr>
                <w:rFonts w:ascii="Arial" w:cs="Arial" w:eastAsia="Arial" w:hAnsi="Arial"/>
                <w:sz w:val="14"/>
                <w:szCs w:val="14"/>
                <w:color w:val="FFFFFF"/>
              </w:rPr>
              <w:t>____</w:t>
            </w:r>
            <w:r>
              <w:rPr>
                <w:rFonts w:ascii="Arial" w:cs="Arial" w:eastAsia="Arial" w:hAnsi="Arial"/>
                <w:sz w:val="14"/>
                <w:szCs w:val="14"/>
                <w:color w:val="auto"/>
              </w:rPr>
              <w:t>□</w:t>
            </w:r>
          </w:p>
        </w:tc>
        <w:tc>
          <w:tcPr>
            <w:tcW w:w="1660" w:type="dxa"/>
            <w:vAlign w:val="bottom"/>
            <w:gridSpan w:val="2"/>
          </w:tcPr>
          <w:p>
            <w:pPr>
              <w:ind w:left="180"/>
              <w:spacing w:after="0"/>
              <w:rPr>
                <w:sz w:val="20"/>
                <w:szCs w:val="20"/>
                <w:color w:val="auto"/>
              </w:rPr>
            </w:pPr>
            <w:r>
              <w:rPr>
                <w:rFonts w:ascii="Arial" w:cs="Arial" w:eastAsia="Arial" w:hAnsi="Arial"/>
                <w:sz w:val="14"/>
                <w:szCs w:val="14"/>
                <w:color w:val="auto"/>
              </w:rPr>
              <w:t>11 - James S. Turley</w:t>
            </w:r>
          </w:p>
        </w:tc>
        <w:tc>
          <w:tcPr>
            <w:tcW w:w="1180" w:type="dxa"/>
            <w:vAlign w:val="bottom"/>
          </w:tcPr>
          <w:p>
            <w:pPr>
              <w:ind w:left="8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color w:val="FFFFFF"/>
              </w:rPr>
              <w:t>____</w:t>
            </w:r>
            <w:r>
              <w:rPr>
                <w:rFonts w:ascii="Arial" w:cs="Arial" w:eastAsia="Arial" w:hAnsi="Arial"/>
                <w:sz w:val="14"/>
                <w:szCs w:val="14"/>
                <w:color w:val="auto"/>
              </w:rPr>
              <w:t>□</w:t>
            </w:r>
            <w:r>
              <w:rPr>
                <w:rFonts w:ascii="Arial" w:cs="Arial" w:eastAsia="Arial" w:hAnsi="Arial"/>
                <w:sz w:val="14"/>
                <w:szCs w:val="14"/>
                <w:color w:val="FFFFFF"/>
              </w:rPr>
              <w:t>____</w:t>
            </w: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160" w:type="dxa"/>
            <w:vAlign w:val="bottom"/>
          </w:tcPr>
          <w:p>
            <w:pPr>
              <w:spacing w:after="0"/>
              <w:rPr>
                <w:sz w:val="20"/>
                <w:szCs w:val="20"/>
                <w:color w:val="auto"/>
              </w:rPr>
            </w:pPr>
            <w:r>
              <w:rPr>
                <w:rFonts w:ascii="Arial" w:cs="Arial" w:eastAsia="Arial" w:hAnsi="Arial"/>
                <w:sz w:val="14"/>
                <w:szCs w:val="14"/>
                <w:color w:val="auto"/>
                <w:w w:val="89"/>
              </w:rPr>
              <w:t>03</w:t>
            </w:r>
          </w:p>
        </w:tc>
        <w:tc>
          <w:tcPr>
            <w:tcW w:w="1280" w:type="dxa"/>
            <w:vAlign w:val="bottom"/>
          </w:tcPr>
          <w:p>
            <w:pPr>
              <w:ind w:left="20"/>
              <w:spacing w:after="0"/>
              <w:rPr>
                <w:sz w:val="20"/>
                <w:szCs w:val="20"/>
                <w:color w:val="auto"/>
              </w:rPr>
            </w:pPr>
            <w:r>
              <w:rPr>
                <w:rFonts w:ascii="Arial" w:cs="Arial" w:eastAsia="Arial" w:hAnsi="Arial"/>
                <w:sz w:val="14"/>
                <w:szCs w:val="14"/>
                <w:color w:val="auto"/>
                <w:w w:val="94"/>
              </w:rPr>
              <w:t>- Donald E. Felsinger</w:t>
            </w:r>
          </w:p>
        </w:tc>
        <w:tc>
          <w:tcPr>
            <w:tcW w:w="1360" w:type="dxa"/>
            <w:vAlign w:val="bottom"/>
          </w:tcPr>
          <w:p>
            <w:pPr>
              <w:ind w:left="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color w:val="FFFFFF"/>
              </w:rPr>
              <w:t>____</w:t>
            </w:r>
            <w:r>
              <w:rPr>
                <w:rFonts w:ascii="Arial" w:cs="Arial" w:eastAsia="Arial" w:hAnsi="Arial"/>
                <w:sz w:val="14"/>
                <w:szCs w:val="14"/>
                <w:color w:val="auto"/>
              </w:rPr>
              <w:t>□</w:t>
            </w:r>
            <w:r>
              <w:rPr>
                <w:rFonts w:ascii="Arial" w:cs="Arial" w:eastAsia="Arial" w:hAnsi="Arial"/>
                <w:sz w:val="14"/>
                <w:szCs w:val="14"/>
                <w:color w:val="FFFFFF"/>
              </w:rPr>
              <w:t>____</w:t>
            </w:r>
            <w:r>
              <w:rPr>
                <w:rFonts w:ascii="Arial" w:cs="Arial" w:eastAsia="Arial" w:hAnsi="Arial"/>
                <w:sz w:val="14"/>
                <w:szCs w:val="14"/>
                <w:color w:val="auto"/>
              </w:rPr>
              <w:t>□</w:t>
            </w:r>
          </w:p>
        </w:tc>
        <w:tc>
          <w:tcPr>
            <w:tcW w:w="340" w:type="dxa"/>
            <w:vAlign w:val="bottom"/>
          </w:tcPr>
          <w:p>
            <w:pPr>
              <w:jc w:val="right"/>
              <w:spacing w:after="0"/>
              <w:rPr>
                <w:sz w:val="20"/>
                <w:szCs w:val="20"/>
                <w:color w:val="auto"/>
              </w:rPr>
            </w:pPr>
            <w:r>
              <w:rPr>
                <w:rFonts w:ascii="Arial" w:cs="Arial" w:eastAsia="Arial" w:hAnsi="Arial"/>
                <w:sz w:val="14"/>
                <w:szCs w:val="14"/>
                <w:color w:val="auto"/>
              </w:rPr>
              <w:t>08</w:t>
            </w:r>
          </w:p>
        </w:tc>
        <w:tc>
          <w:tcPr>
            <w:tcW w:w="1420" w:type="dxa"/>
            <w:vAlign w:val="bottom"/>
          </w:tcPr>
          <w:p>
            <w:pPr>
              <w:ind w:left="20"/>
              <w:spacing w:after="0"/>
              <w:rPr>
                <w:sz w:val="20"/>
                <w:szCs w:val="20"/>
                <w:color w:val="auto"/>
              </w:rPr>
            </w:pPr>
            <w:r>
              <w:rPr>
                <w:rFonts w:ascii="Arial" w:cs="Arial" w:eastAsia="Arial" w:hAnsi="Arial"/>
                <w:sz w:val="14"/>
                <w:szCs w:val="14"/>
                <w:color w:val="auto"/>
              </w:rPr>
              <w:t>- Karl J. Krapek</w:t>
            </w:r>
          </w:p>
        </w:tc>
        <w:tc>
          <w:tcPr>
            <w:tcW w:w="1400" w:type="dxa"/>
            <w:vAlign w:val="bottom"/>
          </w:tcPr>
          <w:p>
            <w:pPr>
              <w:ind w:left="8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color w:val="FFFFFF"/>
              </w:rPr>
              <w:t>____</w:t>
            </w:r>
            <w:r>
              <w:rPr>
                <w:rFonts w:ascii="Arial" w:cs="Arial" w:eastAsia="Arial" w:hAnsi="Arial"/>
                <w:sz w:val="14"/>
                <w:szCs w:val="14"/>
                <w:color w:val="auto"/>
              </w:rPr>
              <w:t>□</w:t>
            </w:r>
            <w:r>
              <w:rPr>
                <w:rFonts w:ascii="Arial" w:cs="Arial" w:eastAsia="Arial" w:hAnsi="Arial"/>
                <w:sz w:val="14"/>
                <w:szCs w:val="14"/>
                <w:color w:val="FFFFFF"/>
              </w:rPr>
              <w:t>____</w:t>
            </w:r>
            <w:r>
              <w:rPr>
                <w:rFonts w:ascii="Arial" w:cs="Arial" w:eastAsia="Arial" w:hAnsi="Arial"/>
                <w:sz w:val="14"/>
                <w:szCs w:val="14"/>
                <w:color w:val="auto"/>
              </w:rPr>
              <w:t>□</w:t>
            </w:r>
          </w:p>
        </w:tc>
        <w:tc>
          <w:tcPr>
            <w:tcW w:w="340" w:type="dxa"/>
            <w:vAlign w:val="bottom"/>
          </w:tcPr>
          <w:p>
            <w:pPr>
              <w:ind w:left="180"/>
              <w:spacing w:after="0"/>
              <w:rPr>
                <w:sz w:val="20"/>
                <w:szCs w:val="20"/>
                <w:color w:val="auto"/>
              </w:rPr>
            </w:pPr>
            <w:r>
              <w:rPr>
                <w:rFonts w:ascii="Arial" w:cs="Arial" w:eastAsia="Arial" w:hAnsi="Arial"/>
                <w:sz w:val="14"/>
                <w:szCs w:val="14"/>
                <w:color w:val="auto"/>
                <w:w w:val="89"/>
              </w:rPr>
              <w:t>12</w:t>
            </w:r>
          </w:p>
        </w:tc>
        <w:tc>
          <w:tcPr>
            <w:tcW w:w="1320" w:type="dxa"/>
            <w:vAlign w:val="bottom"/>
          </w:tcPr>
          <w:p>
            <w:pPr>
              <w:ind w:left="20"/>
              <w:spacing w:after="0"/>
              <w:rPr>
                <w:sz w:val="20"/>
                <w:szCs w:val="20"/>
                <w:color w:val="auto"/>
              </w:rPr>
            </w:pPr>
            <w:r>
              <w:rPr>
                <w:rFonts w:ascii="Arial" w:cs="Arial" w:eastAsia="Arial" w:hAnsi="Arial"/>
                <w:sz w:val="14"/>
                <w:szCs w:val="14"/>
                <w:color w:val="auto"/>
              </w:rPr>
              <w:t>- Kathy J. Warden</w:t>
            </w:r>
          </w:p>
        </w:tc>
        <w:tc>
          <w:tcPr>
            <w:tcW w:w="1180" w:type="dxa"/>
            <w:vAlign w:val="bottom"/>
          </w:tcPr>
          <w:p>
            <w:pPr>
              <w:ind w:left="8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color w:val="FFFFFF"/>
              </w:rPr>
              <w:t>____</w:t>
            </w:r>
            <w:r>
              <w:rPr>
                <w:rFonts w:ascii="Arial" w:cs="Arial" w:eastAsia="Arial" w:hAnsi="Arial"/>
                <w:sz w:val="14"/>
                <w:szCs w:val="14"/>
                <w:color w:val="auto"/>
              </w:rPr>
              <w:t>□</w:t>
            </w:r>
            <w:r>
              <w:rPr>
                <w:rFonts w:ascii="Arial" w:cs="Arial" w:eastAsia="Arial" w:hAnsi="Arial"/>
                <w:sz w:val="14"/>
                <w:szCs w:val="14"/>
                <w:color w:val="FFFFFF"/>
              </w:rPr>
              <w:t>____</w:t>
            </w: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160" w:type="dxa"/>
            <w:vAlign w:val="bottom"/>
          </w:tcPr>
          <w:p>
            <w:pPr>
              <w:spacing w:after="0"/>
              <w:rPr>
                <w:sz w:val="20"/>
                <w:szCs w:val="20"/>
                <w:color w:val="auto"/>
              </w:rPr>
            </w:pPr>
            <w:r>
              <w:rPr>
                <w:rFonts w:ascii="Arial" w:cs="Arial" w:eastAsia="Arial" w:hAnsi="Arial"/>
                <w:sz w:val="14"/>
                <w:szCs w:val="14"/>
                <w:color w:val="auto"/>
                <w:w w:val="89"/>
              </w:rPr>
              <w:t>04</w:t>
            </w:r>
          </w:p>
        </w:tc>
        <w:tc>
          <w:tcPr>
            <w:tcW w:w="1280" w:type="dxa"/>
            <w:vAlign w:val="bottom"/>
          </w:tcPr>
          <w:p>
            <w:pPr>
              <w:ind w:left="20"/>
              <w:spacing w:after="0"/>
              <w:rPr>
                <w:sz w:val="20"/>
                <w:szCs w:val="20"/>
                <w:color w:val="auto"/>
              </w:rPr>
            </w:pPr>
            <w:r>
              <w:rPr>
                <w:rFonts w:ascii="Arial" w:cs="Arial" w:eastAsia="Arial" w:hAnsi="Arial"/>
                <w:sz w:val="14"/>
                <w:szCs w:val="14"/>
                <w:color w:val="auto"/>
              </w:rPr>
              <w:t>- Ann M. Fudge</w:t>
            </w:r>
          </w:p>
        </w:tc>
        <w:tc>
          <w:tcPr>
            <w:tcW w:w="1360" w:type="dxa"/>
            <w:vAlign w:val="bottom"/>
          </w:tcPr>
          <w:p>
            <w:pPr>
              <w:ind w:left="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color w:val="FFFFFF"/>
              </w:rPr>
              <w:t>____</w:t>
            </w:r>
            <w:r>
              <w:rPr>
                <w:rFonts w:ascii="Arial" w:cs="Arial" w:eastAsia="Arial" w:hAnsi="Arial"/>
                <w:sz w:val="14"/>
                <w:szCs w:val="14"/>
                <w:color w:val="auto"/>
              </w:rPr>
              <w:t>□</w:t>
            </w:r>
            <w:r>
              <w:rPr>
                <w:rFonts w:ascii="Arial" w:cs="Arial" w:eastAsia="Arial" w:hAnsi="Arial"/>
                <w:sz w:val="14"/>
                <w:szCs w:val="14"/>
                <w:color w:val="FFFFFF"/>
              </w:rPr>
              <w:t>____</w:t>
            </w:r>
            <w:r>
              <w:rPr>
                <w:rFonts w:ascii="Arial" w:cs="Arial" w:eastAsia="Arial" w:hAnsi="Arial"/>
                <w:sz w:val="14"/>
                <w:szCs w:val="14"/>
                <w:color w:val="auto"/>
              </w:rPr>
              <w:t>□</w:t>
            </w:r>
          </w:p>
        </w:tc>
        <w:tc>
          <w:tcPr>
            <w:tcW w:w="340" w:type="dxa"/>
            <w:vAlign w:val="bottom"/>
          </w:tcPr>
          <w:p>
            <w:pPr>
              <w:jc w:val="right"/>
              <w:spacing w:after="0"/>
              <w:rPr>
                <w:sz w:val="20"/>
                <w:szCs w:val="20"/>
                <w:color w:val="auto"/>
              </w:rPr>
            </w:pPr>
            <w:r>
              <w:rPr>
                <w:rFonts w:ascii="Arial" w:cs="Arial" w:eastAsia="Arial" w:hAnsi="Arial"/>
                <w:sz w:val="14"/>
                <w:szCs w:val="14"/>
                <w:color w:val="auto"/>
              </w:rPr>
              <w:t>09</w:t>
            </w:r>
          </w:p>
        </w:tc>
        <w:tc>
          <w:tcPr>
            <w:tcW w:w="1420" w:type="dxa"/>
            <w:vAlign w:val="bottom"/>
          </w:tcPr>
          <w:p>
            <w:pPr>
              <w:ind w:left="20"/>
              <w:spacing w:after="0"/>
              <w:rPr>
                <w:sz w:val="20"/>
                <w:szCs w:val="20"/>
                <w:color w:val="auto"/>
              </w:rPr>
            </w:pPr>
            <w:r>
              <w:rPr>
                <w:rFonts w:ascii="Arial" w:cs="Arial" w:eastAsia="Arial" w:hAnsi="Arial"/>
                <w:sz w:val="14"/>
                <w:szCs w:val="14"/>
                <w:color w:val="auto"/>
              </w:rPr>
              <w:t>- Gary Roughead</w:t>
            </w:r>
          </w:p>
        </w:tc>
        <w:tc>
          <w:tcPr>
            <w:tcW w:w="1400" w:type="dxa"/>
            <w:vAlign w:val="bottom"/>
          </w:tcPr>
          <w:p>
            <w:pPr>
              <w:ind w:left="8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color w:val="FFFFFF"/>
              </w:rPr>
              <w:t>____</w:t>
            </w:r>
            <w:r>
              <w:rPr>
                <w:rFonts w:ascii="Arial" w:cs="Arial" w:eastAsia="Arial" w:hAnsi="Arial"/>
                <w:sz w:val="14"/>
                <w:szCs w:val="14"/>
                <w:color w:val="auto"/>
              </w:rPr>
              <w:t>□</w:t>
            </w:r>
            <w:r>
              <w:rPr>
                <w:rFonts w:ascii="Arial" w:cs="Arial" w:eastAsia="Arial" w:hAnsi="Arial"/>
                <w:sz w:val="14"/>
                <w:szCs w:val="14"/>
                <w:color w:val="FFFFFF"/>
              </w:rPr>
              <w:t>____</w:t>
            </w:r>
            <w:r>
              <w:rPr>
                <w:rFonts w:ascii="Arial" w:cs="Arial" w:eastAsia="Arial" w:hAnsi="Arial"/>
                <w:sz w:val="14"/>
                <w:szCs w:val="14"/>
                <w:color w:val="auto"/>
              </w:rPr>
              <w:t>□</w:t>
            </w:r>
          </w:p>
        </w:tc>
        <w:tc>
          <w:tcPr>
            <w:tcW w:w="340" w:type="dxa"/>
            <w:vAlign w:val="bottom"/>
          </w:tcPr>
          <w:p>
            <w:pPr>
              <w:ind w:left="180"/>
              <w:spacing w:after="0"/>
              <w:rPr>
                <w:sz w:val="20"/>
                <w:szCs w:val="20"/>
                <w:color w:val="auto"/>
              </w:rPr>
            </w:pPr>
            <w:r>
              <w:rPr>
                <w:rFonts w:ascii="Arial" w:cs="Arial" w:eastAsia="Arial" w:hAnsi="Arial"/>
                <w:sz w:val="14"/>
                <w:szCs w:val="14"/>
                <w:color w:val="auto"/>
                <w:w w:val="89"/>
              </w:rPr>
              <w:t>13</w:t>
            </w:r>
          </w:p>
        </w:tc>
        <w:tc>
          <w:tcPr>
            <w:tcW w:w="1320" w:type="dxa"/>
            <w:vAlign w:val="bottom"/>
          </w:tcPr>
          <w:p>
            <w:pPr>
              <w:ind w:left="20"/>
              <w:spacing w:after="0"/>
              <w:rPr>
                <w:sz w:val="20"/>
                <w:szCs w:val="20"/>
                <w:color w:val="auto"/>
              </w:rPr>
            </w:pPr>
            <w:r>
              <w:rPr>
                <w:rFonts w:ascii="Arial" w:cs="Arial" w:eastAsia="Arial" w:hAnsi="Arial"/>
                <w:sz w:val="14"/>
                <w:szCs w:val="14"/>
                <w:color w:val="auto"/>
              </w:rPr>
              <w:t>- Mark A. Welsh III</w:t>
            </w:r>
          </w:p>
        </w:tc>
        <w:tc>
          <w:tcPr>
            <w:tcW w:w="1180" w:type="dxa"/>
            <w:vAlign w:val="bottom"/>
          </w:tcPr>
          <w:p>
            <w:pPr>
              <w:ind w:left="8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color w:val="FFFFFF"/>
              </w:rPr>
              <w:t>____</w:t>
            </w:r>
            <w:r>
              <w:rPr>
                <w:rFonts w:ascii="Arial" w:cs="Arial" w:eastAsia="Arial" w:hAnsi="Arial"/>
                <w:sz w:val="14"/>
                <w:szCs w:val="14"/>
                <w:color w:val="auto"/>
              </w:rPr>
              <w:t>□</w:t>
            </w:r>
            <w:r>
              <w:rPr>
                <w:rFonts w:ascii="Arial" w:cs="Arial" w:eastAsia="Arial" w:hAnsi="Arial"/>
                <w:sz w:val="14"/>
                <w:szCs w:val="14"/>
                <w:color w:val="FFFFFF"/>
              </w:rPr>
              <w:t>____</w:t>
            </w: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6"/>
        </w:trPr>
        <w:tc>
          <w:tcPr>
            <w:tcW w:w="160" w:type="dxa"/>
            <w:vAlign w:val="bottom"/>
          </w:tcPr>
          <w:p>
            <w:pPr>
              <w:spacing w:after="0"/>
              <w:rPr>
                <w:sz w:val="20"/>
                <w:szCs w:val="20"/>
                <w:color w:val="auto"/>
              </w:rPr>
            </w:pPr>
            <w:r>
              <w:rPr>
                <w:rFonts w:ascii="Arial" w:cs="Arial" w:eastAsia="Arial" w:hAnsi="Arial"/>
                <w:sz w:val="14"/>
                <w:szCs w:val="14"/>
                <w:color w:val="auto"/>
                <w:w w:val="89"/>
              </w:rPr>
              <w:t>05</w:t>
            </w:r>
          </w:p>
        </w:tc>
        <w:tc>
          <w:tcPr>
            <w:tcW w:w="1280" w:type="dxa"/>
            <w:vAlign w:val="bottom"/>
          </w:tcPr>
          <w:p>
            <w:pPr>
              <w:ind w:left="20"/>
              <w:spacing w:after="0"/>
              <w:rPr>
                <w:sz w:val="20"/>
                <w:szCs w:val="20"/>
                <w:color w:val="auto"/>
              </w:rPr>
            </w:pPr>
            <w:r>
              <w:rPr>
                <w:rFonts w:ascii="Arial" w:cs="Arial" w:eastAsia="Arial" w:hAnsi="Arial"/>
                <w:sz w:val="14"/>
                <w:szCs w:val="14"/>
                <w:color w:val="auto"/>
              </w:rPr>
              <w:t>- Bruce S. Gordon</w:t>
            </w:r>
          </w:p>
        </w:tc>
        <w:tc>
          <w:tcPr>
            <w:tcW w:w="1360" w:type="dxa"/>
            <w:vAlign w:val="bottom"/>
          </w:tcPr>
          <w:p>
            <w:pPr>
              <w:ind w:left="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color w:val="FFFFFF"/>
              </w:rPr>
              <w:t>____</w:t>
            </w:r>
            <w:r>
              <w:rPr>
                <w:rFonts w:ascii="Arial" w:cs="Arial" w:eastAsia="Arial" w:hAnsi="Arial"/>
                <w:sz w:val="14"/>
                <w:szCs w:val="14"/>
                <w:color w:val="auto"/>
              </w:rPr>
              <w:t>□</w:t>
            </w:r>
            <w:r>
              <w:rPr>
                <w:rFonts w:ascii="Arial" w:cs="Arial" w:eastAsia="Arial" w:hAnsi="Arial"/>
                <w:sz w:val="14"/>
                <w:szCs w:val="14"/>
                <w:color w:val="FFFFFF"/>
              </w:rPr>
              <w:t>____</w:t>
            </w: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2"/>
        </w:trPr>
        <w:tc>
          <w:tcPr>
            <w:tcW w:w="1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180" w:type="dxa"/>
            <w:vAlign w:val="bottom"/>
          </w:tcPr>
          <w:p>
            <w:pPr>
              <w:ind w:left="80"/>
              <w:spacing w:after="0"/>
              <w:rPr>
                <w:sz w:val="20"/>
                <w:szCs w:val="20"/>
                <w:color w:val="auto"/>
              </w:rPr>
            </w:pPr>
            <w:r>
              <w:rPr>
                <w:rFonts w:ascii="Arial" w:cs="Arial" w:eastAsia="Arial" w:hAnsi="Arial"/>
                <w:sz w:val="14"/>
                <w:szCs w:val="14"/>
                <w:color w:val="auto"/>
                <w:w w:val="88"/>
              </w:rPr>
              <w:t>For Against Abstain</w:t>
            </w:r>
          </w:p>
        </w:tc>
        <w:tc>
          <w:tcPr>
            <w:tcW w:w="0" w:type="dxa"/>
            <w:vAlign w:val="bottom"/>
          </w:tcPr>
          <w:p>
            <w:pPr>
              <w:spacing w:after="0"/>
              <w:rPr>
                <w:sz w:val="1"/>
                <w:szCs w:val="1"/>
                <w:color w:val="auto"/>
              </w:rPr>
            </w:pPr>
          </w:p>
        </w:tc>
      </w:tr>
    </w:tbl>
    <w:p>
      <w:pPr>
        <w:spacing w:after="0" w:line="81" w:lineRule="exact"/>
        <w:rPr>
          <w:sz w:val="20"/>
          <w:szCs w:val="20"/>
          <w:color w:val="auto"/>
        </w:rPr>
      </w:pPr>
    </w:p>
    <w:p>
      <w:pPr>
        <w:sectPr>
          <w:pgSz w:w="11900" w:h="16900" w:orient="portrait"/>
          <w:cols w:equalWidth="0" w:num="1">
            <w:col w:w="11420"/>
          </w:cols>
          <w:pgMar w:left="240" w:top="128" w:right="239" w:bottom="0" w:gutter="0" w:footer="0" w:header="0"/>
        </w:sectPr>
      </w:pPr>
    </w:p>
    <w:p>
      <w:pPr>
        <w:ind w:left="160" w:hanging="132"/>
        <w:spacing w:after="0"/>
        <w:tabs>
          <w:tab w:leader="none" w:pos="160" w:val="left"/>
        </w:tabs>
        <w:numPr>
          <w:ilvl w:val="0"/>
          <w:numId w:val="105"/>
        </w:numPr>
        <w:rPr>
          <w:rFonts w:ascii="Arial" w:cs="Arial" w:eastAsia="Arial" w:hAnsi="Arial"/>
          <w:sz w:val="11"/>
          <w:szCs w:val="11"/>
          <w:b w:val="1"/>
          <w:bCs w:val="1"/>
          <w:color w:val="auto"/>
        </w:rPr>
      </w:pPr>
      <w:r>
        <w:rPr>
          <w:rFonts w:ascii="Arial" w:cs="Arial" w:eastAsia="Arial" w:hAnsi="Arial"/>
          <w:sz w:val="11"/>
          <w:szCs w:val="11"/>
          <w:b w:val="1"/>
          <w:bCs w:val="1"/>
          <w:color w:val="auto"/>
        </w:rPr>
        <w:t>Proposal to approve, on an advisory basis, the compensation of the Company's Named Executive Officers.</w:t>
      </w:r>
    </w:p>
    <w:p>
      <w:pPr>
        <w:spacing w:after="0" w:line="322" w:lineRule="exact"/>
        <w:rPr>
          <w:rFonts w:ascii="Arial" w:cs="Arial" w:eastAsia="Arial" w:hAnsi="Arial"/>
          <w:sz w:val="11"/>
          <w:szCs w:val="11"/>
          <w:b w:val="1"/>
          <w:bCs w:val="1"/>
          <w:color w:val="auto"/>
        </w:rPr>
      </w:pPr>
    </w:p>
    <w:p>
      <w:pPr>
        <w:ind w:left="160" w:hanging="132"/>
        <w:spacing w:after="0"/>
        <w:tabs>
          <w:tab w:leader="none" w:pos="160" w:val="left"/>
        </w:tabs>
        <w:numPr>
          <w:ilvl w:val="0"/>
          <w:numId w:val="105"/>
        </w:numPr>
        <w:rPr>
          <w:rFonts w:ascii="Arial" w:cs="Arial" w:eastAsia="Arial" w:hAnsi="Arial"/>
          <w:sz w:val="13"/>
          <w:szCs w:val="13"/>
          <w:b w:val="1"/>
          <w:bCs w:val="1"/>
          <w:color w:val="auto"/>
        </w:rPr>
      </w:pPr>
      <w:r>
        <w:rPr>
          <w:rFonts w:ascii="Arial" w:cs="Arial" w:eastAsia="Arial" w:hAnsi="Arial"/>
          <w:sz w:val="13"/>
          <w:szCs w:val="13"/>
          <w:b w:val="1"/>
          <w:bCs w:val="1"/>
          <w:color w:val="auto"/>
        </w:rPr>
        <w:t>Proposal to ratify the appointment of Deloitte &amp; Touche LLP as the Company's Independent Auditor</w:t>
      </w:r>
    </w:p>
    <w:p>
      <w:pPr>
        <w:spacing w:after="0" w:line="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for fiscal year ending December 31, 2019.</w:t>
      </w:r>
    </w:p>
    <w:p>
      <w:pPr>
        <w:spacing w:after="0" w:line="363" w:lineRule="exact"/>
        <w:rPr>
          <w:sz w:val="20"/>
          <w:szCs w:val="20"/>
          <w:color w:val="auto"/>
        </w:rPr>
      </w:pPr>
    </w:p>
    <w:p>
      <w:pPr>
        <w:ind w:left="420"/>
        <w:spacing w:after="0"/>
        <w:rPr>
          <w:sz w:val="20"/>
          <w:szCs w:val="20"/>
          <w:color w:val="auto"/>
        </w:rPr>
      </w:pPr>
      <w:r>
        <w:rPr>
          <w:rFonts w:ascii="Arial" w:cs="Arial" w:eastAsia="Arial" w:hAnsi="Arial"/>
          <w:sz w:val="14"/>
          <w:szCs w:val="14"/>
          <w:b w:val="1"/>
          <w:bCs w:val="1"/>
          <w:color w:val="auto"/>
        </w:rPr>
        <w:t xml:space="preserve">The Board of Directors recommends a vote </w:t>
      </w:r>
      <w:r>
        <w:rPr>
          <w:rFonts w:ascii="Arial" w:cs="Arial" w:eastAsia="Arial" w:hAnsi="Arial"/>
          <w:sz w:val="14"/>
          <w:szCs w:val="14"/>
          <w:b w:val="1"/>
          <w:bCs w:val="1"/>
          <w:u w:val="single" w:color="auto"/>
          <w:color w:val="auto"/>
        </w:rPr>
        <w:t>AGAINST</w:t>
      </w:r>
      <w:r>
        <w:rPr>
          <w:rFonts w:ascii="Arial" w:cs="Arial" w:eastAsia="Arial" w:hAnsi="Arial"/>
          <w:sz w:val="14"/>
          <w:szCs w:val="14"/>
          <w:b w:val="1"/>
          <w:bCs w:val="1"/>
          <w:color w:val="auto"/>
        </w:rPr>
        <w:t xml:space="preserve"> Proposals 4 and 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w:t>
      </w:r>
      <w:r>
        <w:rPr>
          <w:rFonts w:ascii="Arial" w:cs="Arial" w:eastAsia="Arial" w:hAnsi="Arial"/>
          <w:sz w:val="14"/>
          <w:szCs w:val="14"/>
          <w:color w:val="FFFFFF"/>
        </w:rPr>
        <w:t>____</w:t>
      </w:r>
      <w:r>
        <w:rPr>
          <w:rFonts w:ascii="Arial" w:cs="Arial" w:eastAsia="Arial" w:hAnsi="Arial"/>
          <w:sz w:val="14"/>
          <w:szCs w:val="14"/>
          <w:color w:val="auto"/>
        </w:rPr>
        <w:t>□</w:t>
      </w:r>
      <w:r>
        <w:rPr>
          <w:rFonts w:ascii="Arial" w:cs="Arial" w:eastAsia="Arial" w:hAnsi="Arial"/>
          <w:sz w:val="14"/>
          <w:szCs w:val="14"/>
          <w:color w:val="FFFFFF"/>
        </w:rPr>
        <w:t>____</w:t>
      </w:r>
      <w:r>
        <w:rPr>
          <w:rFonts w:ascii="Arial" w:cs="Arial" w:eastAsia="Arial" w:hAnsi="Arial"/>
          <w:sz w:val="14"/>
          <w:szCs w:val="14"/>
          <w:color w:val="auto"/>
        </w:rPr>
        <w:t>□</w:t>
      </w:r>
    </w:p>
    <w:p>
      <w:pPr>
        <w:spacing w:after="0" w:line="31" w:lineRule="exact"/>
        <w:rPr>
          <w:sz w:val="20"/>
          <w:szCs w:val="20"/>
          <w:color w:val="auto"/>
        </w:rPr>
      </w:pPr>
    </w:p>
    <w:p>
      <w:pPr>
        <w:spacing w:after="0"/>
        <w:rPr>
          <w:sz w:val="20"/>
          <w:szCs w:val="20"/>
          <w:color w:val="auto"/>
        </w:rPr>
      </w:pPr>
      <w:r>
        <w:rPr>
          <w:rFonts w:ascii="Arial" w:cs="Arial" w:eastAsia="Arial" w:hAnsi="Arial"/>
          <w:sz w:val="11"/>
          <w:szCs w:val="11"/>
          <w:color w:val="auto"/>
        </w:rPr>
        <w:t>For Against Abstain</w:t>
      </w:r>
    </w:p>
    <w:p>
      <w:pPr>
        <w:spacing w:after="0" w:line="130" w:lineRule="exact"/>
        <w:rPr>
          <w:sz w:val="20"/>
          <w:szCs w:val="20"/>
          <w:color w:val="auto"/>
        </w:rPr>
      </w:pPr>
    </w:p>
    <w:p>
      <w:pPr>
        <w:spacing w:after="0"/>
        <w:rPr>
          <w:sz w:val="20"/>
          <w:szCs w:val="20"/>
          <w:color w:val="auto"/>
        </w:rPr>
      </w:pPr>
      <w:r>
        <w:rPr>
          <w:rFonts w:ascii="Arial" w:cs="Arial" w:eastAsia="Arial" w:hAnsi="Arial"/>
          <w:sz w:val="14"/>
          <w:szCs w:val="14"/>
          <w:color w:val="auto"/>
        </w:rPr>
        <w:t>□</w:t>
      </w:r>
      <w:r>
        <w:rPr>
          <w:rFonts w:ascii="Arial" w:cs="Arial" w:eastAsia="Arial" w:hAnsi="Arial"/>
          <w:sz w:val="14"/>
          <w:szCs w:val="14"/>
          <w:color w:val="FFFFFF"/>
        </w:rPr>
        <w:t>____</w:t>
      </w:r>
      <w:r>
        <w:rPr>
          <w:rFonts w:ascii="Arial" w:cs="Arial" w:eastAsia="Arial" w:hAnsi="Arial"/>
          <w:sz w:val="14"/>
          <w:szCs w:val="14"/>
          <w:color w:val="auto"/>
        </w:rPr>
        <w:t>□</w:t>
      </w:r>
      <w:r>
        <w:rPr>
          <w:rFonts w:ascii="Arial" w:cs="Arial" w:eastAsia="Arial" w:hAnsi="Arial"/>
          <w:sz w:val="14"/>
          <w:szCs w:val="14"/>
          <w:color w:val="FFFFFF"/>
        </w:rPr>
        <w:t>____</w:t>
      </w:r>
      <w:r>
        <w:rPr>
          <w:rFonts w:ascii="Arial" w:cs="Arial" w:eastAsia="Arial" w:hAnsi="Arial"/>
          <w:sz w:val="14"/>
          <w:szCs w:val="14"/>
          <w:color w:val="auto"/>
        </w:rPr>
        <w:t>□</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1"/>
          <w:szCs w:val="11"/>
          <w:color w:val="auto"/>
        </w:rPr>
        <w:t>For Against Abstain</w:t>
      </w:r>
    </w:p>
    <w:p>
      <w:pPr>
        <w:spacing w:after="0" w:line="120" w:lineRule="exact"/>
        <w:rPr>
          <w:sz w:val="20"/>
          <w:szCs w:val="20"/>
          <w:color w:val="auto"/>
        </w:rPr>
      </w:pPr>
    </w:p>
    <w:p>
      <w:pPr>
        <w:sectPr>
          <w:pgSz w:w="11900" w:h="16900" w:orient="portrait"/>
          <w:cols w:equalWidth="0" w:num="2">
            <w:col w:w="7000" w:space="720"/>
            <w:col w:w="3700"/>
          </w:cols>
          <w:pgMar w:left="240" w:top="128" w:right="239" w:bottom="0" w:gutter="0" w:footer="0" w:header="0"/>
          <w:type w:val="continuous"/>
        </w:sectPr>
      </w:pPr>
    </w:p>
    <w:tbl>
      <w:tblPr>
        <w:tblLayout w:type="fixed"/>
        <w:tblInd w:w="20" w:type="dxa"/>
        <w:tblCellMar>
          <w:top w:w="0" w:type="dxa"/>
          <w:left w:w="0" w:type="dxa"/>
          <w:bottom w:w="0" w:type="dxa"/>
          <w:right w:w="0" w:type="dxa"/>
        </w:tblCellMar>
      </w:tblPr>
      <w:tr>
        <w:trPr>
          <w:trHeight w:val="161"/>
        </w:trPr>
        <w:tc>
          <w:tcPr>
            <w:tcW w:w="120" w:type="dxa"/>
            <w:vAlign w:val="bottom"/>
          </w:tcPr>
          <w:p>
            <w:pPr>
              <w:spacing w:after="0"/>
              <w:rPr>
                <w:sz w:val="20"/>
                <w:szCs w:val="20"/>
                <w:color w:val="auto"/>
              </w:rPr>
            </w:pPr>
            <w:r>
              <w:rPr>
                <w:rFonts w:ascii="Arial" w:cs="Arial" w:eastAsia="Arial" w:hAnsi="Arial"/>
                <w:sz w:val="14"/>
                <w:szCs w:val="14"/>
                <w:b w:val="1"/>
                <w:bCs w:val="1"/>
                <w:color w:val="auto"/>
                <w:w w:val="85"/>
              </w:rPr>
              <w:t>4.</w:t>
            </w:r>
          </w:p>
        </w:tc>
        <w:tc>
          <w:tcPr>
            <w:tcW w:w="6760" w:type="dxa"/>
            <w:vAlign w:val="bottom"/>
          </w:tcPr>
          <w:p>
            <w:pPr>
              <w:ind w:left="20"/>
              <w:spacing w:after="0"/>
              <w:rPr>
                <w:sz w:val="20"/>
                <w:szCs w:val="20"/>
                <w:color w:val="auto"/>
              </w:rPr>
            </w:pPr>
            <w:r>
              <w:rPr>
                <w:rFonts w:ascii="Arial" w:cs="Arial" w:eastAsia="Arial" w:hAnsi="Arial"/>
                <w:sz w:val="14"/>
                <w:szCs w:val="14"/>
                <w:b w:val="1"/>
                <w:bCs w:val="1"/>
                <w:color w:val="auto"/>
                <w:w w:val="98"/>
              </w:rPr>
              <w:t>Shareholder proposal to provide for a report on management systems and processes for implementing</w:t>
            </w:r>
          </w:p>
        </w:tc>
        <w:tc>
          <w:tcPr>
            <w:tcW w:w="1920" w:type="dxa"/>
            <w:vAlign w:val="bottom"/>
          </w:tcPr>
          <w:p>
            <w:pPr>
              <w:ind w:left="8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color w:val="FFFFFF"/>
              </w:rPr>
              <w:t>____</w:t>
            </w:r>
            <w:r>
              <w:rPr>
                <w:rFonts w:ascii="Arial" w:cs="Arial" w:eastAsia="Arial" w:hAnsi="Arial"/>
                <w:sz w:val="14"/>
                <w:szCs w:val="14"/>
                <w:color w:val="auto"/>
              </w:rPr>
              <w:t>□</w:t>
            </w:r>
            <w:r>
              <w:rPr>
                <w:rFonts w:ascii="Arial" w:cs="Arial" w:eastAsia="Arial" w:hAnsi="Arial"/>
                <w:sz w:val="14"/>
                <w:szCs w:val="14"/>
                <w:color w:val="FFFFFF"/>
              </w:rPr>
              <w:t>____</w:t>
            </w: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6880" w:type="dxa"/>
            <w:vAlign w:val="bottom"/>
            <w:gridSpan w:val="2"/>
          </w:tcPr>
          <w:p>
            <w:pPr>
              <w:spacing w:after="0"/>
              <w:rPr>
                <w:sz w:val="20"/>
                <w:szCs w:val="20"/>
                <w:color w:val="auto"/>
              </w:rPr>
            </w:pPr>
            <w:r>
              <w:rPr>
                <w:rFonts w:ascii="Arial" w:cs="Arial" w:eastAsia="Arial" w:hAnsi="Arial"/>
                <w:sz w:val="14"/>
                <w:szCs w:val="14"/>
                <w:b w:val="1"/>
                <w:bCs w:val="1"/>
                <w:color w:val="auto"/>
              </w:rPr>
              <w:t>the Company's human rights policy.</w:t>
            </w:r>
          </w:p>
        </w:tc>
        <w:tc>
          <w:tcPr>
            <w:tcW w:w="1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120" w:type="dxa"/>
            <w:vAlign w:val="bottom"/>
          </w:tcPr>
          <w:p>
            <w:pPr>
              <w:spacing w:after="0"/>
              <w:rPr>
                <w:sz w:val="16"/>
                <w:szCs w:val="16"/>
                <w:color w:val="auto"/>
              </w:rPr>
            </w:pPr>
          </w:p>
        </w:tc>
        <w:tc>
          <w:tcPr>
            <w:tcW w:w="6760" w:type="dxa"/>
            <w:vAlign w:val="bottom"/>
          </w:tcPr>
          <w:p>
            <w:pPr>
              <w:spacing w:after="0"/>
              <w:rPr>
                <w:sz w:val="16"/>
                <w:szCs w:val="16"/>
                <w:color w:val="auto"/>
              </w:rPr>
            </w:pPr>
          </w:p>
        </w:tc>
        <w:tc>
          <w:tcPr>
            <w:tcW w:w="1920" w:type="dxa"/>
            <w:vAlign w:val="bottom"/>
          </w:tcPr>
          <w:p>
            <w:pPr>
              <w:ind w:left="820"/>
              <w:spacing w:after="0"/>
              <w:rPr>
                <w:sz w:val="20"/>
                <w:szCs w:val="20"/>
                <w:color w:val="auto"/>
              </w:rPr>
            </w:pPr>
            <w:r>
              <w:rPr>
                <w:rFonts w:ascii="Arial" w:cs="Arial" w:eastAsia="Arial" w:hAnsi="Arial"/>
                <w:sz w:val="14"/>
                <w:szCs w:val="14"/>
                <w:color w:val="auto"/>
                <w:w w:val="88"/>
              </w:rPr>
              <w:t>For Against Abstain</w:t>
            </w:r>
          </w:p>
        </w:tc>
        <w:tc>
          <w:tcPr>
            <w:tcW w:w="0" w:type="dxa"/>
            <w:vAlign w:val="bottom"/>
          </w:tcPr>
          <w:p>
            <w:pPr>
              <w:spacing w:after="0"/>
              <w:rPr>
                <w:sz w:val="1"/>
                <w:szCs w:val="1"/>
                <w:color w:val="auto"/>
              </w:rPr>
            </w:pPr>
          </w:p>
        </w:tc>
      </w:tr>
      <w:tr>
        <w:trPr>
          <w:trHeight w:val="256"/>
        </w:trPr>
        <w:tc>
          <w:tcPr>
            <w:tcW w:w="120" w:type="dxa"/>
            <w:vAlign w:val="bottom"/>
            <w:vMerge w:val="restart"/>
          </w:tcPr>
          <w:p>
            <w:pPr>
              <w:spacing w:after="0"/>
              <w:rPr>
                <w:sz w:val="20"/>
                <w:szCs w:val="20"/>
                <w:color w:val="auto"/>
              </w:rPr>
            </w:pPr>
            <w:r>
              <w:rPr>
                <w:rFonts w:ascii="Arial" w:cs="Arial" w:eastAsia="Arial" w:hAnsi="Arial"/>
                <w:sz w:val="14"/>
                <w:szCs w:val="14"/>
                <w:b w:val="1"/>
                <w:bCs w:val="1"/>
                <w:color w:val="auto"/>
                <w:w w:val="85"/>
              </w:rPr>
              <w:t>5.</w:t>
            </w:r>
          </w:p>
        </w:tc>
        <w:tc>
          <w:tcPr>
            <w:tcW w:w="67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Shareholder proposal to provide for an independent chair.</w:t>
            </w:r>
          </w:p>
        </w:tc>
        <w:tc>
          <w:tcPr>
            <w:tcW w:w="1920" w:type="dxa"/>
            <w:vAlign w:val="bottom"/>
          </w:tcPr>
          <w:p>
            <w:pPr>
              <w:ind w:left="8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color w:val="FFFFFF"/>
              </w:rPr>
              <w:t>____</w:t>
            </w:r>
            <w:r>
              <w:rPr>
                <w:rFonts w:ascii="Arial" w:cs="Arial" w:eastAsia="Arial" w:hAnsi="Arial"/>
                <w:sz w:val="14"/>
                <w:szCs w:val="14"/>
                <w:color w:val="auto"/>
              </w:rPr>
              <w:t>□</w:t>
            </w:r>
            <w:r>
              <w:rPr>
                <w:rFonts w:ascii="Arial" w:cs="Arial" w:eastAsia="Arial" w:hAnsi="Arial"/>
                <w:sz w:val="14"/>
                <w:szCs w:val="14"/>
                <w:color w:val="FFFFFF"/>
              </w:rPr>
              <w:t>____</w:t>
            </w: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4"/>
        </w:trPr>
        <w:tc>
          <w:tcPr>
            <w:tcW w:w="120" w:type="dxa"/>
            <w:vAlign w:val="bottom"/>
            <w:vMerge w:val="continue"/>
          </w:tcPr>
          <w:p>
            <w:pPr>
              <w:spacing w:after="0"/>
              <w:rPr>
                <w:sz w:val="5"/>
                <w:szCs w:val="5"/>
                <w:color w:val="auto"/>
              </w:rPr>
            </w:pPr>
          </w:p>
        </w:tc>
        <w:tc>
          <w:tcPr>
            <w:tcW w:w="6760" w:type="dxa"/>
            <w:vAlign w:val="bottom"/>
            <w:vMerge w:val="continue"/>
          </w:tcPr>
          <w:p>
            <w:pPr>
              <w:spacing w:after="0"/>
              <w:rPr>
                <w:sz w:val="5"/>
                <w:szCs w:val="5"/>
                <w:color w:val="auto"/>
              </w:rPr>
            </w:pPr>
          </w:p>
        </w:tc>
        <w:tc>
          <w:tcPr>
            <w:tcW w:w="19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80"/>
        <w:spacing w:after="0"/>
        <w:rPr>
          <w:sz w:val="20"/>
          <w:szCs w:val="20"/>
          <w:color w:val="auto"/>
        </w:rPr>
      </w:pPr>
      <w:r>
        <w:rPr>
          <w:rFonts w:ascii="Arial" w:cs="Arial" w:eastAsia="Arial" w:hAnsi="Arial"/>
          <w:sz w:val="17"/>
          <w:szCs w:val="17"/>
          <w:color w:val="FFFFFF"/>
          <w:highlight w:val="black"/>
        </w:rPr>
        <w:t xml:space="preserve">B </w:t>
      </w:r>
      <w:r>
        <w:rPr>
          <w:rFonts w:ascii="Arial" w:cs="Arial" w:eastAsia="Arial" w:hAnsi="Arial"/>
          <w:sz w:val="15"/>
          <w:szCs w:val="15"/>
          <w:b w:val="1"/>
          <w:bCs w:val="1"/>
          <w:color w:val="000000"/>
        </w:rPr>
        <w:t>Authorized Signatures - This section must be completed for your vote to be counted. Please date and sign below.</w:t>
      </w:r>
    </w:p>
    <w:p>
      <w:pPr>
        <w:spacing w:after="0" w:line="10" w:lineRule="exact"/>
        <w:rPr>
          <w:sz w:val="20"/>
          <w:szCs w:val="20"/>
          <w:color w:val="auto"/>
        </w:rPr>
      </w:pPr>
    </w:p>
    <w:p>
      <w:pPr>
        <w:ind w:left="100"/>
        <w:spacing w:after="0"/>
        <w:rPr>
          <w:sz w:val="20"/>
          <w:szCs w:val="20"/>
          <w:color w:val="auto"/>
        </w:rPr>
      </w:pPr>
      <w:r>
        <w:rPr>
          <w:rFonts w:ascii="Arial" w:cs="Arial" w:eastAsia="Arial" w:hAnsi="Arial"/>
          <w:sz w:val="14"/>
          <w:szCs w:val="14"/>
          <w:color w:val="auto"/>
        </w:rPr>
        <w:t>Please sign exactly as name(s) appears hereon. Joint owners should each sign.</w:t>
      </w:r>
    </w:p>
    <w:p>
      <w:pPr>
        <w:ind w:left="100"/>
        <w:spacing w:after="0"/>
        <w:rPr>
          <w:sz w:val="20"/>
          <w:szCs w:val="20"/>
          <w:color w:val="auto"/>
        </w:rPr>
      </w:pPr>
      <w:r>
        <w:rPr>
          <w:rFonts w:ascii="Arial" w:cs="Arial" w:eastAsia="Arial" w:hAnsi="Arial"/>
          <w:sz w:val="14"/>
          <w:szCs w:val="14"/>
          <w:color w:val="auto"/>
        </w:rPr>
        <w:t>When signing as attorney, executor, administrator, corporate officer, trustee, guardian, or custodian, please give full title.</w:t>
      </w:r>
    </w:p>
    <w:p>
      <w:pPr>
        <w:sectPr>
          <w:pgSz w:w="11900" w:h="16900" w:orient="portrait"/>
          <w:cols w:equalWidth="0" w:num="1">
            <w:col w:w="11420"/>
          </w:cols>
          <w:pgMar w:left="240" w:top="128" w:right="239" w:bottom="0" w:gutter="0" w:footer="0" w:header="0"/>
          <w:type w:val="continuous"/>
        </w:sectPr>
      </w:pPr>
    </w:p>
    <w:p>
      <w:pPr>
        <w:spacing w:after="0" w:line="140" w:lineRule="exact"/>
        <w:rPr>
          <w:sz w:val="20"/>
          <w:szCs w:val="20"/>
          <w:color w:val="auto"/>
        </w:rPr>
      </w:pPr>
    </w:p>
    <w:tbl>
      <w:tblPr>
        <w:tblLayout w:type="fixed"/>
        <w:tblInd w:w="110" w:type="dxa"/>
        <w:tblCellMar>
          <w:top w:w="0" w:type="dxa"/>
          <w:left w:w="0" w:type="dxa"/>
          <w:bottom w:w="0" w:type="dxa"/>
          <w:right w:w="0" w:type="dxa"/>
        </w:tblCellMar>
      </w:tblPr>
      <w:tr>
        <w:trPr>
          <w:trHeight w:val="161"/>
        </w:trPr>
        <w:tc>
          <w:tcPr>
            <w:tcW w:w="2760" w:type="dxa"/>
            <w:vAlign w:val="bottom"/>
            <w:gridSpan w:val="2"/>
          </w:tcPr>
          <w:p>
            <w:pPr>
              <w:ind w:left="40"/>
              <w:spacing w:after="0"/>
              <w:rPr>
                <w:sz w:val="20"/>
                <w:szCs w:val="20"/>
                <w:color w:val="auto"/>
              </w:rPr>
            </w:pPr>
            <w:r>
              <w:rPr>
                <w:rFonts w:ascii="Arial" w:cs="Arial" w:eastAsia="Arial" w:hAnsi="Arial"/>
                <w:sz w:val="14"/>
                <w:szCs w:val="14"/>
                <w:color w:val="auto"/>
              </w:rPr>
              <w:t>Date (mm/dd/yyyy) - Please print date</w:t>
            </w:r>
          </w:p>
        </w:tc>
        <w:tc>
          <w:tcPr>
            <w:tcW w:w="2680" w:type="dxa"/>
            <w:vAlign w:val="bottom"/>
          </w:tcPr>
          <w:p>
            <w:pPr>
              <w:spacing w:after="0"/>
              <w:rPr>
                <w:sz w:val="20"/>
                <w:szCs w:val="20"/>
                <w:color w:val="auto"/>
              </w:rPr>
            </w:pPr>
            <w:r>
              <w:rPr>
                <w:rFonts w:ascii="Arial" w:cs="Arial" w:eastAsia="Arial" w:hAnsi="Arial"/>
                <w:sz w:val="14"/>
                <w:szCs w:val="14"/>
                <w:color w:val="auto"/>
              </w:rPr>
              <w:t>Signature 1 - Please keep signature within</w:t>
            </w:r>
          </w:p>
        </w:tc>
      </w:tr>
      <w:tr>
        <w:trPr>
          <w:trHeight w:val="169"/>
        </w:trPr>
        <w:tc>
          <w:tcPr>
            <w:tcW w:w="2760" w:type="dxa"/>
            <w:vAlign w:val="bottom"/>
            <w:gridSpan w:val="2"/>
          </w:tcPr>
          <w:p>
            <w:pPr>
              <w:ind w:left="40"/>
              <w:spacing w:after="0"/>
              <w:rPr>
                <w:sz w:val="20"/>
                <w:szCs w:val="20"/>
                <w:color w:val="auto"/>
              </w:rPr>
            </w:pPr>
            <w:r>
              <w:rPr>
                <w:rFonts w:ascii="Arial" w:cs="Arial" w:eastAsia="Arial" w:hAnsi="Arial"/>
                <w:sz w:val="14"/>
                <w:szCs w:val="14"/>
                <w:color w:val="auto"/>
              </w:rPr>
              <w:t>below.</w:t>
            </w:r>
          </w:p>
        </w:tc>
        <w:tc>
          <w:tcPr>
            <w:tcW w:w="2680" w:type="dxa"/>
            <w:vAlign w:val="bottom"/>
          </w:tcPr>
          <w:p>
            <w:pPr>
              <w:spacing w:after="0"/>
              <w:rPr>
                <w:sz w:val="20"/>
                <w:szCs w:val="20"/>
                <w:color w:val="auto"/>
              </w:rPr>
            </w:pPr>
            <w:r>
              <w:rPr>
                <w:rFonts w:ascii="Arial" w:cs="Arial" w:eastAsia="Arial" w:hAnsi="Arial"/>
                <w:sz w:val="14"/>
                <w:szCs w:val="14"/>
                <w:color w:val="auto"/>
              </w:rPr>
              <w:t>the box.</w:t>
            </w:r>
          </w:p>
        </w:tc>
      </w:tr>
      <w:tr>
        <w:trPr>
          <w:trHeight w:val="187"/>
        </w:trPr>
        <w:tc>
          <w:tcPr>
            <w:tcW w:w="2400" w:type="dxa"/>
            <w:vAlign w:val="bottom"/>
            <w:tcBorders>
              <w:top w:val="single" w:sz="8" w:color="auto"/>
              <w:left w:val="single" w:sz="8" w:color="auto"/>
              <w:right w:val="single" w:sz="8" w:color="auto"/>
            </w:tcBorders>
          </w:tcPr>
          <w:p>
            <w:pPr>
              <w:spacing w:after="0"/>
              <w:rPr>
                <w:sz w:val="16"/>
                <w:szCs w:val="16"/>
                <w:color w:val="auto"/>
              </w:rPr>
            </w:pPr>
          </w:p>
        </w:tc>
        <w:tc>
          <w:tcPr>
            <w:tcW w:w="360" w:type="dxa"/>
            <w:vAlign w:val="bottom"/>
            <w:tcBorders>
              <w:right w:val="single" w:sz="8" w:color="auto"/>
            </w:tcBorders>
          </w:tcPr>
          <w:p>
            <w:pPr>
              <w:spacing w:after="0"/>
              <w:rPr>
                <w:sz w:val="16"/>
                <w:szCs w:val="16"/>
                <w:color w:val="auto"/>
              </w:rPr>
            </w:pPr>
          </w:p>
        </w:tc>
        <w:tc>
          <w:tcPr>
            <w:tcW w:w="2680" w:type="dxa"/>
            <w:vAlign w:val="bottom"/>
            <w:tcBorders>
              <w:top w:val="single" w:sz="8" w:color="auto"/>
              <w:right w:val="single" w:sz="8" w:color="auto"/>
            </w:tcBorders>
          </w:tcPr>
          <w:p>
            <w:pPr>
              <w:spacing w:after="0"/>
              <w:rPr>
                <w:sz w:val="16"/>
                <w:szCs w:val="16"/>
                <w:color w:val="auto"/>
              </w:rPr>
            </w:pPr>
          </w:p>
        </w:tc>
      </w:tr>
    </w:tbl>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spacing w:after="0"/>
        <w:rPr>
          <w:sz w:val="20"/>
          <w:szCs w:val="20"/>
          <w:color w:val="auto"/>
        </w:rPr>
      </w:pPr>
      <w:r>
        <w:rPr>
          <w:rFonts w:ascii="Arial" w:cs="Arial" w:eastAsia="Arial" w:hAnsi="Arial"/>
          <w:sz w:val="13"/>
          <w:szCs w:val="13"/>
          <w:color w:val="auto"/>
        </w:rPr>
        <w:t>Signature 2 - Please keep signature within</w:t>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color w:val="auto"/>
        </w:rPr>
        <w:t>the box.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wp:posOffset>
            </wp:positionH>
            <wp:positionV relativeFrom="paragraph">
              <wp:posOffset>8890</wp:posOffset>
            </wp:positionV>
            <wp:extent cx="1766570" cy="12763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1766570" cy="127635"/>
                    </a:xfrm>
                    <a:prstGeom prst="rect">
                      <a:avLst/>
                    </a:prstGeom>
                    <a:noFill/>
                  </pic:spPr>
                </pic:pic>
              </a:graphicData>
            </a:graphic>
          </wp:anchor>
        </w:drawing>
      </w:r>
    </w:p>
    <w:p>
      <w:pPr>
        <w:sectPr>
          <w:pgSz w:w="11900" w:h="16900" w:orient="portrait"/>
          <w:cols w:equalWidth="0" w:num="2">
            <w:col w:w="5520" w:space="480"/>
            <w:col w:w="5420"/>
          </w:cols>
          <w:pgMar w:left="240" w:top="128" w:right="239" w:bottom="0" w:gutter="0" w:footer="0" w:header="0"/>
          <w:type w:val="continuous"/>
        </w:sectPr>
      </w:pPr>
    </w:p>
    <w:bookmarkStart w:id="96" w:name="page97"/>
    <w:bookmarkEnd w:id="9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219075</wp:posOffset>
            </wp:positionH>
            <wp:positionV relativeFrom="page">
              <wp:posOffset>88900</wp:posOffset>
            </wp:positionV>
            <wp:extent cx="5429885" cy="7302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5429885" cy="73025"/>
                    </a:xfrm>
                    <a:prstGeom prst="rect">
                      <a:avLst/>
                    </a:prstGeom>
                    <a:noFill/>
                  </pic:spPr>
                </pic:pic>
              </a:graphicData>
            </a:graphic>
          </wp:anchor>
        </w:drawing>
        <w:drawing>
          <wp:anchor simplePos="0" relativeHeight="251657728" behindDoc="1" locked="0" layoutInCell="0" allowOverlap="1">
            <wp:simplePos x="0" y="0"/>
            <wp:positionH relativeFrom="page">
              <wp:posOffset>854075</wp:posOffset>
            </wp:positionH>
            <wp:positionV relativeFrom="page">
              <wp:posOffset>1073785</wp:posOffset>
            </wp:positionV>
            <wp:extent cx="5861685" cy="14814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clrChange>
                        <a:clrFrom>
                          <a:srgbClr val="FFFFFF"/>
                        </a:clrFrom>
                        <a:clrTo>
                          <a:srgbClr val="FFFFFF">
                            <a:alpha val="0"/>
                          </a:srgbClr>
                        </a:clrTo>
                      </a:clrChange>
                      <a:extLst>
                        <a:ext uri="{28A0092B-C50C-407E-A947-70E740481C1C}"/>
                      </a:extLst>
                    </a:blip>
                    <a:srcRect/>
                    <a:stretch>
                      <a:fillRect/>
                    </a:stretch>
                  </pic:blipFill>
                  <pic:spPr bwMode="auto">
                    <a:xfrm>
                      <a:off x="0" y="0"/>
                      <a:ext cx="5861685" cy="1481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ANNUAL MEETING OF SHAREHOLDERS</w:t>
      </w:r>
    </w:p>
    <w:p>
      <w:pPr>
        <w:spacing w:after="0" w:line="2"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MAY 15, 2019, 8:00 A.M.</w:t>
      </w:r>
    </w:p>
    <w:p>
      <w:pPr>
        <w:jc w:val="center"/>
        <w:ind w:right="-39"/>
        <w:spacing w:after="0" w:line="229" w:lineRule="auto"/>
        <w:rPr>
          <w:sz w:val="20"/>
          <w:szCs w:val="20"/>
          <w:color w:val="auto"/>
        </w:rPr>
      </w:pPr>
      <w:r>
        <w:rPr>
          <w:rFonts w:ascii="Arial" w:cs="Arial" w:eastAsia="Arial" w:hAnsi="Arial"/>
          <w:sz w:val="14"/>
          <w:szCs w:val="14"/>
          <w:b w:val="1"/>
          <w:bCs w:val="1"/>
          <w:color w:val="auto"/>
        </w:rPr>
        <w:t>Northrop Grumman Corporation Headquarters</w:t>
      </w:r>
    </w:p>
    <w:p>
      <w:pPr>
        <w:jc w:val="center"/>
        <w:ind w:right="-39"/>
        <w:spacing w:after="0"/>
        <w:rPr>
          <w:sz w:val="20"/>
          <w:szCs w:val="20"/>
          <w:color w:val="auto"/>
        </w:rPr>
      </w:pPr>
      <w:r>
        <w:rPr>
          <w:rFonts w:ascii="Arial" w:cs="Arial" w:eastAsia="Arial" w:hAnsi="Arial"/>
          <w:sz w:val="14"/>
          <w:szCs w:val="14"/>
          <w:b w:val="1"/>
          <w:bCs w:val="1"/>
          <w:color w:val="auto"/>
        </w:rPr>
        <w:t>2980 Fairview Park Drive, Falls Church, Virginia 22042</w:t>
      </w:r>
    </w:p>
    <w:p>
      <w:pPr>
        <w:spacing w:after="0" w:line="220"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This Proxy/Voting Instruction Card is Solicited on Behalf of The Board of Directors for the 2019 Annual Meeting of Shareholders</w:t>
      </w:r>
    </w:p>
    <w:p>
      <w:pPr>
        <w:spacing w:after="0" w:line="99" w:lineRule="exact"/>
        <w:rPr>
          <w:sz w:val="20"/>
          <w:szCs w:val="20"/>
          <w:color w:val="auto"/>
        </w:rPr>
      </w:pPr>
    </w:p>
    <w:p>
      <w:pPr>
        <w:jc w:val="both"/>
        <w:ind w:left="40"/>
        <w:spacing w:after="0" w:line="231" w:lineRule="auto"/>
        <w:rPr>
          <w:sz w:val="20"/>
          <w:szCs w:val="20"/>
          <w:color w:val="auto"/>
        </w:rPr>
      </w:pPr>
      <w:r>
        <w:rPr>
          <w:rFonts w:ascii="Arial" w:cs="Arial" w:eastAsia="Arial" w:hAnsi="Arial"/>
          <w:sz w:val="14"/>
          <w:szCs w:val="14"/>
          <w:color w:val="auto"/>
        </w:rPr>
        <w:t>The undersigned hereby constitutes and appoints Sheila C. Cheston and Jennifer C. McGarey, and each of them, attorneys and proxies with full power of substitution, to represent the undersigned and to vote all shares of Common Stock, $1.00 par value, of Northrop Grumman Corporation (the “Company”), that the undersigned would be entitled to vote if personally present at the 2019 Annual Meeting of Shareholders of the Company to be held on Wednesday, May 15, 2019, at 8:00 a.m. (Eastern Daylight Time) at the Northrop Grumman Corporation Headquarters, 2980 Fairview Park Drive, Falls Church, Virginia 22042, and at any and all adjournments or postponements thereof (the “Meeting”), as herein specified and in such proxyholder’s discretion upon any other matter that may properly come before the Meeting including without limitation to vote on the election of such substitute nominees as such proxies may select in the event nominee(s) named on their card become(s) unable to serve as director. By granting this proxy, the undersigned hereby revokes any proxy previously granted by the undersigned.</w:t>
      </w:r>
    </w:p>
    <w:p>
      <w:pPr>
        <w:spacing w:after="0" w:line="59" w:lineRule="exact"/>
        <w:rPr>
          <w:sz w:val="20"/>
          <w:szCs w:val="20"/>
          <w:color w:val="auto"/>
        </w:rPr>
      </w:pPr>
    </w:p>
    <w:p>
      <w:pPr>
        <w:jc w:val="both"/>
        <w:ind w:left="40"/>
        <w:spacing w:after="0" w:line="267" w:lineRule="auto"/>
        <w:rPr>
          <w:sz w:val="20"/>
          <w:szCs w:val="20"/>
          <w:color w:val="auto"/>
        </w:rPr>
      </w:pPr>
      <w:r>
        <w:rPr>
          <w:rFonts w:ascii="Arial" w:cs="Arial" w:eastAsia="Arial" w:hAnsi="Arial"/>
          <w:sz w:val="14"/>
          <w:szCs w:val="14"/>
          <w:color w:val="auto"/>
        </w:rPr>
        <w:t>THIS PROXY WILL BE VOTED AS DIRECTED. IF NOT OTHERWISE DIRECTED, THIS PROXY WILL BE VOTED “FOR” THE NOMINEES LISTED UNDER PROPOSAL 1, “FOR” PROPOSALS 2 AND 3 AND “AGAINST” PROPOSALS 4 AND 5.</w:t>
      </w:r>
    </w:p>
    <w:p>
      <w:pPr>
        <w:spacing w:after="0" w:line="49" w:lineRule="exact"/>
        <w:rPr>
          <w:sz w:val="20"/>
          <w:szCs w:val="20"/>
          <w:color w:val="auto"/>
        </w:rPr>
      </w:pPr>
    </w:p>
    <w:p>
      <w:pPr>
        <w:ind w:left="40"/>
        <w:spacing w:after="0"/>
        <w:rPr>
          <w:sz w:val="20"/>
          <w:szCs w:val="20"/>
          <w:color w:val="auto"/>
        </w:rPr>
      </w:pPr>
      <w:r>
        <w:rPr>
          <w:rFonts w:ascii="Arial" w:cs="Arial" w:eastAsia="Arial" w:hAnsi="Arial"/>
          <w:sz w:val="14"/>
          <w:szCs w:val="14"/>
          <w:color w:val="auto"/>
        </w:rPr>
        <w:t>PLEASE MARK, DATE AND SIGN THIS PROXY AND RETURN IT PROMPTLY, EVEN IF YOU PLAN TO ATTEND THE ANNUAL MEETING.</w:t>
      </w:r>
    </w:p>
    <w:p>
      <w:pPr>
        <w:spacing w:after="0" w:line="83" w:lineRule="exact"/>
        <w:rPr>
          <w:sz w:val="20"/>
          <w:szCs w:val="20"/>
          <w:color w:val="auto"/>
        </w:rPr>
      </w:pPr>
    </w:p>
    <w:p>
      <w:pPr>
        <w:jc w:val="both"/>
        <w:ind w:left="40"/>
        <w:spacing w:after="0" w:line="233" w:lineRule="auto"/>
        <w:rPr>
          <w:sz w:val="20"/>
          <w:szCs w:val="20"/>
          <w:color w:val="auto"/>
        </w:rPr>
      </w:pPr>
      <w:r>
        <w:rPr>
          <w:rFonts w:ascii="Arial" w:cs="Arial" w:eastAsia="Arial" w:hAnsi="Arial"/>
          <w:sz w:val="14"/>
          <w:szCs w:val="14"/>
          <w:color w:val="auto"/>
        </w:rPr>
        <w:t>If shares are held on your behalf under any of the Company Savings Plans, the proxy serves to provide confidential instructions to the plan Trustee or Voting Manager who then votes the shares. Instructions must be received by 11:59 p.m. Eastern Time on May 12, 2019 to be included in the tabulation to the plan Trustee or Voting Manager. For shares represented by proxies not received by this date, the applicable plan Trustee or Voting Manager will treat the received proxies as instructions to vote the respective plan shares in the same proportion as shares held under the plan for which voting instructions have been received, unless contrary to the Employment Retirement Income Security Act.</w:t>
      </w:r>
    </w:p>
    <w:p>
      <w:pPr>
        <w:spacing w:after="0" w:line="67" w:lineRule="exact"/>
        <w:rPr>
          <w:sz w:val="20"/>
          <w:szCs w:val="20"/>
          <w:color w:val="auto"/>
        </w:rPr>
      </w:pPr>
    </w:p>
    <w:p>
      <w:pPr>
        <w:ind w:left="40"/>
        <w:spacing w:after="0"/>
        <w:rPr>
          <w:sz w:val="20"/>
          <w:szCs w:val="20"/>
          <w:color w:val="auto"/>
        </w:rPr>
      </w:pPr>
      <w:r>
        <w:rPr>
          <w:rFonts w:ascii="Arial" w:cs="Arial" w:eastAsia="Arial" w:hAnsi="Arial"/>
          <w:sz w:val="14"/>
          <w:szCs w:val="14"/>
          <w:color w:val="auto"/>
        </w:rPr>
        <w:t>(Continued and to be signed on the other 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93980</wp:posOffset>
            </wp:positionV>
            <wp:extent cx="7213600" cy="324485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13600" cy="3244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40"/>
        <w:spacing w:after="0"/>
        <w:rPr>
          <w:sz w:val="20"/>
          <w:szCs w:val="20"/>
          <w:color w:val="auto"/>
        </w:rPr>
      </w:pPr>
      <w:r>
        <w:rPr>
          <w:rFonts w:ascii="Arial" w:cs="Arial" w:eastAsia="Arial" w:hAnsi="Arial"/>
          <w:sz w:val="21"/>
          <w:szCs w:val="21"/>
          <w:b w:val="1"/>
          <w:bCs w:val="1"/>
          <w:color w:val="auto"/>
        </w:rPr>
        <w:t>Important Notice Regarding the Availability of Proxy Materials for the</w:t>
      </w:r>
    </w:p>
    <w:p>
      <w:pPr>
        <w:spacing w:after="0" w:line="28" w:lineRule="exact"/>
        <w:rPr>
          <w:sz w:val="20"/>
          <w:szCs w:val="20"/>
          <w:color w:val="auto"/>
        </w:rPr>
      </w:pPr>
    </w:p>
    <w:p>
      <w:pPr>
        <w:jc w:val="center"/>
        <w:ind w:right="40"/>
        <w:spacing w:after="0"/>
        <w:rPr>
          <w:sz w:val="20"/>
          <w:szCs w:val="20"/>
          <w:color w:val="auto"/>
        </w:rPr>
      </w:pPr>
      <w:r>
        <w:rPr>
          <w:rFonts w:ascii="Arial" w:cs="Arial" w:eastAsia="Arial" w:hAnsi="Arial"/>
          <w:sz w:val="21"/>
          <w:szCs w:val="21"/>
          <w:b w:val="1"/>
          <w:bCs w:val="1"/>
          <w:color w:val="auto"/>
        </w:rPr>
        <w:t>Northrop Grumman Corporation Meeting of Shareholders to be Held on May 15, 2019</w:t>
      </w:r>
    </w:p>
    <w:p>
      <w:pPr>
        <w:spacing w:after="0" w:line="113" w:lineRule="exact"/>
        <w:rPr>
          <w:sz w:val="20"/>
          <w:szCs w:val="20"/>
          <w:color w:val="auto"/>
        </w:rPr>
      </w:pPr>
    </w:p>
    <w:p>
      <w:pPr>
        <w:ind w:left="20" w:right="100"/>
        <w:spacing w:after="0" w:line="258" w:lineRule="auto"/>
        <w:rPr>
          <w:sz w:val="20"/>
          <w:szCs w:val="20"/>
          <w:color w:val="auto"/>
        </w:rPr>
      </w:pPr>
      <w:r>
        <w:rPr>
          <w:rFonts w:ascii="Arial" w:cs="Arial" w:eastAsia="Arial" w:hAnsi="Arial"/>
          <w:sz w:val="15"/>
          <w:szCs w:val="15"/>
          <w:color w:val="auto"/>
        </w:rPr>
        <w:t>Under Securities and Exchange Commission rules, you are receiving this notice that the proxy materials for the annual shareholders’ meeting are available on the Internet. Follow the instructions below to view the materials and vote online or request a copy. The items to be voted on and location of the annual meeting are on the reverse side. Your vote is important!</w:t>
      </w:r>
    </w:p>
    <w:p>
      <w:pPr>
        <w:spacing w:after="0" w:line="98" w:lineRule="exact"/>
        <w:rPr>
          <w:sz w:val="20"/>
          <w:szCs w:val="20"/>
          <w:color w:val="auto"/>
        </w:rPr>
      </w:pPr>
    </w:p>
    <w:p>
      <w:pPr>
        <w:ind w:left="20" w:right="40" w:hanging="25"/>
        <w:spacing w:after="0" w:line="267" w:lineRule="auto"/>
        <w:rPr>
          <w:sz w:val="20"/>
          <w:szCs w:val="20"/>
          <w:color w:val="auto"/>
        </w:rPr>
      </w:pPr>
      <w:r>
        <w:rPr>
          <w:rFonts w:ascii="Arial" w:cs="Arial" w:eastAsia="Arial" w:hAnsi="Arial"/>
          <w:sz w:val="15"/>
          <w:szCs w:val="15"/>
          <w:color w:val="auto"/>
        </w:rPr>
        <w:t>This communication presents only an overview of the more complete proxy materials that are available to you on the Internet. We encourage you to access and review all of the important information contained in the proxy materials before voting. The proxy statement and annual report to shareholders are available at:</w:t>
      </w:r>
    </w:p>
    <w:p>
      <w:pPr>
        <w:sectPr>
          <w:pgSz w:w="11900" w:h="16838" w:orient="portrait"/>
          <w:cols w:equalWidth="0" w:num="1">
            <w:col w:w="11360"/>
          </w:cols>
          <w:pgMar w:left="300" w:top="1440" w:right="239" w:bottom="1440" w:gutter="0" w:footer="0" w:header="0"/>
        </w:sectPr>
      </w:pPr>
    </w:p>
    <w:bookmarkStart w:id="97" w:name="page98"/>
    <w:bookmarkEnd w:id="9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854075</wp:posOffset>
            </wp:positionH>
            <wp:positionV relativeFrom="page">
              <wp:posOffset>88900</wp:posOffset>
            </wp:positionV>
            <wp:extent cx="5861685" cy="322389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5861685" cy="3223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right="260"/>
        <w:spacing w:after="0" w:line="257" w:lineRule="auto"/>
        <w:rPr>
          <w:sz w:val="20"/>
          <w:szCs w:val="20"/>
          <w:color w:val="auto"/>
        </w:rPr>
      </w:pPr>
      <w:r>
        <w:rPr>
          <w:rFonts w:ascii="Arial" w:cs="Arial" w:eastAsia="Arial" w:hAnsi="Arial"/>
          <w:sz w:val="21"/>
          <w:szCs w:val="21"/>
          <w:b w:val="1"/>
          <w:bCs w:val="1"/>
          <w:color w:val="auto"/>
        </w:rPr>
        <w:t>Northrop Grumman Corporation’s Annual Meeting of Shareholders will be held on May 15, 2019 at Northrop Grumman Corporation Headquarters, 2980 Fairview Park Drive, Falls Church, Virginia 22042, at 8:00 a.m. Eastern Daylight Time.</w:t>
      </w:r>
    </w:p>
    <w:p>
      <w:pPr>
        <w:spacing w:after="0" w:line="27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Proposals to be voted on at the meeting are listed below along with the Board of Directors’ recommendations.</w:t>
      </w:r>
    </w:p>
    <w:p>
      <w:pPr>
        <w:spacing w:after="0" w:line="18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The Board of Directors recommends that you vote </w:t>
      </w:r>
      <w:r>
        <w:rPr>
          <w:rFonts w:ascii="Arial" w:cs="Arial" w:eastAsia="Arial" w:hAnsi="Arial"/>
          <w:sz w:val="15"/>
          <w:szCs w:val="15"/>
          <w:b w:val="1"/>
          <w:bCs w:val="1"/>
          <w:u w:val="single" w:color="auto"/>
          <w:color w:val="auto"/>
        </w:rPr>
        <w:t>FOR</w:t>
      </w:r>
      <w:r>
        <w:rPr>
          <w:rFonts w:ascii="Arial" w:cs="Arial" w:eastAsia="Arial" w:hAnsi="Arial"/>
          <w:sz w:val="15"/>
          <w:szCs w:val="15"/>
          <w:b w:val="1"/>
          <w:bCs w:val="1"/>
          <w:color w:val="auto"/>
        </w:rPr>
        <w:t xml:space="preserve"> proposals 1-3.</w:t>
      </w:r>
    </w:p>
    <w:p>
      <w:pPr>
        <w:spacing w:after="0" w:line="204" w:lineRule="exact"/>
        <w:rPr>
          <w:sz w:val="20"/>
          <w:szCs w:val="20"/>
          <w:color w:val="auto"/>
        </w:rPr>
      </w:pPr>
    </w:p>
    <w:p>
      <w:pPr>
        <w:ind w:left="620" w:hanging="310"/>
        <w:spacing w:after="0"/>
        <w:tabs>
          <w:tab w:leader="none" w:pos="620" w:val="left"/>
        </w:tabs>
        <w:numPr>
          <w:ilvl w:val="0"/>
          <w:numId w:val="106"/>
        </w:numPr>
        <w:rPr>
          <w:rFonts w:ascii="Arial" w:cs="Arial" w:eastAsia="Arial" w:hAnsi="Arial"/>
          <w:sz w:val="15"/>
          <w:szCs w:val="15"/>
          <w:color w:val="auto"/>
        </w:rPr>
      </w:pPr>
      <w:r>
        <w:rPr>
          <w:rFonts w:ascii="Arial" w:cs="Arial" w:eastAsia="Arial" w:hAnsi="Arial"/>
          <w:sz w:val="15"/>
          <w:szCs w:val="15"/>
          <w:color w:val="auto"/>
        </w:rPr>
        <w:t>Election of the following 13 nominees as Directors:</w:t>
      </w:r>
    </w:p>
    <w:p>
      <w:pPr>
        <w:spacing w:after="0" w:line="7" w:lineRule="exact"/>
        <w:rPr>
          <w:sz w:val="20"/>
          <w:szCs w:val="20"/>
          <w:color w:val="auto"/>
        </w:rPr>
      </w:pPr>
    </w:p>
    <w:p>
      <w:pPr>
        <w:ind w:left="780"/>
        <w:spacing w:after="0"/>
        <w:rPr>
          <w:sz w:val="20"/>
          <w:szCs w:val="20"/>
          <w:color w:val="auto"/>
        </w:rPr>
      </w:pPr>
      <w:r>
        <w:rPr>
          <w:rFonts w:ascii="Arial" w:cs="Arial" w:eastAsia="Arial" w:hAnsi="Arial"/>
          <w:sz w:val="15"/>
          <w:szCs w:val="15"/>
          <w:color w:val="auto"/>
        </w:rPr>
        <w:t>Wesley G. Bush, Marianne C. Brown, Donald E. Felsinger, Ann M. Fudge, Bruce S. Gordon, William H. Hernandez,</w:t>
      </w:r>
    </w:p>
    <w:p>
      <w:pPr>
        <w:spacing w:after="0" w:line="7" w:lineRule="exact"/>
        <w:rPr>
          <w:sz w:val="20"/>
          <w:szCs w:val="20"/>
          <w:color w:val="auto"/>
        </w:rPr>
      </w:pPr>
    </w:p>
    <w:p>
      <w:pPr>
        <w:ind w:left="780"/>
        <w:spacing w:after="0"/>
        <w:rPr>
          <w:sz w:val="20"/>
          <w:szCs w:val="20"/>
          <w:color w:val="auto"/>
        </w:rPr>
      </w:pPr>
      <w:r>
        <w:rPr>
          <w:rFonts w:ascii="Arial" w:cs="Arial" w:eastAsia="Arial" w:hAnsi="Arial"/>
          <w:sz w:val="15"/>
          <w:szCs w:val="15"/>
          <w:color w:val="auto"/>
        </w:rPr>
        <w:t>Madeleine A. Kleiner, Karl J. Krapek, Gary Roughead, Thomas M. Schoewe, James S. Turley, Kathy J. Warden and Mark A. Welsh III.</w:t>
      </w:r>
    </w:p>
    <w:p>
      <w:pPr>
        <w:spacing w:after="0" w:line="186" w:lineRule="exact"/>
        <w:rPr>
          <w:sz w:val="20"/>
          <w:szCs w:val="20"/>
          <w:color w:val="auto"/>
        </w:rPr>
      </w:pPr>
    </w:p>
    <w:p>
      <w:pPr>
        <w:ind w:left="620" w:hanging="310"/>
        <w:spacing w:after="0"/>
        <w:tabs>
          <w:tab w:leader="none" w:pos="620" w:val="left"/>
        </w:tabs>
        <w:numPr>
          <w:ilvl w:val="0"/>
          <w:numId w:val="107"/>
        </w:numPr>
        <w:rPr>
          <w:rFonts w:ascii="Arial" w:cs="Arial" w:eastAsia="Arial" w:hAnsi="Arial"/>
          <w:sz w:val="15"/>
          <w:szCs w:val="15"/>
          <w:color w:val="auto"/>
        </w:rPr>
      </w:pPr>
      <w:r>
        <w:rPr>
          <w:rFonts w:ascii="Arial" w:cs="Arial" w:eastAsia="Arial" w:hAnsi="Arial"/>
          <w:sz w:val="15"/>
          <w:szCs w:val="15"/>
          <w:color w:val="auto"/>
        </w:rPr>
        <w:t>Proposal to approve, on an advisory basis, the compensation of the Company’s Named Executive Officers.</w:t>
      </w:r>
    </w:p>
    <w:p>
      <w:pPr>
        <w:spacing w:after="0" w:line="186" w:lineRule="exact"/>
        <w:rPr>
          <w:rFonts w:ascii="Arial" w:cs="Arial" w:eastAsia="Arial" w:hAnsi="Arial"/>
          <w:sz w:val="15"/>
          <w:szCs w:val="15"/>
          <w:color w:val="auto"/>
        </w:rPr>
      </w:pPr>
    </w:p>
    <w:p>
      <w:pPr>
        <w:ind w:left="620" w:hanging="310"/>
        <w:spacing w:after="0"/>
        <w:tabs>
          <w:tab w:leader="none" w:pos="620" w:val="left"/>
        </w:tabs>
        <w:numPr>
          <w:ilvl w:val="0"/>
          <w:numId w:val="107"/>
        </w:numPr>
        <w:rPr>
          <w:rFonts w:ascii="Arial" w:cs="Arial" w:eastAsia="Arial" w:hAnsi="Arial"/>
          <w:sz w:val="15"/>
          <w:szCs w:val="15"/>
          <w:color w:val="auto"/>
        </w:rPr>
      </w:pPr>
      <w:r>
        <w:rPr>
          <w:rFonts w:ascii="Arial" w:cs="Arial" w:eastAsia="Arial" w:hAnsi="Arial"/>
          <w:sz w:val="15"/>
          <w:szCs w:val="15"/>
          <w:color w:val="auto"/>
        </w:rPr>
        <w:t>Proposal to ratify the appointment of Deloitte &amp; Touche LLP as the Company’s Independent Auditor for fiscal year ending December 31, 2019.</w:t>
      </w:r>
    </w:p>
    <w:p>
      <w:pPr>
        <w:spacing w:after="0" w:line="16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The Board of Directors recommends that you vote </w:t>
      </w:r>
      <w:r>
        <w:rPr>
          <w:rFonts w:ascii="Arial" w:cs="Arial" w:eastAsia="Arial" w:hAnsi="Arial"/>
          <w:sz w:val="15"/>
          <w:szCs w:val="15"/>
          <w:b w:val="1"/>
          <w:bCs w:val="1"/>
          <w:u w:val="single" w:color="auto"/>
          <w:color w:val="auto"/>
        </w:rPr>
        <w:t>AGAINST</w:t>
      </w:r>
      <w:r>
        <w:rPr>
          <w:rFonts w:ascii="Arial" w:cs="Arial" w:eastAsia="Arial" w:hAnsi="Arial"/>
          <w:sz w:val="15"/>
          <w:szCs w:val="15"/>
          <w:b w:val="1"/>
          <w:bCs w:val="1"/>
          <w:color w:val="auto"/>
        </w:rPr>
        <w:t xml:space="preserve"> proposals 4 and 5.</w:t>
      </w:r>
    </w:p>
    <w:p>
      <w:pPr>
        <w:spacing w:after="0" w:line="204" w:lineRule="exact"/>
        <w:rPr>
          <w:sz w:val="20"/>
          <w:szCs w:val="20"/>
          <w:color w:val="auto"/>
        </w:rPr>
      </w:pPr>
    </w:p>
    <w:p>
      <w:pPr>
        <w:ind w:left="620" w:hanging="310"/>
        <w:spacing w:after="0"/>
        <w:tabs>
          <w:tab w:leader="none" w:pos="620" w:val="left"/>
        </w:tabs>
        <w:numPr>
          <w:ilvl w:val="0"/>
          <w:numId w:val="108"/>
        </w:numPr>
        <w:rPr>
          <w:rFonts w:ascii="Arial" w:cs="Arial" w:eastAsia="Arial" w:hAnsi="Arial"/>
          <w:sz w:val="15"/>
          <w:szCs w:val="15"/>
          <w:color w:val="auto"/>
        </w:rPr>
      </w:pPr>
      <w:r>
        <w:rPr>
          <w:rFonts w:ascii="Arial" w:cs="Arial" w:eastAsia="Arial" w:hAnsi="Arial"/>
          <w:sz w:val="15"/>
          <w:szCs w:val="15"/>
          <w:color w:val="auto"/>
        </w:rPr>
        <w:t>Shareholder proposal to provide for a report on management systems and processes for implementing the Company’s human rights policy.</w:t>
      </w:r>
    </w:p>
    <w:p>
      <w:pPr>
        <w:spacing w:after="0" w:line="186" w:lineRule="exact"/>
        <w:rPr>
          <w:rFonts w:ascii="Arial" w:cs="Arial" w:eastAsia="Arial" w:hAnsi="Arial"/>
          <w:sz w:val="15"/>
          <w:szCs w:val="15"/>
          <w:color w:val="auto"/>
        </w:rPr>
      </w:pPr>
    </w:p>
    <w:p>
      <w:pPr>
        <w:ind w:left="620" w:hanging="310"/>
        <w:spacing w:after="0"/>
        <w:tabs>
          <w:tab w:leader="none" w:pos="620" w:val="left"/>
        </w:tabs>
        <w:numPr>
          <w:ilvl w:val="0"/>
          <w:numId w:val="108"/>
        </w:numPr>
        <w:rPr>
          <w:rFonts w:ascii="Arial" w:cs="Arial" w:eastAsia="Arial" w:hAnsi="Arial"/>
          <w:sz w:val="15"/>
          <w:szCs w:val="15"/>
          <w:color w:val="auto"/>
        </w:rPr>
      </w:pPr>
      <w:r>
        <w:rPr>
          <w:rFonts w:ascii="Arial" w:cs="Arial" w:eastAsia="Arial" w:hAnsi="Arial"/>
          <w:sz w:val="15"/>
          <w:szCs w:val="15"/>
          <w:color w:val="auto"/>
        </w:rPr>
        <w:t>Shareholder proposal to provide for an independent chair.</w:t>
      </w:r>
    </w:p>
    <w:p>
      <w:pPr>
        <w:spacing w:after="0" w:line="348" w:lineRule="exact"/>
        <w:rPr>
          <w:sz w:val="20"/>
          <w:szCs w:val="20"/>
          <w:color w:val="auto"/>
        </w:rPr>
      </w:pPr>
    </w:p>
    <w:p>
      <w:pPr>
        <w:spacing w:after="0" w:line="292" w:lineRule="auto"/>
        <w:rPr>
          <w:sz w:val="20"/>
          <w:szCs w:val="20"/>
          <w:color w:val="auto"/>
        </w:rPr>
      </w:pPr>
      <w:r>
        <w:rPr>
          <w:rFonts w:ascii="Arial" w:cs="Arial" w:eastAsia="Arial" w:hAnsi="Arial"/>
          <w:sz w:val="15"/>
          <w:szCs w:val="15"/>
          <w:b w:val="1"/>
          <w:bCs w:val="1"/>
          <w:color w:val="auto"/>
        </w:rPr>
        <w:t>PLEASE NOTE - YOU CANNOT VOTE BY RETURNING THIS NOTICE. To vote your shares you must vote online or by telephone or request a paper copy of the proxy materials to receive a proxy card. If you wish to attend and vote at the meeting, please bring this notice with you.</w:t>
      </w:r>
    </w:p>
    <w:p>
      <w:pPr>
        <w:spacing w:after="0" w:line="11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_________________________________________________________________________________________________________</w:t>
      </w:r>
    </w:p>
    <w:p>
      <w:pPr>
        <w:spacing w:after="0" w:line="202" w:lineRule="exact"/>
        <w:rPr>
          <w:sz w:val="20"/>
          <w:szCs w:val="20"/>
          <w:color w:val="auto"/>
        </w:rPr>
      </w:pPr>
    </w:p>
    <w:p>
      <w:pPr>
        <w:ind w:right="5560"/>
        <w:spacing w:after="0" w:line="251" w:lineRule="auto"/>
        <w:rPr>
          <w:sz w:val="20"/>
          <w:szCs w:val="20"/>
          <w:color w:val="auto"/>
        </w:rPr>
      </w:pPr>
      <w:r>
        <w:rPr>
          <w:rFonts w:ascii="Arial" w:cs="Arial" w:eastAsia="Arial" w:hAnsi="Arial"/>
          <w:sz w:val="17"/>
          <w:szCs w:val="17"/>
          <w:color w:val="auto"/>
        </w:rPr>
        <w:t>Directions to the 2019 annual meeting are available in the proxy statement, which can be viewed at www.envisionreports.com/NOC.</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_________________________________________________________________________________________________________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233045</wp:posOffset>
            </wp:positionV>
            <wp:extent cx="7279005" cy="183642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79005" cy="1836420"/>
                    </a:xfrm>
                    <a:prstGeom prst="rect">
                      <a:avLst/>
                    </a:prstGeom>
                    <a:noFill/>
                  </pic:spPr>
                </pic:pic>
              </a:graphicData>
            </a:graphic>
          </wp:anchor>
        </w:drawing>
      </w:r>
    </w:p>
    <w:p>
      <w:pPr>
        <w:sectPr>
          <w:pgSz w:w="11900" w:h="16838" w:orient="portrait"/>
          <w:cols w:equalWidth="0" w:num="1">
            <w:col w:w="11240"/>
          </w:cols>
          <w:pgMar w:left="240" w:top="1440" w:right="419" w:bottom="1440" w:gutter="0" w:footer="0" w:header="0"/>
        </w:sectPr>
      </w:pPr>
    </w:p>
    <w:bookmarkStart w:id="98" w:name="page99"/>
    <w:bookmarkEnd w:id="9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79005" cy="866203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79005" cy="8662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right"/>
        <w:spacing w:after="0"/>
        <w:rPr>
          <w:sz w:val="20"/>
          <w:szCs w:val="20"/>
          <w:color w:val="auto"/>
        </w:rPr>
      </w:pPr>
      <w:r>
        <w:rPr>
          <w:rFonts w:ascii="Arial" w:cs="Arial" w:eastAsia="Arial" w:hAnsi="Arial"/>
          <w:sz w:val="17"/>
          <w:szCs w:val="17"/>
          <w:color w:val="auto"/>
        </w:rPr>
        <w:t>March 29, 2019</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7"/>
          <w:szCs w:val="17"/>
          <w:color w:val="auto"/>
        </w:rPr>
        <w:t>CA 19 - 09</w:t>
      </w:r>
    </w:p>
    <w:p>
      <w:pPr>
        <w:spacing w:after="0" w:line="200" w:lineRule="exact"/>
        <w:rPr>
          <w:sz w:val="20"/>
          <w:szCs w:val="20"/>
          <w:color w:val="auto"/>
        </w:rPr>
      </w:pPr>
    </w:p>
    <w:p>
      <w:pPr>
        <w:jc w:val="center"/>
        <w:ind w:left="460"/>
        <w:spacing w:after="0"/>
        <w:rPr>
          <w:sz w:val="20"/>
          <w:szCs w:val="20"/>
          <w:color w:val="auto"/>
        </w:rPr>
      </w:pPr>
      <w:r>
        <w:rPr>
          <w:rFonts w:ascii="Arial" w:cs="Arial" w:eastAsia="Arial" w:hAnsi="Arial"/>
          <w:sz w:val="17"/>
          <w:szCs w:val="17"/>
          <w:b w:val="1"/>
          <w:bCs w:val="1"/>
          <w:color w:val="auto"/>
        </w:rPr>
        <w:t>Important Information Regarding Your</w:t>
      </w:r>
    </w:p>
    <w:p>
      <w:pPr>
        <w:spacing w:after="0" w:line="25" w:lineRule="exact"/>
        <w:rPr>
          <w:sz w:val="20"/>
          <w:szCs w:val="20"/>
          <w:color w:val="auto"/>
        </w:rPr>
      </w:pPr>
    </w:p>
    <w:p>
      <w:pPr>
        <w:jc w:val="center"/>
        <w:ind w:left="460"/>
        <w:spacing w:after="0"/>
        <w:rPr>
          <w:sz w:val="20"/>
          <w:szCs w:val="20"/>
          <w:color w:val="auto"/>
        </w:rPr>
      </w:pPr>
      <w:r>
        <w:rPr>
          <w:rFonts w:ascii="Arial" w:cs="Arial" w:eastAsia="Arial" w:hAnsi="Arial"/>
          <w:sz w:val="17"/>
          <w:szCs w:val="17"/>
          <w:b w:val="1"/>
          <w:bCs w:val="1"/>
          <w:color w:val="auto"/>
        </w:rPr>
        <w:t>Northrop Grumman Shares - Your Vote Is Important</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color w:val="auto"/>
        </w:rPr>
        <w:t>To Northrop Grumman Employees:</w:t>
      </w:r>
    </w:p>
    <w:p>
      <w:pPr>
        <w:spacing w:after="0" w:line="215" w:lineRule="exact"/>
        <w:rPr>
          <w:sz w:val="20"/>
          <w:szCs w:val="20"/>
          <w:color w:val="auto"/>
        </w:rPr>
      </w:pPr>
    </w:p>
    <w:p>
      <w:pPr>
        <w:ind w:right="40"/>
        <w:spacing w:after="0" w:line="277" w:lineRule="auto"/>
        <w:rPr>
          <w:sz w:val="20"/>
          <w:szCs w:val="20"/>
          <w:color w:val="auto"/>
        </w:rPr>
      </w:pPr>
      <w:r>
        <w:rPr>
          <w:rFonts w:ascii="Arial" w:cs="Arial" w:eastAsia="Arial" w:hAnsi="Arial"/>
          <w:sz w:val="17"/>
          <w:szCs w:val="17"/>
          <w:color w:val="auto"/>
        </w:rPr>
        <w:t>Northrop Grumman filed its proxy statement today for the 2019 Annual Meeting of Shareholders. The 2019 proxy statement and 2018 annual report are now available online.</w:t>
      </w:r>
    </w:p>
    <w:p>
      <w:pPr>
        <w:spacing w:after="0" w:line="164" w:lineRule="exact"/>
        <w:rPr>
          <w:sz w:val="20"/>
          <w:szCs w:val="20"/>
          <w:color w:val="auto"/>
        </w:rPr>
      </w:pPr>
    </w:p>
    <w:p>
      <w:pPr>
        <w:ind w:right="440"/>
        <w:spacing w:after="0" w:line="277" w:lineRule="auto"/>
        <w:rPr>
          <w:sz w:val="20"/>
          <w:szCs w:val="20"/>
          <w:color w:val="auto"/>
        </w:rPr>
      </w:pPr>
      <w:r>
        <w:rPr>
          <w:rFonts w:ascii="Arial" w:cs="Arial" w:eastAsia="Arial" w:hAnsi="Arial"/>
          <w:sz w:val="17"/>
          <w:szCs w:val="17"/>
          <w:color w:val="auto"/>
        </w:rPr>
        <w:t>Many of you hold Northrop Grumman shares through one of the company’s savings plans. As shareholders, you have the right to vote on matters that impact the company. Your vote on these matters is important, and Northrop Grumman encourages you to vote your shares.</w:t>
      </w:r>
    </w:p>
    <w:p>
      <w:pPr>
        <w:sectPr>
          <w:pgSz w:w="11900" w:h="16881" w:orient="portrait"/>
          <w:cols w:equalWidth="0" w:num="1">
            <w:col w:w="11420"/>
          </w:cols>
          <w:pgMar w:left="240" w:top="1440" w:right="239" w:bottom="0" w:gutter="0" w:footer="0" w:header="0"/>
        </w:sectPr>
      </w:pPr>
    </w:p>
    <w:bookmarkStart w:id="99" w:name="page100"/>
    <w:bookmarkEnd w:id="99"/>
    <w:p>
      <w:pPr>
        <w:spacing w:after="0" w:line="288" w:lineRule="auto"/>
        <w:rPr>
          <w:sz w:val="20"/>
          <w:szCs w:val="20"/>
          <w:color w:val="auto"/>
        </w:rPr>
      </w:pPr>
      <w:r>
        <w:rPr>
          <w:rFonts w:ascii="Arial" w:cs="Arial" w:eastAsia="Arial" w:hAnsi="Arial"/>
          <w:sz w:val="16"/>
          <w:szCs w:val="16"/>
          <w:color w:val="auto"/>
        </w:rPr>
        <w:t xml:space="preserve">Northrop Grumman employees who hold Northrop Grumman shares as participants in the Northrop Grumman Savings Plan or the Northrop Grumman Financial Security and Savings Program will receive an email </w:t>
      </w:r>
      <w:r>
        <w:rPr>
          <w:rFonts w:ascii="Arial" w:cs="Arial" w:eastAsia="Arial" w:hAnsi="Arial"/>
          <w:sz w:val="16"/>
          <w:szCs w:val="16"/>
          <w:u w:val="single" w:color="auto"/>
          <w:color w:val="auto"/>
        </w:rPr>
        <w:t>tonight</w:t>
      </w:r>
      <w:r>
        <w:rPr>
          <w:rFonts w:ascii="Arial" w:cs="Arial" w:eastAsia="Arial" w:hAnsi="Arial"/>
          <w:sz w:val="16"/>
          <w:szCs w:val="16"/>
          <w:color w:val="auto"/>
        </w:rPr>
        <w:t xml:space="preserve"> from the company’s transfer agent, Computershare. This email, which will be sent to the address on record (either personal or company email), will contain important instructions for viewing the proxy statement and annual report, and for voting your shares.</w:t>
      </w:r>
    </w:p>
    <w:p>
      <w:pPr>
        <w:spacing w:after="0" w:line="158" w:lineRule="exact"/>
        <w:rPr>
          <w:sz w:val="20"/>
          <w:szCs w:val="20"/>
          <w:color w:val="auto"/>
        </w:rPr>
      </w:pPr>
    </w:p>
    <w:p>
      <w:pPr>
        <w:jc w:val="both"/>
        <w:ind w:right="40"/>
        <w:spacing w:after="0" w:line="260" w:lineRule="auto"/>
        <w:rPr>
          <w:sz w:val="20"/>
          <w:szCs w:val="20"/>
          <w:color w:val="auto"/>
        </w:rPr>
      </w:pPr>
      <w:r>
        <w:rPr>
          <w:rFonts w:ascii="Arial" w:cs="Arial" w:eastAsia="Arial" w:hAnsi="Arial"/>
          <w:sz w:val="17"/>
          <w:szCs w:val="17"/>
          <w:color w:val="auto"/>
        </w:rPr>
        <w:t>This email is an important communication approved by Northrop Grumman. The subject line of the email will read, “</w:t>
      </w:r>
      <w:r>
        <w:rPr>
          <w:rFonts w:ascii="Arial" w:cs="Arial" w:eastAsia="Arial" w:hAnsi="Arial"/>
          <w:sz w:val="17"/>
          <w:szCs w:val="17"/>
          <w:i w:val="1"/>
          <w:iCs w:val="1"/>
          <w:color w:val="auto"/>
        </w:rPr>
        <w:t>Northrop Grumman Corporation Proxy Meeting</w:t>
      </w:r>
      <w:r>
        <w:rPr>
          <w:rFonts w:ascii="Arial" w:cs="Arial" w:eastAsia="Arial" w:hAnsi="Arial"/>
          <w:sz w:val="17"/>
          <w:szCs w:val="17"/>
          <w:color w:val="auto"/>
        </w:rPr>
        <w:t xml:space="preserve"> </w:t>
      </w:r>
      <w:r>
        <w:rPr>
          <w:rFonts w:ascii="Arial" w:cs="Arial" w:eastAsia="Arial" w:hAnsi="Arial"/>
          <w:sz w:val="17"/>
          <w:szCs w:val="17"/>
          <w:i w:val="1"/>
          <w:iCs w:val="1"/>
          <w:color w:val="auto"/>
        </w:rPr>
        <w:t>Materials</w:t>
      </w:r>
      <w:r>
        <w:rPr>
          <w:rFonts w:ascii="Arial" w:cs="Arial" w:eastAsia="Arial" w:hAnsi="Arial"/>
          <w:sz w:val="17"/>
          <w:szCs w:val="17"/>
          <w:color w:val="auto"/>
        </w:rPr>
        <w:t>.” Note that the “EXT” warning tag, which appears in the subject line of emails originating outside of Northrop Grumman, will be removed for this message</w:t>
      </w:r>
      <w:r>
        <w:rPr>
          <w:rFonts w:ascii="Arial" w:cs="Arial" w:eastAsia="Arial" w:hAnsi="Arial"/>
          <w:sz w:val="17"/>
          <w:szCs w:val="17"/>
          <w:i w:val="1"/>
          <w:iCs w:val="1"/>
          <w:color w:val="auto"/>
        </w:rPr>
        <w:t xml:space="preserve"> </w:t>
      </w:r>
      <w:r>
        <w:rPr>
          <w:rFonts w:ascii="Arial" w:cs="Arial" w:eastAsia="Arial" w:hAnsi="Arial"/>
          <w:sz w:val="17"/>
          <w:szCs w:val="17"/>
          <w:color w:val="auto"/>
        </w:rPr>
        <w:t>coming directly from Computershare. If you do not receive this email, or if you have any questions, please contact Computershare at 877-498-8861 or the company’s shareholder services at 703-280-4702.</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color w:val="auto"/>
        </w:rPr>
        <w:t>Northrop Grumman values your input as shareholders. Please ensure that your shares are represented at the 2019 Annual Meeting.</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color w:val="auto"/>
        </w:rPr>
        <w:t>Thank you for your attention to this matter.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180975</wp:posOffset>
            </wp:positionH>
            <wp:positionV relativeFrom="paragraph">
              <wp:posOffset>1398270</wp:posOffset>
            </wp:positionV>
            <wp:extent cx="6903720" cy="28511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903720" cy="2851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8420"/>
        <w:spacing w:after="0"/>
        <w:rPr>
          <w:sz w:val="20"/>
          <w:szCs w:val="20"/>
          <w:color w:val="auto"/>
        </w:rPr>
      </w:pPr>
      <w:r>
        <w:rPr>
          <w:rFonts w:ascii="Arial" w:cs="Arial" w:eastAsia="Arial" w:hAnsi="Arial"/>
          <w:sz w:val="17"/>
          <w:szCs w:val="17"/>
          <w:color w:val="auto"/>
        </w:rPr>
        <w:t>CORPORATE COMMUNICATIONS</w:t>
      </w:r>
    </w:p>
    <w:sectPr>
      <w:pgSz w:w="11900" w:h="16838" w:orient="portrait"/>
      <w:cols w:equalWidth="0" w:num="1">
        <w:col w:w="11400"/>
      </w:cols>
      <w:pgMar w:left="240" w:top="332"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F4EF005"/>
    <w:multiLevelType w:val="hybridMultilevel"/>
    <w:lvl w:ilvl="0">
      <w:lvlJc w:val="left"/>
      <w:lvlText w:val="(%1)"/>
      <w:numFmt w:val="decimal"/>
      <w:start w:val="1"/>
    </w:lvl>
  </w:abstractNum>
  <w:abstractNum w:abstractNumId="1">
    <w:nsid w:val="23F9C13C"/>
    <w:multiLevelType w:val="hybridMultilevel"/>
    <w:lvl w:ilvl="0">
      <w:lvlJc w:val="left"/>
      <w:lvlText w:val="(%1)"/>
      <w:numFmt w:val="decimal"/>
      <w:start w:val="1"/>
    </w:lvl>
  </w:abstractNum>
  <w:abstractNum w:abstractNumId="2">
    <w:nsid w:val="649BB77C"/>
    <w:multiLevelType w:val="hybridMultilevel"/>
    <w:lvl w:ilvl="0">
      <w:lvlJc w:val="left"/>
      <w:lvlText w:val="%1."/>
      <w:numFmt w:val="decimal"/>
      <w:start w:val="1"/>
    </w:lvl>
  </w:abstractNum>
  <w:abstractNum w:abstractNumId="3">
    <w:nsid w:val="275AC794"/>
    <w:multiLevelType w:val="hybridMultilevel"/>
    <w:lvl w:ilvl="0">
      <w:lvlJc w:val="left"/>
      <w:lvlText w:val="%1"/>
      <w:numFmt w:val="lowerRoman"/>
      <w:start w:val="2"/>
    </w:lvl>
  </w:abstractNum>
  <w:abstractNum w:abstractNumId="4">
    <w:nsid w:val="39386575"/>
    <w:multiLevelType w:val="hybridMultilevel"/>
    <w:lvl w:ilvl="0">
      <w:lvlJc w:val="left"/>
      <w:lvlText w:val="(%1)"/>
      <w:numFmt w:val="decimal"/>
      <w:start w:val="1"/>
    </w:lvl>
  </w:abstractNum>
  <w:abstractNum w:abstractNumId="5">
    <w:nsid w:val="1CF10FD8"/>
    <w:multiLevelType w:val="hybridMultilevel"/>
    <w:lvl w:ilvl="0">
      <w:lvlJc w:val="left"/>
      <w:lvlText w:val="✓"/>
      <w:numFmt w:val="bullet"/>
      <w:start w:val="1"/>
    </w:lvl>
  </w:abstractNum>
  <w:abstractNum w:abstractNumId="6">
    <w:nsid w:val="180115BE"/>
    <w:multiLevelType w:val="hybridMultilevel"/>
    <w:lvl w:ilvl="0">
      <w:lvlJc w:val="left"/>
      <w:lvlText w:val="•"/>
      <w:numFmt w:val="bullet"/>
      <w:start w:val="1"/>
    </w:lvl>
  </w:abstractNum>
  <w:abstractNum w:abstractNumId="7">
    <w:nsid w:val="235BA861"/>
    <w:multiLevelType w:val="hybridMultilevel"/>
    <w:lvl w:ilvl="0">
      <w:lvlJc w:val="left"/>
      <w:lvlText w:val="●"/>
      <w:numFmt w:val="bullet"/>
      <w:start w:val="1"/>
    </w:lvl>
  </w:abstractNum>
  <w:abstractNum w:abstractNumId="8">
    <w:nsid w:val="47398C89"/>
    <w:multiLevelType w:val="hybridMultilevel"/>
    <w:lvl w:ilvl="0">
      <w:lvlJc w:val="left"/>
      <w:lvlText w:val="●"/>
      <w:numFmt w:val="bullet"/>
      <w:start w:val="1"/>
    </w:lvl>
  </w:abstractNum>
  <w:abstractNum w:abstractNumId="9">
    <w:nsid w:val="354FE9F9"/>
    <w:multiLevelType w:val="hybridMultilevel"/>
    <w:lvl w:ilvl="0">
      <w:lvlJc w:val="left"/>
      <w:lvlText w:val="●"/>
      <w:numFmt w:val="bullet"/>
      <w:start w:val="1"/>
    </w:lvl>
  </w:abstractNum>
  <w:abstractNum w:abstractNumId="10">
    <w:nsid w:val="15B5AF5C"/>
    <w:multiLevelType w:val="hybridMultilevel"/>
    <w:lvl w:ilvl="0">
      <w:lvlJc w:val="left"/>
      <w:lvlText w:val="●"/>
      <w:numFmt w:val="bullet"/>
      <w:start w:val="1"/>
    </w:lvl>
  </w:abstractNum>
  <w:abstractNum w:abstractNumId="11">
    <w:nsid w:val="741226BB"/>
    <w:multiLevelType w:val="hybridMultilevel"/>
    <w:lvl w:ilvl="0">
      <w:lvlJc w:val="left"/>
      <w:lvlText w:val="●"/>
      <w:numFmt w:val="bullet"/>
      <w:start w:val="1"/>
    </w:lvl>
  </w:abstractNum>
  <w:abstractNum w:abstractNumId="12">
    <w:nsid w:val="D34B6A8"/>
    <w:multiLevelType w:val="hybridMultilevel"/>
    <w:lvl w:ilvl="0">
      <w:lvlJc w:val="left"/>
      <w:lvlText w:val="●"/>
      <w:numFmt w:val="bullet"/>
      <w:start w:val="1"/>
    </w:lvl>
  </w:abstractNum>
  <w:abstractNum w:abstractNumId="13">
    <w:nsid w:val="10233C99"/>
    <w:multiLevelType w:val="hybridMultilevel"/>
    <w:lvl w:ilvl="0">
      <w:lvlJc w:val="left"/>
      <w:lvlText w:val="●"/>
      <w:numFmt w:val="bullet"/>
      <w:start w:val="1"/>
    </w:lvl>
  </w:abstractNum>
  <w:abstractNum w:abstractNumId="14">
    <w:nsid w:val="3F6AB60F"/>
    <w:multiLevelType w:val="hybridMultilevel"/>
    <w:lvl w:ilvl="0">
      <w:lvlJc w:val="left"/>
      <w:lvlText w:val="●"/>
      <w:numFmt w:val="bullet"/>
      <w:start w:val="1"/>
    </w:lvl>
  </w:abstractNum>
  <w:abstractNum w:abstractNumId="15">
    <w:nsid w:val="61574095"/>
    <w:multiLevelType w:val="hybridMultilevel"/>
    <w:lvl w:ilvl="0">
      <w:lvlJc w:val="left"/>
      <w:lvlText w:val="●"/>
      <w:numFmt w:val="bullet"/>
      <w:start w:val="1"/>
    </w:lvl>
  </w:abstractNum>
  <w:abstractNum w:abstractNumId="16">
    <w:nsid w:val="7E0C57B1"/>
    <w:multiLevelType w:val="hybridMultilevel"/>
    <w:lvl w:ilvl="0">
      <w:lvlJc w:val="left"/>
      <w:lvlText w:val="●"/>
      <w:numFmt w:val="bullet"/>
      <w:start w:val="1"/>
    </w:lvl>
  </w:abstractNum>
  <w:abstractNum w:abstractNumId="17">
    <w:nsid w:val="77AE35EB"/>
    <w:multiLevelType w:val="hybridMultilevel"/>
    <w:lvl w:ilvl="0">
      <w:lvlJc w:val="left"/>
      <w:lvlText w:val="●"/>
      <w:numFmt w:val="bullet"/>
      <w:start w:val="1"/>
    </w:lvl>
  </w:abstractNum>
  <w:abstractNum w:abstractNumId="18">
    <w:nsid w:val="579BE4F1"/>
    <w:multiLevelType w:val="hybridMultilevel"/>
    <w:lvl w:ilvl="0">
      <w:lvlJc w:val="left"/>
      <w:lvlText w:val="●"/>
      <w:numFmt w:val="bullet"/>
      <w:start w:val="1"/>
    </w:lvl>
  </w:abstractNum>
  <w:abstractNum w:abstractNumId="19">
    <w:nsid w:val="310C50B3"/>
    <w:multiLevelType w:val="hybridMultilevel"/>
    <w:lvl w:ilvl="0">
      <w:lvlJc w:val="left"/>
      <w:lvlText w:val="●"/>
      <w:numFmt w:val="bullet"/>
      <w:start w:val="1"/>
    </w:lvl>
  </w:abstractNum>
  <w:abstractNum w:abstractNumId="20">
    <w:nsid w:val="5FF87E05"/>
    <w:multiLevelType w:val="hybridMultilevel"/>
    <w:lvl w:ilvl="0">
      <w:lvlJc w:val="left"/>
      <w:lvlText w:val="•"/>
      <w:numFmt w:val="bullet"/>
      <w:start w:val="1"/>
    </w:lvl>
  </w:abstractNum>
  <w:abstractNum w:abstractNumId="21">
    <w:nsid w:val="2F305DEF"/>
    <w:multiLevelType w:val="hybridMultilevel"/>
    <w:lvl w:ilvl="0">
      <w:lvlJc w:val="left"/>
      <w:lvlText w:val="•"/>
      <w:numFmt w:val="bullet"/>
      <w:start w:val="1"/>
    </w:lvl>
  </w:abstractNum>
  <w:abstractNum w:abstractNumId="22">
    <w:nsid w:val="25A70BF7"/>
    <w:multiLevelType w:val="hybridMultilevel"/>
    <w:lvl w:ilvl="0">
      <w:lvlJc w:val="left"/>
      <w:lvlText w:val="•"/>
      <w:numFmt w:val="bullet"/>
      <w:start w:val="1"/>
    </w:lvl>
  </w:abstractNum>
  <w:abstractNum w:abstractNumId="23">
    <w:nsid w:val="1DBABF00"/>
    <w:multiLevelType w:val="hybridMultilevel"/>
    <w:lvl w:ilvl="0">
      <w:lvlJc w:val="left"/>
      <w:lvlText w:val="•"/>
      <w:numFmt w:val="bullet"/>
      <w:start w:val="1"/>
    </w:lvl>
  </w:abstractNum>
  <w:abstractNum w:abstractNumId="24">
    <w:nsid w:val="4AD084E9"/>
    <w:multiLevelType w:val="hybridMultilevel"/>
    <w:lvl w:ilvl="0">
      <w:lvlJc w:val="left"/>
      <w:lvlText w:val="•"/>
      <w:numFmt w:val="bullet"/>
      <w:start w:val="1"/>
    </w:lvl>
  </w:abstractNum>
  <w:abstractNum w:abstractNumId="25">
    <w:nsid w:val="1F48EAA1"/>
    <w:multiLevelType w:val="hybridMultilevel"/>
    <w:lvl w:ilvl="0">
      <w:lvlJc w:val="left"/>
      <w:lvlText w:val="•"/>
      <w:numFmt w:val="bullet"/>
      <w:start w:val="1"/>
    </w:lvl>
  </w:abstractNum>
  <w:abstractNum w:abstractNumId="26">
    <w:nsid w:val="1381823A"/>
    <w:multiLevelType w:val="hybridMultilevel"/>
    <w:lvl w:ilvl="0">
      <w:lvlJc w:val="left"/>
      <w:lvlText w:val="•"/>
      <w:numFmt w:val="bullet"/>
      <w:start w:val="1"/>
    </w:lvl>
  </w:abstractNum>
  <w:abstractNum w:abstractNumId="27">
    <w:nsid w:val="5DB70AE5"/>
    <w:multiLevelType w:val="hybridMultilevel"/>
    <w:lvl w:ilvl="0">
      <w:lvlJc w:val="left"/>
      <w:lvlText w:val="•"/>
      <w:numFmt w:val="bullet"/>
      <w:start w:val="1"/>
    </w:lvl>
  </w:abstractNum>
  <w:abstractNum w:abstractNumId="28">
    <w:nsid w:val="100F8FCA"/>
    <w:multiLevelType w:val="hybridMultilevel"/>
    <w:lvl w:ilvl="0">
      <w:lvlJc w:val="left"/>
      <w:lvlText w:val="•"/>
      <w:numFmt w:val="bullet"/>
      <w:start w:val="1"/>
    </w:lvl>
  </w:abstractNum>
  <w:abstractNum w:abstractNumId="29">
    <w:nsid w:val="6590700B"/>
    <w:multiLevelType w:val="hybridMultilevel"/>
    <w:lvl w:ilvl="0">
      <w:lvlJc w:val="left"/>
      <w:lvlText w:val="•"/>
      <w:numFmt w:val="bullet"/>
      <w:start w:val="1"/>
    </w:lvl>
  </w:abstractNum>
  <w:abstractNum w:abstractNumId="30">
    <w:nsid w:val="15014ACB"/>
    <w:multiLevelType w:val="hybridMultilevel"/>
    <w:lvl w:ilvl="0">
      <w:lvlJc w:val="left"/>
      <w:lvlText w:val="•"/>
      <w:numFmt w:val="bullet"/>
      <w:start w:val="1"/>
    </w:lvl>
  </w:abstractNum>
  <w:abstractNum w:abstractNumId="31">
    <w:nsid w:val="5F5E7FD0"/>
    <w:multiLevelType w:val="hybridMultilevel"/>
    <w:lvl w:ilvl="0">
      <w:lvlJc w:val="left"/>
      <w:lvlText w:val="•"/>
      <w:numFmt w:val="bullet"/>
      <w:start w:val="1"/>
    </w:lvl>
  </w:abstractNum>
  <w:abstractNum w:abstractNumId="32">
    <w:nsid w:val="98A3148"/>
    <w:multiLevelType w:val="hybridMultilevel"/>
    <w:lvl w:ilvl="0">
      <w:lvlJc w:val="left"/>
      <w:lvlText w:val="(%1)"/>
      <w:numFmt w:val="decimal"/>
      <w:start w:val="1"/>
    </w:lvl>
  </w:abstractNum>
  <w:abstractNum w:abstractNumId="33">
    <w:nsid w:val="799D0247"/>
    <w:multiLevelType w:val="hybridMultilevel"/>
    <w:lvl w:ilvl="0">
      <w:lvlJc w:val="left"/>
      <w:lvlText w:val="(%1)"/>
      <w:numFmt w:val="decimal"/>
      <w:start w:val="1"/>
    </w:lvl>
  </w:abstractNum>
  <w:abstractNum w:abstractNumId="34">
    <w:nsid w:val="6B94764"/>
    <w:multiLevelType w:val="hybridMultilevel"/>
    <w:lvl w:ilvl="0">
      <w:lvlJc w:val="left"/>
      <w:lvlText w:val="(%1)"/>
      <w:numFmt w:val="decimal"/>
      <w:start w:val="1"/>
    </w:lvl>
  </w:abstractNum>
  <w:abstractNum w:abstractNumId="35">
    <w:nsid w:val="42C296BD"/>
    <w:multiLevelType w:val="hybridMultilevel"/>
    <w:lvl w:ilvl="0">
      <w:lvlJc w:val="left"/>
      <w:lvlText w:val="•"/>
      <w:numFmt w:val="bullet"/>
      <w:start w:val="1"/>
    </w:lvl>
  </w:abstractNum>
  <w:abstractNum w:abstractNumId="36">
    <w:nsid w:val="168E121F"/>
    <w:multiLevelType w:val="hybridMultilevel"/>
    <w:lvl w:ilvl="0">
      <w:lvlJc w:val="left"/>
      <w:lvlText w:val="(%1)"/>
      <w:numFmt w:val="decimal"/>
      <w:start w:val="1"/>
    </w:lvl>
  </w:abstractNum>
  <w:abstractNum w:abstractNumId="37">
    <w:nsid w:val="1EBA5D23"/>
    <w:multiLevelType w:val="hybridMultilevel"/>
    <w:lvl w:ilvl="0">
      <w:lvlJc w:val="left"/>
      <w:lvlText w:val="(%1)"/>
      <w:numFmt w:val="decimal"/>
      <w:start w:val="1"/>
    </w:lvl>
  </w:abstractNum>
  <w:abstractNum w:abstractNumId="38">
    <w:nsid w:val="661E3F1E"/>
    <w:multiLevelType w:val="hybridMultilevel"/>
    <w:lvl w:ilvl="0">
      <w:lvlJc w:val="left"/>
      <w:lvlText w:val="(%1)"/>
      <w:numFmt w:val="decimal"/>
      <w:start w:val="1"/>
    </w:lvl>
  </w:abstractNum>
  <w:abstractNum w:abstractNumId="39">
    <w:nsid w:val="5DC79EA8"/>
    <w:multiLevelType w:val="hybridMultilevel"/>
    <w:lvl w:ilvl="0">
      <w:lvlJc w:val="left"/>
      <w:lvlText w:val="•"/>
      <w:numFmt w:val="bullet"/>
      <w:start w:val="1"/>
    </w:lvl>
  </w:abstractNum>
  <w:abstractNum w:abstractNumId="40">
    <w:nsid w:val="540A471C"/>
    <w:multiLevelType w:val="hybridMultilevel"/>
    <w:lvl w:ilvl="0">
      <w:lvlJc w:val="left"/>
      <w:lvlText w:val="(%1)"/>
      <w:numFmt w:val="decimal"/>
      <w:start w:val="1"/>
    </w:lvl>
  </w:abstractNum>
  <w:abstractNum w:abstractNumId="41">
    <w:nsid w:val="7BD3EE7B"/>
    <w:multiLevelType w:val="hybridMultilevel"/>
    <w:lvl w:ilvl="0">
      <w:lvlJc w:val="left"/>
      <w:lvlText w:val="•"/>
      <w:numFmt w:val="bullet"/>
      <w:start w:val="1"/>
    </w:lvl>
  </w:abstractNum>
  <w:abstractNum w:abstractNumId="42">
    <w:nsid w:val="51D9C564"/>
    <w:multiLevelType w:val="hybridMultilevel"/>
    <w:lvl w:ilvl="0">
      <w:lvlJc w:val="left"/>
      <w:lvlText w:val="(%1)"/>
      <w:numFmt w:val="decimal"/>
      <w:start w:val="1"/>
    </w:lvl>
  </w:abstractNum>
  <w:abstractNum w:abstractNumId="43">
    <w:nsid w:val="613EFDC5"/>
    <w:multiLevelType w:val="hybridMultilevel"/>
    <w:lvl w:ilvl="0">
      <w:lvlJc w:val="left"/>
      <w:lvlText w:val="(%1)"/>
      <w:numFmt w:val="decimal"/>
      <w:start w:val="1"/>
    </w:lvl>
  </w:abstractNum>
  <w:abstractNum w:abstractNumId="44">
    <w:nsid w:val="BF72B14"/>
    <w:multiLevelType w:val="hybridMultilevel"/>
    <w:lvl w:ilvl="0">
      <w:lvlJc w:val="left"/>
      <w:lvlText w:val="•"/>
      <w:numFmt w:val="bullet"/>
      <w:start w:val="1"/>
    </w:lvl>
  </w:abstractNum>
  <w:abstractNum w:abstractNumId="45">
    <w:nsid w:val="11447B73"/>
    <w:multiLevelType w:val="hybridMultilevel"/>
    <w:lvl w:ilvl="0">
      <w:lvlJc w:val="left"/>
      <w:lvlText w:val="•"/>
      <w:numFmt w:val="bullet"/>
      <w:start w:val="1"/>
    </w:lvl>
  </w:abstractNum>
  <w:abstractNum w:abstractNumId="46">
    <w:nsid w:val="42963E5A"/>
    <w:multiLevelType w:val="hybridMultilevel"/>
    <w:lvl w:ilvl="0">
      <w:lvlJc w:val="left"/>
      <w:lvlText w:val="•"/>
      <w:numFmt w:val="bullet"/>
      <w:start w:val="1"/>
    </w:lvl>
  </w:abstractNum>
  <w:abstractNum w:abstractNumId="47">
    <w:nsid w:val="A0382C5"/>
    <w:multiLevelType w:val="hybridMultilevel"/>
    <w:lvl w:ilvl="0">
      <w:lvlJc w:val="left"/>
      <w:lvlText w:val="•"/>
      <w:numFmt w:val="bullet"/>
      <w:start w:val="1"/>
    </w:lvl>
  </w:abstractNum>
  <w:abstractNum w:abstractNumId="48">
    <w:nsid w:val="8F2B15E"/>
    <w:multiLevelType w:val="hybridMultilevel"/>
    <w:lvl w:ilvl="0">
      <w:lvlJc w:val="left"/>
      <w:lvlText w:val="•"/>
      <w:numFmt w:val="bullet"/>
      <w:start w:val="1"/>
    </w:lvl>
  </w:abstractNum>
  <w:abstractNum w:abstractNumId="49">
    <w:nsid w:val="1A32234B"/>
    <w:multiLevelType w:val="hybridMultilevel"/>
    <w:lvl w:ilvl="0">
      <w:lvlJc w:val="left"/>
      <w:lvlText w:val="•"/>
      <w:numFmt w:val="bullet"/>
      <w:start w:val="1"/>
    </w:lvl>
  </w:abstractNum>
  <w:abstractNum w:abstractNumId="50">
    <w:nsid w:val="3B0FD379"/>
    <w:multiLevelType w:val="hybridMultilevel"/>
    <w:lvl w:ilvl="0">
      <w:lvlJc w:val="left"/>
      <w:lvlText w:val="•"/>
      <w:numFmt w:val="bullet"/>
      <w:start w:val="1"/>
    </w:lvl>
  </w:abstractNum>
  <w:abstractNum w:abstractNumId="51">
    <w:nsid w:val="68EB2F63"/>
    <w:multiLevelType w:val="hybridMultilevel"/>
    <w:lvl w:ilvl="0">
      <w:lvlJc w:val="left"/>
      <w:lvlText w:val="•"/>
      <w:numFmt w:val="bullet"/>
      <w:start w:val="1"/>
    </w:lvl>
  </w:abstractNum>
  <w:abstractNum w:abstractNumId="52">
    <w:nsid w:val="4962813B"/>
    <w:multiLevelType w:val="hybridMultilevel"/>
    <w:lvl w:ilvl="0">
      <w:lvlJc w:val="left"/>
      <w:lvlText w:val="•"/>
      <w:numFmt w:val="bullet"/>
      <w:start w:val="1"/>
    </w:lvl>
  </w:abstractNum>
  <w:abstractNum w:abstractNumId="53">
    <w:nsid w:val="60B6DF70"/>
    <w:multiLevelType w:val="hybridMultilevel"/>
    <w:lvl w:ilvl="0">
      <w:lvlJc w:val="left"/>
      <w:lvlText w:val="•"/>
      <w:numFmt w:val="bullet"/>
      <w:start w:val="1"/>
    </w:lvl>
  </w:abstractNum>
  <w:abstractNum w:abstractNumId="54">
    <w:nsid w:val="6A5EE64"/>
    <w:multiLevelType w:val="hybridMultilevel"/>
    <w:lvl w:ilvl="0">
      <w:lvlJc w:val="left"/>
      <w:lvlText w:val="(%1)"/>
      <w:numFmt w:val="decimal"/>
      <w:start w:val="1"/>
    </w:lvl>
  </w:abstractNum>
  <w:abstractNum w:abstractNumId="55">
    <w:nsid w:val="14330624"/>
    <w:multiLevelType w:val="hybridMultilevel"/>
    <w:lvl w:ilvl="0">
      <w:lvlJc w:val="left"/>
      <w:lvlText w:val="(%1)"/>
      <w:numFmt w:val="decimal"/>
      <w:start w:val="1"/>
    </w:lvl>
  </w:abstractNum>
  <w:abstractNum w:abstractNumId="56">
    <w:nsid w:val="7FFFCA11"/>
    <w:multiLevelType w:val="hybridMultilevel"/>
    <w:lvl w:ilvl="0">
      <w:lvlJc w:val="left"/>
      <w:lvlText w:val="•"/>
      <w:numFmt w:val="bullet"/>
      <w:start w:val="1"/>
    </w:lvl>
  </w:abstractNum>
  <w:abstractNum w:abstractNumId="57">
    <w:nsid w:val="1A27709E"/>
    <w:multiLevelType w:val="hybridMultilevel"/>
    <w:lvl w:ilvl="0">
      <w:lvlJc w:val="left"/>
      <w:lvlText w:val="•"/>
      <w:numFmt w:val="bullet"/>
      <w:start w:val="1"/>
    </w:lvl>
  </w:abstractNum>
  <w:abstractNum w:abstractNumId="58">
    <w:nsid w:val="71EA1109"/>
    <w:multiLevelType w:val="hybridMultilevel"/>
    <w:lvl w:ilvl="0">
      <w:lvlJc w:val="left"/>
      <w:lvlText w:val="(%1)"/>
      <w:numFmt w:val="decimal"/>
      <w:start w:val="1"/>
    </w:lvl>
  </w:abstractNum>
  <w:abstractNum w:abstractNumId="59">
    <w:nsid w:val="100F59DC"/>
    <w:multiLevelType w:val="hybridMultilevel"/>
    <w:lvl w:ilvl="0">
      <w:lvlJc w:val="left"/>
      <w:lvlText w:val="(%1)"/>
      <w:numFmt w:val="lowerRoman"/>
      <w:start w:val="5"/>
    </w:lvl>
  </w:abstractNum>
  <w:abstractNum w:abstractNumId="60">
    <w:nsid w:val="7FB7E0AA"/>
    <w:multiLevelType w:val="hybridMultilevel"/>
    <w:lvl w:ilvl="0">
      <w:lvlJc w:val="left"/>
      <w:lvlText w:val="•"/>
      <w:numFmt w:val="bullet"/>
      <w:start w:val="1"/>
    </w:lvl>
  </w:abstractNum>
  <w:abstractNum w:abstractNumId="61">
    <w:nsid w:val="6EB5BD4"/>
    <w:multiLevelType w:val="hybridMultilevel"/>
    <w:lvl w:ilvl="0">
      <w:lvlJc w:val="left"/>
      <w:lvlText w:val="•"/>
      <w:numFmt w:val="bullet"/>
      <w:start w:val="1"/>
    </w:lvl>
  </w:abstractNum>
  <w:abstractNum w:abstractNumId="62">
    <w:nsid w:val="6F6DD9AC"/>
    <w:multiLevelType w:val="hybridMultilevel"/>
    <w:lvl w:ilvl="0">
      <w:lvlJc w:val="left"/>
      <w:lvlText w:val="•"/>
      <w:numFmt w:val="bullet"/>
      <w:start w:val="1"/>
    </w:lvl>
  </w:abstractNum>
  <w:abstractNum w:abstractNumId="63">
    <w:nsid w:val="94211F2"/>
    <w:multiLevelType w:val="hybridMultilevel"/>
    <w:lvl w:ilvl="0">
      <w:lvlJc w:val="left"/>
      <w:lvlText w:val="•"/>
      <w:numFmt w:val="bullet"/>
      <w:start w:val="1"/>
    </w:lvl>
  </w:abstractNum>
  <w:abstractNum w:abstractNumId="64">
    <w:nsid w:val="885E1B"/>
    <w:multiLevelType w:val="hybridMultilevel"/>
    <w:lvl w:ilvl="0">
      <w:lvlJc w:val="left"/>
      <w:lvlText w:val="(%1)"/>
      <w:numFmt w:val="decimal"/>
      <w:start w:val="1"/>
    </w:lvl>
  </w:abstractNum>
  <w:abstractNum w:abstractNumId="65">
    <w:nsid w:val="76272110"/>
    <w:multiLevelType w:val="hybridMultilevel"/>
    <w:lvl w:ilvl="0">
      <w:lvlJc w:val="left"/>
      <w:lvlText w:val="(%1)"/>
      <w:numFmt w:val="decimal"/>
      <w:start w:val="3"/>
    </w:lvl>
  </w:abstractNum>
  <w:abstractNum w:abstractNumId="66">
    <w:nsid w:val="4C04A8AF"/>
    <w:multiLevelType w:val="hybridMultilevel"/>
    <w:lvl w:ilvl="0">
      <w:lvlJc w:val="left"/>
      <w:lvlText w:val="(%1)"/>
      <w:numFmt w:val="decimal"/>
      <w:start w:val="5"/>
    </w:lvl>
  </w:abstractNum>
  <w:abstractNum w:abstractNumId="67">
    <w:nsid w:val="1716703B"/>
    <w:multiLevelType w:val="hybridMultilevel"/>
    <w:lvl w:ilvl="0">
      <w:lvlJc w:val="left"/>
      <w:lvlText w:val="(%1)"/>
      <w:numFmt w:val="decimal"/>
      <w:start w:val="6"/>
    </w:lvl>
  </w:abstractNum>
  <w:abstractNum w:abstractNumId="68">
    <w:nsid w:val="14E17E33"/>
    <w:multiLevelType w:val="hybridMultilevel"/>
    <w:lvl w:ilvl="0">
      <w:lvlJc w:val="left"/>
      <w:lvlText w:val="(%1)"/>
      <w:numFmt w:val="decimal"/>
      <w:start w:val="1"/>
    </w:lvl>
  </w:abstractNum>
  <w:abstractNum w:abstractNumId="69">
    <w:nsid w:val="3222E7CD"/>
    <w:multiLevelType w:val="hybridMultilevel"/>
    <w:lvl w:ilvl="0">
      <w:lvlJc w:val="left"/>
      <w:lvlText w:val="(%1)"/>
      <w:numFmt w:val="decimal"/>
      <w:start w:val="1"/>
    </w:lvl>
  </w:abstractNum>
  <w:abstractNum w:abstractNumId="70">
    <w:nsid w:val="74DE0EE3"/>
    <w:multiLevelType w:val="hybridMultilevel"/>
    <w:lvl w:ilvl="0">
      <w:lvlJc w:val="left"/>
      <w:lvlText w:val="(%1)"/>
      <w:numFmt w:val="decimal"/>
      <w:start w:val="1"/>
    </w:lvl>
  </w:abstractNum>
  <w:abstractNum w:abstractNumId="71">
    <w:nsid w:val="68EBC550"/>
    <w:multiLevelType w:val="hybridMultilevel"/>
    <w:lvl w:ilvl="0">
      <w:lvlJc w:val="left"/>
      <w:lvlText w:val="(%1)"/>
      <w:numFmt w:val="decimal"/>
      <w:start w:val="1"/>
    </w:lvl>
    <w:lvl w:ilvl="1">
      <w:lvlJc w:val="left"/>
      <w:lvlText w:val="•"/>
      <w:numFmt w:val="bullet"/>
      <w:start w:val="1"/>
    </w:lvl>
  </w:abstractNum>
  <w:abstractNum w:abstractNumId="72">
    <w:nsid w:val="2DF6D648"/>
    <w:multiLevelType w:val="hybridMultilevel"/>
    <w:lvl w:ilvl="0">
      <w:lvlJc w:val="left"/>
      <w:lvlText w:val="•"/>
      <w:numFmt w:val="bullet"/>
      <w:start w:val="1"/>
    </w:lvl>
  </w:abstractNum>
  <w:abstractNum w:abstractNumId="73">
    <w:nsid w:val="46B7D447"/>
    <w:multiLevelType w:val="hybridMultilevel"/>
    <w:lvl w:ilvl="0">
      <w:lvlJc w:val="left"/>
      <w:lvlText w:val="•"/>
      <w:numFmt w:val="bullet"/>
      <w:start w:val="1"/>
    </w:lvl>
  </w:abstractNum>
  <w:abstractNum w:abstractNumId="74">
    <w:nsid w:val="4A2AC315"/>
    <w:multiLevelType w:val="hybridMultilevel"/>
    <w:lvl w:ilvl="0">
      <w:lvlJc w:val="left"/>
      <w:lvlText w:val="•"/>
      <w:numFmt w:val="bullet"/>
      <w:start w:val="1"/>
    </w:lvl>
  </w:abstractNum>
  <w:abstractNum w:abstractNumId="75">
    <w:nsid w:val="39EE015C"/>
    <w:multiLevelType w:val="hybridMultilevel"/>
    <w:lvl w:ilvl="0">
      <w:lvlJc w:val="left"/>
      <w:lvlText w:val="•"/>
      <w:numFmt w:val="bullet"/>
      <w:start w:val="1"/>
    </w:lvl>
  </w:abstractNum>
  <w:abstractNum w:abstractNumId="76">
    <w:nsid w:val="57FC4FBB"/>
    <w:multiLevelType w:val="hybridMultilevel"/>
    <w:lvl w:ilvl="0">
      <w:lvlJc w:val="left"/>
      <w:lvlText w:val="•"/>
      <w:numFmt w:val="bullet"/>
      <w:start w:val="1"/>
    </w:lvl>
  </w:abstractNum>
  <w:abstractNum w:abstractNumId="77">
    <w:nsid w:val="CC1016F"/>
    <w:multiLevelType w:val="hybridMultilevel"/>
    <w:lvl w:ilvl="0">
      <w:lvlJc w:val="left"/>
      <w:lvlText w:val="•"/>
      <w:numFmt w:val="bullet"/>
      <w:start w:val="1"/>
    </w:lvl>
  </w:abstractNum>
  <w:abstractNum w:abstractNumId="78">
    <w:nsid w:val="43F18422"/>
    <w:multiLevelType w:val="hybridMultilevel"/>
    <w:lvl w:ilvl="0">
      <w:lvlJc w:val="left"/>
      <w:lvlText w:val="(%1)"/>
      <w:numFmt w:val="decimal"/>
      <w:start w:val="1"/>
    </w:lvl>
  </w:abstractNum>
  <w:abstractNum w:abstractNumId="79">
    <w:nsid w:val="60EF0119"/>
    <w:multiLevelType w:val="hybridMultilevel"/>
    <w:lvl w:ilvl="0">
      <w:lvlJc w:val="left"/>
      <w:lvlText w:val="•"/>
      <w:numFmt w:val="bullet"/>
      <w:start w:val="1"/>
    </w:lvl>
  </w:abstractNum>
  <w:abstractNum w:abstractNumId="80">
    <w:nsid w:val="26F324BA"/>
    <w:multiLevelType w:val="hybridMultilevel"/>
    <w:lvl w:ilvl="0">
      <w:lvlJc w:val="left"/>
      <w:lvlText w:val="(%1)"/>
      <w:numFmt w:val="decimal"/>
      <w:start w:val="1"/>
    </w:lvl>
  </w:abstractNum>
  <w:abstractNum w:abstractNumId="81">
    <w:nsid w:val="7F01579B"/>
    <w:multiLevelType w:val="hybridMultilevel"/>
    <w:lvl w:ilvl="0">
      <w:lvlJc w:val="left"/>
      <w:lvlText w:val="(%1)"/>
      <w:numFmt w:val="decimal"/>
      <w:start w:val="5"/>
    </w:lvl>
  </w:abstractNum>
  <w:abstractNum w:abstractNumId="82">
    <w:nsid w:val="49DA307D"/>
    <w:multiLevelType w:val="hybridMultilevel"/>
    <w:lvl w:ilvl="0">
      <w:lvlJc w:val="left"/>
      <w:lvlText w:val="•"/>
      <w:numFmt w:val="bullet"/>
      <w:start w:val="1"/>
    </w:lvl>
  </w:abstractNum>
  <w:abstractNum w:abstractNumId="83">
    <w:nsid w:val="7055A5F5"/>
    <w:multiLevelType w:val="hybridMultilevel"/>
    <w:lvl w:ilvl="0">
      <w:lvlJc w:val="left"/>
      <w:lvlText w:val="•"/>
      <w:numFmt w:val="bullet"/>
      <w:start w:val="1"/>
    </w:lvl>
  </w:abstractNum>
  <w:abstractNum w:abstractNumId="84">
    <w:nsid w:val="5FB8370B"/>
    <w:multiLevelType w:val="hybridMultilevel"/>
    <w:lvl w:ilvl="0">
      <w:lvlJc w:val="left"/>
      <w:lvlText w:val="•"/>
      <w:numFmt w:val="bullet"/>
      <w:start w:val="1"/>
    </w:lvl>
  </w:abstractNum>
  <w:abstractNum w:abstractNumId="85">
    <w:nsid w:val="50801EE1"/>
    <w:multiLevelType w:val="hybridMultilevel"/>
    <w:lvl w:ilvl="0">
      <w:lvlJc w:val="left"/>
      <w:lvlText w:val="(%1)"/>
      <w:numFmt w:val="decimal"/>
      <w:start w:val="1"/>
    </w:lvl>
  </w:abstractNum>
  <w:abstractNum w:abstractNumId="86">
    <w:nsid w:val="488AC1A"/>
    <w:multiLevelType w:val="hybridMultilevel"/>
    <w:lvl w:ilvl="0">
      <w:lvlJc w:val="left"/>
      <w:lvlText w:val="(%1)"/>
      <w:numFmt w:val="decimal"/>
      <w:start w:val="1"/>
    </w:lvl>
  </w:abstractNum>
  <w:abstractNum w:abstractNumId="87">
    <w:nsid w:val="5FB8011C"/>
    <w:multiLevelType w:val="hybridMultilevel"/>
    <w:lvl w:ilvl="0">
      <w:lvlJc w:val="left"/>
      <w:lvlText w:val="•"/>
      <w:numFmt w:val="bullet"/>
      <w:start w:val="1"/>
    </w:lvl>
  </w:abstractNum>
  <w:abstractNum w:abstractNumId="88">
    <w:nsid w:val="6AA78F7F"/>
    <w:multiLevelType w:val="hybridMultilevel"/>
    <w:lvl w:ilvl="0">
      <w:lvlJc w:val="left"/>
      <w:lvlText w:val="1"/>
      <w:numFmt w:val="bullet"/>
      <w:start w:val="1"/>
    </w:lvl>
  </w:abstractNum>
  <w:abstractNum w:abstractNumId="89">
    <w:nsid w:val="7672BD23"/>
    <w:multiLevelType w:val="hybridMultilevel"/>
    <w:lvl w:ilvl="0">
      <w:lvlJc w:val="left"/>
      <w:lvlText w:val="•"/>
      <w:numFmt w:val="bullet"/>
      <w:start w:val="1"/>
    </w:lvl>
  </w:abstractNum>
  <w:abstractNum w:abstractNumId="90">
    <w:nsid w:val="6FC75AF8"/>
    <w:multiLevelType w:val="hybridMultilevel"/>
    <w:lvl w:ilvl="0">
      <w:lvlJc w:val="left"/>
      <w:lvlText w:val="•"/>
      <w:numFmt w:val="bullet"/>
      <w:start w:val="1"/>
    </w:lvl>
  </w:abstractNum>
  <w:abstractNum w:abstractNumId="91">
    <w:nsid w:val="6A5F7029"/>
    <w:multiLevelType w:val="hybridMultilevel"/>
    <w:lvl w:ilvl="0">
      <w:lvlJc w:val="left"/>
      <w:lvlText w:val="•"/>
      <w:numFmt w:val="bullet"/>
      <w:start w:val="1"/>
    </w:lvl>
  </w:abstractNum>
  <w:abstractNum w:abstractNumId="92">
    <w:nsid w:val="7D5E18F8"/>
    <w:multiLevelType w:val="hybridMultilevel"/>
    <w:lvl w:ilvl="0">
      <w:lvlJc w:val="left"/>
      <w:lvlText w:val="•"/>
      <w:numFmt w:val="bullet"/>
      <w:start w:val="1"/>
    </w:lvl>
  </w:abstractNum>
  <w:abstractNum w:abstractNumId="93">
    <w:nsid w:val="5F3534A4"/>
    <w:multiLevelType w:val="hybridMultilevel"/>
    <w:lvl w:ilvl="0">
      <w:lvlJc w:val="left"/>
      <w:lvlText w:val="•"/>
      <w:numFmt w:val="bullet"/>
      <w:start w:val="1"/>
    </w:lvl>
  </w:abstractNum>
  <w:abstractNum w:abstractNumId="94">
    <w:nsid w:val="73A1821B"/>
    <w:multiLevelType w:val="hybridMultilevel"/>
    <w:lvl w:ilvl="0">
      <w:lvlJc w:val="left"/>
      <w:lvlText w:val="•"/>
      <w:numFmt w:val="bullet"/>
      <w:start w:val="1"/>
    </w:lvl>
  </w:abstractNum>
  <w:abstractNum w:abstractNumId="95">
    <w:nsid w:val="7DE67713"/>
    <w:multiLevelType w:val="hybridMultilevel"/>
    <w:lvl w:ilvl="0">
      <w:lvlJc w:val="left"/>
      <w:lvlText w:val="•"/>
      <w:numFmt w:val="bullet"/>
      <w:start w:val="1"/>
    </w:lvl>
  </w:abstractNum>
  <w:abstractNum w:abstractNumId="96">
    <w:nsid w:val="555C55B5"/>
    <w:multiLevelType w:val="hybridMultilevel"/>
    <w:lvl w:ilvl="0">
      <w:lvlJc w:val="left"/>
      <w:lvlText w:val="•"/>
      <w:numFmt w:val="bullet"/>
      <w:start w:val="1"/>
    </w:lvl>
  </w:abstractNum>
  <w:abstractNum w:abstractNumId="97">
    <w:nsid w:val="3FA62ACA"/>
    <w:multiLevelType w:val="hybridMultilevel"/>
    <w:lvl w:ilvl="0">
      <w:lvlJc w:val="left"/>
      <w:lvlText w:val="•"/>
      <w:numFmt w:val="bullet"/>
      <w:start w:val="1"/>
    </w:lvl>
  </w:abstractNum>
  <w:abstractNum w:abstractNumId="98">
    <w:nsid w:val="14FCE74E"/>
    <w:multiLevelType w:val="hybridMultilevel"/>
    <w:lvl w:ilvl="0">
      <w:lvlJc w:val="left"/>
      <w:lvlText w:val="•"/>
      <w:numFmt w:val="bullet"/>
      <w:start w:val="1"/>
    </w:lvl>
  </w:abstractNum>
  <w:abstractNum w:abstractNumId="99">
    <w:nsid w:val="6A3DD3E8"/>
    <w:multiLevelType w:val="hybridMultilevel"/>
    <w:lvl w:ilvl="0">
      <w:lvlJc w:val="left"/>
      <w:lvlText w:val="•"/>
      <w:numFmt w:val="bullet"/>
      <w:start w:val="1"/>
    </w:lvl>
  </w:abstractNum>
  <w:abstractNum w:abstractNumId="100">
    <w:nsid w:val="71C91298"/>
    <w:multiLevelType w:val="hybridMultilevel"/>
    <w:lvl w:ilvl="0">
      <w:lvlJc w:val="left"/>
      <w:lvlText w:val="•"/>
      <w:numFmt w:val="bullet"/>
      <w:start w:val="1"/>
    </w:lvl>
  </w:abstractNum>
  <w:abstractNum w:abstractNumId="101">
    <w:nsid w:val="9DAF632"/>
    <w:multiLevelType w:val="hybridMultilevel"/>
    <w:lvl w:ilvl="0">
      <w:lvlJc w:val="left"/>
      <w:lvlText w:val="(%1)"/>
      <w:numFmt w:val="decimal"/>
      <w:start w:val="1"/>
    </w:lvl>
  </w:abstractNum>
  <w:abstractNum w:abstractNumId="102">
    <w:nsid w:val="53299938"/>
    <w:multiLevelType w:val="hybridMultilevel"/>
    <w:lvl w:ilvl="0">
      <w:lvlJc w:val="left"/>
      <w:lvlText w:val="%1."/>
      <w:numFmt w:val="decimal"/>
      <w:start w:val="2"/>
    </w:lvl>
  </w:abstractNum>
  <w:abstractNum w:abstractNumId="103">
    <w:nsid w:val="1FBFE8E0"/>
    <w:multiLevelType w:val="hybridMultilevel"/>
    <w:lvl w:ilvl="0">
      <w:lvlJc w:val="left"/>
      <w:lvlText w:val="%1."/>
      <w:numFmt w:val="decimal"/>
      <w:start w:val="4"/>
    </w:lvl>
  </w:abstractNum>
  <w:abstractNum w:abstractNumId="104">
    <w:nsid w:val="5092CA79"/>
    <w:multiLevelType w:val="hybridMultilevel"/>
    <w:lvl w:ilvl="0">
      <w:lvlJc w:val="left"/>
      <w:lvlText w:val="%1."/>
      <w:numFmt w:val="decimal"/>
      <w:start w:val="2"/>
    </w:lvl>
  </w:abstractNum>
  <w:abstractNum w:abstractNumId="105">
    <w:nsid w:val="1D545C4D"/>
    <w:multiLevelType w:val="hybridMultilevel"/>
    <w:lvl w:ilvl="0">
      <w:lvlJc w:val="left"/>
      <w:lvlText w:val="%1."/>
      <w:numFmt w:val="decimal"/>
      <w:start w:val="1"/>
    </w:lvl>
  </w:abstractNum>
  <w:abstractNum w:abstractNumId="106">
    <w:nsid w:val="59ADEA3D"/>
    <w:multiLevelType w:val="hybridMultilevel"/>
    <w:lvl w:ilvl="0">
      <w:lvlJc w:val="left"/>
      <w:lvlText w:val="%1."/>
      <w:numFmt w:val="decimal"/>
      <w:start w:val="2"/>
    </w:lvl>
  </w:abstractNum>
  <w:abstractNum w:abstractNumId="107">
    <w:nsid w:val="288F1A34"/>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jpeg"/><Relationship Id="rId64" Type="http://schemas.openxmlformats.org/officeDocument/2006/relationships/image" Target="media/image57.jpeg"/><Relationship Id="rId65" Type="http://schemas.openxmlformats.org/officeDocument/2006/relationships/image" Target="media/image58.jpeg"/><Relationship Id="rId66" Type="http://schemas.openxmlformats.org/officeDocument/2006/relationships/image" Target="media/image59.jpeg"/><Relationship Id="rId67" Type="http://schemas.openxmlformats.org/officeDocument/2006/relationships/image" Target="media/image60.jpeg"/><Relationship Id="rId68" Type="http://schemas.openxmlformats.org/officeDocument/2006/relationships/image" Target="media/image61.jpe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jpe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jpe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jpe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jpe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jpe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jpe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jpe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jpe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jpe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jpe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jpeg"/><Relationship Id="rId302" Type="http://schemas.openxmlformats.org/officeDocument/2006/relationships/image" Target="media/image295.jpeg"/><Relationship Id="rId303" Type="http://schemas.openxmlformats.org/officeDocument/2006/relationships/image" Target="media/image296.jpeg"/><Relationship Id="rId304" Type="http://schemas.openxmlformats.org/officeDocument/2006/relationships/image" Target="media/image297.jpe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jpe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jpeg"/><Relationship Id="rId325" Type="http://schemas.openxmlformats.org/officeDocument/2006/relationships/image" Target="media/image318.jpeg"/><Relationship Id="rId326" Type="http://schemas.openxmlformats.org/officeDocument/2006/relationships/image" Target="media/image319.jpe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jpe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2019-12-03T18:42:45Z</dcterms:created>
  <dcterms:modified xsi:type="dcterms:W3CDTF">2019-12-03T18:42:45Z</dcterms:modified>
</cp:coreProperties>
</file>