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5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400"/>
          </w:cols>
          <w:pgMar w:left="240" w:top="315" w:right="259" w:bottom="1440" w:gutter="0" w:footer="0" w:header="0"/>
        </w:sectPr>
      </w:pPr>
    </w:p>
    <w:p>
      <w:pPr>
        <w:spacing w:after="0" w:line="58"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right="20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80"/>
          </w:cols>
          <w:pgMar w:left="240" w:top="315" w:right="25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91"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-2072005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-1720850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-1300480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-571500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62230</wp:posOffset>
            </wp:positionV>
            <wp:extent cx="7031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5" w:right="2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869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20" w:right="4300"/>
        <w:spacing w:after="0" w:line="286" w:lineRule="auto"/>
        <w:rPr>
          <w:sz w:val="20"/>
          <w:szCs w:val="20"/>
          <w:color w:val="auto"/>
        </w:rPr>
      </w:pPr>
      <w:r>
        <w:rPr>
          <w:rFonts w:ascii="Arial" w:cs="Arial" w:eastAsia="Arial" w:hAnsi="Arial"/>
          <w:sz w:val="24"/>
          <w:szCs w:val="24"/>
          <w:b w:val="1"/>
          <w:bCs w:val="1"/>
          <w:color w:val="auto"/>
        </w:rPr>
        <w:t>IMPORTANT ANNUAL MEETING OF SHAREHOLDERS INFORMATION — YOUR VOTE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Meeting Notice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Important Notice Regarding the Availability of Proxy Materials for the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Northrop Grumman Corporation Annual Meeting of Shareholders to be Held on May 19, 2010</w:t>
      </w:r>
    </w:p>
    <w:p>
      <w:pPr>
        <w:spacing w:after="0" w:line="86"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Under Securities and Exchange Commission rules, you are receiving this notice that the proxy materials for the annual meeting of shareholders are available on the Internet. Follow the instructions below to view the materials and vote online or request a copy. The items to be voted on and location of the annual meeting are on the reverse side. Your vote is important!</w:t>
      </w:r>
    </w:p>
    <w:p>
      <w:pPr>
        <w:spacing w:after="0" w:line="41" w:lineRule="exact"/>
        <w:rPr>
          <w:sz w:val="20"/>
          <w:szCs w:val="20"/>
          <w:color w:val="auto"/>
        </w:rPr>
      </w:pPr>
    </w:p>
    <w:p>
      <w:pPr>
        <w:jc w:val="both"/>
        <w:ind w:right="40"/>
        <w:spacing w:after="0" w:line="246" w:lineRule="auto"/>
        <w:rPr>
          <w:sz w:val="20"/>
          <w:szCs w:val="20"/>
          <w:color w:val="auto"/>
        </w:rPr>
      </w:pPr>
      <w:r>
        <w:rPr>
          <w:rFonts w:ascii="Arial" w:cs="Arial" w:eastAsia="Arial" w:hAnsi="Arial"/>
          <w:sz w:val="22"/>
          <w:szCs w:val="2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75565</wp:posOffset>
            </wp:positionV>
            <wp:extent cx="4528185"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281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00"/>
        <w:spacing w:after="0"/>
        <w:rPr>
          <w:sz w:val="20"/>
          <w:szCs w:val="20"/>
          <w:color w:val="auto"/>
        </w:rPr>
      </w:pPr>
      <w:r>
        <w:rPr>
          <w:rFonts w:ascii="Arial" w:cs="Arial" w:eastAsia="Arial" w:hAnsi="Arial"/>
          <w:sz w:val="24"/>
          <w:szCs w:val="24"/>
          <w:b w:val="1"/>
          <w:bCs w:val="1"/>
          <w:color w:val="auto"/>
        </w:rPr>
        <w:t>Easy Online Access — A Convenient Way to View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50609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095" cy="471805"/>
                    </a:xfrm>
                    <a:prstGeom prst="rect">
                      <a:avLst/>
                    </a:prstGeom>
                    <a:noFill/>
                  </pic:spPr>
                </pic:pic>
              </a:graphicData>
            </a:graphic>
          </wp:anchor>
        </w:drawing>
      </w:r>
    </w:p>
    <w:p>
      <w:pPr>
        <w:spacing w:after="0" w:line="5"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When you go online to view materials, you can also vote your shares.</w:t>
      </w:r>
    </w:p>
    <w:p>
      <w:pPr>
        <w:ind w:left="1500"/>
        <w:spacing w:after="0" w:line="230" w:lineRule="auto"/>
        <w:rPr>
          <w:sz w:val="20"/>
          <w:szCs w:val="20"/>
          <w:color w:val="auto"/>
        </w:rPr>
      </w:pPr>
      <w:r>
        <w:rPr>
          <w:rFonts w:ascii="Arial" w:cs="Arial" w:eastAsia="Arial" w:hAnsi="Arial"/>
          <w:sz w:val="22"/>
          <w:szCs w:val="22"/>
          <w:b w:val="1"/>
          <w:bCs w:val="1"/>
          <w:color w:val="auto"/>
        </w:rPr>
        <w:t xml:space="preserve">Step 1: </w:t>
      </w:r>
      <w:r>
        <w:rPr>
          <w:rFonts w:ascii="Arial" w:cs="Arial" w:eastAsia="Arial" w:hAnsi="Arial"/>
          <w:sz w:val="22"/>
          <w:szCs w:val="22"/>
          <w:color w:val="auto"/>
        </w:rPr>
        <w:t>Go to</w:t>
      </w:r>
      <w:r>
        <w:rPr>
          <w:rFonts w:ascii="Arial" w:cs="Arial" w:eastAsia="Arial" w:hAnsi="Arial"/>
          <w:sz w:val="22"/>
          <w:szCs w:val="22"/>
          <w:b w:val="1"/>
          <w:bCs w:val="1"/>
          <w:color w:val="auto"/>
        </w:rPr>
        <w:t xml:space="preserve"> www.envisionreports.com/NOC </w:t>
      </w:r>
      <w:r>
        <w:rPr>
          <w:rFonts w:ascii="Arial" w:cs="Arial" w:eastAsia="Arial" w:hAnsi="Arial"/>
          <w:sz w:val="22"/>
          <w:szCs w:val="22"/>
          <w:color w:val="auto"/>
        </w:rPr>
        <w:t>to view the materials.</w:t>
      </w:r>
    </w:p>
    <w:p>
      <w:pPr>
        <w:ind w:left="1500"/>
        <w:spacing w:after="0" w:line="231" w:lineRule="auto"/>
        <w:rPr>
          <w:sz w:val="20"/>
          <w:szCs w:val="20"/>
          <w:color w:val="auto"/>
        </w:rPr>
      </w:pPr>
      <w:r>
        <w:rPr>
          <w:rFonts w:ascii="Arial" w:cs="Arial" w:eastAsia="Arial" w:hAnsi="Arial"/>
          <w:sz w:val="22"/>
          <w:szCs w:val="22"/>
          <w:b w:val="1"/>
          <w:bCs w:val="1"/>
          <w:color w:val="auto"/>
        </w:rPr>
        <w:t xml:space="preserve">Step 2: </w:t>
      </w:r>
      <w:r>
        <w:rPr>
          <w:rFonts w:ascii="Arial" w:cs="Arial" w:eastAsia="Arial" w:hAnsi="Arial"/>
          <w:sz w:val="22"/>
          <w:szCs w:val="22"/>
          <w:color w:val="auto"/>
        </w:rPr>
        <w:t>Click on</w:t>
      </w:r>
      <w:r>
        <w:rPr>
          <w:rFonts w:ascii="Arial" w:cs="Arial" w:eastAsia="Arial" w:hAnsi="Arial"/>
          <w:sz w:val="22"/>
          <w:szCs w:val="22"/>
          <w:b w:val="1"/>
          <w:bCs w:val="1"/>
          <w:color w:val="auto"/>
        </w:rPr>
        <w:t xml:space="preserve"> Cast Your Vote or Request Materials.</w:t>
      </w:r>
    </w:p>
    <w:p>
      <w:pPr>
        <w:ind w:left="1500"/>
        <w:spacing w:after="0" w:line="230" w:lineRule="auto"/>
        <w:rPr>
          <w:sz w:val="20"/>
          <w:szCs w:val="20"/>
          <w:color w:val="auto"/>
        </w:rPr>
      </w:pPr>
      <w:r>
        <w:rPr>
          <w:rFonts w:ascii="Arial" w:cs="Arial" w:eastAsia="Arial" w:hAnsi="Arial"/>
          <w:sz w:val="22"/>
          <w:szCs w:val="22"/>
          <w:b w:val="1"/>
          <w:bCs w:val="1"/>
          <w:color w:val="auto"/>
        </w:rPr>
        <w:t xml:space="preserve">Step 3: </w:t>
      </w:r>
      <w:r>
        <w:rPr>
          <w:rFonts w:ascii="Arial" w:cs="Arial" w:eastAsia="Arial" w:hAnsi="Arial"/>
          <w:sz w:val="22"/>
          <w:szCs w:val="22"/>
          <w:color w:val="auto"/>
        </w:rPr>
        <w:t>Follow the instructions on the screen to log in.</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Step 4: </w:t>
      </w:r>
      <w:r>
        <w:rPr>
          <w:rFonts w:ascii="Arial" w:cs="Arial" w:eastAsia="Arial" w:hAnsi="Arial"/>
          <w:sz w:val="22"/>
          <w:szCs w:val="22"/>
          <w:color w:val="auto"/>
        </w:rPr>
        <w:t>Make your selection as instructed on each screen to select delivery preferences and vote.</w:t>
      </w:r>
    </w:p>
    <w:p>
      <w:pPr>
        <w:spacing w:after="0" w:line="45" w:lineRule="exact"/>
        <w:rPr>
          <w:sz w:val="20"/>
          <w:szCs w:val="20"/>
          <w:color w:val="auto"/>
        </w:rPr>
      </w:pPr>
    </w:p>
    <w:p>
      <w:pPr>
        <w:ind w:right="200"/>
        <w:spacing w:after="0" w:line="261" w:lineRule="auto"/>
        <w:rPr>
          <w:sz w:val="20"/>
          <w:szCs w:val="20"/>
          <w:color w:val="auto"/>
        </w:rPr>
      </w:pPr>
      <w:r>
        <w:rPr>
          <w:rFonts w:ascii="Arial" w:cs="Arial" w:eastAsia="Arial" w:hAnsi="Arial"/>
          <w:sz w:val="22"/>
          <w:szCs w:val="22"/>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321" w:lineRule="exact"/>
        <w:rPr>
          <w:sz w:val="20"/>
          <w:szCs w:val="20"/>
          <w:color w:val="auto"/>
        </w:rPr>
      </w:pPr>
    </w:p>
    <w:p>
      <w:pPr>
        <w:ind w:left="1500"/>
        <w:spacing w:after="0" w:line="249" w:lineRule="auto"/>
        <w:rPr>
          <w:sz w:val="20"/>
          <w:szCs w:val="20"/>
          <w:color w:val="auto"/>
        </w:rPr>
      </w:pPr>
      <w:r>
        <w:rPr>
          <w:rFonts w:ascii="Arial" w:cs="Arial" w:eastAsia="Arial" w:hAnsi="Arial"/>
          <w:sz w:val="18"/>
          <w:szCs w:val="18"/>
          <w:b w:val="1"/>
          <w:bCs w:val="1"/>
          <w:color w:val="auto"/>
        </w:rPr>
        <w:t>Obtaining a Copy of the Proxy Materials – If you want to receive a paper or e-mail copy of these documents, you must request one. There is no charge to you for requesting a copy. Please make your request for a copy as instructed on the reverse side on or before May 9, 2010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20573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5730" cy="4114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68935"/>
                    </a:xfrm>
                    <a:prstGeom prst="rect">
                      <a:avLst/>
                    </a:prstGeom>
                    <a:noFill/>
                  </pic:spPr>
                </pic:pic>
              </a:graphicData>
            </a:graphic>
          </wp:anchor>
        </w:drawing>
        <w:t>Shareholder Meeting Notice</w:t>
      </w:r>
    </w:p>
    <w:p>
      <w:pPr>
        <w:spacing w:after="0" w:line="198" w:lineRule="exact"/>
        <w:rPr>
          <w:sz w:val="20"/>
          <w:szCs w:val="20"/>
          <w:color w:val="auto"/>
        </w:rPr>
      </w:pPr>
    </w:p>
    <w:p>
      <w:pPr>
        <w:jc w:val="both"/>
        <w:ind w:right="820"/>
        <w:spacing w:after="0" w:line="246" w:lineRule="auto"/>
        <w:rPr>
          <w:sz w:val="20"/>
          <w:szCs w:val="20"/>
          <w:color w:val="auto"/>
        </w:rPr>
      </w:pPr>
      <w:r>
        <w:rPr>
          <w:rFonts w:ascii="Arial" w:cs="Arial" w:eastAsia="Arial" w:hAnsi="Arial"/>
          <w:sz w:val="22"/>
          <w:szCs w:val="22"/>
          <w:b w:val="1"/>
          <w:bCs w:val="1"/>
          <w:color w:val="auto"/>
        </w:rPr>
        <w:t>Northrop Grumman Corporation’s Annual Meeting of Shareholders will be held on May 19, 2010 at The Aerospace Presentation Center, One Space Park, Redondo Beach, California 90278, at 8:00 a.m. Pacific Daylight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following proposals:</w:t>
      </w:r>
    </w:p>
    <w:p>
      <w:pPr>
        <w:spacing w:after="0" w:line="220" w:lineRule="exact"/>
        <w:rPr>
          <w:sz w:val="20"/>
          <w:szCs w:val="20"/>
          <w:color w:val="auto"/>
        </w:rPr>
      </w:pPr>
    </w:p>
    <w:p>
      <w:pPr>
        <w:jc w:val="both"/>
        <w:ind w:left="900" w:right="40" w:hanging="446"/>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the following twelve nominees as Directors: Wesley G. Bush, Lewis W. Coleman, Thomas B. Fargo, Victor H. Fazio, Donald E. Felsinger, Stephen E. Frank, Bruce S. Gordon, Madeleine Kleiner, Karl J. Krapek, Richard B. Myers, Aulana L. Peters, and Kevin W. Sharer.</w:t>
      </w:r>
    </w:p>
    <w:p>
      <w:pPr>
        <w:spacing w:after="0" w:line="2"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to ratify the appointment of Deloitte &amp; Touche LLP as the Company’s independent auditor.</w:t>
      </w:r>
    </w:p>
    <w:p>
      <w:pPr>
        <w:ind w:left="900" w:right="440" w:hanging="446"/>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to amend the Company’s Restated Certificate of Incorporation relating to special shareholder meetings and certain other provisions as set forth on the attached Notice of Proposed Amendment and Restatement of Certificate of Incorporation.</w:t>
      </w:r>
    </w:p>
    <w:p>
      <w:pPr>
        <w:spacing w:after="0" w:line="1" w:lineRule="exact"/>
        <w:rPr>
          <w:rFonts w:ascii="Arial" w:cs="Arial" w:eastAsia="Arial" w:hAnsi="Arial"/>
          <w:sz w:val="18"/>
          <w:szCs w:val="18"/>
          <w:color w:val="auto"/>
        </w:rPr>
      </w:pPr>
    </w:p>
    <w:p>
      <w:pPr>
        <w:ind w:left="900" w:right="700" w:hanging="446"/>
        <w:spacing w:after="0" w:line="23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to amend the Certificate of Incorporation of Northrop Grumman Systems Corporation relating to deletion of Company shareholder approvals for certain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the following proposal:</w:t>
      </w:r>
    </w:p>
    <w:p>
      <w:pPr>
        <w:spacing w:after="0" w:line="1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Shareholder proposal regarding reincorporation in North Dakota.</w:t>
      </w:r>
    </w:p>
    <w:p>
      <w:pPr>
        <w:spacing w:after="0" w:line="13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PLEASE NOTE – YOU CANNOT VOTE BY RETURNING THIS NOTICE. To vote your shares you must vote online or request a paper copy of the proxy materials to receive a proxy card. If you wish to attend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560"/>
        <w:spacing w:after="0" w:line="239" w:lineRule="auto"/>
        <w:rPr>
          <w:sz w:val="20"/>
          <w:szCs w:val="20"/>
          <w:color w:val="auto"/>
        </w:rPr>
      </w:pPr>
      <w:r>
        <w:rPr>
          <w:rFonts w:ascii="Arial" w:cs="Arial" w:eastAsia="Arial" w:hAnsi="Arial"/>
          <w:sz w:val="18"/>
          <w:szCs w:val="18"/>
          <w:color w:val="auto"/>
        </w:rPr>
        <w:t>Directions to the 2010 annual meeting are available in the proxy statement, which can be viewed at www.envisionreports.com/NOC.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Here’s how to order a copy of the proxy materials and select a future delivery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45770"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770" cy="574675"/>
                    </a:xfrm>
                    <a:prstGeom prst="rect">
                      <a:avLst/>
                    </a:prstGeom>
                    <a:noFill/>
                  </pic:spPr>
                </pic:pic>
              </a:graphicData>
            </a:graphic>
          </wp:anchor>
        </w:drawing>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Paper copies: </w:t>
      </w:r>
      <w:r>
        <w:rPr>
          <w:rFonts w:ascii="Arial" w:cs="Arial" w:eastAsia="Arial" w:hAnsi="Arial"/>
          <w:sz w:val="18"/>
          <w:szCs w:val="18"/>
          <w:color w:val="auto"/>
        </w:rPr>
        <w:t>Current and future paper delivery requests can be submitted via the telephone, Internet or email options below.</w:t>
      </w:r>
    </w:p>
    <w:p>
      <w:pPr>
        <w:spacing w:after="0" w:line="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Email copies: </w:t>
      </w:r>
      <w:r>
        <w:rPr>
          <w:rFonts w:ascii="Arial" w:cs="Arial" w:eastAsia="Arial" w:hAnsi="Arial"/>
          <w:sz w:val="18"/>
          <w:szCs w:val="18"/>
          <w:color w:val="auto"/>
        </w:rPr>
        <w:t>Current and future email delivery requests must be submitted via the Internet following the instructions below.</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you request an email copy of current materials you will receive an email with a link to the materials.</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when requesting a set of proxy materials.</w:t>
      </w:r>
    </w:p>
    <w:p>
      <w:pPr>
        <w:spacing w:after="0" w:line="1" w:lineRule="exact"/>
        <w:rPr>
          <w:sz w:val="20"/>
          <w:szCs w:val="20"/>
          <w:color w:val="auto"/>
        </w:rPr>
      </w:pPr>
    </w:p>
    <w:p>
      <w:pPr>
        <w:ind w:left="1620" w:hanging="246"/>
        <w:spacing w:after="0" w:line="23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 Go to</w:t>
      </w:r>
      <w:r>
        <w:rPr>
          <w:rFonts w:ascii="Arial" w:cs="Arial" w:eastAsia="Arial" w:hAnsi="Arial"/>
          <w:sz w:val="18"/>
          <w:szCs w:val="18"/>
          <w:b w:val="1"/>
          <w:bCs w:val="1"/>
          <w:color w:val="auto"/>
        </w:rPr>
        <w:t xml:space="preserve"> www.envisionreports.com/NOC. </w:t>
      </w:r>
      <w:r>
        <w:rPr>
          <w:rFonts w:ascii="Arial" w:cs="Arial" w:eastAsia="Arial" w:hAnsi="Arial"/>
          <w:sz w:val="18"/>
          <w:szCs w:val="18"/>
          <w:color w:val="auto"/>
        </w:rPr>
        <w:t>Click Cast Your Vote or Request Materials. Follow the instructions to log in</w:t>
      </w:r>
      <w:r>
        <w:rPr>
          <w:rFonts w:ascii="Arial" w:cs="Arial" w:eastAsia="Arial" w:hAnsi="Arial"/>
          <w:sz w:val="18"/>
          <w:szCs w:val="18"/>
          <w:b w:val="1"/>
          <w:bCs w:val="1"/>
          <w:color w:val="auto"/>
        </w:rPr>
        <w:t xml:space="preserve"> </w:t>
      </w:r>
      <w:r>
        <w:rPr>
          <w:rFonts w:ascii="Arial" w:cs="Arial" w:eastAsia="Arial" w:hAnsi="Arial"/>
          <w:sz w:val="18"/>
          <w:szCs w:val="18"/>
          <w:color w:val="auto"/>
        </w:rPr>
        <w:t>and order a paper or email copy of the current meeting materials and submit your preference for email or paper delivery of future meeting materials.</w:t>
      </w:r>
    </w:p>
    <w:p>
      <w:pPr>
        <w:spacing w:after="0" w:line="2" w:lineRule="exact"/>
        <w:rPr>
          <w:rFonts w:ascii="Arial" w:cs="Arial" w:eastAsia="Arial" w:hAnsi="Arial"/>
          <w:sz w:val="18"/>
          <w:szCs w:val="18"/>
          <w:color w:val="auto"/>
        </w:rPr>
      </w:pPr>
    </w:p>
    <w:p>
      <w:pPr>
        <w:ind w:left="1620" w:hanging="246"/>
        <w:spacing w:after="0" w:line="23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 Call us free of charge at 1-866-641-4276 using a touch-tone phone and follow the instructions to log in and order</w:t>
      </w:r>
      <w:r>
        <w:rPr>
          <w:rFonts w:ascii="Arial" w:cs="Arial" w:eastAsia="Arial" w:hAnsi="Arial"/>
          <w:sz w:val="18"/>
          <w:szCs w:val="18"/>
          <w:b w:val="1"/>
          <w:bCs w:val="1"/>
          <w:color w:val="auto"/>
        </w:rPr>
        <w:t xml:space="preserve"> </w:t>
      </w:r>
      <w:r>
        <w:rPr>
          <w:rFonts w:ascii="Arial" w:cs="Arial" w:eastAsia="Arial" w:hAnsi="Arial"/>
          <w:sz w:val="18"/>
          <w:szCs w:val="18"/>
          <w:color w:val="auto"/>
        </w:rPr>
        <w:t>a paper copy of the materials by mail for the current meeting. You can also submit a preference to receive a paper copy for future meetings.</w:t>
      </w:r>
    </w:p>
    <w:p>
      <w:pPr>
        <w:spacing w:after="0" w:line="2" w:lineRule="exact"/>
        <w:rPr>
          <w:rFonts w:ascii="Arial" w:cs="Arial" w:eastAsia="Arial" w:hAnsi="Arial"/>
          <w:sz w:val="18"/>
          <w:szCs w:val="18"/>
          <w:color w:val="auto"/>
        </w:rPr>
      </w:pPr>
    </w:p>
    <w:p>
      <w:pPr>
        <w:ind w:left="1620" w:right="120" w:hanging="246"/>
        <w:spacing w:after="0" w:line="23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 Send email to investorvote@computershare.com with “Proxy Materials Northrop Grumman Corporation”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line. Include in the message 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To facilitate timely delivery, all requests for a paper copy of the proxy materials must be received by May 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01675A</w:t>
      </w:r>
    </w:p>
    <w:sectPr>
      <w:pgSz w:w="11900" w:h="16838" w:orient="portrait"/>
      <w:cols w:equalWidth="0" w:num="1">
        <w:col w:w="11400"/>
      </w:cols>
      <w:pgMar w:left="240" w:top="52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2019-12-10T20:58:31Z</dcterms:created>
  <dcterms:modified xsi:type="dcterms:W3CDTF">2019-12-10T20:58:31Z</dcterms:modified>
</cp:coreProperties>
</file>