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March 13, 2023</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Northrop Grumman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80-0640649</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2980 Fairview Park Drive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Falls Church, Virginia 22042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(703) 280-2900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Jennifer C. McGarey</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Vice President and Secretary</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Northrop Grumman Corporation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2980 Fairview Park Drive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Falls Church, Virginia 22042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(703) 280-2900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Copy to:</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Meredith B. Cross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250 Greenwich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NY 10007</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(202) 663-6000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252" w:lineRule="exact"/>
        <w:rPr>
          <w:sz w:val="24"/>
          <w:szCs w:val="24"/>
          <w:color w:val="auto"/>
        </w:rPr>
      </w:pPr>
    </w:p>
    <w:p>
      <w:pPr>
        <w:ind w:right="3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6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929" w:orient="portrait"/>
          <w:cols w:equalWidth="0" w:num="1">
            <w:col w:w="10960"/>
          </w:cols>
          <w:pgMar w:left="440" w:top="229" w:right="49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company” in Rule 12b-2 of the Exchange Act.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60" w:type="dxa"/>
            <w:vAlign w:val="bottom"/>
          </w:tcPr>
          <w:p>
            <w:pPr>
              <w:ind w:left="312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171450</wp:posOffset>
            </wp:positionV>
            <wp:extent cx="3008630"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863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Northrop Grumman Corporation</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SENIOR DEBT SECURITIES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We may offer and sell any combination of the securities described in this prospectus from time to time in one or more offerings, in one or more series and in amounts, at prices and on terms that we will determine at the time of the offering.</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will provide the specific terms of the securities, including their offering prices, and the methods by which we will sell them, in supplements to this prospectus. The prospectus supplements may also add, update or change information contained in this prospectus. You should read this prospectus and any accompanying prospectus supplements carefully before you make your investment decision.</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We may offer and sell the securities on an immediate, continuous or delayed basis directly to investors or through underwriters, dealers or agents, or through a combination of these methods.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Northrop Grumman’s common stock is listed on The New York Stock Exchange under the symbol “NOC”.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246380</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220" w:firstLine="440"/>
        <w:spacing w:after="0" w:line="260" w:lineRule="auto"/>
        <w:rPr>
          <w:sz w:val="20"/>
          <w:szCs w:val="20"/>
          <w:color w:val="auto"/>
        </w:rPr>
      </w:pPr>
      <w:r>
        <w:rPr>
          <w:rFonts w:ascii="Arial" w:cs="Arial" w:eastAsia="Arial" w:hAnsi="Arial"/>
          <w:sz w:val="21"/>
          <w:szCs w:val="21"/>
          <w:b w:val="1"/>
          <w:bCs w:val="1"/>
          <w:color w:val="auto"/>
        </w:rPr>
        <w:t>Investing in these securities involves certain risks. See “</w:t>
      </w:r>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186055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March 13, 2023.</w:t>
      </w:r>
    </w:p>
    <w:p>
      <w:pPr>
        <w:sectPr>
          <w:pgSz w:w="11900" w:h="16838" w:orient="portrait"/>
          <w:cols w:equalWidth="0" w:num="1">
            <w:col w:w="10940"/>
          </w:cols>
          <w:pgMar w:left="440" w:top="270" w:right="5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2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18"/>
        </w:trPr>
        <w:tc>
          <w:tcPr>
            <w:tcW w:w="8620" w:type="dxa"/>
            <w:vAlign w:val="bottom"/>
            <w:gridSpan w:val="13"/>
          </w:tcPr>
          <w:p>
            <w:pPr>
              <w:spacing w:after="0"/>
              <w:rPr>
                <w:sz w:val="20"/>
                <w:szCs w:val="20"/>
                <w:color w:val="auto"/>
              </w:rPr>
            </w:pPr>
            <w:r>
              <w:rPr>
                <w:rFonts w:ascii="Arial" w:cs="Arial" w:eastAsia="Arial" w:hAnsi="Arial"/>
                <w:sz w:val="18"/>
                <w:szCs w:val="18"/>
                <w:color w:val="0000EE"/>
              </w:rPr>
              <w:t>ABOUT THIS PROSPECTUS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82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INCORPORATION BY REFERENCE</w:t>
            </w:r>
          </w:p>
        </w:tc>
        <w:tc>
          <w:tcPr>
            <w:tcW w:w="980" w:type="dxa"/>
            <w:vAlign w:val="bottom"/>
            <w:tcBorders>
              <w:top w:val="single" w:sz="8" w:color="0000EE"/>
            </w:tcBorders>
            <w:gridSpan w:val="4"/>
          </w:tcPr>
          <w:p>
            <w:pPr>
              <w:spacing w:after="0"/>
              <w:rPr>
                <w:sz w:val="17"/>
                <w:szCs w:val="17"/>
                <w:color w:val="auto"/>
              </w:rPr>
            </w:pPr>
          </w:p>
        </w:tc>
        <w:tc>
          <w:tcPr>
            <w:tcW w:w="48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FORWARD-LOOKING STATEMENTS AND IMPORTANT FACTORS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526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RISK FACTORS</w:t>
            </w:r>
          </w:p>
        </w:tc>
        <w:tc>
          <w:tcPr>
            <w:tcW w:w="336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NORTHROP GRUMMAN CORPORATION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USE OF PROCEEDS</w:t>
            </w:r>
          </w:p>
        </w:tc>
        <w:tc>
          <w:tcPr>
            <w:tcW w:w="1680" w:type="dxa"/>
            <w:vAlign w:val="bottom"/>
            <w:tcBorders>
              <w:top w:val="single" w:sz="8" w:color="0000EE"/>
            </w:tcBorders>
            <w:gridSpan w:val="5"/>
          </w:tcPr>
          <w:p>
            <w:pPr>
              <w:spacing w:after="0"/>
              <w:rPr>
                <w:sz w:val="17"/>
                <w:szCs w:val="17"/>
                <w:color w:val="auto"/>
              </w:rPr>
            </w:pPr>
          </w:p>
        </w:tc>
        <w:tc>
          <w:tcPr>
            <w:tcW w:w="536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7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DESCRIPTION OF SENIOR DEBT SECURITIES</w:t>
            </w:r>
          </w:p>
        </w:tc>
        <w:tc>
          <w:tcPr>
            <w:tcW w:w="490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DESCRIPTION OF COMMON STOCK</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9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PLAN OF DISTRIBUTION</w:t>
            </w:r>
          </w:p>
        </w:tc>
        <w:tc>
          <w:tcPr>
            <w:tcW w:w="56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2"/>
          </w:tcPr>
          <w:p>
            <w:pPr>
              <w:spacing w:after="0"/>
              <w:rPr>
                <w:sz w:val="17"/>
                <w:szCs w:val="17"/>
                <w:color w:val="auto"/>
              </w:rPr>
            </w:pPr>
          </w:p>
        </w:tc>
        <w:tc>
          <w:tcPr>
            <w:tcW w:w="65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620" w:type="dxa"/>
            <w:vAlign w:val="bottom"/>
            <w:gridSpan w:val="13"/>
          </w:tcPr>
          <w:p>
            <w:pPr>
              <w:spacing w:after="0" w:line="196" w:lineRule="exact"/>
              <w:rPr>
                <w:sz w:val="20"/>
                <w:szCs w:val="20"/>
                <w:color w:val="auto"/>
              </w:rPr>
            </w:pPr>
            <w:r>
              <w:rPr>
                <w:rFonts w:ascii="Arial" w:cs="Arial" w:eastAsia="Arial" w:hAnsi="Arial"/>
                <w:sz w:val="18"/>
                <w:szCs w:val="18"/>
                <w:color w:val="0000EE"/>
              </w:rPr>
              <w:t>EXPERTS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THIS PROSPECTUS</w:t>
      </w:r>
    </w:p>
    <w:p>
      <w:pPr>
        <w:spacing w:after="0" w:line="229"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Unless otherwise stated or the context otherwise requires, references in this prospectus to “Northrop Grumman” are to Northrop Grumman Corporation, and references to “we,” “our,” “us” or similar references are to Northrop Grumman and its consolidated subsidiaries.</w:t>
      </w:r>
    </w:p>
    <w:p>
      <w:pPr>
        <w:spacing w:after="0" w:line="124"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registration process, Northrop Grumman may from time to time sell, either separately or together, senior debt securities or common stock, in one or more offerings to the public. This prospectus provides you with a general description of these securities.</w:t>
      </w:r>
    </w:p>
    <w:p>
      <w:pPr>
        <w:spacing w:after="0" w:line="14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Each time we sell securities, we will provide a prospectus supplement containing specific information about the terms of that offering. That prospectus supplement may include or incorporate by reference a discussion of any risk factors and may discuss special considerations applicable to those securities. The prospectus supplement may also add, update or change information contained in this prospectus. You should read both this prospectus and any accompanying prospectus supplement together with additional information described under the heading “Where You Can Find More Information” and “Incorporation by Reference.” If there is any inconsistency between the information in this prospectus and any prospectus supplement, you should rely on the information contained in that prospectus supplement.</w:t>
      </w:r>
    </w:p>
    <w:p>
      <w:pPr>
        <w:spacing w:after="0" w:line="17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You should rely on the information contained in or incorporated by reference in this prospectus, any accompanying prospectus supplement or in any related free writing prospectus filed by us with the SEC. We have not authorized anyone to provide you with different information. If any third party provides you with different or inconsistent information, you should not rely on it. We are not making an offer to sell these securities in any jurisdiction where the offer or sale is not permitted. You should read this prospectus, including the documents incorporated by reference in this prospectus, when making your investment decision. You should assume that the information appearing in this prospectus, any prospectus supplement, the documents incorporated by reference and any related free writing prospectus is accurate only as of their respective dates. Our business, financial condition, results of operations, cash flows and/or prospects may have changed materially since those dates.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Northrop Grumman files annual, quarterly and current reports, proxy statements and other information with the SEC. The SEC maintains a site on the internet at http://www.sec.gov that contains reports, proxy statements and other information that we file electronically with the SEC. Copies of certain information filed by us with the SEC are also available on our website at www.northropgrumman.com. Our website is not a part of, and is not incorporated by reference into, this prospectus.</w:t>
      </w:r>
    </w:p>
    <w:p>
      <w:pPr>
        <w:spacing w:after="0" w:line="18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in, and the exhibits to,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We are “incorporating by reference” information into this prospectus, which means that we can disclose important information to you by referring you to another document that has been filed separately with the SEC. The information incorporated by reference is considered to be part of this prospectus, and information that we file later with the SEC will automatically update and supersede the information contained in documents filed earlier with the SEC or contained in this prospectus. This means that you must look at all of the SEC filings that we incorporate by reference to determine if any of the statements in this prospectus or in any document previously incorporated by reference have been modified or superseded. We incorporate by reference in this prospectus the documents listed below (File No. 001-16411) and any future filings made by us with the SEC under Section 13(a), 13(c), 14 and 15(d) of the Securities Exchange Act of 1934, as amended (the “Exchange Act”), after the initial filing of the registration statement that contains this prospectus and prior to the time that the offering of the securities under the registration statement is terminated or completed (in each case, other than those documents or the portions of those documents not deemed to be filed):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5" w:name="page6"/>
    <w:bookmarkEnd w:id="5"/>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Annual Report on </w:t>
      </w:r>
      <w:hyperlink r:id="rId2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January 26, 2023;</w:t>
      </w:r>
    </w:p>
    <w:p>
      <w:pPr>
        <w:spacing w:after="0" w:line="130" w:lineRule="exact"/>
        <w:rPr>
          <w:rFonts w:ascii="Arial" w:cs="Arial" w:eastAsia="Arial" w:hAnsi="Arial"/>
          <w:sz w:val="18"/>
          <w:szCs w:val="18"/>
          <w:color w:val="auto"/>
        </w:rPr>
      </w:pPr>
    </w:p>
    <w:p>
      <w:pPr>
        <w:ind w:left="960" w:right="400" w:hanging="424"/>
        <w:spacing w:after="0" w:line="342"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portions of our </w:t>
      </w:r>
      <w:hyperlink r:id="rId28">
        <w:r>
          <w:rPr>
            <w:rFonts w:ascii="Arial" w:cs="Arial" w:eastAsia="Arial" w:hAnsi="Arial"/>
            <w:sz w:val="16"/>
            <w:szCs w:val="16"/>
            <w:u w:val="single" w:color="auto"/>
            <w:color w:val="0000EE"/>
          </w:rPr>
          <w:t>Definitive Proxy Statement on 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2022 Annual Meeting of Stockholders filed with the SEC on April 1, 2022, that are incorporated by reference in our Annual Report on Form 10-K for the fiscal year ended December 31, 2021;</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29">
        <w:r>
          <w:rPr>
            <w:rFonts w:ascii="Arial" w:cs="Arial" w:eastAsia="Arial" w:hAnsi="Arial"/>
            <w:sz w:val="18"/>
            <w:szCs w:val="18"/>
            <w:u w:val="single" w:color="auto"/>
            <w:color w:val="0000EE"/>
          </w:rPr>
          <w:t>February 8,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0">
        <w:r>
          <w:rPr>
            <w:rFonts w:ascii="Arial" w:cs="Arial" w:eastAsia="Arial" w:hAnsi="Arial"/>
            <w:sz w:val="18"/>
            <w:szCs w:val="18"/>
            <w:u w:val="single" w:color="auto"/>
            <w:color w:val="0000EE"/>
          </w:rPr>
          <w:t>February 17, 2023</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0" w:right="500" w:hanging="424"/>
        <w:spacing w:after="0" w:line="277" w:lineRule="auto"/>
        <w:tabs>
          <w:tab w:leader="none" w:pos="96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description of our common stock contained in our Registration Statement on </w:t>
      </w:r>
      <w:hyperlink r:id="rId3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March 28, 2001, as updated by </w:t>
      </w:r>
      <w:hyperlink r:id="rId32">
        <w:r>
          <w:rPr>
            <w:rFonts w:ascii="Arial" w:cs="Arial" w:eastAsia="Arial" w:hAnsi="Arial"/>
            <w:sz w:val="18"/>
            <w:szCs w:val="18"/>
            <w:u w:val="single" w:color="auto"/>
            <w:color w:val="0000EE"/>
          </w:rPr>
          <w:t>Exhibit 4(ll)</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our Annual Report on</w:t>
      </w:r>
      <w:r>
        <w:rPr>
          <w:rFonts w:ascii="Arial" w:cs="Arial" w:eastAsia="Arial" w:hAnsi="Arial"/>
          <w:sz w:val="18"/>
          <w:szCs w:val="18"/>
          <w:color w:val="0000EE"/>
        </w:rPr>
        <w:t xml:space="preserve"> </w:t>
      </w:r>
      <w:hyperlink r:id="rId33">
        <w:r>
          <w:rPr>
            <w:rFonts w:ascii="Arial" w:cs="Arial" w:eastAsia="Arial" w:hAnsi="Arial"/>
            <w:sz w:val="18"/>
            <w:szCs w:val="18"/>
            <w:u w:val="single" w:color="auto"/>
            <w:color w:val="0000EE"/>
          </w:rPr>
          <w:t xml:space="preserve">Form 10-K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the fiscal year ended December 31, 2019.</w:t>
      </w:r>
    </w:p>
    <w:p>
      <w:pPr>
        <w:spacing w:after="0" w:line="170" w:lineRule="exact"/>
        <w:rPr>
          <w:rFonts w:ascii="Arial" w:cs="Arial" w:eastAsia="Arial" w:hAnsi="Arial"/>
          <w:sz w:val="18"/>
          <w:szCs w:val="18"/>
          <w:color w:val="auto"/>
        </w:rPr>
      </w:pPr>
    </w:p>
    <w:p>
      <w:pPr>
        <w:ind w:right="100" w:firstLine="440"/>
        <w:spacing w:after="0" w:line="277" w:lineRule="auto"/>
        <w:rPr>
          <w:sz w:val="20"/>
          <w:szCs w:val="20"/>
          <w:color w:val="auto"/>
        </w:rPr>
      </w:pPr>
      <w:r>
        <w:rPr>
          <w:rFonts w:ascii="Arial" w:cs="Arial" w:eastAsia="Arial" w:hAnsi="Arial"/>
          <w:sz w:val="18"/>
          <w:szCs w:val="18"/>
          <w:color w:val="auto"/>
        </w:rPr>
        <w:t>You may obtain copies, without charge, of documents incorporated by reference in this prospectus, by requesting them in writing or by telephone from us as follows:</w:t>
      </w:r>
    </w:p>
    <w:p>
      <w:pPr>
        <w:spacing w:after="0" w:line="17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Jennifer C. McGarey</w:t>
      </w:r>
    </w:p>
    <w:p>
      <w:pPr>
        <w:spacing w:after="0" w:line="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Corporate Vice President and Secretary</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2980 Fairview Park Drive</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Falls Church, Virginia 22042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(703) 280-2900</w:t>
      </w:r>
    </w:p>
    <w:p>
      <w:pPr>
        <w:spacing w:after="0" w:line="21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Exhibits to the filings will not be sent, unless those exhibits have been specifically incorporated by reference in this prospectus.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 AND IMPORTANT FACTORS</w:t>
      </w:r>
    </w:p>
    <w:p>
      <w:pPr>
        <w:spacing w:after="0" w:line="229" w:lineRule="exact"/>
        <w:rPr>
          <w:rFonts w:ascii="Arial" w:cs="Arial" w:eastAsia="Arial" w:hAnsi="Arial"/>
          <w:sz w:val="18"/>
          <w:szCs w:val="18"/>
          <w:color w:val="auto"/>
        </w:rPr>
      </w:pPr>
    </w:p>
    <w:p>
      <w:pPr>
        <w:ind w:firstLine="440"/>
        <w:spacing w:after="0" w:line="289" w:lineRule="auto"/>
        <w:rPr>
          <w:sz w:val="20"/>
          <w:szCs w:val="20"/>
          <w:color w:val="auto"/>
        </w:rPr>
      </w:pPr>
      <w:r>
        <w:rPr>
          <w:rFonts w:ascii="Arial" w:cs="Arial" w:eastAsia="Arial" w:hAnsi="Arial"/>
          <w:sz w:val="16"/>
          <w:szCs w:val="16"/>
          <w:color w:val="auto"/>
        </w:rPr>
        <w:t>This prospectus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under Item 1A, Risk Factors in our Annual Report on Form 10-K for the year ended December 31, 2022 and other important factors disclosed in our reports, and from time to time in our other filings with the SEC.</w:t>
      </w:r>
    </w:p>
    <w:p>
      <w:pPr>
        <w:spacing w:after="0" w:line="166" w:lineRule="exact"/>
        <w:rPr>
          <w:rFonts w:ascii="Arial" w:cs="Arial" w:eastAsia="Arial" w:hAnsi="Arial"/>
          <w:sz w:val="18"/>
          <w:szCs w:val="18"/>
          <w:color w:val="auto"/>
        </w:rPr>
      </w:pPr>
    </w:p>
    <w:p>
      <w:pPr>
        <w:ind w:firstLine="440"/>
        <w:spacing w:after="0" w:line="259" w:lineRule="auto"/>
        <w:rPr>
          <w:sz w:val="20"/>
          <w:szCs w:val="20"/>
          <w:color w:val="auto"/>
        </w:rPr>
      </w:pPr>
      <w:r>
        <w:rPr>
          <w:rFonts w:ascii="Arial" w:cs="Arial" w:eastAsia="Arial" w:hAnsi="Arial"/>
          <w:sz w:val="18"/>
          <w:szCs w:val="18"/>
          <w:color w:val="auto"/>
        </w:rPr>
        <w:t>We urge you to consider the limitations on, and risks associated with, forward-looking statements and not unduly rely on the accuracy of forward-looking statements. These forward-looking statements speak only as of the date of this prospectus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39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rFonts w:ascii="Arial" w:cs="Arial" w:eastAsia="Arial" w:hAnsi="Arial"/>
          <w:sz w:val="18"/>
          <w:szCs w:val="18"/>
          <w:color w:val="auto"/>
        </w:rPr>
      </w:pPr>
    </w:p>
    <w:p>
      <w:pPr>
        <w:ind w:right="20" w:firstLine="440"/>
        <w:spacing w:after="0" w:line="291" w:lineRule="auto"/>
        <w:rPr>
          <w:sz w:val="20"/>
          <w:szCs w:val="20"/>
          <w:color w:val="auto"/>
        </w:rPr>
      </w:pPr>
      <w:r>
        <w:rPr>
          <w:rFonts w:ascii="Arial" w:cs="Arial" w:eastAsia="Arial" w:hAnsi="Arial"/>
          <w:sz w:val="16"/>
          <w:szCs w:val="16"/>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for the year ended December 31, 2022, as updated by our subsequent filings, which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37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rFonts w:ascii="Arial" w:cs="Arial" w:eastAsia="Arial" w:hAnsi="Arial"/>
          <w:sz w:val="18"/>
          <w:szCs w:val="18"/>
          <w:color w:val="auto"/>
        </w:rPr>
      </w:pPr>
    </w:p>
    <w:p>
      <w:pPr>
        <w:ind w:right="60" w:firstLine="440"/>
        <w:spacing w:after="0" w:line="311" w:lineRule="auto"/>
        <w:rPr>
          <w:sz w:val="20"/>
          <w:szCs w:val="20"/>
          <w:color w:val="auto"/>
        </w:rPr>
      </w:pPr>
      <w:r>
        <w:rPr>
          <w:rFonts w:ascii="Arial" w:cs="Arial" w:eastAsia="Arial" w:hAnsi="Arial"/>
          <w:sz w:val="16"/>
          <w:szCs w:val="16"/>
          <w:color w:val="auto"/>
        </w:rPr>
        <w:t>Northrop Grumman Corporation is a leading global aerospace and defense company. We deliver a broad range of products, services and solutions to U.S. and international customers, and principally to the U.S. Department of Defense and intelligence community. Our broad portfolio is aligned to support national security priorities and our solutions equip our customers with capabilities they need to connect, protect and advance humanity.</w:t>
      </w:r>
    </w:p>
    <w:p>
      <w:pPr>
        <w:spacing w:after="0" w:line="8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6" w:name="page7"/>
    <w:bookmarkEnd w:id="6"/>
    <w:p>
      <w:pPr>
        <w:ind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a leading provider of space systems, advanced aircraft, missile defense, advanced weapons and long-range fires capabilities, mission systems, networking and communications, strategic deterrence systems, and breakthrough technologies, such as artificial intelligence, advanced computing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16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Our principal executive offices are located at 2980 Fairview Park Drive, Falls Church, Virginia 22042, and our telephone number is (703) 280-2900.</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We maintain an internet site at http://www.northropgrumman.com. The information contained at our internet site is not incorporated by reference in this prospectus, and you should not consider it a part of this prospectus.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Unless we specify otherwise, we will use the net proceeds from the sale of the securities for general corporate purposes and those of our consolidated subsidiaries. These purposes may include repayment of debt, repurchase of our common stock, working capital needs, capital expenditures, acquisitions and any other general corporate purpose.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SENIOR DEBT SECURITIES</w:t>
      </w:r>
    </w:p>
    <w:p>
      <w:pPr>
        <w:spacing w:after="0" w:line="22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The following description of senior debt securities, which we refer to as the debt securities, sets forth the general terms and provisions of the debt securities we may offer. The specific terms of any debt securities we offer and the extent to which these general terms and provisions apply to those debt securities will be described in a prospectus supplement.</w:t>
      </w:r>
    </w:p>
    <w:p>
      <w:pPr>
        <w:spacing w:after="0" w:line="184"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Northrop Grumman may issue the debt securities in one or more series under the indenture dated as of November 21, 2001, which we refer to as the base indenture, as supplemented and/or amended by (i) the first supplemental indenture dated as of July 30, 2009, between Northrop Grumman and The Bank of New York Mellon, which we refer to as the trustee, (ii) the third supplemental indenture dated as of March 30, 2011, by and among Titan II, Inc. (formerly known as Northrop Grumman Corporation), the trustee and Titan Holdings II, L.P. and (iii) the fourth supplemental indenture dated as of March 30, 2011, by and among Titan Holdings II, L.P., the trustee and Northrop Grumman (formerly known as New P, Inc.). We refer to the base indenture as modified by the supplemental indentures, and as further amended and/or supplemented, as the indenture. If we use a different indenture trustee for any series of debt securities, we will provide the details in a prospectus supplement.</w:t>
      </w:r>
    </w:p>
    <w:p>
      <w:pPr>
        <w:spacing w:after="0" w:line="16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We have summarized some of the material provisions of the indenture on the following pages. The summary does not purport to be complete and is subject to, and is qualified in its entirety by reference to, all provisions of the indenture, including definitions of various terms contained in the indenture. The base indenture and the supplemental indentures are exhibits to the registration statement of which this prospectus is a part. We encourage you to read the indenture. If you would like more information on the indenture, see “Where You Can Find More Information” on how to obtain copies of the indenture. Section references in the summary below are to the section in the base indenture as such section may have been modified by the supplemental indentures.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Terms</w:t>
      </w:r>
    </w:p>
    <w:p>
      <w:pPr>
        <w:spacing w:after="0" w:line="22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The indenture provides for the issuance of debt securities in one or more series. A prospectus supplement relating to any series of debt securities we offer will describe the specific terms relating to the offering. These terms will include some or all of the following:</w:t>
      </w:r>
    </w:p>
    <w:p>
      <w:pPr>
        <w:spacing w:after="0" w:line="76"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limit on the total principal amount of the debt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person who will receive interest payments on any debt securities, if other than the registered holder;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maturity date or dates of the debt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left="960" w:right="2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rate or rates, which may be fixed or variable, per annum at which the debt securities will bear interest and the date from which such interest will accrue;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dates on which interest will be payable and the related record dates;</w:t>
      </w:r>
    </w:p>
    <w:p>
      <w:pPr>
        <w:spacing w:after="0" w:line="130"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index, formula or other method will determine payments of principal, premium or interest and the manner of determining the amount of such payments;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place or places of payments on the debt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and on what terms the debt securities are redeemable;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mandatory or optional sinking fund or purchase fund or analogous provisions;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denominations of the debt securities if other than $1,000 or multiples of $1,000;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or currency units of principal, premium and interest payments if other than U.S. dollars;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deletions from, changes in or additions to the events of default or the covenants specified in the indenture;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registrars or other agents for the debt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debt securities are subject to defeasance or covenant defeasance;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will issue the debt securities as original issue discount securities for federal income tax purposes;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debt securities will be issued in whole or in part in temporary or permanent global form and, if so, the initial depositary with respect to the global security;</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payment upon acceleration;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any other material terms of the debt securities. </w:t>
      </w:r>
      <w:r>
        <w:rPr>
          <w:rFonts w:ascii="Arial" w:cs="Arial" w:eastAsia="Arial" w:hAnsi="Arial"/>
          <w:sz w:val="18"/>
          <w:szCs w:val="18"/>
          <w:i w:val="1"/>
          <w:iCs w:val="1"/>
          <w:color w:val="auto"/>
        </w:rPr>
        <w:t>(Section 301)</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We may issue debt securities that are convertible into or exchangeable for our common stock. If we issue convertible or exchangeable debt securities, we will provide additional information in a prospectus supplement.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We may sell debt securities at a discount below their stated principal amount, bearing no interest or interest at a rate that, at the time of issuance, is different than market rates.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Ranking of Debt Securities</w:t>
      </w:r>
    </w:p>
    <w:p>
      <w:pPr>
        <w:spacing w:after="0" w:line="22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debt securities will be our senior unsecured obligations and will rank equally and ratably in right of payment with all of our other unsecured and non-subordinated indebtedness.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Denomination, Form, Payment and Transfer</w:t>
      </w:r>
    </w:p>
    <w:p>
      <w:pPr>
        <w:spacing w:after="0" w:line="229"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Normally, we will denominate and make payments on debt securities in U.S. dollars. If we issue debt securities denominated, or with payments, in a foreign or composite currency, the applicable prospectus supplement will specify the currency or composite currency. </w:t>
      </w:r>
      <w:r>
        <w:rPr>
          <w:rFonts w:ascii="Arial" w:cs="Arial" w:eastAsia="Arial" w:hAnsi="Arial"/>
          <w:sz w:val="16"/>
          <w:szCs w:val="16"/>
          <w:i w:val="1"/>
          <w:iCs w:val="1"/>
          <w:color w:val="auto"/>
        </w:rPr>
        <w:t>(Section 301)</w:t>
      </w:r>
    </w:p>
    <w:p>
      <w:pPr>
        <w:spacing w:after="0" w:line="12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We may from time to time issue debt securities in certificated form. This means that holders will be entitled to receive certificates representing the debt securities registered in their name. You can transfer or exchange debt securities in certificated form without service charge, upon reimbursement of any taxes or government charges. You can make this transfer or exchange at the trustee’s corporate trust office or at any other office we maintain for such purposes. If the debt securities are in certificated form, we can pay interest by check mailed to the person in whose name the debt securities are registered on the days specified in the indenture. </w:t>
      </w:r>
      <w:r>
        <w:rPr>
          <w:rFonts w:ascii="Arial" w:cs="Arial" w:eastAsia="Arial" w:hAnsi="Arial"/>
          <w:sz w:val="18"/>
          <w:szCs w:val="18"/>
          <w:i w:val="1"/>
          <w:iCs w:val="1"/>
          <w:color w:val="auto"/>
        </w:rPr>
        <w:t>(Sections 301 and 305)</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Global Notes</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We may issue the debt securities of a particular series in whole or in part in the form of one or more global notes that will be issued to and registered in the name of a depositary, which we refer to as the depositary, or its nominee, identified in the prospectus supplement relating to that series. Global notes may be issued only in fully registered form and in either temporary or permanent form. Unless and until a global note is exchanged in whole or in part for certificated debt securities, a global note may only be transferred as a whole between the depositary (or its successor) and its nominees. </w:t>
      </w:r>
      <w:r>
        <w:rPr>
          <w:rFonts w:ascii="Arial" w:cs="Arial" w:eastAsia="Arial" w:hAnsi="Arial"/>
          <w:sz w:val="18"/>
          <w:szCs w:val="18"/>
          <w:i w:val="1"/>
          <w:iCs w:val="1"/>
          <w:color w:val="auto"/>
        </w:rPr>
        <w:t>(Section 305)</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8" w:name="page9"/>
    <w:bookmarkEnd w:id="8"/>
    <w:p>
      <w:pPr>
        <w:ind w:right="2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While the specific terms of the depositary arrangement with respect to a series of debt securities will be described in the prospectus supplement relating to that series, we anticipate that the following provisions will generally apply to depositary arrangements for global notes.</w:t>
      </w:r>
    </w:p>
    <w:p>
      <w:pPr>
        <w:spacing w:after="0" w:line="146"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Upon the issuance of a global note, the depositary or its nominee will credit, on its book-entry registration and transfer system, the respective principal amounts of the persons who beneficially own the global note to their accounts with the depositary. These accounts will be designated by the dealers, underwriters or agents through whom we sold the debt securities, or by us if we offer and sell the debt securities directly. Ownership of beneficial interests in a global note will be limited to persons that have accounts with the depositary, whom we refer to as participants, or persons that may hold interests through participants. Ownership of beneficial interests in a global note will be shown on, and the transfer of that ownership will be effected only through, records maintained by the depositary or its nominee (with respect to interests of participants) and the records of participants (with respect to interests of beneficial owners other than participants). The laws of some states require that certain purchasers of securities must take physical delivery of debt securities in definitive, certificated form. These requirements may impair our ability to sell, and the ability of a purchaser to transfer, beneficial interests in a global note.</w:t>
      </w:r>
    </w:p>
    <w:p>
      <w:pPr>
        <w:spacing w:after="0" w:line="18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So long as the depositary or its nominee is the registered owner of a global note, the depositary or its nominee will be considered the sole owner or “Holder” of the debt represented by the global note for all purposes under the indenture. Except as described below, owners of beneficial interests in a global note will not be entitled to have any of the debt represented by the global note registered in their individual names, will not receive or be entitled to receive certificates representing debt securities in definitive form, and will not be considered the owners or “Holders” of the debt securities under the indenture. Accordingly, investors who hold an interest in global debt securities in accounts at banks or brokers will not generally be recognized by us as the legal holders of the debt securities although the depositary or its nominee may choose to grant proxies or otherwise allow owners of beneficial interests in the debt securities to take action which the depositary as “Holder” is entitled to take.</w:t>
      </w:r>
    </w:p>
    <w:p>
      <w:pPr>
        <w:spacing w:after="0" w:line="17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Payments of principal and interest, if any, on a global note registered in the name of the depositary or its nominee will be made to the depositary or its nominee, as the registered owner of the global note. Neither we nor the trustee, any paying agent or the security registrar for the debt securities will have any responsibility or liability for any aspect of the records relating to or payments made on account of beneficial ownership interests of the global note or for maintaining, supervising or reviewing any records relating to those beneficial ownership interests.</w:t>
      </w:r>
    </w:p>
    <w:p>
      <w:pPr>
        <w:spacing w:after="0" w:line="17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We expect that the depositary or its nominee, immediately upon receipt of any payment of principal or interest in respect of a global note, will credit the accounts of the applicable participants with payments in amounts proportionate to their respective beneficial ownership interests in the principal amount of the global note, as shown on the records of the depositary or its nominee. We further expect that payments by participants to owners of beneficial interests in the global note held through those participants will be governed by standing instructions and customary practices, as is now the case with securities held for the accounts of customers. These payments will, however, be the sole responsibility of the participants. We have no control over the practices of the depositary or the participants, and there can be no assurance that these practices will not be changed.</w:t>
      </w:r>
    </w:p>
    <w:p>
      <w:pPr>
        <w:spacing w:after="0" w:line="164"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If the depositary for a series of debt securities is at any time unwilling, unable or ineligible to continue as depositary and a successor depositary is not appointed by us within 90 days, we will issue certificated debt securities of that series in exchange for the global note held by that depositary. In addition, we may at any time and in our sole discretion, subject to any limitations described in the prospectus supplement relating to the debt securities, determine not to have any series of debt securities represented by one or more global notes and, in that event, will issue certificated debt securities of that series in exchange for the global note. Further, if an Event of Default with respect to any series represented by a global note has occurred and is continuing, the global note may be exchanged for certificated debt securities. In that case, each owner of a beneficial interest in a global note will be entitled to physical delivery of certificated debt securities of the series represented by the global note equal in principal amount to that owner’s beneficial interest, and to have those debt securities registered in its name.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Payments</w:t>
      </w:r>
    </w:p>
    <w:p>
      <w:pPr>
        <w:spacing w:after="0" w:line="229"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 xml:space="preserve">We will pay interest to direct holders listed in the registrar’s records at the close of business on the record date specified in the applicable prospectus supplement, which usually falls about two weeks in advance of each due date for interest, even if the holder on the record date no longer owns the debt security on the interest payment date. </w:t>
      </w:r>
      <w:r>
        <w:rPr>
          <w:rFonts w:ascii="Arial" w:cs="Arial" w:eastAsia="Arial" w:hAnsi="Arial"/>
          <w:sz w:val="16"/>
          <w:szCs w:val="16"/>
          <w:i w:val="1"/>
          <w:iCs w:val="1"/>
          <w:color w:val="auto"/>
        </w:rPr>
        <w:t>(Section 307)</w:t>
      </w:r>
      <w:r>
        <w:rPr>
          <w:rFonts w:ascii="Arial" w:cs="Arial" w:eastAsia="Arial" w:hAnsi="Arial"/>
          <w:sz w:val="16"/>
          <w:szCs w:val="16"/>
          <w:color w:val="auto"/>
        </w:rPr>
        <w:t xml:space="preserve"> Holders buying and selling debt securities must make their own arrangements to account for the issuer’s payment of all the interest for an interest period to the person who was the registered holder on the record date.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amount payable on any debt security remains unclaimed at the end of two years after the amount became due and payable, the paying agent or trustee will return that amount to us. </w:t>
      </w:r>
      <w:r>
        <w:rPr>
          <w:rFonts w:ascii="Arial" w:cs="Arial" w:eastAsia="Arial" w:hAnsi="Arial"/>
          <w:sz w:val="18"/>
          <w:szCs w:val="18"/>
          <w:i w:val="1"/>
          <w:iCs w:val="1"/>
          <w:color w:val="auto"/>
        </w:rPr>
        <w:t>(Section 1003)</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Unless we indicate otherwise in a prospectus supplement, the following are events of default under the indenture with respect to any series of issued debt securities:</w:t>
      </w:r>
    </w:p>
    <w:p>
      <w:pPr>
        <w:spacing w:after="0" w:line="76"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pay the principal or any premium on any debt security of that series when due;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pay interest on any debt security of that series within 30 days of when due;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deposit any sinking fund payment on any debt security of that series when due; or</w:t>
      </w:r>
    </w:p>
    <w:p>
      <w:pPr>
        <w:spacing w:after="0" w:line="130" w:lineRule="exact"/>
        <w:rPr>
          <w:rFonts w:ascii="Arial" w:cs="Arial" w:eastAsia="Arial" w:hAnsi="Arial"/>
          <w:sz w:val="18"/>
          <w:szCs w:val="18"/>
          <w:color w:val="auto"/>
        </w:rPr>
      </w:pPr>
    </w:p>
    <w:p>
      <w:pPr>
        <w:ind w:left="1420" w:right="40" w:hanging="331"/>
        <w:spacing w:after="0" w:line="263" w:lineRule="auto"/>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perform any other covenant in the indenture applicable to that series and the issuer or guarantor, if applicable, that continues for 90 days after we have been given written notice of the failure by the trustee or the holders of at least 25% in aggregate principal amount of the outstanding debt securities of that series; or</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occurrence of specified bankruptcy, insolvency or reorganization events. </w:t>
      </w:r>
      <w:r>
        <w:rPr>
          <w:rFonts w:ascii="Arial" w:cs="Arial" w:eastAsia="Arial" w:hAnsi="Arial"/>
          <w:sz w:val="18"/>
          <w:szCs w:val="18"/>
          <w:i w:val="1"/>
          <w:iCs w:val="1"/>
          <w:color w:val="auto"/>
        </w:rPr>
        <w:t>(Section 501)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 event of default for one series of debt securities does not necessarily constitute an event of default for any other series under the indenture.</w:t>
      </w:r>
    </w:p>
    <w:p>
      <w:pPr>
        <w:spacing w:after="0" w:line="24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If the specified bankruptcy, insolvency or reorganization events occur, the entire principal of all the debt securities of that series will be due and payable immediately. If any other event of default occurs and continues, the trustee, or the holders of at least 25% in aggregate principal amount of the outstanding debt securities of the series, may declare the entire principal of all the debt securities of that series to be due and payable immediately. If this happens, and we cure the event of default in the manner specified in the indenture, the holders of a majority of the aggregate outstanding principal amount of the debt securities of that series can void the acceleration of payment. </w:t>
      </w:r>
      <w:r>
        <w:rPr>
          <w:rFonts w:ascii="Arial" w:cs="Arial" w:eastAsia="Arial" w:hAnsi="Arial"/>
          <w:sz w:val="17"/>
          <w:szCs w:val="17"/>
          <w:i w:val="1"/>
          <w:iCs w:val="1"/>
          <w:color w:val="auto"/>
        </w:rPr>
        <w:t>(Section 502)</w:t>
      </w:r>
    </w:p>
    <w:p>
      <w:pPr>
        <w:spacing w:after="0" w:line="176"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 xml:space="preserve">The indenture provides that the trustee has no obligation to exercise any of its rights at the direction of any holders, unless the holders offer the trustee reasonable indemnity. </w:t>
      </w:r>
      <w:r>
        <w:rPr>
          <w:rFonts w:ascii="Arial" w:cs="Arial" w:eastAsia="Arial" w:hAnsi="Arial"/>
          <w:sz w:val="18"/>
          <w:szCs w:val="18"/>
          <w:i w:val="1"/>
          <w:iCs w:val="1"/>
          <w:color w:val="auto"/>
        </w:rPr>
        <w:t>(Section 603)</w:t>
      </w:r>
      <w:r>
        <w:rPr>
          <w:rFonts w:ascii="Arial" w:cs="Arial" w:eastAsia="Arial" w:hAnsi="Arial"/>
          <w:sz w:val="18"/>
          <w:szCs w:val="18"/>
          <w:color w:val="auto"/>
        </w:rPr>
        <w:t xml:space="preserve"> If they provide this indemnification, the holders of a majority in principal amount of any series of debt securities have the right to direct any proceeding, remedy, or power available to the trustee with respect to that series, subject to certain limitations. </w:t>
      </w:r>
      <w:r>
        <w:rPr>
          <w:rFonts w:ascii="Arial" w:cs="Arial" w:eastAsia="Arial" w:hAnsi="Arial"/>
          <w:sz w:val="18"/>
          <w:szCs w:val="18"/>
          <w:i w:val="1"/>
          <w:iCs w:val="1"/>
          <w:color w:val="auto"/>
        </w:rPr>
        <w:t>(Section 512)</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Obligations Under the Indenture</w:t>
      </w:r>
    </w:p>
    <w:p>
      <w:pPr>
        <w:spacing w:after="0" w:line="22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Unless specified otherwise in the applicable prospectus supplement, the following covenants will apply to any series of debt securities issued under the indenture.</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i w:val="1"/>
          <w:iCs w:val="1"/>
          <w:color w:val="auto"/>
        </w:rPr>
        <w:t>Limitations on Liens</w:t>
      </w:r>
      <w:r>
        <w:rPr>
          <w:rFonts w:ascii="Arial" w:cs="Arial" w:eastAsia="Arial" w:hAnsi="Arial"/>
          <w:sz w:val="17"/>
          <w:szCs w:val="17"/>
          <w:color w:val="auto"/>
        </w:rPr>
        <w:t>. The indenture restricts our ability to encumber specified types of our assets or those of our restricted subsidiaries. If we, or</w:t>
      </w:r>
      <w:r>
        <w:rPr>
          <w:rFonts w:ascii="Arial" w:cs="Arial" w:eastAsia="Arial" w:hAnsi="Arial"/>
          <w:sz w:val="17"/>
          <w:szCs w:val="17"/>
          <w:i w:val="1"/>
          <w:iCs w:val="1"/>
          <w:color w:val="auto"/>
        </w:rPr>
        <w:t xml:space="preserve"> </w:t>
      </w:r>
      <w:r>
        <w:rPr>
          <w:rFonts w:ascii="Arial" w:cs="Arial" w:eastAsia="Arial" w:hAnsi="Arial"/>
          <w:sz w:val="17"/>
          <w:szCs w:val="17"/>
          <w:color w:val="auto"/>
        </w:rPr>
        <w:t>any restricted subsidiary, pledges or mortgages any principal property, or any stock or indebtedness of any restricted subsidiary, to secure any debt or guarantee of debt, then for as long as the debt or guarantee is secured by the property, we or our restricted subsidiary will be obligated to pledge or mortgage the same property to the trustee to secure the debt securities on an equal and ratable basis with such other secured debt, unless an exception applies. Restricted subsidiary means any of our direct or indirect subsidiaries that has substantially all of its assets located in the United States and carries on substantially all of its business in the United States, or that holds substantially all of its assets in the form of ownership of other restricted subsidiaries. Principal property means any manufacturing plant or facility located in the continental United States which is owned by us or any of our restricted subsidiaries, unless our board of directors determines the plant or facility is not of material importance to our total business and the business of our restricted subsidiaries.</w:t>
      </w:r>
    </w:p>
    <w:p>
      <w:pPr>
        <w:spacing w:after="0" w:line="18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This limitation is subject to exceptions. We may encumber our assets without equally and ratably securing the debt securities if the encumbrance is a permitted lien, without regard to the amount of debt secured by the encumbrance. We may also encumber assets if the amount of all of our debt and the debt of our restricted subsidiaries secured by encumbrances on any principal property, or any stock or indebtedness of any restricted subsidiary, other than the permitted liens, does not exceed the greater of $1,000,000,000 or 10% of our consolidated net tangible assets. Consolidated net tangible assets means our total assets, including the assets of our subsidiaries, as reflected in our most recent balance sheet, less current liabilities (other than the current portion of debt and capital leases, notes and loans payable and deferred income taxes), goodwill, patents and trademarks and unamortized debt discount. Permitted liens include: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a corporation’s property, stock or indebtedness at the time it becomes a restricted subsidiary;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on property at the time we or a restricted subsidiary acquires the property;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securing debt owing by a restricted subsidiary to us or another of our restricted subsidiaries;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existing at the time the indenture became effective;</w:t>
      </w:r>
    </w:p>
    <w:p>
      <w:pPr>
        <w:spacing w:after="0" w:line="130" w:lineRule="exact"/>
        <w:rPr>
          <w:rFonts w:ascii="Arial" w:cs="Arial" w:eastAsia="Arial" w:hAnsi="Arial"/>
          <w:sz w:val="18"/>
          <w:szCs w:val="18"/>
          <w:color w:val="auto"/>
        </w:rPr>
      </w:pPr>
    </w:p>
    <w:p>
      <w:pPr>
        <w:ind w:left="960" w:right="62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on property of an entity at the time it is merged into or consolidated with us or a restricted subsidiary or at the time we or any restricted subsidiary acquires all or substantially all of the assets of the entity;</w:t>
      </w:r>
    </w:p>
    <w:p>
      <w:pPr>
        <w:spacing w:after="0" w:line="75" w:lineRule="exact"/>
        <w:rPr>
          <w:rFonts w:ascii="Arial" w:cs="Arial" w:eastAsia="Arial" w:hAnsi="Arial"/>
          <w:sz w:val="18"/>
          <w:szCs w:val="18"/>
          <w:color w:val="auto"/>
        </w:rPr>
      </w:pPr>
    </w:p>
    <w:p>
      <w:pPr>
        <w:ind w:left="960" w:right="840" w:hanging="424"/>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liens in favor of any governmental customer to secure payments or performance pursuant to any contract or statute, or to secure indebtedness we incur or guarantee with respect to the acquisition or construction of the property subject to the liens; and</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renewal, extension or replacement for any lien permitted by one of the exceptions described above. (Section 1009)</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Limitations on Sale Leaseback Arrangements</w:t>
      </w:r>
      <w:r>
        <w:rPr>
          <w:rFonts w:ascii="Arial" w:cs="Arial" w:eastAsia="Arial" w:hAnsi="Arial"/>
          <w:sz w:val="16"/>
          <w:szCs w:val="16"/>
          <w:color w:val="auto"/>
        </w:rPr>
        <w:t>. The indenture also restricts our ability and the ability of any of our restricted subsidiaries to enter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sale-leaseback transactions with respect to any principal property. A sale-leaseback transaction is permitted if we or the restricted subsidiary would be permitted to incur indebtedness secured by the principal property at least equal in amount to the attributable debt with respect to the transaction, or the greater of the net proceeds of the sale or the attributable debt with respect to the transaction is used to prepay our long-term debt or the long-term debt of any restricted subsidiary (other than debt owed to us or another restricted subsidiary). Sale-leaseback transaction means, subject to some exceptions, an arrangement pursuant to which we, or a restricted subsidiary, transfers a principal property to a person and leases it back from that person. Attributable debt for a sale-leaseback transaction means the lesser of the fair market value of the property, as determined by our board of directors, or the present value of the obligation of the lessee for net rental payments during the remaining term of the lease. </w:t>
      </w:r>
      <w:r>
        <w:rPr>
          <w:rFonts w:ascii="Arial" w:cs="Arial" w:eastAsia="Arial" w:hAnsi="Arial"/>
          <w:sz w:val="16"/>
          <w:szCs w:val="16"/>
          <w:i w:val="1"/>
          <w:iCs w:val="1"/>
          <w:color w:val="auto"/>
        </w:rPr>
        <w:t>(Section 1010)</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will not otherwise limit our ability to incur additional debt, except as otherwise described in a prospectus supplement.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Certain Other Covenants</w:t>
      </w:r>
    </w:p>
    <w:p>
      <w:pPr>
        <w:spacing w:after="0" w:line="229"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The indenture contains certain other covenants, including among other things, maintenance of corporate existence and other properties and payment of taxes.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300" w:firstLine="440"/>
        <w:spacing w:after="0" w:line="308" w:lineRule="auto"/>
        <w:rPr>
          <w:sz w:val="20"/>
          <w:szCs w:val="20"/>
          <w:color w:val="auto"/>
        </w:rPr>
      </w:pPr>
      <w:r>
        <w:rPr>
          <w:rFonts w:ascii="Arial" w:cs="Arial" w:eastAsia="Arial" w:hAnsi="Arial"/>
          <w:sz w:val="17"/>
          <w:szCs w:val="17"/>
          <w:color w:val="auto"/>
        </w:rPr>
        <w:t>Under the indenture, we may not consolidate with or merge into another entity, transfer our assets substantially as an entirety to another entity, permit any entity to consolidate with or merge into us, or acquire the assets substantially as an entirety of another entity, unless:</w:t>
      </w:r>
    </w:p>
    <w:p>
      <w:pPr>
        <w:spacing w:after="0" w:line="52" w:lineRule="exact"/>
        <w:rPr>
          <w:sz w:val="20"/>
          <w:szCs w:val="20"/>
          <w:color w:val="auto"/>
        </w:rPr>
      </w:pPr>
    </w:p>
    <w:p>
      <w:pPr>
        <w:ind w:left="960" w:right="12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successor entity is a U.S. entity that is a corporation, limited liability company, partnership or trust and assumes all of our obligations, as applicable, under the outstanding debt securities and the indenture;</w:t>
      </w:r>
    </w:p>
    <w:p>
      <w:pPr>
        <w:spacing w:after="0" w:line="75" w:lineRule="exact"/>
        <w:rPr>
          <w:rFonts w:ascii="Arial" w:cs="Arial" w:eastAsia="Arial" w:hAnsi="Arial"/>
          <w:sz w:val="18"/>
          <w:szCs w:val="18"/>
          <w:color w:val="auto"/>
        </w:rPr>
      </w:pPr>
    </w:p>
    <w:p>
      <w:pPr>
        <w:ind w:left="960" w:right="12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following the transaction, no event of default and no event that, after notice or lapse of time or both, would become an event of default, has occurred and is continuing; and</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an officers’ certificate and a legal opinion have been delivered to the trustee confirming that the transaction is being effected in compliance with the indenture. </w:t>
      </w:r>
      <w:r>
        <w:rPr>
          <w:rFonts w:ascii="Arial" w:cs="Arial" w:eastAsia="Arial" w:hAnsi="Arial"/>
          <w:sz w:val="18"/>
          <w:szCs w:val="18"/>
          <w:i w:val="1"/>
          <w:iCs w:val="1"/>
          <w:color w:val="auto"/>
        </w:rPr>
        <w:t>(Section 801)</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Any series of issued debt securities may be subject to the defeasance and discharge provisions of the indenture. Under those provisions, the debt securities of any series may authorize us to elect:</w:t>
      </w:r>
    </w:p>
    <w:p>
      <w:pPr>
        <w:spacing w:after="0" w:line="76" w:lineRule="exact"/>
        <w:rPr>
          <w:sz w:val="20"/>
          <w:szCs w:val="20"/>
          <w:color w:val="auto"/>
        </w:rPr>
      </w:pPr>
    </w:p>
    <w:p>
      <w:pPr>
        <w:ind w:left="960" w:right="180" w:hanging="424"/>
        <w:spacing w:after="0" w:line="301"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defease and to discharge us from any and all of our obligations with respect to those debt securities, except for the rights of holders of those debt securities to receive payments on the securities solely from the trust fund established pursuant to the indenture and the obligations to exchange or register the transfer of the securities, to replace temporary or mutilated, destroyed, lost or stolen securities, to maintain an office or agency with respect to the securities and to hold moneys for payment in trust, which we refer to as a defeasance; or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1" w:name="page12"/>
    <w:bookmarkEnd w:id="11"/>
    <w:p>
      <w:pPr>
        <w:ind w:left="960" w:right="10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be released from our obligations with respect to those debt securities to comply with the restrictive covenants which are subject to covenant defeasance, and the occurrence of certain events of default with respect to those restrictive covenants shall no longer be an event of default, which we refer to as a covenant defeasance. </w:t>
      </w:r>
      <w:r>
        <w:rPr>
          <w:rFonts w:ascii="Arial" w:cs="Arial" w:eastAsia="Arial" w:hAnsi="Arial"/>
          <w:sz w:val="18"/>
          <w:szCs w:val="18"/>
          <w:i w:val="1"/>
          <w:iCs w:val="1"/>
          <w:color w:val="auto"/>
        </w:rPr>
        <w:t>(Sections 1302 and 1303)</w:t>
      </w:r>
    </w:p>
    <w:p>
      <w:pPr>
        <w:spacing w:after="0" w:line="18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To invoke defeasance or covenant defeasance with respect to any series of debt securities, we must irrevocably deposit with a trustee, in trust, money or U.S. Government obligations, or both, which will provide money in an amount sufficient to pay all sums due on that series. </w:t>
      </w:r>
      <w:r>
        <w:rPr>
          <w:rFonts w:ascii="Arial" w:cs="Arial" w:eastAsia="Arial" w:hAnsi="Arial"/>
          <w:sz w:val="16"/>
          <w:szCs w:val="16"/>
          <w:i w:val="1"/>
          <w:iCs w:val="1"/>
          <w:color w:val="auto"/>
        </w:rPr>
        <w:t>(Section 1304)</w:t>
      </w:r>
    </w:p>
    <w:p>
      <w:pPr>
        <w:spacing w:after="0" w:line="12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As a condition to defeasance or covenant defeasance, we must deliver to the trustee an opinion of counsel stating that holders of the applicable debt securities will not recognize gain or loss for federal income tax purposes as a result of the defeasance or covenant defeasance and will be subject to federal income tax on the same amounts, in the same manner and at the same times as would have been the case if we did not elect the defeasance or covenant defeasance. We may exercise our defeasance option with respect to the securities notwithstanding our prior exercise of our covenant defeasance option. If we exercise our defeasance option, payment of the securities may not be accelerated by the reference to restrictive covenants which are subject to covenant defeasance. If we do not comply with our remaining obligations after exercising our covenant defeasance option and the securities are declared due and payable because of the occurrence of any event of default, the amount of money and U.S. Government obligations on deposit in the defeasance trust may be insufficient to pay amounts due on the securities at the time of the acceleration. However, we will remain liable for those payments. </w:t>
      </w:r>
      <w:r>
        <w:rPr>
          <w:rFonts w:ascii="Arial" w:cs="Arial" w:eastAsia="Arial" w:hAnsi="Arial"/>
          <w:sz w:val="17"/>
          <w:szCs w:val="17"/>
          <w:i w:val="1"/>
          <w:iCs w:val="1"/>
          <w:color w:val="auto"/>
        </w:rPr>
        <w:t>(Sections 1302, 1303 and 1304)</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Changes to the Indenture</w:t>
      </w:r>
    </w:p>
    <w:p>
      <w:pPr>
        <w:spacing w:after="0" w:line="229"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Holders who own more than a majority in principal amount of the outstanding debt securities of a series can agree with us to change the provisions of the indenture relating to that series. However, no change can affect the payment terms or the percentage required to change certain other terms without the consent of all holders of debt securities of the affected series. </w:t>
      </w:r>
      <w:r>
        <w:rPr>
          <w:rFonts w:ascii="Arial" w:cs="Arial" w:eastAsia="Arial" w:hAnsi="Arial"/>
          <w:sz w:val="18"/>
          <w:szCs w:val="18"/>
          <w:i w:val="1"/>
          <w:iCs w:val="1"/>
          <w:color w:val="auto"/>
        </w:rPr>
        <w:t>(Section 902)</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We and the trustee may enter into supplemental indentures for other specified purposes and to make changes that would not materially adversely affect the interests of the holders of debt securities issued under the indenture, including the creation of any new series of debt securities, without the consent of all affected holders of those debt securities. </w:t>
      </w:r>
      <w:r>
        <w:rPr>
          <w:rFonts w:ascii="Arial" w:cs="Arial" w:eastAsia="Arial" w:hAnsi="Arial"/>
          <w:sz w:val="18"/>
          <w:szCs w:val="18"/>
          <w:i w:val="1"/>
          <w:iCs w:val="1"/>
          <w:color w:val="auto"/>
        </w:rPr>
        <w:t>(Section 901)</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New York law will govern the indenture and the debt securities. </w:t>
      </w:r>
      <w:r>
        <w:rPr>
          <w:rFonts w:ascii="Arial" w:cs="Arial" w:eastAsia="Arial" w:hAnsi="Arial"/>
          <w:sz w:val="18"/>
          <w:szCs w:val="18"/>
          <w:i w:val="1"/>
          <w:iCs w:val="1"/>
          <w:color w:val="auto"/>
        </w:rPr>
        <w:t>(Section 112)</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The Bank of New York Mellon, as successor trustee to JPMorgan Chase Bank, serves as the trustee under the indenture. If we use a different trustee for any series of debt securities, we will inform you in a prospectus supplement. In the ordinary course of its business, The Bank of New York Mellon and its affiliates have engaged and may in the future engage in commercial and investment banking transactions with us.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The following description of our common stock is only a summary. We encourage you to read our Amended and Restated Certificate of Incorporation, which has been filed with the SEC and is incorporated by reference into this prospectus.</w:t>
      </w:r>
    </w:p>
    <w:p>
      <w:pPr>
        <w:spacing w:after="0" w:line="170" w:lineRule="exact"/>
        <w:rPr>
          <w:sz w:val="20"/>
          <w:szCs w:val="20"/>
          <w:color w:val="auto"/>
        </w:rPr>
      </w:pPr>
    </w:p>
    <w:p>
      <w:pPr>
        <w:ind w:right="340" w:firstLine="440"/>
        <w:spacing w:after="0" w:line="301" w:lineRule="auto"/>
        <w:rPr>
          <w:sz w:val="20"/>
          <w:szCs w:val="20"/>
          <w:color w:val="auto"/>
        </w:rPr>
      </w:pPr>
      <w:r>
        <w:rPr>
          <w:rFonts w:ascii="Arial" w:cs="Arial" w:eastAsia="Arial" w:hAnsi="Arial"/>
          <w:sz w:val="16"/>
          <w:szCs w:val="16"/>
          <w:color w:val="auto"/>
        </w:rPr>
        <w:t>As of the date of this prospectus, we are authorized to issue 800,000,000 shares of common stock, par value $1.00 per share, and 10,000,000 shares of preferred stock, par value $1.00 per share. As of March 7, 2023, 152,119,193 shares of common stock were outstanding and no shares of preferred stock were outstanding. The number of shares of common stock outstanding does not include shares issuable upon exercise of outstanding awards under our equity compensation plans. The common stock is listed on The New York Stock Exchange under the symbol “NOC”.</w:t>
      </w:r>
    </w:p>
    <w:p>
      <w:pPr>
        <w:spacing w:after="0" w:line="157"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Dividends may be paid on the common stock and on any class or series of stock entitled to participate with the common stock as to</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but only when and as declared by our board of directors and only subject to the rights of any then-outstanding series of our preferred stock.</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2" w:name="page13"/>
    <w:bookmarkEnd w:id="12"/>
    <w:p>
      <w:pPr>
        <w:ind w:firstLine="440"/>
        <w:spacing w:after="0" w:line="272"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 Rights</w:t>
      </w:r>
      <w:r>
        <w:rPr>
          <w:rFonts w:ascii="Arial" w:cs="Arial" w:eastAsia="Arial" w:hAnsi="Arial"/>
          <w:sz w:val="17"/>
          <w:szCs w:val="17"/>
          <w:color w:val="auto"/>
        </w:rPr>
        <w:t>. Each holder of our common stock is entitled to one vote per share on all matters submitted to a vote of stockholders and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cumulative voting rights for the election of directors. Generally, a matter submitted for stockholder action shall be approved if the votes cast “for” the matter exceed the votes cast “against” such matter, unless a greater or different vote is required by statute, any applicable law or regulation, the rights of any authorized class of stock, or our charter or bylaws. Other than in a contested election where directors are elected by a plurality vote, a director nominee shall be elected to the board if the votes cast “for” such nominee’s election exceed the votes cast “against” such nominee’s election. Subject to any rights of the holders of any series of preferred stock pursuant to applicable law or the provision of the certificate of designations creating that series, all voting rights are vested in the holders of shares of our common stock.</w:t>
      </w:r>
    </w:p>
    <w:p>
      <w:pPr>
        <w:spacing w:after="0" w:line="17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If we liquidate, holders of common stock are entitled to receive all remaining assets available for distribution to stockholders after</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our liabilities and the preferential rights of any preferred stock that may be outstanding at that time.</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Our outstanding common shares are fully paid and nonassessable. The holders of our common stock do not have any preemptive,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or redemption rights. There are no sinking fund provisions applicable to shares of our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Registrar and Transfer Agent</w:t>
      </w:r>
      <w:r>
        <w:rPr>
          <w:rFonts w:ascii="Arial" w:cs="Arial" w:eastAsia="Arial" w:hAnsi="Arial"/>
          <w:sz w:val="18"/>
          <w:szCs w:val="18"/>
          <w:color w:val="auto"/>
        </w:rPr>
        <w:t>. The registrar and transfer agent for our common stock is Computershare Investor Services.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Some Important Charter and Statutory Provisions:</w:t>
      </w:r>
    </w:p>
    <w:p>
      <w:pPr>
        <w:spacing w:after="0" w:line="117" w:lineRule="exact"/>
        <w:rPr>
          <w:sz w:val="20"/>
          <w:szCs w:val="20"/>
          <w:color w:val="auto"/>
        </w:rPr>
      </w:pPr>
    </w:p>
    <w:p>
      <w:pPr>
        <w:jc w:val="both"/>
        <w:ind w:left="440" w:right="140" w:firstLine="423"/>
        <w:spacing w:after="0" w:line="301"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board of directors is authorized, without further action by our stockholders, to issue up to 10,000,000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“blank check” preferred stock, par value $1.00 per share, in one or more series, and to fix the designations, powers, preferences and the relative, participating, optional or other special rights and any qualifications, limitations and restrictions of the shares of each series of preferred stock. The issuance of preferred stock could impede the completion of a merger, tender offer or other takeover attempt.</w:t>
      </w:r>
    </w:p>
    <w:p>
      <w:pPr>
        <w:spacing w:after="0" w:line="49" w:lineRule="exact"/>
        <w:rPr>
          <w:sz w:val="20"/>
          <w:szCs w:val="20"/>
          <w:color w:val="auto"/>
        </w:rPr>
      </w:pPr>
    </w:p>
    <w:p>
      <w:pPr>
        <w:ind w:left="440" w:right="740" w:firstLine="423"/>
        <w:spacing w:after="0" w:line="308" w:lineRule="auto"/>
        <w:rPr>
          <w:sz w:val="20"/>
          <w:szCs w:val="20"/>
          <w:color w:val="auto"/>
        </w:rPr>
      </w:pPr>
      <w:r>
        <w:rPr>
          <w:rFonts w:ascii="Arial" w:cs="Arial" w:eastAsia="Arial" w:hAnsi="Arial"/>
          <w:sz w:val="17"/>
          <w:szCs w:val="17"/>
          <w:i w:val="1"/>
          <w:iCs w:val="1"/>
          <w:color w:val="auto"/>
        </w:rPr>
        <w:t>Advance Notice Provisions</w:t>
      </w:r>
      <w:r>
        <w:rPr>
          <w:rFonts w:ascii="Arial" w:cs="Arial" w:eastAsia="Arial" w:hAnsi="Arial"/>
          <w:sz w:val="17"/>
          <w:szCs w:val="17"/>
          <w:color w:val="auto"/>
        </w:rPr>
        <w:t>. A stockholder must notify us in writing, within timeframes specified in the bylaws, of any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nomination of a director and of any other business that the stockholder intends to bring at a meeting of stockholders.</w:t>
      </w:r>
    </w:p>
    <w:p>
      <w:pPr>
        <w:spacing w:after="0" w:line="38" w:lineRule="exact"/>
        <w:rPr>
          <w:sz w:val="20"/>
          <w:szCs w:val="20"/>
          <w:color w:val="auto"/>
        </w:rPr>
      </w:pPr>
    </w:p>
    <w:p>
      <w:pPr>
        <w:jc w:val="both"/>
        <w:ind w:left="440" w:right="180" w:firstLine="423"/>
        <w:spacing w:after="0" w:line="263" w:lineRule="auto"/>
        <w:rPr>
          <w:sz w:val="20"/>
          <w:szCs w:val="20"/>
          <w:color w:val="auto"/>
        </w:rPr>
      </w:pPr>
      <w:r>
        <w:rPr>
          <w:rFonts w:ascii="Arial" w:cs="Arial" w:eastAsia="Arial" w:hAnsi="Arial"/>
          <w:sz w:val="18"/>
          <w:szCs w:val="18"/>
          <w:i w:val="1"/>
          <w:iCs w:val="1"/>
          <w:color w:val="auto"/>
        </w:rPr>
        <w:t>Amendments to Bylaws</w:t>
      </w:r>
      <w:r>
        <w:rPr>
          <w:rFonts w:ascii="Arial" w:cs="Arial" w:eastAsia="Arial" w:hAnsi="Arial"/>
          <w:sz w:val="18"/>
          <w:szCs w:val="18"/>
          <w:color w:val="auto"/>
        </w:rPr>
        <w:t>. Our bylaws may be amended by our board of directors or by the affirmative vote of the holders of not less than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voting power of all outstanding shares of capital stock entitled to vote thereon, voting as a single class, and by the holders of any one or more classes or series of preferred stock entitled to vote thereon as a separate class.</w:t>
      </w:r>
    </w:p>
    <w:p>
      <w:pPr>
        <w:spacing w:after="0" w:line="76" w:lineRule="exact"/>
        <w:rPr>
          <w:sz w:val="20"/>
          <w:szCs w:val="20"/>
          <w:color w:val="auto"/>
        </w:rPr>
      </w:pPr>
    </w:p>
    <w:p>
      <w:pPr>
        <w:ind w:left="440" w:right="40" w:firstLine="423"/>
        <w:spacing w:after="0" w:line="289" w:lineRule="auto"/>
        <w:rPr>
          <w:sz w:val="20"/>
          <w:szCs w:val="20"/>
          <w:color w:val="auto"/>
        </w:rPr>
      </w:pPr>
      <w:r>
        <w:rPr>
          <w:rFonts w:ascii="Arial" w:cs="Arial" w:eastAsia="Arial" w:hAnsi="Arial"/>
          <w:sz w:val="16"/>
          <w:szCs w:val="16"/>
          <w:i w:val="1"/>
          <w:iCs w:val="1"/>
          <w:color w:val="auto"/>
        </w:rPr>
        <w:t>Delaware Business Combination Statute</w:t>
      </w:r>
      <w:r>
        <w:rPr>
          <w:rFonts w:ascii="Arial" w:cs="Arial" w:eastAsia="Arial" w:hAnsi="Arial"/>
          <w:sz w:val="16"/>
          <w:szCs w:val="16"/>
          <w:color w:val="auto"/>
        </w:rPr>
        <w:t>. We are subject to the provisions of Section 203 of the Delaware General Corporation Law.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the statute prohibits a Delaware corporation that has either a class of stock listed on a national stock exchange or at least 2,000 stockholders of record from engaging in a business combination with an interested stockholder (generally, the beneficial owner of 15% or more of the corporation’s outstanding voting stock) for three years following the time the stockholder became an interested stockholder, unless, prior to that time: (1) the corporation’s board of directors approved either the business combination or the transaction that resulted in the stockholder becoming an interested stockholder, (2) at least two-thirds of the outstanding shares not owned by that interested stockholder approve the business combination, or (3) upon becoming an interested stockholder, that stockholder owned at least 85% of the outstanding shares, excluding those held by officers, directors and some employee stock plans. A “business combination” includes a merger, asset sale, or other transaction resulting in a financial benefit, other than proportionately as a stockholder, to the interested stockholder.</w:t>
      </w:r>
    </w:p>
    <w:p>
      <w:pPr>
        <w:spacing w:after="0" w:line="37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sell the securities in one or more of the following ways from time to time:</w:t>
      </w:r>
    </w:p>
    <w:p>
      <w:pPr>
        <w:spacing w:after="0" w:line="131" w:lineRule="exact"/>
        <w:rPr>
          <w:sz w:val="20"/>
          <w:szCs w:val="20"/>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may effect the distribution of the securities from time to time in one or more transactions either:</w:t>
      </w:r>
    </w:p>
    <w:p>
      <w:pPr>
        <w:spacing w:after="0" w:line="131" w:lineRule="exact"/>
        <w:rPr>
          <w:sz w:val="20"/>
          <w:szCs w:val="20"/>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prices relating to such prevailing market prices;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prospectus supplement relating to an offering of offered securities will set forth the terms of such offering, including:</w:t>
      </w:r>
    </w:p>
    <w:p>
      <w:pPr>
        <w:spacing w:after="0" w:line="131" w:lineRule="exact"/>
        <w:rPr>
          <w:sz w:val="20"/>
          <w:szCs w:val="20"/>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price of the offered securities and the proceeds we will receive from the sale;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underwriting discounts and commissions or agency fees and other items constituting underwriters’ or agents’ compensation; and</w:t>
      </w:r>
    </w:p>
    <w:p>
      <w:pPr>
        <w:spacing w:after="0" w:line="142" w:lineRule="exact"/>
        <w:rPr>
          <w:rFonts w:ascii="Arial" w:cs="Arial" w:eastAsia="Arial" w:hAnsi="Arial"/>
          <w:sz w:val="17"/>
          <w:szCs w:val="17"/>
          <w:color w:val="auto"/>
        </w:rPr>
      </w:pPr>
    </w:p>
    <w:p>
      <w:pPr>
        <w:ind w:left="960" w:right="420" w:hanging="424"/>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initial public offering price, any discounts or concessions allowed or reallowed or paid to dealers and any securities exchanges on which such offered securities may be listed.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initial public offering prices, discounts or concessions allowed or reallowed or paid to dealers may be changed from time to time.</w:t>
      </w:r>
    </w:p>
    <w:p>
      <w:pPr>
        <w:spacing w:after="0" w:line="225"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If underwriters are used in the sale, the underwriters will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the obligations of the underwriters to purchase any series of securities will be subject to certain conditions precedent, and the underwriters will be obligated to purchase all of such series of securities, if any are purchased.</w:t>
      </w:r>
    </w:p>
    <w:p>
      <w:pPr>
        <w:spacing w:after="0" w:line="192"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In connection with underwritten offerings of the offered securities and in accordance with applicable law and industry practice,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92" w:lineRule="exact"/>
        <w:rPr>
          <w:sz w:val="20"/>
          <w:szCs w:val="20"/>
          <w:color w:val="auto"/>
        </w:rPr>
      </w:pPr>
    </w:p>
    <w:p>
      <w:pPr>
        <w:ind w:left="960" w:right="80" w:hanging="424"/>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75" w:lineRule="exact"/>
        <w:rPr>
          <w:rFonts w:ascii="Arial" w:cs="Arial" w:eastAsia="Arial" w:hAnsi="Arial"/>
          <w:sz w:val="18"/>
          <w:szCs w:val="18"/>
          <w:color w:val="auto"/>
        </w:rPr>
      </w:pPr>
    </w:p>
    <w:p>
      <w:pPr>
        <w:ind w:left="960" w:right="280" w:hanging="424"/>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These transactions may be effected on the NYSE, in the over-the-counter market, or otherwise. Underwriters are not required to engage in any of these activities, or to continue such activities if commenced.</w:t>
      </w:r>
    </w:p>
    <w:p>
      <w:pPr>
        <w:spacing w:after="0" w:line="170"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If a dealer is used in the sale, we will sell such offered securities to the dealer, as principal. The dealer may then resell the offered securities to the public at varying prices to be determined by that dealer at the time for resale. The names of the dealers and the terms of the transaction will be set forth in the prospectus supplement relating to that transaction.</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Offered securities may be sold directly by us to one or more institutional purchasers, or through agents designated by us from time to time, at a fixed price or prices, which may be changed, or at varying prices determined at the time of sale. Any agent involved in the offer or sale of the offered securities in respect of which this prospectus is delivered will be named, and any commission payable by us to such agent will be set forth, in the prospectus supplement relating to that offering. Unless otherwise indicated in such prospectus supplement, any such agent will be acting on a best efforts basis for the period of its appointment.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4" w:name="page15"/>
    <w:bookmarkEnd w:id="14"/>
    <w:p>
      <w:pPr>
        <w:ind w:right="4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Remarketing firms, underwriters, dealers, agents and other persons may be entitled under agreements entered into with us to indemnification by us against certain civil liabilities, including liabilities under the Securities Act, or to contribution with respect to payments that the underwriters, dealers or agents may be required to make in respect thereof. Underwriters, dealers and agents may be customers of, engage in transactions with, or perform services for us and our affiliates in the ordinary course of business.</w:t>
      </w:r>
    </w:p>
    <w:p>
      <w:pPr>
        <w:spacing w:after="0" w:line="187" w:lineRule="exact"/>
        <w:rPr>
          <w:sz w:val="20"/>
          <w:szCs w:val="20"/>
          <w:color w:val="auto"/>
        </w:rPr>
      </w:pPr>
    </w:p>
    <w:p>
      <w:pPr>
        <w:ind w:right="240" w:firstLine="44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960" w:right="140" w:hanging="424"/>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960" w:right="100" w:hanging="424"/>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64"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Each series of the debt securities issued hereunder will be a new issue of securities, will have no prior trading market, and may or may not be listed on a national securities exchange. Any underwriters to whom we sell debt securities for public offering and sale may make a market in the securities, but such underwriters will not be obligated to do so and may discontinue any market making at any time without notice. We cannot assure you that there will be a market for the offered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MATTERS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Unless the applicable prospectus supplement indicates otherwise, Wilmer Cutler Pickering Hale and Dorr LLP, will issue an opinion about the validity of the senior debt securities and common stock. Underwriters, dealers or agents, who we will identify in a prospectus supplement may have their counsel opine about certain legal matters relating to the securities.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consolidated financial statements of Northrop Grumman Corporation and subsidiaries (the “Company”) as of December 31, 2022 and 2021, and for each of the three years in the period ended December 31, 2022, incorporated by reference in this Prospectus, and the effectiveness of the Company’s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t>NORTHROP GRUMMAN CORPORATION</w:t>
      </w:r>
    </w:p>
    <w:p>
      <w:pPr>
        <w:sectPr>
          <w:pgSz w:w="11900" w:h="16838" w:orient="portrait"/>
          <w:cols w:equalWidth="0" w:num="1">
            <w:col w:w="9019"/>
          </w:cols>
          <w:pgMar w:left="1440" w:top="82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SENIOR DEBT SECURITIES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396875</wp:posOffset>
            </wp:positionV>
            <wp:extent cx="1474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233680</wp:posOffset>
            </wp:positionV>
            <wp:extent cx="1474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428625</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497205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type w:val="continuous"/>
        </w:sectPr>
      </w:pPr>
    </w:p>
    <w:bookmarkStart w:id="17" w:name="page18"/>
    <w:bookmarkEnd w:id="17"/>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The following table sets forth the fees and expenses payable by us in connection with the sale of the offered securities being registered hereby, other than underwriting discounts and commissions.</w:t>
      </w:r>
    </w:p>
    <w:p>
      <w:pPr>
        <w:spacing w:after="0" w:line="189"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Amount to be paid</w:t>
            </w: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Printing and engraving</w:t>
            </w:r>
          </w:p>
        </w:tc>
        <w:tc>
          <w:tcPr>
            <w:tcW w:w="5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Accounting services</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Legal fees of registrant’s counsel</w:t>
            </w:r>
          </w:p>
        </w:tc>
        <w:tc>
          <w:tcPr>
            <w:tcW w:w="5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trustee’s and depository’s fees and expenses</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Rating agency fees and expenses</w:t>
            </w:r>
          </w:p>
        </w:tc>
        <w:tc>
          <w:tcPr>
            <w:tcW w:w="5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Deferred in reliance upon Rules 456(b) and 457(r).</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fees and expenses are calculated based on the securities offered and the number of issuances and accordingly are not estimated at this time.</w:t>
      </w:r>
    </w:p>
    <w:p>
      <w:pPr>
        <w:spacing w:after="0" w:line="337"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Section 145 of the General Corporation Law of the State of Delaware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settlements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In a derivative action, an action only by or in the right of the corporation, indemnification may be made only for expenses actually and reasonably incurred by directors and officers in connection with the defense or settlement of an action or suit, and only with respect to a matter as to which they shall have acted in good faith and in a manner they reasonably believed to be in or not opposed to the best interests of the corporation. No indemnification shall be made if such person shall have been adjudged liable to the corporation, unless and only to the extent that the court in which the action or suit was brought shall determine upon application that the defendant officers or directors are fairly and reasonably entitled to indemnity for such expenses despite such adjudication of liability.</w:t>
      </w:r>
    </w:p>
    <w:p>
      <w:pPr>
        <w:spacing w:after="0" w:line="179"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As permitted by Section 145 of the DGCL, Article FIFTEENTH of Northrop Grumman’s Amended and Restated Certificate of Incorporation provides that a director of the Corporation shall not be personally liable to the Corporation or to its stockholders for monetary damages for breach of fiduciary duty as a director, except for liability (i) for any breach of the director’s duty of loyalty to the Corporation or to its stockholders, (ii) for acts or omissions not in good faith or which involve intentional misconduct or a knowing violation of law, (iii) under Section 174 of the DGCL, or (iv) for any transaction from which the director derives any improper personal benefit. If the DGCL is amended to authorize the further elimination or limitation of the liability of directors, then the liability of a director of the Corporation shall be eliminated or limited to the fullest extent permitted by the DGCL, as so amended.</w:t>
      </w:r>
    </w:p>
    <w:p>
      <w:pPr>
        <w:spacing w:after="0" w:line="19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Article V of Northrop Grumman’s Amended and Restated Bylaws provides that the company will indemnify any person who was or is a party or is threatened to be made a party to any action, suit or proceeding, whether civil, criminal, administrative or investigative, by reason of the fact that he or she is or was a director, officer elected by the board of directors (“elected officer”) or employee of the company, or was serving at the request of the board of directors or elected officer of the company as a director, officer or employee of another corporation or of a partnership, joint venture, trust or other enterprise (any such person, an “indemnitee”), to the fullest extent permitted by the DGCL, as in effect from time to time, or by other applicable law as then in effect, against all expense, liability, and loss (including attorneys’ fees, costs and charges, judgments, fines, ERISA excise taxes or penalties, penalties and amounts paid or to be paid in settlement) actually and reasonably incurred or suffered by that person in connection therewith. Indemnitees additionally have the right to be advanced their expenses incurred in defending or preparing for such a proceeding in advance of its final disposition, subject to an acceptable undertaking by the indemnitee to repay all amounts so advanced if it is ultimately determined that he or she is not entitled to be indemnified for those expenses. Northrop Grumman is not</w:t>
      </w:r>
    </w:p>
    <w:p>
      <w:pPr>
        <w:spacing w:after="0" w:line="11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944"/>
          </w:cols>
          <w:pgMar w:left="436" w:top="270" w:right="519" w:bottom="1440" w:gutter="0" w:footer="0" w:header="0"/>
        </w:sectPr>
      </w:pPr>
    </w:p>
    <w:bookmarkStart w:id="18" w:name="page19"/>
    <w:bookmarkEnd w:id="18"/>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obligated to make such advances in connection with a proceeding instituted by it against an indemnitee. The Bylaws further state that the indemnification provided therein is not exclusive of any other rights to which the indemnified person may be entitled and that no amendment to or repeal of the Bylaws would abrogate rights with respect to acts or omissions which already occurred.</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Northrop Grumman has entered into an agreement with each of its directors and certain of its officers indemnifying them to the fullest extent permitted by the foregoing.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Northrop Grumman has also purchased director and officer liability insurance applicable to its directors and officers.</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foregoing represents a summary of the general effect of the DGCL, Northrop Grumman’s Amended and Restated Bylaws, Amended and Restated Certificate of Incorporation, director and officer liability insurance coverage and the indemnification agreements for purposes of general description only.</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Northrop Grumman may also enter into indemnification agreements with underwriters providing that underwriters have to indemnify and hold harmless Northrop Grumman, its directors, each officer who signed the registration statement and any person who controls Northrop Grumman within the meaning of the Securities Act, from and against certain civil liabilities, including liabilities under the Securities Act.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820"/>
          </w:cols>
          <w:pgMar w:left="440" w:top="274" w:right="63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16. Exhibits.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960"/>
          </w:cols>
          <w:pgMar w:left="440" w:top="270" w:right="499" w:bottom="144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2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703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 (a)</w:t>
      </w:r>
      <w:r>
        <w:rPr>
          <w:sz w:val="20"/>
          <w:szCs w:val="20"/>
          <w:color w:val="auto"/>
        </w:rPr>
        <w:tab/>
      </w:r>
      <w:r>
        <w:rPr>
          <w:rFonts w:ascii="Arial" w:cs="Arial" w:eastAsia="Arial" w:hAnsi="Arial"/>
          <w:sz w:val="16"/>
          <w:szCs w:val="16"/>
          <w:color w:val="auto"/>
        </w:rPr>
        <w:t>Form of Underwriting Agreement – Senior Debt Securities</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 (b)</w:t>
      </w:r>
      <w:r>
        <w:rPr>
          <w:sz w:val="20"/>
          <w:szCs w:val="20"/>
          <w:color w:val="auto"/>
        </w:rPr>
        <w:tab/>
      </w:r>
      <w:r>
        <w:rPr>
          <w:rFonts w:ascii="Arial" w:cs="Arial" w:eastAsia="Arial" w:hAnsi="Arial"/>
          <w:sz w:val="16"/>
          <w:szCs w:val="16"/>
          <w:color w:val="auto"/>
        </w:rPr>
        <w:t>Form of Underwriting Agreement – Common Stock</w:t>
      </w:r>
    </w:p>
    <w:p>
      <w:pPr>
        <w:spacing w:after="0" w:line="117" w:lineRule="exact"/>
        <w:rPr>
          <w:sz w:val="20"/>
          <w:szCs w:val="20"/>
          <w:color w:val="auto"/>
        </w:rPr>
      </w:pPr>
    </w:p>
    <w:p>
      <w:pPr>
        <w:ind w:left="720" w:right="520" w:hanging="714"/>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4 (a)</w:t>
      </w:r>
      <w:r>
        <w:rPr>
          <w:sz w:val="20"/>
          <w:szCs w:val="20"/>
          <w:color w:val="auto"/>
        </w:rPr>
        <w:tab/>
      </w:r>
      <w:hyperlink r:id="rId56">
        <w:r>
          <w:rPr>
            <w:rFonts w:ascii="Arial" w:cs="Arial" w:eastAsia="Arial" w:hAnsi="Arial"/>
            <w:sz w:val="18"/>
            <w:szCs w:val="18"/>
            <w:u w:val="single" w:color="auto"/>
            <w:color w:val="0000EE"/>
          </w:rPr>
          <w:t>Amended and Restated Certificate of Incorporation of Northrop</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Grumman Corporation dated May 29, 2012</w:t>
        </w:r>
      </w:hyperlink>
    </w:p>
    <w:p>
      <w:pPr>
        <w:spacing w:after="0" w:line="62" w:lineRule="exact"/>
        <w:rPr>
          <w:sz w:val="20"/>
          <w:szCs w:val="20"/>
          <w:color w:val="auto"/>
        </w:rPr>
      </w:pPr>
    </w:p>
    <w:p>
      <w:pPr>
        <w:ind w:left="720" w:right="260" w:hanging="714"/>
        <w:spacing w:after="0" w:line="277"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4 (b)</w:t>
      </w:r>
      <w:r>
        <w:rPr>
          <w:sz w:val="20"/>
          <w:szCs w:val="20"/>
          <w:color w:val="auto"/>
        </w:rPr>
        <w:tab/>
      </w:r>
      <w:hyperlink r:id="rId57">
        <w:r>
          <w:rPr>
            <w:rFonts w:ascii="Arial" w:cs="Arial" w:eastAsia="Arial" w:hAnsi="Arial"/>
            <w:sz w:val="18"/>
            <w:szCs w:val="18"/>
            <w:u w:val="single" w:color="auto"/>
            <w:color w:val="0000EE"/>
          </w:rPr>
          <w:t>Amended and Restated Bylaws of Northrop Grumman Corporation</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dated December 4, 2018</w:t>
        </w:r>
      </w:hyperlink>
    </w:p>
    <w:p>
      <w:pPr>
        <w:spacing w:after="0" w:line="62" w:lineRule="exact"/>
        <w:rPr>
          <w:sz w:val="20"/>
          <w:szCs w:val="20"/>
          <w:color w:val="auto"/>
        </w:rPr>
      </w:pPr>
    </w:p>
    <w:p>
      <w:pPr>
        <w:ind w:left="720" w:right="360" w:hanging="714"/>
        <w:spacing w:after="0" w:line="259"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4 (c)</w:t>
      </w:r>
      <w:r>
        <w:rPr>
          <w:sz w:val="20"/>
          <w:szCs w:val="20"/>
          <w:color w:val="auto"/>
        </w:rPr>
        <w:tab/>
      </w:r>
      <w:hyperlink r:id="rId58">
        <w:r>
          <w:rPr>
            <w:rFonts w:ascii="Arial" w:cs="Arial" w:eastAsia="Arial" w:hAnsi="Arial"/>
            <w:sz w:val="18"/>
            <w:szCs w:val="18"/>
            <w:u w:val="single" w:color="auto"/>
            <w:color w:val="0000EE"/>
          </w:rPr>
          <w:t>Indenture dated as of November 21, 2001, between Northrop</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Grumman Corporation and The Bank of New York Mellon (as</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successor trustee to JPMorgan Chase Bank), as trustee, relating to</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Senior Debt Securities</w:t>
        </w:r>
      </w:hyperlink>
    </w:p>
    <w:p>
      <w:pPr>
        <w:spacing w:after="0" w:line="79" w:lineRule="exact"/>
        <w:rPr>
          <w:rFonts w:ascii="Arial" w:cs="Arial" w:eastAsia="Arial" w:hAnsi="Arial"/>
          <w:sz w:val="18"/>
          <w:szCs w:val="18"/>
          <w:u w:val="single" w:color="auto"/>
          <w:color w:val="0000EE"/>
        </w:rPr>
      </w:pPr>
    </w:p>
    <w:p>
      <w:pPr>
        <w:spacing w:after="0"/>
        <w:tabs>
          <w:tab w:leader="none" w:pos="700" w:val="left"/>
        </w:tabs>
        <w:rPr>
          <w:sz w:val="20"/>
          <w:szCs w:val="20"/>
          <w:color w:val="auto"/>
        </w:rPr>
      </w:pPr>
      <w:r>
        <w:rPr>
          <w:rFonts w:ascii="Arial" w:cs="Arial" w:eastAsia="Arial" w:hAnsi="Arial"/>
          <w:sz w:val="18"/>
          <w:szCs w:val="18"/>
          <w:color w:val="auto"/>
        </w:rPr>
        <w:t>4 (d)</w:t>
      </w:r>
      <w:r>
        <w:rPr>
          <w:sz w:val="20"/>
          <w:szCs w:val="20"/>
          <w:color w:val="auto"/>
        </w:rPr>
        <w:tab/>
      </w:r>
      <w:r>
        <w:rPr>
          <w:rFonts w:ascii="Arial" w:cs="Arial" w:eastAsia="Arial" w:hAnsi="Arial"/>
          <w:sz w:val="16"/>
          <w:szCs w:val="16"/>
          <w:color w:val="auto"/>
        </w:rPr>
        <w:t>Form of Senior Debt Security (1)</w:t>
      </w:r>
    </w:p>
    <w:p>
      <w:pPr>
        <w:spacing w:after="0" w:line="117" w:lineRule="exact"/>
        <w:rPr>
          <w:rFonts w:ascii="Arial" w:cs="Arial" w:eastAsia="Arial" w:hAnsi="Arial"/>
          <w:sz w:val="18"/>
          <w:szCs w:val="18"/>
          <w:u w:val="single" w:color="auto"/>
          <w:color w:val="0000EE"/>
        </w:rPr>
      </w:pPr>
    </w:p>
    <w:p>
      <w:pPr>
        <w:ind w:left="720" w:right="120" w:hanging="714"/>
        <w:spacing w:after="0" w:line="311" w:lineRule="auto"/>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4 (e)</w:t>
      </w:r>
      <w:r>
        <w:rPr>
          <w:sz w:val="20"/>
          <w:szCs w:val="20"/>
          <w:color w:val="auto"/>
        </w:rPr>
        <w:tab/>
      </w:r>
      <w:hyperlink r:id="rId59">
        <w:r>
          <w:rPr>
            <w:rFonts w:ascii="Arial" w:cs="Arial" w:eastAsia="Arial" w:hAnsi="Arial"/>
            <w:sz w:val="16"/>
            <w:szCs w:val="16"/>
            <w:u w:val="single" w:color="auto"/>
            <w:color w:val="0000EE"/>
          </w:rPr>
          <w:t>First Supplemental Indenture dated as of July 30, 2009, between</w:t>
        </w:r>
      </w:hyperlink>
      <w:r>
        <w:rPr>
          <w:rFonts w:ascii="Arial" w:cs="Arial" w:eastAsia="Arial" w:hAnsi="Arial"/>
          <w:sz w:val="16"/>
          <w:szCs w:val="16"/>
          <w:u w:val="single" w:color="auto"/>
          <w:color w:val="0000EE"/>
        </w:rPr>
        <w:t xml:space="preserve"> </w:t>
      </w:r>
      <w:hyperlink r:id="rId59">
        <w:r>
          <w:rPr>
            <w:rFonts w:ascii="Arial" w:cs="Arial" w:eastAsia="Arial" w:hAnsi="Arial"/>
            <w:sz w:val="16"/>
            <w:szCs w:val="16"/>
            <w:u w:val="single" w:color="auto"/>
            <w:color w:val="0000EE"/>
          </w:rPr>
          <w:t>Northrop Grumman Corporation and The Bank of New York Mellon,</w:t>
        </w:r>
      </w:hyperlink>
      <w:r>
        <w:rPr>
          <w:rFonts w:ascii="Arial" w:cs="Arial" w:eastAsia="Arial" w:hAnsi="Arial"/>
          <w:sz w:val="16"/>
          <w:szCs w:val="16"/>
          <w:u w:val="single" w:color="auto"/>
          <w:color w:val="0000EE"/>
        </w:rPr>
        <w:t xml:space="preserve"> </w:t>
      </w:r>
      <w:hyperlink r:id="rId59">
        <w:r>
          <w:rPr>
            <w:rFonts w:ascii="Arial" w:cs="Arial" w:eastAsia="Arial" w:hAnsi="Arial"/>
            <w:sz w:val="16"/>
            <w:szCs w:val="16"/>
            <w:u w:val="single" w:color="auto"/>
            <w:color w:val="0000EE"/>
          </w:rPr>
          <w:t>as successor trustee, to Indenture dated as of November 21, 2001</w:t>
        </w:r>
      </w:hyperlink>
    </w:p>
    <w:p>
      <w:pPr>
        <w:spacing w:after="0" w:line="41" w:lineRule="exact"/>
        <w:rPr>
          <w:rFonts w:ascii="Arial" w:cs="Arial" w:eastAsia="Arial" w:hAnsi="Arial"/>
          <w:sz w:val="16"/>
          <w:szCs w:val="16"/>
          <w:u w:val="single" w:color="auto"/>
          <w:color w:val="0000EE"/>
        </w:rPr>
      </w:pPr>
    </w:p>
    <w:p>
      <w:pPr>
        <w:ind w:left="720" w:right="80" w:hanging="714"/>
        <w:spacing w:after="0" w:line="259"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4 (f)</w:t>
      </w:r>
      <w:r>
        <w:rPr>
          <w:sz w:val="20"/>
          <w:szCs w:val="20"/>
          <w:color w:val="auto"/>
        </w:rPr>
        <w:tab/>
      </w:r>
      <w:hyperlink r:id="rId60">
        <w:r>
          <w:rPr>
            <w:rFonts w:ascii="Arial" w:cs="Arial" w:eastAsia="Arial" w:hAnsi="Arial"/>
            <w:sz w:val="18"/>
            <w:szCs w:val="18"/>
            <w:u w:val="single" w:color="auto"/>
            <w:color w:val="0000EE"/>
          </w:rPr>
          <w:t>Second Supplemental Indenture dated as of November 8, 2010,</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between Northrop Grumman Corporation and The Bank of New York</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Mellon, as successor trustee, to Indenture dated as of November 21,</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2001</w:t>
        </w:r>
      </w:hyperlink>
    </w:p>
    <w:p>
      <w:pPr>
        <w:spacing w:after="0" w:line="79" w:lineRule="exact"/>
        <w:rPr>
          <w:rFonts w:ascii="Arial" w:cs="Arial" w:eastAsia="Arial" w:hAnsi="Arial"/>
          <w:sz w:val="18"/>
          <w:szCs w:val="18"/>
          <w:u w:val="single" w:color="auto"/>
          <w:color w:val="0000EE"/>
        </w:rPr>
      </w:pPr>
    </w:p>
    <w:p>
      <w:pPr>
        <w:ind w:left="720" w:hanging="714"/>
        <w:spacing w:after="0" w:line="301" w:lineRule="auto"/>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4 (g)</w:t>
      </w:r>
      <w:r>
        <w:rPr>
          <w:sz w:val="20"/>
          <w:szCs w:val="20"/>
          <w:color w:val="auto"/>
        </w:rPr>
        <w:tab/>
      </w:r>
      <w:hyperlink r:id="rId61">
        <w:r>
          <w:rPr>
            <w:rFonts w:ascii="Arial" w:cs="Arial" w:eastAsia="Arial" w:hAnsi="Arial"/>
            <w:sz w:val="16"/>
            <w:szCs w:val="16"/>
            <w:u w:val="single" w:color="auto"/>
            <w:color w:val="0000EE"/>
          </w:rPr>
          <w:t>Third Supplemental Indenture dated as of March 30, 2011, by and</w:t>
        </w:r>
      </w:hyperlink>
      <w:r>
        <w:rPr>
          <w:rFonts w:ascii="Arial" w:cs="Arial" w:eastAsia="Arial" w:hAnsi="Arial"/>
          <w:sz w:val="16"/>
          <w:szCs w:val="16"/>
          <w:u w:val="single" w:color="auto"/>
          <w:color w:val="0000EE"/>
        </w:rPr>
        <w:t xml:space="preserve"> </w:t>
      </w:r>
      <w:hyperlink r:id="rId61">
        <w:r>
          <w:rPr>
            <w:rFonts w:ascii="Arial" w:cs="Arial" w:eastAsia="Arial" w:hAnsi="Arial"/>
            <w:sz w:val="16"/>
            <w:szCs w:val="16"/>
            <w:u w:val="single" w:color="auto"/>
            <w:color w:val="0000EE"/>
          </w:rPr>
          <w:t>among Titan II, Inc. (formerly known as Northrop Grumman</w:t>
        </w:r>
      </w:hyperlink>
      <w:r>
        <w:rPr>
          <w:rFonts w:ascii="Arial" w:cs="Arial" w:eastAsia="Arial" w:hAnsi="Arial"/>
          <w:sz w:val="16"/>
          <w:szCs w:val="16"/>
          <w:u w:val="single" w:color="auto"/>
          <w:color w:val="0000EE"/>
        </w:rPr>
        <w:t xml:space="preserve"> </w:t>
      </w:r>
      <w:hyperlink r:id="rId61">
        <w:r>
          <w:rPr>
            <w:rFonts w:ascii="Arial" w:cs="Arial" w:eastAsia="Arial" w:hAnsi="Arial"/>
            <w:sz w:val="16"/>
            <w:szCs w:val="16"/>
            <w:u w:val="single" w:color="auto"/>
            <w:color w:val="0000EE"/>
          </w:rPr>
          <w:t>Corporation), The Bank of New York Mellon, as successor trustee, and</w:t>
        </w:r>
      </w:hyperlink>
      <w:r>
        <w:rPr>
          <w:rFonts w:ascii="Arial" w:cs="Arial" w:eastAsia="Arial" w:hAnsi="Arial"/>
          <w:sz w:val="16"/>
          <w:szCs w:val="16"/>
          <w:u w:val="single" w:color="auto"/>
          <w:color w:val="0000EE"/>
        </w:rPr>
        <w:t xml:space="preserve"> </w:t>
      </w:r>
      <w:hyperlink r:id="rId61">
        <w:r>
          <w:rPr>
            <w:rFonts w:ascii="Arial" w:cs="Arial" w:eastAsia="Arial" w:hAnsi="Arial"/>
            <w:sz w:val="16"/>
            <w:szCs w:val="16"/>
            <w:u w:val="single" w:color="auto"/>
            <w:color w:val="0000EE"/>
          </w:rPr>
          <w:t>Titan Holdings II, L.P., to Indenture dated as of November 21, 2001</w:t>
        </w:r>
      </w:hyperlink>
    </w:p>
    <w:p>
      <w:pPr>
        <w:spacing w:after="0" w:line="49" w:lineRule="exact"/>
        <w:rPr>
          <w:rFonts w:ascii="Arial" w:cs="Arial" w:eastAsia="Arial" w:hAnsi="Arial"/>
          <w:sz w:val="16"/>
          <w:szCs w:val="16"/>
          <w:u w:val="single" w:color="auto"/>
          <w:color w:val="0000EE"/>
        </w:rPr>
      </w:pPr>
    </w:p>
    <w:p>
      <w:pPr>
        <w:ind w:left="720" w:right="180" w:hanging="714"/>
        <w:spacing w:after="0" w:line="301" w:lineRule="auto"/>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4 (h)</w:t>
      </w:r>
      <w:r>
        <w:rPr>
          <w:sz w:val="20"/>
          <w:szCs w:val="20"/>
          <w:color w:val="auto"/>
        </w:rPr>
        <w:tab/>
      </w:r>
      <w:hyperlink r:id="rId62">
        <w:r>
          <w:rPr>
            <w:rFonts w:ascii="Arial" w:cs="Arial" w:eastAsia="Arial" w:hAnsi="Arial"/>
            <w:sz w:val="16"/>
            <w:szCs w:val="16"/>
            <w:u w:val="single" w:color="auto"/>
            <w:color w:val="0000EE"/>
          </w:rPr>
          <w:t>Fourth Supplemental Indenture dated as of March 30, 2011, by and</w:t>
        </w:r>
      </w:hyperlink>
      <w:r>
        <w:rPr>
          <w:rFonts w:ascii="Arial" w:cs="Arial" w:eastAsia="Arial" w:hAnsi="Arial"/>
          <w:sz w:val="16"/>
          <w:szCs w:val="16"/>
          <w:u w:val="single" w:color="auto"/>
          <w:color w:val="0000EE"/>
        </w:rPr>
        <w:t xml:space="preserve"> </w:t>
      </w:r>
      <w:hyperlink r:id="rId62">
        <w:r>
          <w:rPr>
            <w:rFonts w:ascii="Arial" w:cs="Arial" w:eastAsia="Arial" w:hAnsi="Arial"/>
            <w:sz w:val="16"/>
            <w:szCs w:val="16"/>
            <w:u w:val="single" w:color="auto"/>
            <w:color w:val="0000EE"/>
          </w:rPr>
          <w:t>among Titan Holdings II, L.P., The Bank of New York Mellon, as</w:t>
        </w:r>
      </w:hyperlink>
      <w:r>
        <w:rPr>
          <w:rFonts w:ascii="Arial" w:cs="Arial" w:eastAsia="Arial" w:hAnsi="Arial"/>
          <w:sz w:val="16"/>
          <w:szCs w:val="16"/>
          <w:u w:val="single" w:color="auto"/>
          <w:color w:val="0000EE"/>
        </w:rPr>
        <w:t xml:space="preserve"> </w:t>
      </w:r>
      <w:hyperlink r:id="rId62">
        <w:r>
          <w:rPr>
            <w:rFonts w:ascii="Arial" w:cs="Arial" w:eastAsia="Arial" w:hAnsi="Arial"/>
            <w:sz w:val="16"/>
            <w:szCs w:val="16"/>
            <w:u w:val="single" w:color="auto"/>
            <w:color w:val="0000EE"/>
          </w:rPr>
          <w:t>successor trustee, and Northrop Grumman Corporation (formerly</w:t>
        </w:r>
      </w:hyperlink>
      <w:r>
        <w:rPr>
          <w:rFonts w:ascii="Arial" w:cs="Arial" w:eastAsia="Arial" w:hAnsi="Arial"/>
          <w:sz w:val="16"/>
          <w:szCs w:val="16"/>
          <w:u w:val="single" w:color="auto"/>
          <w:color w:val="0000EE"/>
        </w:rPr>
        <w:t xml:space="preserve"> </w:t>
      </w:r>
      <w:hyperlink r:id="rId62">
        <w:r>
          <w:rPr>
            <w:rFonts w:ascii="Arial" w:cs="Arial" w:eastAsia="Arial" w:hAnsi="Arial"/>
            <w:sz w:val="16"/>
            <w:szCs w:val="16"/>
            <w:u w:val="single" w:color="auto"/>
            <w:color w:val="0000EE"/>
          </w:rPr>
          <w:t>known as New P, Inc.), to Indenture, dated as of November 21, 2001</w:t>
        </w:r>
      </w:hyperlink>
    </w:p>
    <w:p>
      <w:pPr>
        <w:spacing w:after="0" w:line="49" w:lineRule="exact"/>
        <w:rPr>
          <w:rFonts w:ascii="Arial" w:cs="Arial" w:eastAsia="Arial" w:hAnsi="Arial"/>
          <w:sz w:val="16"/>
          <w:szCs w:val="16"/>
          <w:u w:val="single" w:color="auto"/>
          <w:color w:val="0000EE"/>
        </w:rPr>
      </w:pPr>
    </w:p>
    <w:p>
      <w:pPr>
        <w:ind w:left="720" w:right="120" w:hanging="714"/>
        <w:spacing w:after="0" w:line="311" w:lineRule="auto"/>
        <w:tabs>
          <w:tab w:leader="none" w:pos="700" w:val="left"/>
        </w:tabs>
        <w:rPr>
          <w:rFonts w:ascii="Arial" w:cs="Arial" w:eastAsia="Arial" w:hAnsi="Arial"/>
          <w:sz w:val="16"/>
          <w:szCs w:val="16"/>
          <w:u w:val="single" w:color="auto"/>
          <w:color w:val="0000EE"/>
        </w:rPr>
      </w:pPr>
      <w:r>
        <w:rPr>
          <w:rFonts w:ascii="Arial" w:cs="Arial" w:eastAsia="Arial" w:hAnsi="Arial"/>
          <w:sz w:val="18"/>
          <w:szCs w:val="18"/>
          <w:color w:val="auto"/>
        </w:rPr>
        <w:t>4 (i)</w:t>
      </w:r>
      <w:r>
        <w:rPr>
          <w:sz w:val="20"/>
          <w:szCs w:val="20"/>
          <w:color w:val="auto"/>
        </w:rPr>
        <w:tab/>
      </w:r>
      <w:hyperlink r:id="rId63">
        <w:r>
          <w:rPr>
            <w:rFonts w:ascii="Arial" w:cs="Arial" w:eastAsia="Arial" w:hAnsi="Arial"/>
            <w:sz w:val="16"/>
            <w:szCs w:val="16"/>
            <w:u w:val="single" w:color="auto"/>
            <w:color w:val="0000EE"/>
          </w:rPr>
          <w:t>Fifth Supplemental Indenture dated as of May 31, 2013, between</w:t>
        </w:r>
      </w:hyperlink>
      <w:r>
        <w:rPr>
          <w:rFonts w:ascii="Arial" w:cs="Arial" w:eastAsia="Arial" w:hAnsi="Arial"/>
          <w:sz w:val="16"/>
          <w:szCs w:val="16"/>
          <w:u w:val="single" w:color="auto"/>
          <w:color w:val="0000EE"/>
        </w:rPr>
        <w:t xml:space="preserve"> </w:t>
      </w:r>
      <w:hyperlink r:id="rId63">
        <w:r>
          <w:rPr>
            <w:rFonts w:ascii="Arial" w:cs="Arial" w:eastAsia="Arial" w:hAnsi="Arial"/>
            <w:sz w:val="16"/>
            <w:szCs w:val="16"/>
            <w:u w:val="single" w:color="auto"/>
            <w:color w:val="0000EE"/>
          </w:rPr>
          <w:t>Northrop Grumman Corporation and The Bank of New York Mellon,</w:t>
        </w:r>
      </w:hyperlink>
      <w:r>
        <w:rPr>
          <w:rFonts w:ascii="Arial" w:cs="Arial" w:eastAsia="Arial" w:hAnsi="Arial"/>
          <w:sz w:val="16"/>
          <w:szCs w:val="16"/>
          <w:u w:val="single" w:color="auto"/>
          <w:color w:val="0000EE"/>
        </w:rPr>
        <w:t xml:space="preserve"> </w:t>
      </w:r>
      <w:hyperlink r:id="rId63">
        <w:r>
          <w:rPr>
            <w:rFonts w:ascii="Arial" w:cs="Arial" w:eastAsia="Arial" w:hAnsi="Arial"/>
            <w:sz w:val="16"/>
            <w:szCs w:val="16"/>
            <w:u w:val="single" w:color="auto"/>
            <w:color w:val="0000EE"/>
          </w:rPr>
          <w:t>as successor trustee, to Indenture dated as of November 21, 2001</w:t>
        </w:r>
      </w:hyperlink>
    </w:p>
    <w:p>
      <w:pPr>
        <w:spacing w:after="0" w:line="41" w:lineRule="exact"/>
        <w:rPr>
          <w:rFonts w:ascii="Arial" w:cs="Arial" w:eastAsia="Arial" w:hAnsi="Arial"/>
          <w:sz w:val="16"/>
          <w:szCs w:val="16"/>
          <w:u w:val="single" w:color="auto"/>
          <w:color w:val="0000EE"/>
        </w:rPr>
      </w:pPr>
    </w:p>
    <w:p>
      <w:pPr>
        <w:jc w:val="both"/>
        <w:ind w:left="720" w:right="80" w:hanging="714"/>
        <w:spacing w:after="0" w:line="259" w:lineRule="auto"/>
        <w:tabs>
          <w:tab w:leader="none" w:pos="700" w:val="left"/>
        </w:tabs>
        <w:rPr>
          <w:rFonts w:ascii="Arial" w:cs="Arial" w:eastAsia="Arial" w:hAnsi="Arial"/>
          <w:sz w:val="18"/>
          <w:szCs w:val="18"/>
          <w:u w:val="single" w:color="auto"/>
          <w:color w:val="0000EE"/>
        </w:rPr>
      </w:pPr>
      <w:r>
        <w:rPr>
          <w:rFonts w:ascii="Arial" w:cs="Arial" w:eastAsia="Arial" w:hAnsi="Arial"/>
          <w:sz w:val="18"/>
          <w:szCs w:val="18"/>
          <w:color w:val="auto"/>
        </w:rPr>
        <w:t>4 (j)</w:t>
      </w:r>
      <w:r>
        <w:rPr>
          <w:sz w:val="20"/>
          <w:szCs w:val="20"/>
          <w:color w:val="auto"/>
        </w:rPr>
        <w:tab/>
      </w:r>
      <w:hyperlink r:id="rId64">
        <w:r>
          <w:rPr>
            <w:rFonts w:ascii="Arial" w:cs="Arial" w:eastAsia="Arial" w:hAnsi="Arial"/>
            <w:sz w:val="18"/>
            <w:szCs w:val="18"/>
            <w:u w:val="single" w:color="auto"/>
            <w:color w:val="0000EE"/>
          </w:rPr>
          <w:t>Sixth Supplemental Indenture, dated as of February 6, 2015, between</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Northrop Grumman Corporation and The Bank of New York Mellon,</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as successor to JPMorgan Chase Bank, Trustee, to Indenture dated as</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of November 21, 2001</w:t>
        </w:r>
      </w:hyperlink>
    </w:p>
    <w:p>
      <w:pPr>
        <w:spacing w:after="0" w:line="119" w:lineRule="exact"/>
        <w:rPr>
          <w:rFonts w:ascii="Arial" w:cs="Arial" w:eastAsia="Arial" w:hAnsi="Arial"/>
          <w:sz w:val="18"/>
          <w:szCs w:val="18"/>
          <w:u w:val="single" w:color="auto"/>
          <w:color w:val="0000EE"/>
        </w:rPr>
      </w:pPr>
    </w:p>
    <w:p>
      <w:pPr>
        <w:ind w:left="5360"/>
        <w:spacing w:after="0"/>
        <w:rPr>
          <w:sz w:val="20"/>
          <w:szCs w:val="20"/>
          <w:color w:val="auto"/>
        </w:rPr>
      </w:pPr>
      <w:r>
        <w:rPr>
          <w:rFonts w:ascii="Arial" w:cs="Arial" w:eastAsia="Arial" w:hAnsi="Arial"/>
          <w:sz w:val="18"/>
          <w:szCs w:val="18"/>
          <w:color w:val="auto"/>
        </w:rPr>
        <w:t>II-3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15"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Filed</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Incorporated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48"/>
        </w:trPr>
        <w:tc>
          <w:tcPr>
            <w:tcW w:w="900" w:type="dxa"/>
            <w:vAlign w:val="bottom"/>
            <w:gridSpan w:val="2"/>
            <w:vMerge w:val="continue"/>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by</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Form</w:t>
            </w:r>
          </w:p>
        </w:tc>
        <w:tc>
          <w:tcPr>
            <w:tcW w:w="340" w:type="dxa"/>
            <w:vAlign w:val="bottom"/>
            <w:vMerge w:val="restart"/>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Date Filed with SEC</w:t>
            </w:r>
          </w:p>
        </w:tc>
        <w:tc>
          <w:tcPr>
            <w:tcW w:w="340" w:type="dxa"/>
            <w:vAlign w:val="bottom"/>
            <w:vMerge w:val="restart"/>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280" w:type="dxa"/>
            <w:vAlign w:val="bottom"/>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10-Q</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July 25, 2012</w:t>
            </w: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Dec. 10, 2018</w:t>
            </w: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540"/>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Nov. 21, 2001</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296"/>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July 30, 2009</w:t>
            </w:r>
          </w:p>
        </w:tc>
        <w:tc>
          <w:tcPr>
            <w:tcW w:w="460" w:type="dxa"/>
            <w:vAlign w:val="bottom"/>
          </w:tcPr>
          <w:p>
            <w:pPr>
              <w:jc w:val="right"/>
              <w:spacing w:after="0"/>
              <w:rPr>
                <w:sz w:val="20"/>
                <w:szCs w:val="20"/>
                <w:color w:val="auto"/>
              </w:rPr>
            </w:pPr>
            <w:r>
              <w:rPr>
                <w:rFonts w:ascii="Arial" w:cs="Arial" w:eastAsia="Arial" w:hAnsi="Arial"/>
                <w:sz w:val="18"/>
                <w:szCs w:val="18"/>
                <w:color w:val="auto"/>
              </w:rPr>
              <w:t>4(a)</w:t>
            </w:r>
          </w:p>
        </w:tc>
        <w:tc>
          <w:tcPr>
            <w:tcW w:w="0" w:type="dxa"/>
            <w:vAlign w:val="bottom"/>
          </w:tcPr>
          <w:p>
            <w:pPr>
              <w:spacing w:after="0"/>
              <w:rPr>
                <w:sz w:val="1"/>
                <w:szCs w:val="1"/>
                <w:color w:val="auto"/>
              </w:rPr>
            </w:pPr>
          </w:p>
        </w:tc>
      </w:tr>
      <w:tr>
        <w:trPr>
          <w:trHeight w:val="756"/>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Nov. 8, 2010</w:t>
            </w:r>
          </w:p>
        </w:tc>
        <w:tc>
          <w:tcPr>
            <w:tcW w:w="460" w:type="dxa"/>
            <w:vAlign w:val="bottom"/>
          </w:tcPr>
          <w:p>
            <w:pPr>
              <w:jc w:val="right"/>
              <w:spacing w:after="0"/>
              <w:rPr>
                <w:sz w:val="20"/>
                <w:szCs w:val="20"/>
                <w:color w:val="auto"/>
              </w:rPr>
            </w:pPr>
            <w:r>
              <w:rPr>
                <w:rFonts w:ascii="Arial" w:cs="Arial" w:eastAsia="Arial" w:hAnsi="Arial"/>
                <w:sz w:val="18"/>
                <w:szCs w:val="18"/>
                <w:color w:val="auto"/>
              </w:rPr>
              <w:t>4(a)</w:t>
            </w:r>
          </w:p>
        </w:tc>
        <w:tc>
          <w:tcPr>
            <w:tcW w:w="0" w:type="dxa"/>
            <w:vAlign w:val="bottom"/>
          </w:tcPr>
          <w:p>
            <w:pPr>
              <w:spacing w:after="0"/>
              <w:rPr>
                <w:sz w:val="1"/>
                <w:szCs w:val="1"/>
                <w:color w:val="auto"/>
              </w:rPr>
            </w:pPr>
          </w:p>
        </w:tc>
      </w:tr>
      <w:tr>
        <w:trPr>
          <w:trHeight w:val="972"/>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10-Q</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April 27, 2011</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972"/>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10-Q</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April 27, 2011</w:t>
            </w:r>
          </w:p>
        </w:tc>
        <w:tc>
          <w:tcPr>
            <w:tcW w:w="46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972"/>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May 31, 2013</w:t>
            </w:r>
          </w:p>
        </w:tc>
        <w:tc>
          <w:tcPr>
            <w:tcW w:w="460" w:type="dxa"/>
            <w:vAlign w:val="bottom"/>
          </w:tcPr>
          <w:p>
            <w:pPr>
              <w:jc w:val="right"/>
              <w:spacing w:after="0"/>
              <w:rPr>
                <w:sz w:val="20"/>
                <w:szCs w:val="20"/>
                <w:color w:val="auto"/>
              </w:rPr>
            </w:pPr>
            <w:r>
              <w:rPr>
                <w:rFonts w:ascii="Arial" w:cs="Arial" w:eastAsia="Arial" w:hAnsi="Arial"/>
                <w:sz w:val="18"/>
                <w:szCs w:val="18"/>
                <w:color w:val="auto"/>
              </w:rPr>
              <w:t>4(a)</w:t>
            </w:r>
          </w:p>
        </w:tc>
        <w:tc>
          <w:tcPr>
            <w:tcW w:w="0" w:type="dxa"/>
            <w:vAlign w:val="bottom"/>
          </w:tcPr>
          <w:p>
            <w:pPr>
              <w:spacing w:after="0"/>
              <w:rPr>
                <w:sz w:val="1"/>
                <w:szCs w:val="1"/>
                <w:color w:val="auto"/>
              </w:rPr>
            </w:pPr>
          </w:p>
        </w:tc>
      </w:tr>
      <w:tr>
        <w:trPr>
          <w:trHeight w:val="756"/>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8-K</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Feb. 6, 2015</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38" w:orient="portrait"/>
          <w:cols w:equalWidth="0" w:num="2">
            <w:col w:w="5820" w:space="300"/>
            <w:col w:w="4840"/>
          </w:cols>
          <w:pgMar w:left="440" w:top="270" w:right="499" w:bottom="1440" w:gutter="0" w:footer="0" w:header="0"/>
          <w:type w:val="continuous"/>
        </w:sectPr>
      </w:pPr>
    </w:p>
    <w:bookmarkStart w:id="20" w:name="page21"/>
    <w:bookmarkEnd w:id="20"/>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Arial" w:cs="Arial" w:eastAsia="Arial" w:hAnsi="Arial"/>
          <w:sz w:val="14"/>
          <w:szCs w:val="14"/>
          <w:b w:val="1"/>
          <w:bCs w:val="1"/>
          <w:color w:val="auto"/>
        </w:rPr>
        <w:t>Exhibit</w:t>
      </w:r>
    </w:p>
    <w:p>
      <w:pPr>
        <w:ind w:left="124"/>
        <w:spacing w:after="0"/>
        <w:tabs>
          <w:tab w:leader="none" w:pos="294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7547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81" w:lineRule="exact"/>
        <w:rPr>
          <w:sz w:val="20"/>
          <w:szCs w:val="20"/>
          <w:color w:val="auto"/>
        </w:rPr>
      </w:pPr>
    </w:p>
    <w:p>
      <w:pPr>
        <w:ind w:left="724" w:right="160" w:hanging="728"/>
        <w:spacing w:after="0" w:line="259"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4 (k)</w:t>
      </w:r>
      <w:r>
        <w:rPr>
          <w:sz w:val="20"/>
          <w:szCs w:val="20"/>
          <w:color w:val="auto"/>
        </w:rPr>
        <w:tab/>
      </w:r>
      <w:hyperlink r:id="rId67">
        <w:r>
          <w:rPr>
            <w:rFonts w:ascii="Arial" w:cs="Arial" w:eastAsia="Arial" w:hAnsi="Arial"/>
            <w:sz w:val="18"/>
            <w:szCs w:val="18"/>
            <w:u w:val="single" w:color="auto"/>
            <w:color w:val="0000EE"/>
          </w:rPr>
          <w:t>Seventh Supplemental Indenture, dated as of December 1, 2016,</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between Northrop Grumman Corporation and The Bank of New York</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Mellon, as successor to JPMorgan Chase Bank, Trustee, to Indenture</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dated as of November 21, 2001</w:t>
        </w:r>
      </w:hyperlink>
    </w:p>
    <w:p>
      <w:pPr>
        <w:spacing w:after="0" w:line="79" w:lineRule="exact"/>
        <w:rPr>
          <w:rFonts w:ascii="Arial" w:cs="Arial" w:eastAsia="Arial" w:hAnsi="Arial"/>
          <w:sz w:val="18"/>
          <w:szCs w:val="18"/>
          <w:u w:val="single" w:color="auto"/>
          <w:color w:val="0000EE"/>
        </w:rPr>
      </w:pPr>
    </w:p>
    <w:p>
      <w:pPr>
        <w:ind w:left="724" w:hanging="728"/>
        <w:spacing w:after="0" w:line="259"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4 (l)</w:t>
      </w:r>
      <w:r>
        <w:rPr>
          <w:sz w:val="20"/>
          <w:szCs w:val="20"/>
          <w:color w:val="auto"/>
        </w:rPr>
        <w:tab/>
      </w:r>
      <w:hyperlink r:id="rId68">
        <w:r>
          <w:rPr>
            <w:rFonts w:ascii="Arial" w:cs="Arial" w:eastAsia="Arial" w:hAnsi="Arial"/>
            <w:sz w:val="18"/>
            <w:szCs w:val="18"/>
            <w:u w:val="single" w:color="auto"/>
            <w:color w:val="0000EE"/>
          </w:rPr>
          <w:t>Eighth Supplemental Indenture, dated as of October 13, 2017, between</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Northrop Grumman Corporation and The Bank of New York Mellon, as</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successor to JPMorgan Chase Bank, Trustee, to Indenture dated as of</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November 21, 2001</w:t>
        </w:r>
      </w:hyperlink>
    </w:p>
    <w:p>
      <w:pPr>
        <w:spacing w:after="0" w:line="79" w:lineRule="exact"/>
        <w:rPr>
          <w:rFonts w:ascii="Arial" w:cs="Arial" w:eastAsia="Arial" w:hAnsi="Arial"/>
          <w:sz w:val="18"/>
          <w:szCs w:val="18"/>
          <w:u w:val="single" w:color="auto"/>
          <w:color w:val="0000EE"/>
        </w:rPr>
      </w:pPr>
    </w:p>
    <w:p>
      <w:pPr>
        <w:ind w:left="724" w:hanging="728"/>
        <w:spacing w:after="0" w:line="259"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4 (m)</w:t>
      </w:r>
      <w:r>
        <w:rPr>
          <w:sz w:val="20"/>
          <w:szCs w:val="20"/>
          <w:color w:val="auto"/>
        </w:rPr>
        <w:tab/>
      </w:r>
      <w:hyperlink r:id="rId69">
        <w:r>
          <w:rPr>
            <w:rFonts w:ascii="Arial" w:cs="Arial" w:eastAsia="Arial" w:hAnsi="Arial"/>
            <w:sz w:val="18"/>
            <w:szCs w:val="18"/>
            <w:u w:val="single" w:color="auto"/>
            <w:color w:val="0000EE"/>
          </w:rPr>
          <w:t>Ninth Supplemental Indenture, dated as of March 23, 2020, between</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Northrop Grumman Corporation and The Bank of New York Mellon, as</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successor to JPMorgan Chase Bank, Trustee, to Indenture dated as of</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November 21, 2001</w:t>
        </w:r>
      </w:hyperlink>
    </w:p>
    <w:p>
      <w:pPr>
        <w:spacing w:after="0" w:line="79" w:lineRule="exact"/>
        <w:rPr>
          <w:rFonts w:ascii="Arial" w:cs="Arial" w:eastAsia="Arial" w:hAnsi="Arial"/>
          <w:sz w:val="18"/>
          <w:szCs w:val="18"/>
          <w:u w:val="single" w:color="auto"/>
          <w:color w:val="0000EE"/>
        </w:rPr>
      </w:pPr>
    </w:p>
    <w:p>
      <w:pPr>
        <w:ind w:left="724" w:hanging="728"/>
        <w:spacing w:after="0" w:line="259"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4 (n)</w:t>
      </w:r>
      <w:r>
        <w:rPr>
          <w:sz w:val="20"/>
          <w:szCs w:val="20"/>
          <w:color w:val="auto"/>
        </w:rPr>
        <w:tab/>
      </w:r>
      <w:hyperlink r:id="rId70">
        <w:r>
          <w:rPr>
            <w:rFonts w:ascii="Arial" w:cs="Arial" w:eastAsia="Arial" w:hAnsi="Arial"/>
            <w:sz w:val="18"/>
            <w:szCs w:val="18"/>
            <w:u w:val="single" w:color="auto"/>
            <w:color w:val="0000EE"/>
          </w:rPr>
          <w:t>Tenth Supplemental Indenture, dated as of September 2, 2021, between</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Northrop Grumman Corporation and The Bank of New York Mellon, as</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successor to JPMorgan Chase Bank, Trustee, to Indenture dated as of</w:t>
        </w:r>
      </w:hyperlink>
      <w:r>
        <w:rPr>
          <w:rFonts w:ascii="Arial" w:cs="Arial" w:eastAsia="Arial" w:hAnsi="Arial"/>
          <w:sz w:val="18"/>
          <w:szCs w:val="18"/>
          <w:u w:val="single" w:color="auto"/>
          <w:color w:val="0000EE"/>
        </w:rPr>
        <w:t xml:space="preserve"> </w:t>
      </w:r>
      <w:hyperlink r:id="rId70">
        <w:r>
          <w:rPr>
            <w:rFonts w:ascii="Arial" w:cs="Arial" w:eastAsia="Arial" w:hAnsi="Arial"/>
            <w:sz w:val="18"/>
            <w:szCs w:val="18"/>
            <w:u w:val="single" w:color="auto"/>
            <w:color w:val="0000EE"/>
          </w:rPr>
          <w:t>November 21, 2001</w:t>
        </w:r>
      </w:hyperlink>
    </w:p>
    <w:p>
      <w:pPr>
        <w:spacing w:after="0" w:line="79" w:lineRule="exact"/>
        <w:rPr>
          <w:rFonts w:ascii="Arial" w:cs="Arial" w:eastAsia="Arial" w:hAnsi="Arial"/>
          <w:sz w:val="18"/>
          <w:szCs w:val="18"/>
          <w:u w:val="single" w:color="auto"/>
          <w:color w:val="0000EE"/>
        </w:rPr>
      </w:pPr>
    </w:p>
    <w:p>
      <w:pPr>
        <w:ind w:left="724" w:right="160" w:hanging="728"/>
        <w:spacing w:after="0" w:line="259" w:lineRule="auto"/>
        <w:tabs>
          <w:tab w:leader="none" w:pos="704" w:val="left"/>
        </w:tabs>
        <w:rPr>
          <w:rFonts w:ascii="Arial" w:cs="Arial" w:eastAsia="Arial" w:hAnsi="Arial"/>
          <w:sz w:val="18"/>
          <w:szCs w:val="18"/>
          <w:u w:val="single" w:color="auto"/>
          <w:color w:val="0000EE"/>
        </w:rPr>
      </w:pPr>
      <w:r>
        <w:rPr>
          <w:rFonts w:ascii="Arial" w:cs="Arial" w:eastAsia="Arial" w:hAnsi="Arial"/>
          <w:sz w:val="18"/>
          <w:szCs w:val="18"/>
          <w:color w:val="auto"/>
        </w:rPr>
        <w:t>4 (o)</w:t>
      </w:r>
      <w:r>
        <w:rPr>
          <w:sz w:val="20"/>
          <w:szCs w:val="20"/>
          <w:color w:val="auto"/>
        </w:rPr>
        <w:tab/>
      </w:r>
      <w:hyperlink r:id="rId71">
        <w:r>
          <w:rPr>
            <w:rFonts w:ascii="Arial" w:cs="Arial" w:eastAsia="Arial" w:hAnsi="Arial"/>
            <w:sz w:val="18"/>
            <w:szCs w:val="18"/>
            <w:u w:val="single" w:color="auto"/>
            <w:color w:val="0000EE"/>
          </w:rPr>
          <w:t>Eleventh Supplemental Indenture, dated as of February 8, 2023,</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between Northrop Grumman Corporation and The Bank of New York</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Mellon, as successor to JPMorgan Chase Bank, Trustee, to Indenture</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dated as of November 21, 2001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Filed</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Incorporated</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by</w:t>
            </w:r>
          </w:p>
        </w:tc>
        <w:tc>
          <w:tcPr>
            <w:tcW w:w="7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Form</w:t>
            </w:r>
          </w:p>
        </w:tc>
        <w:tc>
          <w:tcPr>
            <w:tcW w:w="16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Date Filed with SEC</w:t>
            </w: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Herewith</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Reference</w:t>
            </w:r>
          </w:p>
        </w:tc>
        <w:tc>
          <w:tcPr>
            <w:tcW w:w="70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8-K</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Dec. 1, 2016</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972"/>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8-K</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Oct. 13, 2017</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972"/>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8-K</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March 24, 2020</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972"/>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8-K</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Sept. 3, 2021</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972"/>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280" w:type="dxa"/>
            <w:vAlign w:val="bottom"/>
          </w:tcPr>
          <w:p>
            <w:pPr>
              <w:spacing w:after="0"/>
              <w:rPr>
                <w:sz w:val="24"/>
                <w:szCs w:val="2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8-K</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Feb. 8, 2023</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724" w:lineRule="exact"/>
        <w:rPr>
          <w:rFonts w:ascii="Arial" w:cs="Arial" w:eastAsia="Arial" w:hAnsi="Arial"/>
          <w:sz w:val="18"/>
          <w:szCs w:val="18"/>
          <w:u w:val="single" w:color="auto"/>
          <w:color w:val="0000EE"/>
        </w:rPr>
      </w:pPr>
    </w:p>
    <w:p>
      <w:pPr>
        <w:sectPr>
          <w:pgSz w:w="11900" w:h="16838" w:orient="portrait"/>
          <w:cols w:equalWidth="0" w:num="2">
            <w:col w:w="5904" w:space="300"/>
            <w:col w:w="4780"/>
          </w:cols>
          <w:pgMar w:left="436" w:top="253" w:right="479" w:bottom="1440" w:gutter="0" w:footer="0" w:header="0"/>
        </w:sectPr>
      </w:pPr>
    </w:p>
    <w:tbl>
      <w:tblPr>
        <w:tblLayout w:type="fixed"/>
        <w:tblInd w:w="4" w:type="dxa"/>
        <w:tblCellMar>
          <w:top w:w="0" w:type="dxa"/>
          <w:left w:w="0" w:type="dxa"/>
          <w:bottom w:w="0" w:type="dxa"/>
          <w:right w:w="0" w:type="dxa"/>
        </w:tblCellMar>
      </w:tblPr>
      <w:tr>
        <w:trPr>
          <w:trHeight w:val="207"/>
        </w:trPr>
        <w:tc>
          <w:tcPr>
            <w:tcW w:w="720" w:type="dxa"/>
            <w:vAlign w:val="bottom"/>
            <w:gridSpan w:val="2"/>
          </w:tcPr>
          <w:p>
            <w:pPr>
              <w:spacing w:after="0"/>
              <w:rPr>
                <w:sz w:val="20"/>
                <w:szCs w:val="20"/>
                <w:color w:val="auto"/>
              </w:rPr>
            </w:pPr>
            <w:r>
              <w:rPr>
                <w:rFonts w:ascii="Arial" w:cs="Arial" w:eastAsia="Arial" w:hAnsi="Arial"/>
                <w:sz w:val="18"/>
                <w:szCs w:val="18"/>
                <w:color w:val="auto"/>
              </w:rPr>
              <w:t>5 (a)</w:t>
            </w:r>
          </w:p>
        </w:tc>
        <w:tc>
          <w:tcPr>
            <w:tcW w:w="5400" w:type="dxa"/>
            <w:vAlign w:val="bottom"/>
            <w:gridSpan w:val="7"/>
          </w:tcPr>
          <w:p>
            <w:pPr>
              <w:spacing w:after="0"/>
              <w:rPr>
                <w:sz w:val="20"/>
                <w:szCs w:val="20"/>
                <w:color w:val="auto"/>
              </w:rPr>
            </w:pPr>
            <w:r>
              <w:rPr>
                <w:rFonts w:ascii="Arial" w:cs="Arial" w:eastAsia="Arial" w:hAnsi="Arial"/>
                <w:sz w:val="18"/>
                <w:szCs w:val="18"/>
                <w:color w:val="0000EE"/>
              </w:rPr>
              <w:t>Opinion of Wilmer Cutler Pickering Hale and Dorr LLP</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9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200" w:type="dxa"/>
            <w:vAlign w:val="bottom"/>
          </w:tcPr>
          <w:p>
            <w:pPr>
              <w:spacing w:after="0"/>
              <w:rPr>
                <w:sz w:val="20"/>
                <w:szCs w:val="20"/>
                <w:color w:val="auto"/>
              </w:rPr>
            </w:pPr>
            <w:r>
              <w:rPr>
                <w:rFonts w:ascii="Arial" w:cs="Arial" w:eastAsia="Arial" w:hAnsi="Arial"/>
                <w:sz w:val="18"/>
                <w:szCs w:val="18"/>
                <w:color w:val="auto"/>
                <w:w w:val="89"/>
              </w:rPr>
              <w:t>23</w:t>
            </w:r>
          </w:p>
        </w:tc>
        <w:tc>
          <w:tcPr>
            <w:tcW w:w="520" w:type="dxa"/>
            <w:vAlign w:val="bottom"/>
          </w:tcPr>
          <w:p>
            <w:pPr>
              <w:ind w:left="20"/>
              <w:spacing w:after="0"/>
              <w:rPr>
                <w:sz w:val="20"/>
                <w:szCs w:val="20"/>
                <w:color w:val="auto"/>
              </w:rPr>
            </w:pPr>
            <w:r>
              <w:rPr>
                <w:rFonts w:ascii="Arial" w:cs="Arial" w:eastAsia="Arial" w:hAnsi="Arial"/>
                <w:sz w:val="18"/>
                <w:szCs w:val="18"/>
                <w:color w:val="auto"/>
              </w:rPr>
              <w:t>(a)</w:t>
            </w:r>
          </w:p>
        </w:tc>
        <w:tc>
          <w:tcPr>
            <w:tcW w:w="5400" w:type="dxa"/>
            <w:vAlign w:val="bottom"/>
            <w:gridSpan w:val="7"/>
          </w:tcPr>
          <w:p>
            <w:pPr>
              <w:spacing w:after="0"/>
              <w:rPr>
                <w:sz w:val="20"/>
                <w:szCs w:val="20"/>
                <w:color w:val="auto"/>
              </w:rPr>
            </w:pPr>
            <w:r>
              <w:rPr>
                <w:rFonts w:ascii="Arial" w:cs="Arial" w:eastAsia="Arial" w:hAnsi="Arial"/>
                <w:sz w:val="18"/>
                <w:szCs w:val="18"/>
                <w:color w:val="0000EE"/>
                <w:w w:val="99"/>
              </w:rPr>
              <w:t>Consent of Deloitte &amp; Touche LLP, an independent registered public</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accounting firm</w:t>
            </w:r>
          </w:p>
        </w:tc>
        <w:tc>
          <w:tcPr>
            <w:tcW w:w="46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45"/>
        </w:trPr>
        <w:tc>
          <w:tcPr>
            <w:tcW w:w="200" w:type="dxa"/>
            <w:vAlign w:val="bottom"/>
          </w:tcPr>
          <w:p>
            <w:pPr>
              <w:spacing w:after="0"/>
              <w:rPr>
                <w:sz w:val="20"/>
                <w:szCs w:val="20"/>
                <w:color w:val="auto"/>
              </w:rPr>
            </w:pPr>
            <w:r>
              <w:rPr>
                <w:rFonts w:ascii="Arial" w:cs="Arial" w:eastAsia="Arial" w:hAnsi="Arial"/>
                <w:sz w:val="18"/>
                <w:szCs w:val="18"/>
                <w:color w:val="auto"/>
                <w:w w:val="89"/>
              </w:rPr>
              <w:t>23</w:t>
            </w:r>
          </w:p>
        </w:tc>
        <w:tc>
          <w:tcPr>
            <w:tcW w:w="520" w:type="dxa"/>
            <w:vAlign w:val="bottom"/>
          </w:tcPr>
          <w:p>
            <w:pPr>
              <w:ind w:left="20"/>
              <w:spacing w:after="0"/>
              <w:rPr>
                <w:sz w:val="20"/>
                <w:szCs w:val="20"/>
                <w:color w:val="auto"/>
              </w:rPr>
            </w:pPr>
            <w:r>
              <w:rPr>
                <w:rFonts w:ascii="Arial" w:cs="Arial" w:eastAsia="Arial" w:hAnsi="Arial"/>
                <w:sz w:val="18"/>
                <w:szCs w:val="18"/>
                <w:color w:val="auto"/>
              </w:rPr>
              <w:t>(b)</w:t>
            </w:r>
          </w:p>
        </w:tc>
        <w:tc>
          <w:tcPr>
            <w:tcW w:w="5400" w:type="dxa"/>
            <w:vAlign w:val="bottom"/>
            <w:gridSpan w:val="7"/>
          </w:tcPr>
          <w:p>
            <w:pPr>
              <w:spacing w:after="0"/>
              <w:rPr>
                <w:sz w:val="20"/>
                <w:szCs w:val="20"/>
                <w:color w:val="auto"/>
              </w:rPr>
            </w:pPr>
            <w:r>
              <w:rPr>
                <w:rFonts w:ascii="Arial" w:cs="Arial" w:eastAsia="Arial" w:hAnsi="Arial"/>
                <w:sz w:val="18"/>
                <w:szCs w:val="18"/>
                <w:color w:val="auto"/>
              </w:rPr>
              <w:t>Consent of Wilmer Cutler Pickering Hale and Dorr LLP</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3"/>
        </w:trPr>
        <w:tc>
          <w:tcPr>
            <w:tcW w:w="200" w:type="dxa"/>
            <w:vAlign w:val="bottom"/>
          </w:tcPr>
          <w:p>
            <w:pPr>
              <w:spacing w:after="0"/>
              <w:rPr>
                <w:sz w:val="20"/>
                <w:szCs w:val="20"/>
                <w:color w:val="auto"/>
              </w:rPr>
            </w:pPr>
            <w:r>
              <w:rPr>
                <w:rFonts w:ascii="Arial" w:cs="Arial" w:eastAsia="Arial" w:hAnsi="Arial"/>
                <w:sz w:val="18"/>
                <w:szCs w:val="18"/>
                <w:color w:val="auto"/>
                <w:w w:val="89"/>
              </w:rPr>
              <w:t>24</w:t>
            </w:r>
          </w:p>
        </w:tc>
        <w:tc>
          <w:tcPr>
            <w:tcW w:w="520" w:type="dxa"/>
            <w:vAlign w:val="bottom"/>
          </w:tcPr>
          <w:p>
            <w:pPr>
              <w:ind w:left="20"/>
              <w:spacing w:after="0"/>
              <w:rPr>
                <w:sz w:val="20"/>
                <w:szCs w:val="20"/>
                <w:color w:val="auto"/>
              </w:rPr>
            </w:pPr>
            <w:r>
              <w:rPr>
                <w:rFonts w:ascii="Arial" w:cs="Arial" w:eastAsia="Arial" w:hAnsi="Arial"/>
                <w:sz w:val="18"/>
                <w:szCs w:val="18"/>
                <w:color w:val="auto"/>
              </w:rPr>
              <w:t>(a)</w:t>
            </w:r>
          </w:p>
        </w:tc>
        <w:tc>
          <w:tcPr>
            <w:tcW w:w="5400" w:type="dxa"/>
            <w:vAlign w:val="bottom"/>
            <w:gridSpan w:val="7"/>
          </w:tcPr>
          <w:p>
            <w:pPr>
              <w:spacing w:after="0"/>
              <w:rPr>
                <w:sz w:val="20"/>
                <w:szCs w:val="20"/>
                <w:color w:val="auto"/>
              </w:rPr>
            </w:pPr>
            <w:r>
              <w:rPr>
                <w:rFonts w:ascii="Arial" w:cs="Arial" w:eastAsia="Arial" w:hAnsi="Arial"/>
                <w:sz w:val="18"/>
                <w:szCs w:val="18"/>
                <w:color w:val="0000EE"/>
              </w:rPr>
              <w:t>Power of Attorney – Northrop Grumman Corporation Directors</w:t>
            </w: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4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200" w:type="dxa"/>
            <w:vAlign w:val="bottom"/>
          </w:tcPr>
          <w:p>
            <w:pPr>
              <w:spacing w:after="0"/>
              <w:rPr>
                <w:sz w:val="20"/>
                <w:szCs w:val="20"/>
                <w:color w:val="auto"/>
              </w:rPr>
            </w:pPr>
            <w:r>
              <w:rPr>
                <w:rFonts w:ascii="Arial" w:cs="Arial" w:eastAsia="Arial" w:hAnsi="Arial"/>
                <w:sz w:val="18"/>
                <w:szCs w:val="18"/>
                <w:color w:val="auto"/>
                <w:w w:val="89"/>
              </w:rPr>
              <w:t>25</w:t>
            </w:r>
          </w:p>
        </w:tc>
        <w:tc>
          <w:tcPr>
            <w:tcW w:w="520" w:type="dxa"/>
            <w:vAlign w:val="bottom"/>
          </w:tcPr>
          <w:p>
            <w:pPr>
              <w:ind w:left="20"/>
              <w:spacing w:after="0"/>
              <w:rPr>
                <w:sz w:val="20"/>
                <w:szCs w:val="20"/>
                <w:color w:val="auto"/>
              </w:rPr>
            </w:pPr>
            <w:r>
              <w:rPr>
                <w:rFonts w:ascii="Arial" w:cs="Arial" w:eastAsia="Arial" w:hAnsi="Arial"/>
                <w:sz w:val="18"/>
                <w:szCs w:val="18"/>
                <w:color w:val="auto"/>
              </w:rPr>
              <w:t>(a)</w:t>
            </w:r>
          </w:p>
        </w:tc>
        <w:tc>
          <w:tcPr>
            <w:tcW w:w="5400" w:type="dxa"/>
            <w:vAlign w:val="bottom"/>
            <w:gridSpan w:val="7"/>
          </w:tcPr>
          <w:p>
            <w:pPr>
              <w:spacing w:after="0"/>
              <w:rPr>
                <w:sz w:val="20"/>
                <w:szCs w:val="20"/>
                <w:color w:val="auto"/>
              </w:rPr>
            </w:pPr>
            <w:r>
              <w:rPr>
                <w:rFonts w:ascii="Arial" w:cs="Arial" w:eastAsia="Arial" w:hAnsi="Arial"/>
                <w:sz w:val="18"/>
                <w:szCs w:val="18"/>
                <w:color w:val="0000EE"/>
                <w:w w:val="98"/>
              </w:rPr>
              <w:t>Statement of Eligibility on Form T-1 of The Bank of New York Mellon</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1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to act as trustee under the Northrop Grumman Corporation Indenture</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49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Filing Fee Table</w:t>
            </w:r>
          </w:p>
        </w:tc>
        <w:tc>
          <w:tcPr>
            <w:tcW w:w="440" w:type="dxa"/>
            <w:vAlign w:val="bottom"/>
            <w:gridSpan w:val="2"/>
          </w:tcPr>
          <w:p>
            <w:pPr>
              <w:spacing w:after="0"/>
              <w:rPr>
                <w:sz w:val="24"/>
                <w:szCs w:val="24"/>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9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rFonts w:ascii="Arial" w:cs="Arial" w:eastAsia="Arial" w:hAnsi="Arial"/>
          <w:sz w:val="18"/>
          <w:szCs w:val="18"/>
          <w:u w:val="single" w:color="auto"/>
          <w:color w:val="0000EE"/>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be filed by amendment hereto or on a current report on Form 8-K to be incorporated herein by reference.</w:t>
      </w:r>
    </w:p>
    <w:p>
      <w:pPr>
        <w:spacing w:after="0" w:line="23" w:lineRule="exact"/>
        <w:rPr>
          <w:rFonts w:ascii="Arial" w:cs="Arial" w:eastAsia="Arial" w:hAnsi="Arial"/>
          <w:sz w:val="18"/>
          <w:szCs w:val="18"/>
          <w:u w:val="single" w:color="auto"/>
          <w:color w:val="0000EE"/>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in Exhibit 4(c) on pages 13-19.</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in Exhibit 5(a).</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Included on page II-8.</w:t>
      </w:r>
    </w:p>
    <w:p>
      <w:pPr>
        <w:spacing w:after="0" w:line="206"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color w:val="auto"/>
        </w:rPr>
        <w:t>Item 17. Undertakings.</w:t>
      </w:r>
    </w:p>
    <w:p>
      <w:pPr>
        <w:spacing w:after="0" w:line="229" w:lineRule="exact"/>
        <w:rPr>
          <w:rFonts w:ascii="Arial" w:cs="Arial" w:eastAsia="Arial" w:hAnsi="Arial"/>
          <w:sz w:val="18"/>
          <w:szCs w:val="18"/>
          <w:u w:val="single" w:color="auto"/>
          <w:color w:val="0000EE"/>
        </w:rPr>
      </w:pPr>
    </w:p>
    <w:p>
      <w:pPr>
        <w:ind w:left="444"/>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rFonts w:ascii="Arial" w:cs="Arial" w:eastAsia="Arial" w:hAnsi="Arial"/>
          <w:sz w:val="18"/>
          <w:szCs w:val="18"/>
          <w:u w:val="single" w:color="auto"/>
          <w:color w:val="0000EE"/>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w:t>
      </w:r>
    </w:p>
    <w:p>
      <w:pPr>
        <w:spacing w:after="0" w:line="130"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w:t>
      </w:r>
    </w:p>
    <w:p>
      <w:pPr>
        <w:spacing w:after="0" w:line="119" w:lineRule="exact"/>
        <w:rPr>
          <w:rFonts w:ascii="Arial" w:cs="Arial" w:eastAsia="Arial" w:hAnsi="Arial"/>
          <w:sz w:val="18"/>
          <w:szCs w:val="18"/>
          <w:u w:val="single" w:color="auto"/>
          <w:color w:val="0000EE"/>
        </w:rPr>
      </w:pPr>
    </w:p>
    <w:p>
      <w:pPr>
        <w:jc w:val="center"/>
        <w:ind w:right="-23"/>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984"/>
          </w:cols>
          <w:pgMar w:left="436" w:top="253" w:right="479" w:bottom="1440" w:gutter="0" w:footer="0" w:header="0"/>
          <w:type w:val="continuous"/>
        </w:sectPr>
      </w:pPr>
    </w:p>
    <w:bookmarkStart w:id="21" w:name="page22"/>
    <w:bookmarkEnd w:id="21"/>
    <w:p>
      <w:pPr>
        <w:ind w:left="984" w:right="1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54" w:lineRule="exact"/>
        <w:rPr>
          <w:sz w:val="20"/>
          <w:szCs w:val="20"/>
          <w:color w:val="auto"/>
        </w:rPr>
      </w:pPr>
    </w:p>
    <w:p>
      <w:pPr>
        <w:ind w:left="964" w:right="300" w:hanging="532"/>
        <w:spacing w:after="0" w:line="277" w:lineRule="auto"/>
        <w:tabs>
          <w:tab w:leader="none" w:pos="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(1)(ii) and (1)(iii) above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92" w:lineRule="exact"/>
        <w:rPr>
          <w:sz w:val="20"/>
          <w:szCs w:val="20"/>
          <w:color w:val="auto"/>
        </w:rPr>
      </w:pPr>
    </w:p>
    <w:p>
      <w:pPr>
        <w:ind w:left="424" w:right="80" w:hanging="424"/>
        <w:spacing w:after="0" w:line="263"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the time shall be deemed to be the initial bona fide offering thereof.</w:t>
      </w:r>
    </w:p>
    <w:p>
      <w:pPr>
        <w:spacing w:after="0" w:line="89"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964" w:right="220" w:hanging="532"/>
        <w:spacing w:after="0" w:line="277" w:lineRule="auto"/>
        <w:tabs>
          <w:tab w:leader="none" w:pos="9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964" w:hanging="532"/>
        <w:spacing w:after="0" w:line="274" w:lineRule="auto"/>
        <w:tabs>
          <w:tab w:leader="none" w:pos="964" w:val="left"/>
        </w:tabs>
        <w:numPr>
          <w:ilvl w:val="1"/>
          <w:numId w:val="19"/>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964"/>
        <w:spacing w:after="0" w:line="251" w:lineRule="auto"/>
        <w:rPr>
          <w:rFonts w:ascii="Arial" w:cs="Arial" w:eastAsia="Arial" w:hAnsi="Arial"/>
          <w:sz w:val="17"/>
          <w:szCs w:val="17"/>
          <w:color w:val="auto"/>
        </w:rPr>
      </w:pPr>
      <w:r>
        <w:rPr>
          <w:rFonts w:ascii="Arial" w:cs="Arial" w:eastAsia="Arial" w:hAnsi="Arial"/>
          <w:sz w:val="18"/>
          <w:szCs w:val="18"/>
          <w:color w:val="auto"/>
        </w:rPr>
        <w:t xml:space="preserve">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2" w:lineRule="exact"/>
        <w:rPr>
          <w:rFonts w:ascii="Arial" w:cs="Arial" w:eastAsia="Arial" w:hAnsi="Arial"/>
          <w:sz w:val="17"/>
          <w:szCs w:val="17"/>
          <w:color w:val="auto"/>
        </w:rPr>
      </w:pPr>
    </w:p>
    <w:p>
      <w:pPr>
        <w:ind w:left="424" w:hanging="424"/>
        <w:spacing w:after="0" w:line="257"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964" w:hanging="532"/>
        <w:spacing w:after="0"/>
        <w:tabs>
          <w:tab w:leader="none" w:pos="96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preliminary prospectus or prospectus of such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964" w:right="200" w:hanging="532"/>
        <w:spacing w:after="0" w:line="277" w:lineRule="auto"/>
        <w:tabs>
          <w:tab w:leader="none" w:pos="9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registrant or used or referred to by such undersigned registrant;</w:t>
      </w:r>
    </w:p>
    <w:p>
      <w:pPr>
        <w:spacing w:after="0" w:line="75" w:lineRule="exact"/>
        <w:rPr>
          <w:rFonts w:ascii="Arial" w:cs="Arial" w:eastAsia="Arial" w:hAnsi="Arial"/>
          <w:sz w:val="18"/>
          <w:szCs w:val="18"/>
          <w:color w:val="auto"/>
        </w:rPr>
      </w:pPr>
    </w:p>
    <w:p>
      <w:pPr>
        <w:ind w:left="964" w:right="160" w:hanging="532"/>
        <w:spacing w:after="0" w:line="277" w:lineRule="auto"/>
        <w:tabs>
          <w:tab w:leader="none" w:pos="9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such undersigned registrant to the purchaser.</w:t>
      </w:r>
    </w:p>
    <w:p>
      <w:pPr>
        <w:spacing w:after="0" w:line="130" w:lineRule="exact"/>
        <w:rPr>
          <w:rFonts w:ascii="Arial" w:cs="Arial" w:eastAsia="Arial" w:hAnsi="Arial"/>
          <w:sz w:val="18"/>
          <w:szCs w:val="18"/>
          <w:color w:val="auto"/>
        </w:rPr>
      </w:pPr>
    </w:p>
    <w:p>
      <w:pPr>
        <w:ind w:left="424" w:right="240" w:hanging="424"/>
        <w:spacing w:after="0" w:line="301" w:lineRule="auto"/>
        <w:tabs>
          <w:tab w:leader="none" w:pos="4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4"/>
          </w:cols>
          <w:pgMar w:left="436" w:top="274" w:right="459" w:bottom="1440" w:gutter="0" w:footer="0" w:header="0"/>
        </w:sectPr>
      </w:pPr>
    </w:p>
    <w:bookmarkStart w:id="22" w:name="page23"/>
    <w:bookmarkEnd w:id="22"/>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for purposes of determining any liability under the Securities Act:</w:t>
      </w:r>
    </w:p>
    <w:p>
      <w:pPr>
        <w:spacing w:after="0" w:line="130"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89" w:lineRule="exact"/>
        <w:rPr>
          <w:rFonts w:ascii="Arial" w:cs="Arial" w:eastAsia="Arial" w:hAnsi="Arial"/>
          <w:sz w:val="18"/>
          <w:szCs w:val="18"/>
          <w:color w:val="auto"/>
        </w:rPr>
      </w:pPr>
    </w:p>
    <w:p>
      <w:pPr>
        <w:jc w:val="both"/>
        <w:ind w:left="964" w:right="540" w:hanging="532"/>
        <w:spacing w:after="0" w:line="342" w:lineRule="auto"/>
        <w:tabs>
          <w:tab w:leader="none" w:pos="964"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29" w:lineRule="exact"/>
        <w:rPr>
          <w:rFonts w:ascii="Arial" w:cs="Arial" w:eastAsia="Arial" w:hAnsi="Arial"/>
          <w:sz w:val="16"/>
          <w:szCs w:val="16"/>
          <w:color w:val="auto"/>
        </w:rPr>
      </w:pPr>
    </w:p>
    <w:p>
      <w:pPr>
        <w:ind w:left="424" w:right="120" w:hanging="424"/>
        <w:spacing w:after="0" w:line="342" w:lineRule="auto"/>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24" w:lineRule="exact"/>
        <w:rPr>
          <w:sz w:val="20"/>
          <w:szCs w:val="20"/>
          <w:color w:val="auto"/>
        </w:rPr>
      </w:pPr>
    </w:p>
    <w:p>
      <w:pPr>
        <w:ind w:left="4" w:right="18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64"/>
          </w:cols>
          <w:pgMar w:left="436" w:top="274" w:right="499" w:bottom="1440" w:gutter="0" w:footer="0" w:header="0"/>
        </w:sectPr>
      </w:pPr>
    </w:p>
    <w:bookmarkStart w:id="23" w:name="page24"/>
    <w:bookmarkEnd w:id="23"/>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Falls Church, State of Virginia, on March 13, 2023.</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Jennifer C. McGarey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Title: Corporate Vice President and Secretary</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600"/>
          </w:cols>
          <w:pgMar w:left="440" w:top="270" w:right="8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 AND POWER OF ATTORNEY</w:t>
      </w:r>
    </w:p>
    <w:p>
      <w:pPr>
        <w:spacing w:after="0" w:line="229"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We, the undersigned officers and directors of Northrop Grumman Corporation hereby severally constitute and appoint Sheila C. Cheston and Jennifer C. McGarey,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generally to do all such things in our name and behalf in our capacities as officers and directors to enable Northrop Grumman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(including post-effective amendments) thereto.</w:t>
      </w:r>
    </w:p>
    <w:p>
      <w:pPr>
        <w:spacing w:after="0" w:line="17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Kathy J. Warden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Chair, Chief Executive Officer and President</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Kathy J. Warden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 and Director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F. Keffer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Corporate Vice President and</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182"/>
        </w:trPr>
        <w:tc>
          <w:tcPr>
            <w:tcW w:w="4180" w:type="dxa"/>
            <w:vAlign w:val="bottom"/>
          </w:tcPr>
          <w:p>
            <w:pPr>
              <w:jc w:val="center"/>
              <w:spacing w:after="0" w:line="182" w:lineRule="exact"/>
              <w:rPr>
                <w:sz w:val="20"/>
                <w:szCs w:val="20"/>
                <w:color w:val="auto"/>
              </w:rPr>
            </w:pPr>
            <w:r>
              <w:rPr>
                <w:rFonts w:ascii="Arial" w:cs="Arial" w:eastAsia="Arial" w:hAnsi="Arial"/>
                <w:sz w:val="18"/>
                <w:szCs w:val="18"/>
                <w:color w:val="auto"/>
                <w:w w:val="94"/>
              </w:rPr>
              <w:t>David F. Keffer</w:t>
            </w:r>
          </w:p>
        </w:tc>
        <w:tc>
          <w:tcPr>
            <w:tcW w:w="508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Chief Financial Officer</w:t>
            </w:r>
          </w:p>
        </w:tc>
        <w:tc>
          <w:tcPr>
            <w:tcW w:w="1760" w:type="dxa"/>
            <w:vAlign w:val="bottom"/>
          </w:tcPr>
          <w:p>
            <w:pPr>
              <w:spacing w:after="0"/>
              <w:rPr>
                <w:sz w:val="15"/>
                <w:szCs w:val="15"/>
                <w:color w:val="auto"/>
              </w:rPr>
            </w:pPr>
          </w:p>
        </w:tc>
      </w:tr>
      <w:tr>
        <w:trPr>
          <w:trHeight w:val="230"/>
        </w:trPr>
        <w:tc>
          <w:tcPr>
            <w:tcW w:w="4180" w:type="dxa"/>
            <w:vAlign w:val="bottom"/>
          </w:tcPr>
          <w:p>
            <w:pPr>
              <w:spacing w:after="0"/>
              <w:rPr>
                <w:sz w:val="20"/>
                <w:szCs w:val="20"/>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c>
          <w:tcPr>
            <w:tcW w:w="1760" w:type="dxa"/>
            <w:vAlign w:val="bottom"/>
          </w:tcPr>
          <w:p>
            <w:pPr>
              <w:spacing w:after="0"/>
              <w:rPr>
                <w:sz w:val="20"/>
                <w:szCs w:val="20"/>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A. Hardesty</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Corporate Vice President, Controller and</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182"/>
        </w:trPr>
        <w:tc>
          <w:tcPr>
            <w:tcW w:w="4180" w:type="dxa"/>
            <w:vAlign w:val="bottom"/>
          </w:tcPr>
          <w:p>
            <w:pPr>
              <w:jc w:val="center"/>
              <w:spacing w:after="0" w:line="182" w:lineRule="exact"/>
              <w:rPr>
                <w:sz w:val="20"/>
                <w:szCs w:val="20"/>
                <w:color w:val="auto"/>
              </w:rPr>
            </w:pPr>
            <w:r>
              <w:rPr>
                <w:rFonts w:ascii="Arial" w:cs="Arial" w:eastAsia="Arial" w:hAnsi="Arial"/>
                <w:sz w:val="18"/>
                <w:szCs w:val="18"/>
                <w:color w:val="auto"/>
                <w:w w:val="93"/>
              </w:rPr>
              <w:t>Michael A. Hardesty</w:t>
            </w:r>
          </w:p>
        </w:tc>
        <w:tc>
          <w:tcPr>
            <w:tcW w:w="5080" w:type="dxa"/>
            <w:vAlign w:val="bottom"/>
            <w:gridSpan w:val="3"/>
          </w:tcPr>
          <w:p>
            <w:pPr>
              <w:ind w:left="120"/>
              <w:spacing w:after="0" w:line="182" w:lineRule="exact"/>
              <w:rPr>
                <w:sz w:val="20"/>
                <w:szCs w:val="20"/>
                <w:color w:val="auto"/>
              </w:rPr>
            </w:pPr>
            <w:r>
              <w:rPr>
                <w:rFonts w:ascii="Arial" w:cs="Arial" w:eastAsia="Arial" w:hAnsi="Arial"/>
                <w:sz w:val="18"/>
                <w:szCs w:val="18"/>
                <w:color w:val="auto"/>
              </w:rPr>
              <w:t>Chief Accounting Officer</w:t>
            </w:r>
          </w:p>
        </w:tc>
        <w:tc>
          <w:tcPr>
            <w:tcW w:w="1760" w:type="dxa"/>
            <w:vAlign w:val="bottom"/>
          </w:tcPr>
          <w:p>
            <w:pPr>
              <w:spacing w:after="0"/>
              <w:rPr>
                <w:sz w:val="15"/>
                <w:szCs w:val="15"/>
                <w:color w:val="auto"/>
              </w:rPr>
            </w:pPr>
          </w:p>
        </w:tc>
      </w:tr>
      <w:tr>
        <w:trPr>
          <w:trHeight w:val="230"/>
        </w:trPr>
        <w:tc>
          <w:tcPr>
            <w:tcW w:w="4180" w:type="dxa"/>
            <w:vAlign w:val="bottom"/>
          </w:tcPr>
          <w:p>
            <w:pPr>
              <w:spacing w:after="0"/>
              <w:rPr>
                <w:sz w:val="20"/>
                <w:szCs w:val="20"/>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Accounting Officer)</w:t>
            </w:r>
          </w:p>
        </w:tc>
        <w:tc>
          <w:tcPr>
            <w:tcW w:w="1760" w:type="dxa"/>
            <w:vAlign w:val="bottom"/>
          </w:tcPr>
          <w:p>
            <w:pPr>
              <w:spacing w:after="0"/>
              <w:rPr>
                <w:sz w:val="20"/>
                <w:szCs w:val="20"/>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P. Abney</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David P. Abney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Marianne C. Brown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Marianne C. Brown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Donald E. Felsinger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Donald E. Felsinger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Ann M. Fudge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Ann M. Fudge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Madeleine A. Kleiner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5"/>
              </w:rPr>
              <w:t>Madeleine A. Kleiner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Karl J. Krapek</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Karl J. Krapek</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Arvind Krishna</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7"/>
              </w:rPr>
              <w:t>Arvind Krishna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Graham N. Robinson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Graham N. Robinson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Gary Roughead</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Gary Roughead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M. Schoewe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Thomas M. Schoewe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James S. Turley</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7"/>
              </w:rPr>
              <w:t>James S. Turley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4"/>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2"/>
          </w:tcPr>
          <w:p>
            <w:pPr>
              <w:ind w:left="1060"/>
              <w:spacing w:after="0"/>
              <w:rPr>
                <w:sz w:val="20"/>
                <w:szCs w:val="20"/>
                <w:color w:val="auto"/>
              </w:rPr>
            </w:pPr>
            <w:r>
              <w:rPr>
                <w:rFonts w:ascii="Arial" w:cs="Arial" w:eastAsia="Arial" w:hAnsi="Arial"/>
                <w:sz w:val="18"/>
                <w:szCs w:val="18"/>
                <w:color w:val="auto"/>
              </w:rPr>
              <w:t>II-8</w:t>
            </w: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Mark A. Welsh, III</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spacing w:after="0"/>
              <w:rPr>
                <w:sz w:val="20"/>
                <w:szCs w:val="20"/>
                <w:color w:val="auto"/>
              </w:rPr>
            </w:pPr>
            <w:r>
              <w:rPr>
                <w:rFonts w:ascii="Arial" w:cs="Arial" w:eastAsia="Arial" w:hAnsi="Arial"/>
                <w:sz w:val="18"/>
                <w:szCs w:val="18"/>
                <w:color w:val="auto"/>
              </w:rPr>
              <w:t>March 13, 2023</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7"/>
              </w:rPr>
              <w:t>Mark A. Welsh, III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728"/>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2"/>
          </w:tcPr>
          <w:p>
            <w:pPr>
              <w:ind w:left="1060"/>
              <w:spacing w:after="0"/>
              <w:rPr>
                <w:sz w:val="20"/>
                <w:szCs w:val="20"/>
                <w:color w:val="auto"/>
              </w:rPr>
            </w:pPr>
            <w:r>
              <w:rPr>
                <w:rFonts w:ascii="Arial" w:cs="Arial" w:eastAsia="Arial" w:hAnsi="Arial"/>
                <w:sz w:val="18"/>
                <w:szCs w:val="18"/>
                <w:color w:val="auto"/>
              </w:rPr>
              <w:t>II-9</w:t>
            </w: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65"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5929630</wp:posOffset>
            </wp:positionH>
            <wp:positionV relativeFrom="paragraph">
              <wp:posOffset>171450</wp:posOffset>
            </wp:positionV>
            <wp:extent cx="106299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106299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+1 202 663 6000 (t)</w:t>
      </w:r>
    </w:p>
    <w:p>
      <w:pPr>
        <w:ind w:left="9860"/>
        <w:spacing w:after="0"/>
        <w:rPr>
          <w:sz w:val="20"/>
          <w:szCs w:val="20"/>
          <w:color w:val="auto"/>
        </w:rPr>
      </w:pPr>
      <w:r>
        <w:rPr>
          <w:rFonts w:ascii="Arial" w:cs="Arial" w:eastAsia="Arial" w:hAnsi="Arial"/>
          <w:sz w:val="13"/>
          <w:szCs w:val="13"/>
          <w:color w:val="auto"/>
        </w:rPr>
        <w:t>+1 202 663 6363 (f)</w:t>
      </w:r>
    </w:p>
    <w:p>
      <w:pPr>
        <w:ind w:left="10080"/>
        <w:spacing w:after="0"/>
        <w:rPr>
          <w:sz w:val="20"/>
          <w:szCs w:val="20"/>
          <w:color w:val="auto"/>
        </w:rPr>
      </w:pPr>
      <w:r>
        <w:rPr>
          <w:rFonts w:ascii="Arial" w:cs="Arial" w:eastAsia="Arial" w:hAnsi="Arial"/>
          <w:sz w:val="13"/>
          <w:szCs w:val="13"/>
          <w:color w:val="auto"/>
        </w:rPr>
        <w:t>wilmerhale.com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March 13,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 22042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580" w:firstLine="440"/>
        <w:spacing w:after="0" w:line="311" w:lineRule="auto"/>
        <w:rPr>
          <w:sz w:val="20"/>
          <w:szCs w:val="20"/>
          <w:color w:val="auto"/>
        </w:rPr>
      </w:pPr>
      <w:r>
        <w:rPr>
          <w:rFonts w:ascii="Arial" w:cs="Arial" w:eastAsia="Arial" w:hAnsi="Arial"/>
          <w:sz w:val="16"/>
          <w:szCs w:val="16"/>
          <w:color w:val="auto"/>
        </w:rPr>
        <w:t>This opinion is furnished to you in connection with a Registration Statement on Form S-3 (the “Registration Statement”) filed by Northrop Grumman Corporation, a Delaware corporation (the “Company”), with the Securities and Exchange Commission (the “Commission”) under the Securities Act of 1933, as amended (the “Securities Act”), for the registration of the following securities of the Company (the “Securities”):</w:t>
      </w:r>
    </w:p>
    <w:p>
      <w:pPr>
        <w:spacing w:after="0" w:line="176" w:lineRule="exact"/>
        <w:rPr>
          <w:sz w:val="20"/>
          <w:szCs w:val="20"/>
          <w:color w:val="auto"/>
        </w:rPr>
      </w:pPr>
    </w:p>
    <w:p>
      <w:pPr>
        <w:ind w:left="960" w:hanging="53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senior debt securities (the “Senior Debt Securities”); and</w:t>
      </w:r>
    </w:p>
    <w:p>
      <w:pPr>
        <w:spacing w:after="0" w:line="252" w:lineRule="exact"/>
        <w:rPr>
          <w:rFonts w:ascii="Arial" w:cs="Arial" w:eastAsia="Arial" w:hAnsi="Arial"/>
          <w:sz w:val="18"/>
          <w:szCs w:val="18"/>
          <w:color w:val="auto"/>
        </w:rPr>
      </w:pPr>
    </w:p>
    <w:p>
      <w:pPr>
        <w:ind w:left="960" w:hanging="53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 par value $1.00 per share (the “Common Stock”);</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all of which may be issued from time to time on a delayed or continuous basis pursuant to Rule 415 under the Securities Act at an indeterminate aggregate offering price, as set forth in the Registration Statement, the base prospectus contained therein (the “Prospectus”) and any amendments or supplements thereto.</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We are acting as counsel for the Company in connection with the filing of the Registration Statement. The Senior Debt Securities may be issued pursuant to the Indenture dated as of November 21, 2001, between the Company and The Bank of New York Mellon Trust Company, N.A. (“Trustee”), as trustee (as amended and/or supplemented from time to time, the “Indenture”), which has been duly qualified under the Trust Indenture Act of 1939, as amended (the “Trust Indenture Act”).</w:t>
      </w:r>
    </w:p>
    <w:p>
      <w:pPr>
        <w:spacing w:after="0" w:line="187"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We have examined and relied upon signed copies of the Registration Statement as filed with the Commission, including the exhibits thereto. We have also examined and relied upon the Amended and Restated Certificate of Incorporation of the Company (as amended or restated from time to time, the “Certificate of Incorporation”), the Amended and Restated Bylaws of the Company (as amended or restated from time to time, the “Bylaws”), minutes of meetings of the stockholders and the Board of Directors of the Company as provided to us by the Company and such other documents, corporate records, certificates of public officials and other instruments as we have deemed necessary or advisable for the purpose of rendering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148590</wp:posOffset>
            </wp:positionV>
            <wp:extent cx="5323205"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5323205" cy="23177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7" w:name="page28"/>
    <w:bookmarkEnd w:id="2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182880</wp:posOffset>
            </wp:positionV>
            <wp:extent cx="106299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37160"/>
                    </a:xfrm>
                    <a:prstGeom prst="rect">
                      <a:avLst/>
                    </a:prstGeom>
                    <a:noFill/>
                  </pic:spPr>
                </pic:pic>
              </a:graphicData>
            </a:graphic>
          </wp:anchor>
        </w:drawing>
        <w:t>Northrop Grumman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13,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4" w:right="520" w:firstLine="440"/>
        <w:spacing w:after="0" w:line="311"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legal capacity of all signatories, the authenticity of all documents submitted to us as originals, the conformity to original documents of all documents submitted to us as copies, the authenticity of such original documents and the completeness and accuracy of the corporate minute books of the Company.</w:t>
      </w:r>
    </w:p>
    <w:p>
      <w:pPr>
        <w:spacing w:after="0" w:line="149"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color w:val="auto"/>
        </w:rPr>
        <w:t>We have relied as to certain matters on information obtained from public officials and officers of the Company, and we have assumed that (i) the Registration Statement will be effective and will comply with all applicable laws at the time Securities are offered or issued as contemplated by the Registration Statement; (ii) one or more prospectus supplements and term sheets, as applicable, will have been prepared and filed with the Commission describing the Securities offered thereby; (iii) all Securities will be issued and sold in compliance with applicable federal and state securities laws and in the manner stated in the Registration Statement, the Prospectus, and the applicable prospectus supplement; (iv) in the case of the Senior Debt Securities,</w:t>
      </w:r>
    </w:p>
    <w:p>
      <w:pPr>
        <w:spacing w:after="0" w:line="2" w:lineRule="exact"/>
        <w:rPr>
          <w:sz w:val="20"/>
          <w:szCs w:val="20"/>
          <w:color w:val="auto"/>
        </w:rPr>
      </w:pPr>
    </w:p>
    <w:p>
      <w:pPr>
        <w:ind w:left="4" w:hanging="4"/>
        <w:spacing w:after="0" w:line="286"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Indenture has been duly authorized, executed and delivered by the Trustee in substantially the form filed as Exhibit 4(c) to the Registration Statement, (b) the Trustee will be duly eligible to serve as trustee, and (c) the Senior Debt Securities will be duly authenticated by the Trustee named in the Indenture; (v) a definitive purchase, underwriting or similar agreement (a “Purchase Agreement”) with respect to any Securities offered will be duly authorized, executed and delivered by all parties thereto other than the Company; (vi) any Securities issuable upon conversion, exchange or exercise of any Security being offered will be duly authorized, created and, if appropriate, reserved for issuance upon such conversion, exchange or exercise; (vii) with respect to shares of Common Stock offered, there will be sufficient shares of Common Stock authorized under the Certificate of Incorporation and not otherwise reserved for issuance; (viii) if issued in certificated form, valid book-entry notations for the issuance of the Common Stock will have been duly made in the share register of the Company; and (ix) at the time of the issuance and sale of the Securities, the Company will be validly existing as a corporation and in good standing under the laws of the State of Delaware.</w:t>
      </w:r>
    </w:p>
    <w:p>
      <w:pPr>
        <w:spacing w:after="0" w:line="172"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We are expressing no opinion herein as to the application of any federal or state law or regulation to the power, authority or competence of any party to any agreement with respect to any of the Securities other than the Company. We have assumed that such agreements are, or will be, the valid and binding obligations of each party thereto other than the Company, and enforceable against each such other party in accordance with their respective terms.</w:t>
      </w:r>
    </w:p>
    <w:p>
      <w:pPr>
        <w:spacing w:after="0" w:line="187"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We have assumed for purposes of our opinions below that no authorization, approval or other action by, and no notice to or filing with, any governmental authority or regulatory body or any other third party is required for the due execution, delivery or performance by the Company or, if any such authorization, approval, consent, action, notice or filing is required, it will have been duly obtained, taken, given or made and will be in full force and effect. We have also assumed that there will not have occurred, prior to the date of issuance of the Securities, any</w:t>
      </w:r>
    </w:p>
    <w:p>
      <w:pPr>
        <w:sectPr>
          <w:pgSz w:w="11900" w:h="16838" w:orient="portrait"/>
          <w:cols w:equalWidth="0" w:num="1">
            <w:col w:w="10984"/>
          </w:cols>
          <w:pgMar w:left="436" w:top="706" w:right="479" w:bottom="1440" w:gutter="0" w:footer="0" w:header="0"/>
        </w:sectPr>
      </w:pPr>
    </w:p>
    <w:bookmarkStart w:id="28" w:name="page29"/>
    <w:bookmarkEnd w:id="2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182880</wp:posOffset>
            </wp:positionV>
            <wp:extent cx="106299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37160"/>
                    </a:xfrm>
                    <a:prstGeom prst="rect">
                      <a:avLst/>
                    </a:prstGeom>
                    <a:noFill/>
                  </pic:spPr>
                </pic:pic>
              </a:graphicData>
            </a:graphic>
          </wp:anchor>
        </w:drawing>
        <w:t>Northrop Grumman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13,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left="4" w:right="160"/>
        <w:spacing w:after="0" w:line="285" w:lineRule="auto"/>
        <w:rPr>
          <w:sz w:val="20"/>
          <w:szCs w:val="20"/>
          <w:color w:val="auto"/>
        </w:rPr>
      </w:pPr>
      <w:r>
        <w:rPr>
          <w:rFonts w:ascii="Arial" w:cs="Arial" w:eastAsia="Arial" w:hAnsi="Arial"/>
          <w:sz w:val="16"/>
          <w:szCs w:val="16"/>
          <w:color w:val="auto"/>
        </w:rPr>
        <w:t>change in law affecting the validity or enforceability of such Securities and that at the time of the issuance and sale of such Securities, the Board of Directors of the Company (or any committee of the Board of Directors or any person acting pursuant to authority properly delegated to such person by the Board of Directors of the Company or any committee of such Board of Directors) shall not have taken any action to rescind or otherwise reduce its prior authorization of the issuance of such Securities. We have also assumed that the execution and delivery by the Company of the Indenture and the Securities, and the performance by the Company of its obligations thereunder, do not and will not violate, conflict with or constitute a default under</w:t>
      </w:r>
    </w:p>
    <w:p>
      <w:pPr>
        <w:spacing w:after="0" w:line="2" w:lineRule="exact"/>
        <w:rPr>
          <w:sz w:val="20"/>
          <w:szCs w:val="20"/>
          <w:color w:val="auto"/>
        </w:rPr>
      </w:pPr>
    </w:p>
    <w:p>
      <w:pPr>
        <w:ind w:left="4" w:right="140" w:hanging="4"/>
        <w:spacing w:after="0" w:line="260" w:lineRule="auto"/>
        <w:tabs>
          <w:tab w:leader="none" w:pos="2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agreement or instrument to which the Company or any of its properties is then subject, (ii) any law, rule, or regulation to which the Company or any of its properties is then subject or (iii) any judicial or regulatory order or decree of any governmental authority.</w:t>
      </w:r>
    </w:p>
    <w:p>
      <w:pPr>
        <w:spacing w:after="0" w:line="185" w:lineRule="exact"/>
        <w:rPr>
          <w:sz w:val="20"/>
          <w:szCs w:val="20"/>
          <w:color w:val="auto"/>
        </w:rPr>
      </w:pPr>
    </w:p>
    <w:p>
      <w:pPr>
        <w:ind w:left="4" w:right="360" w:firstLine="440"/>
        <w:spacing w:after="0" w:line="291" w:lineRule="auto"/>
        <w:rPr>
          <w:sz w:val="20"/>
          <w:szCs w:val="20"/>
          <w:color w:val="auto"/>
        </w:rPr>
      </w:pPr>
      <w:r>
        <w:rPr>
          <w:rFonts w:ascii="Arial" w:cs="Arial" w:eastAsia="Arial" w:hAnsi="Arial"/>
          <w:sz w:val="16"/>
          <w:szCs w:val="16"/>
          <w:color w:val="auto"/>
        </w:rPr>
        <w:t>Our opinions below are qualified to the extent that they may be subject to or affected by (i) applicable bankruptcy, insolvency, reorganization, moratorium, usury, fraudulent conveyance, fraudulent transfer or similar laws relating to or affecting the rights or remedies of creditors generally;</w:t>
      </w:r>
    </w:p>
    <w:p>
      <w:pPr>
        <w:ind w:left="4" w:hanging="4"/>
        <w:spacing w:after="0" w:line="286" w:lineRule="auto"/>
        <w:tabs>
          <w:tab w:leader="none" w:pos="2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duties and standards imposed on creditors and parties to contracts, including, without limitation, requirements of materiality, good faith, reasonableness and fair dealing; (iii) general equitable principles; and (iv) acceleration of the Senior Debt Securities which may affect the collectability of that portion of the stated principal amount thereof that might be determined to constitute unearned interest thereon. Furthermore, we express no opinion as to the availability of any equitable or specific remedy upon any breach of any of the agreements as to which we are opining herein, or any of the agreements, documents or obligations referred to therein, or to the successful assertion of any equitable defenses, inasmuch as the availability of such remedies or the success of any equitable defenses may be subject to the discretion of a court. We express no opinion herein as to the laws of any state or jurisdiction other than the state laws of the State of New York and the General Corporation Law of the State of Delaware. We also express no opinion herein with respect to compliance by the Company with the securities or “blue sky” laws of any state or other jurisdiction of the United States or of any foreign jurisdiction. We express no opinion and make no statement herein with respect to the antifraud laws of any jurisdiction.</w:t>
      </w:r>
    </w:p>
    <w:p>
      <w:pPr>
        <w:spacing w:after="0" w:line="172" w:lineRule="exact"/>
        <w:rPr>
          <w:sz w:val="20"/>
          <w:szCs w:val="20"/>
          <w:color w:val="auto"/>
        </w:rPr>
      </w:pPr>
    </w:p>
    <w:p>
      <w:pPr>
        <w:ind w:left="4" w:right="200" w:firstLine="440"/>
        <w:spacing w:after="0" w:line="273" w:lineRule="auto"/>
        <w:rPr>
          <w:sz w:val="20"/>
          <w:szCs w:val="20"/>
          <w:color w:val="auto"/>
        </w:rPr>
      </w:pPr>
      <w:r>
        <w:rPr>
          <w:rFonts w:ascii="Arial" w:cs="Arial" w:eastAsia="Arial" w:hAnsi="Arial"/>
          <w:sz w:val="17"/>
          <w:szCs w:val="17"/>
          <w:color w:val="auto"/>
        </w:rPr>
        <w:t>We also express no opinion herein as to any provision of any agreement (i) that may be deemed to or construed to waive any right of the Company, (ii) to the effect that rights and remedies are not exclusive, that every right or remedy is cumulative and may be exercised in addition to or with any other right or remedy and does not preclude recourse to one or more other rights or remedies, (iii) relating to the effect of invalidity or unenforceability of any provision of any agreement on the validity or enforceability of any other provision thereof, (iv) that is in violation of public policy, (v) relating to indemnification and contribution with respect to securities law matters, (vi) which provides that the terms of any agreement may not be waived or modified except in writing, (vii) purporting to indemnify any person against his, her or its own</w:t>
      </w:r>
    </w:p>
    <w:p>
      <w:pPr>
        <w:sectPr>
          <w:pgSz w:w="11900" w:h="16838" w:orient="portrait"/>
          <w:cols w:equalWidth="0" w:num="1">
            <w:col w:w="11004"/>
          </w:cols>
          <w:pgMar w:left="436" w:top="706" w:right="459" w:bottom="1440" w:gutter="0" w:footer="0" w:header="0"/>
        </w:sectPr>
      </w:pPr>
    </w:p>
    <w:bookmarkStart w:id="29" w:name="page30"/>
    <w:bookmarkEnd w:id="2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182880</wp:posOffset>
            </wp:positionV>
            <wp:extent cx="106299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37160"/>
                    </a:xfrm>
                    <a:prstGeom prst="rect">
                      <a:avLst/>
                    </a:prstGeom>
                    <a:noFill/>
                  </pic:spPr>
                </pic:pic>
              </a:graphicData>
            </a:graphic>
          </wp:anchor>
        </w:drawing>
        <w:t>Northrop Grumman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13, 2023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negligence or intentional misconduct, (viii) requiring the payment of penalties, consequential damages or liquidated damages or limiting a party’s recovery of certain damages or losses, (ix) purporting to establish evidentiary standards or regarding standards for exercising rights and remedies or (x) relating to choice of law or consent to jurisdiction.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ind w:left="4" w:right="40" w:firstLine="436"/>
        <w:spacing w:after="0" w:line="289" w:lineRule="auto"/>
        <w:tabs>
          <w:tab w:leader="none" w:pos="624"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With respect to the Senior Debt Securities, when (i) specifically authorized for issuance by proper action of the Company’s Board of Directors or an authorized committee thereof (the “Authorizing Resolutions”), (ii) the terms of the Senior Debt Securities and of their issuance and sale have been duly established in conformity with the applicable Indenture and the Authorizing Resolutions and assuming such terms and sale do not violate any applicable law or result in a default under or breach of any agreement or instrument binding upon the Company and comply with any requirement or restriction imposed by any court or governmental body having jurisdiction over the Company, (iii) such Senior Debt Securities have been duly executed by the Company and authenticated by the Trustee in accordance with the Indenture and delivered and sold as contemplated by the Registration Statement, the Prospectus and any applicable prospectus supplement in accordance with the applicable Purchase Agreement against payment therefor, and (iv) the Company has received the consideration provided for in the Authorizing Resolutions and the applicable Purchase Agreement, such Senior Debt Securities will constitute valid and binding obligations of the Company enforceable against the Company in accordance with their terms.</w:t>
      </w:r>
    </w:p>
    <w:p>
      <w:pPr>
        <w:spacing w:after="0" w:line="166" w:lineRule="exact"/>
        <w:rPr>
          <w:rFonts w:ascii="Arial" w:cs="Arial" w:eastAsia="Arial" w:hAnsi="Arial"/>
          <w:sz w:val="16"/>
          <w:szCs w:val="16"/>
          <w:color w:val="auto"/>
        </w:rPr>
      </w:pPr>
    </w:p>
    <w:p>
      <w:pPr>
        <w:ind w:left="4" w:right="120" w:firstLine="436"/>
        <w:spacing w:after="0" w:line="291" w:lineRule="auto"/>
        <w:tabs>
          <w:tab w:leader="none" w:pos="624"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With respect to the Common Stock, when (i) specifically authorized for issuance by the Authorizing Resolutions, (ii) the terms of the issuance and sale of the Common Stock have been duly established in conformity with the Certificate of Incorporation, Bylaws and Authorizing Resolutions,</w:t>
      </w:r>
    </w:p>
    <w:p>
      <w:pPr>
        <w:ind w:left="4" w:right="120" w:hanging="4"/>
        <w:spacing w:after="0" w:line="253" w:lineRule="auto"/>
        <w:tabs>
          <w:tab w:leader="none" w:pos="3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shares of Common Stock have been issued and delivered as contemplated by the Registration Statement, the Prospectus and any applicable prospectus supplement in accordance with the applicable Purchase Agreement or upon conversion or exercise of any Security offered under the Registration Statement against payment therefor, and (iv) the Company has received the consideration provided for in the Authorizing Resolutions and the applicable Purchase Agreement and such consideration per share is not less than the par value per share of the Common Stock, the Common Stock will be validly issued, fully paid and non-assessable.</w:t>
      </w:r>
    </w:p>
    <w:p>
      <w:pPr>
        <w:spacing w:after="0" w:line="191"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ectPr>
          <w:pgSz w:w="11900" w:h="16838" w:orient="portrait"/>
          <w:cols w:equalWidth="0" w:num="1">
            <w:col w:w="10984"/>
          </w:cols>
          <w:pgMar w:left="436" w:top="706"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6209030</wp:posOffset>
            </wp:positionH>
            <wp:positionV relativeFrom="page">
              <wp:posOffset>182880</wp:posOffset>
            </wp:positionV>
            <wp:extent cx="106299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37160"/>
                    </a:xfrm>
                    <a:prstGeom prst="rect">
                      <a:avLst/>
                    </a:prstGeom>
                    <a:noFill/>
                  </pic:spPr>
                </pic:pic>
              </a:graphicData>
            </a:graphic>
          </wp:anchor>
        </w:drawing>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We hereby consent to the filing of this opinion with the Commission as an exhibit to the Registration Statement in accordance with the requirements of Item 601(b)(5) of Regulation S-K under the Securities Act and to the use of our name therein, in the related Prospectus and in any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WILMER CUTLER PICKERING HALE AND DORR LLP</w:t>
      </w:r>
    </w:p>
    <w:p>
      <w:pPr>
        <w:sectPr>
          <w:pgSz w:w="11900" w:h="16838" w:orient="portrait"/>
          <w:cols w:equalWidth="0" w:num="1">
            <w:col w:w="10880"/>
          </w:cols>
          <w:pgMar w:left="440" w:top="706" w:right="5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23(a)</w:t>
      </w:r>
    </w:p>
    <w:p>
      <w:pPr>
        <w:spacing w:after="0" w:line="252"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448435"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1448435" cy="274320"/>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Suite 800</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7900 Tysons One Place</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McLean, VA 22102</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www.deloitte.com</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reports dated January 25, 2023, relating to the consolidated financial statements of Northrop Grumman Corporation and subsidiaries, and the effectiveness of Northrop Grumman Corporation and subsidiaries’ internal control over financial reporting, appearing in the Annual Report on Form 10-K of Northrop Grumman Corporation for the year ended December 31, 2022. We also consent to the reference to us under the heading “Experts” in such Registration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13, 2023</w:t>
      </w:r>
    </w:p>
    <w:p>
      <w:pPr>
        <w:sectPr>
          <w:pgSz w:w="11900" w:h="16838" w:orient="portrait"/>
          <w:cols w:equalWidth="0" w:num="1">
            <w:col w:w="11020"/>
          </w:cols>
          <w:pgMar w:left="440" w:top="121"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25(a)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3"/>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24" w:right="180" w:hanging="424"/>
        <w:spacing w:after="0" w:line="256" w:lineRule="auto"/>
        <w:tabs>
          <w:tab w:leader="none" w:pos="424" w:val="left"/>
        </w:tabs>
        <w:numPr>
          <w:ilvl w:val="0"/>
          <w:numId w:val="27"/>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214630</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3"/>
        <w:spacing w:after="0"/>
        <w:rPr>
          <w:sz w:val="20"/>
          <w:szCs w:val="20"/>
          <w:color w:val="auto"/>
        </w:rPr>
      </w:pPr>
      <w:r>
        <w:rPr>
          <w:rFonts w:ascii="Arial" w:cs="Arial" w:eastAsia="Arial" w:hAnsi="Arial"/>
          <w:sz w:val="43"/>
          <w:szCs w:val="43"/>
          <w:b w:val="1"/>
          <w:bCs w:val="1"/>
          <w:color w:val="auto"/>
        </w:rPr>
        <w:t>THE BANK OF NEW YORK MELLON</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7420" w:type="dxa"/>
            <w:vAlign w:val="bottom"/>
            <w:gridSpan w:val="3"/>
          </w:tcPr>
          <w:p>
            <w:pPr>
              <w:jc w:val="center"/>
              <w:ind w:right="1800"/>
              <w:spacing w:after="0"/>
              <w:rPr>
                <w:sz w:val="20"/>
                <w:szCs w:val="20"/>
                <w:color w:val="auto"/>
              </w:rPr>
            </w:pPr>
            <w:r>
              <w:rPr>
                <w:rFonts w:ascii="Arial" w:cs="Arial" w:eastAsia="Arial" w:hAnsi="Arial"/>
                <w:sz w:val="18"/>
                <w:szCs w:val="18"/>
                <w:color w:val="auto"/>
                <w:w w:val="94"/>
              </w:rPr>
              <w:t>New York</w:t>
            </w:r>
          </w:p>
        </w:tc>
        <w:tc>
          <w:tcPr>
            <w:tcW w:w="3600" w:type="dxa"/>
            <w:vAlign w:val="bottom"/>
          </w:tcPr>
          <w:p>
            <w:pPr>
              <w:jc w:val="center"/>
              <w:ind w:right="1621"/>
              <w:spacing w:after="0"/>
              <w:rPr>
                <w:sz w:val="20"/>
                <w:szCs w:val="20"/>
                <w:color w:val="auto"/>
              </w:rPr>
            </w:pPr>
            <w:r>
              <w:rPr>
                <w:rFonts w:ascii="Arial" w:cs="Arial" w:eastAsia="Arial" w:hAnsi="Arial"/>
                <w:sz w:val="18"/>
                <w:szCs w:val="18"/>
                <w:color w:val="auto"/>
                <w:w w:val="89"/>
              </w:rPr>
              <w:t>13-5160382</w:t>
            </w:r>
          </w:p>
        </w:tc>
      </w:tr>
      <w:tr>
        <w:trPr>
          <w:trHeight w:val="149"/>
        </w:trPr>
        <w:tc>
          <w:tcPr>
            <w:tcW w:w="7420" w:type="dxa"/>
            <w:vAlign w:val="bottom"/>
            <w:gridSpan w:val="3"/>
          </w:tcPr>
          <w:p>
            <w:pPr>
              <w:jc w:val="center"/>
              <w:ind w:right="180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3600" w:type="dxa"/>
            <w:vAlign w:val="bottom"/>
          </w:tcPr>
          <w:p>
            <w:pPr>
              <w:jc w:val="center"/>
              <w:ind w:right="16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2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4"/>
              </w:rPr>
              <w:t>if not a U.S. national bank)</w:t>
            </w:r>
          </w:p>
        </w:tc>
        <w:tc>
          <w:tcPr>
            <w:tcW w:w="3600" w:type="dxa"/>
            <w:vAlign w:val="bottom"/>
          </w:tcPr>
          <w:p>
            <w:pPr>
              <w:jc w:val="center"/>
              <w:ind w:right="1621"/>
              <w:spacing w:after="0"/>
              <w:rPr>
                <w:sz w:val="20"/>
                <w:szCs w:val="20"/>
                <w:color w:val="auto"/>
              </w:rPr>
            </w:pPr>
            <w:r>
              <w:rPr>
                <w:rFonts w:ascii="Arial" w:cs="Arial" w:eastAsia="Arial" w:hAnsi="Arial"/>
                <w:sz w:val="14"/>
                <w:szCs w:val="14"/>
                <w:b w:val="1"/>
                <w:bCs w:val="1"/>
                <w:color w:val="auto"/>
                <w:w w:val="94"/>
              </w:rPr>
              <w:t>identification no.)</w:t>
            </w:r>
          </w:p>
        </w:tc>
      </w:tr>
      <w:tr>
        <w:trPr>
          <w:trHeight w:val="300"/>
        </w:trPr>
        <w:tc>
          <w:tcPr>
            <w:tcW w:w="7420" w:type="dxa"/>
            <w:vAlign w:val="bottom"/>
            <w:gridSpan w:val="3"/>
          </w:tcPr>
          <w:p>
            <w:pPr>
              <w:jc w:val="center"/>
              <w:ind w:right="1800"/>
              <w:spacing w:after="0"/>
              <w:rPr>
                <w:sz w:val="20"/>
                <w:szCs w:val="20"/>
                <w:color w:val="auto"/>
              </w:rPr>
            </w:pPr>
            <w:r>
              <w:rPr>
                <w:rFonts w:ascii="Arial" w:cs="Arial" w:eastAsia="Arial" w:hAnsi="Arial"/>
                <w:sz w:val="18"/>
                <w:szCs w:val="18"/>
                <w:b w:val="1"/>
                <w:bCs w:val="1"/>
                <w:color w:val="auto"/>
                <w:w w:val="91"/>
              </w:rPr>
              <w:t>240 Greenwich Street, New York, N.Y.</w:t>
            </w:r>
          </w:p>
        </w:tc>
        <w:tc>
          <w:tcPr>
            <w:tcW w:w="3600" w:type="dxa"/>
            <w:vAlign w:val="bottom"/>
          </w:tcPr>
          <w:p>
            <w:pPr>
              <w:jc w:val="center"/>
              <w:ind w:right="1621"/>
              <w:spacing w:after="0"/>
              <w:rPr>
                <w:sz w:val="20"/>
                <w:szCs w:val="20"/>
                <w:color w:val="auto"/>
              </w:rPr>
            </w:pPr>
            <w:r>
              <w:rPr>
                <w:rFonts w:ascii="Arial" w:cs="Arial" w:eastAsia="Arial" w:hAnsi="Arial"/>
                <w:sz w:val="18"/>
                <w:szCs w:val="18"/>
                <w:b w:val="1"/>
                <w:bCs w:val="1"/>
                <w:color w:val="auto"/>
                <w:w w:val="91"/>
              </w:rPr>
              <w:t>10286</w:t>
            </w:r>
          </w:p>
        </w:tc>
      </w:tr>
      <w:tr>
        <w:trPr>
          <w:trHeight w:val="186"/>
        </w:trPr>
        <w:tc>
          <w:tcPr>
            <w:tcW w:w="742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0" w:type="dxa"/>
            <w:vAlign w:val="bottom"/>
          </w:tcPr>
          <w:p>
            <w:pPr>
              <w:jc w:val="center"/>
              <w:ind w:right="1621"/>
              <w:spacing w:after="0"/>
              <w:rPr>
                <w:sz w:val="20"/>
                <w:szCs w:val="20"/>
                <w:color w:val="auto"/>
              </w:rPr>
            </w:pPr>
            <w:r>
              <w:rPr>
                <w:rFonts w:ascii="Arial" w:cs="Arial" w:eastAsia="Arial" w:hAnsi="Arial"/>
                <w:sz w:val="14"/>
                <w:szCs w:val="14"/>
                <w:b w:val="1"/>
                <w:bCs w:val="1"/>
                <w:color w:val="auto"/>
                <w:w w:val="92"/>
              </w:rPr>
              <w:t>(Zip code)</w:t>
            </w:r>
          </w:p>
        </w:tc>
      </w:tr>
      <w:tr>
        <w:trPr>
          <w:trHeight w:val="349"/>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03"/>
        </w:trPr>
        <w:tc>
          <w:tcPr>
            <w:tcW w:w="7420" w:type="dxa"/>
            <w:vAlign w:val="bottom"/>
            <w:gridSpan w:val="3"/>
          </w:tcPr>
          <w:p>
            <w:pPr>
              <w:jc w:val="center"/>
              <w:ind w:left="3520"/>
              <w:spacing w:after="0"/>
              <w:rPr>
                <w:sz w:val="20"/>
                <w:szCs w:val="20"/>
                <w:color w:val="auto"/>
              </w:rPr>
            </w:pPr>
            <w:r>
              <w:rPr>
                <w:rFonts w:ascii="Arial" w:cs="Arial" w:eastAsia="Arial" w:hAnsi="Arial"/>
                <w:sz w:val="18"/>
                <w:szCs w:val="18"/>
                <w:b w:val="1"/>
                <w:bCs w:val="1"/>
                <w:color w:val="auto"/>
                <w:w w:val="93"/>
              </w:rPr>
              <w:t>Northrop Grumman Corporation</w:t>
            </w:r>
          </w:p>
        </w:tc>
        <w:tc>
          <w:tcPr>
            <w:tcW w:w="3600" w:type="dxa"/>
            <w:vAlign w:val="bottom"/>
          </w:tcPr>
          <w:p>
            <w:pPr>
              <w:spacing w:after="0"/>
              <w:rPr>
                <w:sz w:val="24"/>
                <w:szCs w:val="24"/>
                <w:color w:val="auto"/>
              </w:rPr>
            </w:pPr>
          </w:p>
        </w:tc>
      </w:tr>
      <w:tr>
        <w:trPr>
          <w:trHeight w:val="186"/>
        </w:trPr>
        <w:tc>
          <w:tcPr>
            <w:tcW w:w="7420" w:type="dxa"/>
            <w:vAlign w:val="bottom"/>
            <w:gridSpan w:val="3"/>
          </w:tcPr>
          <w:p>
            <w:pPr>
              <w:jc w:val="center"/>
              <w:ind w:left="3520"/>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600" w:type="dxa"/>
            <w:vAlign w:val="bottom"/>
          </w:tcPr>
          <w:p>
            <w:pPr>
              <w:spacing w:after="0"/>
              <w:rPr>
                <w:sz w:val="16"/>
                <w:szCs w:val="16"/>
                <w:color w:val="auto"/>
              </w:rPr>
            </w:pPr>
          </w:p>
        </w:tc>
      </w:tr>
      <w:tr>
        <w:trPr>
          <w:trHeight w:val="421"/>
        </w:trPr>
        <w:tc>
          <w:tcPr>
            <w:tcW w:w="7420" w:type="dxa"/>
            <w:vAlign w:val="bottom"/>
            <w:gridSpan w:val="3"/>
          </w:tcPr>
          <w:p>
            <w:pPr>
              <w:jc w:val="center"/>
              <w:ind w:right="1800"/>
              <w:spacing w:after="0"/>
              <w:rPr>
                <w:sz w:val="20"/>
                <w:szCs w:val="20"/>
                <w:color w:val="auto"/>
              </w:rPr>
            </w:pPr>
            <w:r>
              <w:rPr>
                <w:rFonts w:ascii="Arial" w:cs="Arial" w:eastAsia="Arial" w:hAnsi="Arial"/>
                <w:sz w:val="18"/>
                <w:szCs w:val="18"/>
                <w:color w:val="auto"/>
                <w:w w:val="92"/>
              </w:rPr>
              <w:t>Delaware</w:t>
            </w:r>
          </w:p>
        </w:tc>
        <w:tc>
          <w:tcPr>
            <w:tcW w:w="3600" w:type="dxa"/>
            <w:vAlign w:val="bottom"/>
          </w:tcPr>
          <w:p>
            <w:pPr>
              <w:jc w:val="center"/>
              <w:ind w:right="1621"/>
              <w:spacing w:after="0"/>
              <w:rPr>
                <w:sz w:val="20"/>
                <w:szCs w:val="20"/>
                <w:color w:val="auto"/>
              </w:rPr>
            </w:pPr>
            <w:r>
              <w:rPr>
                <w:rFonts w:ascii="Arial" w:cs="Arial" w:eastAsia="Arial" w:hAnsi="Arial"/>
                <w:sz w:val="18"/>
                <w:szCs w:val="18"/>
                <w:color w:val="auto"/>
                <w:w w:val="89"/>
              </w:rPr>
              <w:t>80-0640649</w:t>
            </w:r>
          </w:p>
        </w:tc>
      </w:tr>
      <w:tr>
        <w:trPr>
          <w:trHeight w:val="148"/>
        </w:trPr>
        <w:tc>
          <w:tcPr>
            <w:tcW w:w="7420" w:type="dxa"/>
            <w:vAlign w:val="bottom"/>
            <w:gridSpan w:val="3"/>
          </w:tcPr>
          <w:p>
            <w:pPr>
              <w:jc w:val="center"/>
              <w:ind w:right="180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600" w:type="dxa"/>
            <w:vAlign w:val="bottom"/>
          </w:tcPr>
          <w:p>
            <w:pPr>
              <w:jc w:val="center"/>
              <w:ind w:right="16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2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3"/>
              </w:rPr>
              <w:t>incorporation or organization)</w:t>
            </w:r>
          </w:p>
        </w:tc>
        <w:tc>
          <w:tcPr>
            <w:tcW w:w="3600" w:type="dxa"/>
            <w:vAlign w:val="bottom"/>
          </w:tcPr>
          <w:p>
            <w:pPr>
              <w:jc w:val="center"/>
              <w:ind w:right="1621"/>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7420" w:type="dxa"/>
            <w:vAlign w:val="bottom"/>
            <w:gridSpan w:val="3"/>
          </w:tcPr>
          <w:p>
            <w:pPr>
              <w:jc w:val="center"/>
              <w:ind w:right="1800"/>
              <w:spacing w:after="0"/>
              <w:rPr>
                <w:sz w:val="20"/>
                <w:szCs w:val="20"/>
                <w:color w:val="auto"/>
              </w:rPr>
            </w:pPr>
            <w:r>
              <w:rPr>
                <w:rFonts w:ascii="Arial" w:cs="Arial" w:eastAsia="Arial" w:hAnsi="Arial"/>
                <w:sz w:val="18"/>
                <w:szCs w:val="18"/>
                <w:b w:val="1"/>
                <w:bCs w:val="1"/>
                <w:color w:val="auto"/>
                <w:w w:val="93"/>
              </w:rPr>
              <w:t>2980 Fairview Park Drive</w:t>
            </w:r>
          </w:p>
        </w:tc>
        <w:tc>
          <w:tcPr>
            <w:tcW w:w="3600" w:type="dxa"/>
            <w:vAlign w:val="bottom"/>
          </w:tcPr>
          <w:p>
            <w:pPr>
              <w:spacing w:after="0"/>
              <w:rPr>
                <w:sz w:val="24"/>
                <w:szCs w:val="24"/>
                <w:color w:val="auto"/>
              </w:rPr>
            </w:pPr>
          </w:p>
        </w:tc>
      </w:tr>
      <w:tr>
        <w:trPr>
          <w:trHeight w:val="212"/>
        </w:trPr>
        <w:tc>
          <w:tcPr>
            <w:tcW w:w="7420" w:type="dxa"/>
            <w:vAlign w:val="bottom"/>
            <w:gridSpan w:val="3"/>
          </w:tcPr>
          <w:p>
            <w:pPr>
              <w:jc w:val="center"/>
              <w:ind w:right="1800"/>
              <w:spacing w:after="0"/>
              <w:rPr>
                <w:sz w:val="20"/>
                <w:szCs w:val="20"/>
                <w:color w:val="auto"/>
              </w:rPr>
            </w:pPr>
            <w:r>
              <w:rPr>
                <w:rFonts w:ascii="Arial" w:cs="Arial" w:eastAsia="Arial" w:hAnsi="Arial"/>
                <w:sz w:val="18"/>
                <w:szCs w:val="18"/>
                <w:b w:val="1"/>
                <w:bCs w:val="1"/>
                <w:color w:val="auto"/>
                <w:w w:val="93"/>
              </w:rPr>
              <w:t>Falls Church, Virginia</w:t>
            </w:r>
          </w:p>
        </w:tc>
        <w:tc>
          <w:tcPr>
            <w:tcW w:w="3600" w:type="dxa"/>
            <w:vAlign w:val="bottom"/>
          </w:tcPr>
          <w:p>
            <w:pPr>
              <w:jc w:val="center"/>
              <w:ind w:right="1621"/>
              <w:spacing w:after="0"/>
              <w:rPr>
                <w:sz w:val="20"/>
                <w:szCs w:val="20"/>
                <w:color w:val="auto"/>
              </w:rPr>
            </w:pPr>
            <w:r>
              <w:rPr>
                <w:rFonts w:ascii="Arial" w:cs="Arial" w:eastAsia="Arial" w:hAnsi="Arial"/>
                <w:sz w:val="18"/>
                <w:szCs w:val="18"/>
                <w:b w:val="1"/>
                <w:bCs w:val="1"/>
                <w:color w:val="auto"/>
                <w:w w:val="91"/>
              </w:rPr>
              <w:t>22042</w:t>
            </w:r>
          </w:p>
        </w:tc>
      </w:tr>
      <w:tr>
        <w:trPr>
          <w:trHeight w:val="186"/>
        </w:trPr>
        <w:tc>
          <w:tcPr>
            <w:tcW w:w="742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0" w:type="dxa"/>
            <w:vAlign w:val="bottom"/>
          </w:tcPr>
          <w:p>
            <w:pPr>
              <w:jc w:val="center"/>
              <w:ind w:right="1621"/>
              <w:spacing w:after="0"/>
              <w:rPr>
                <w:sz w:val="20"/>
                <w:szCs w:val="20"/>
                <w:color w:val="auto"/>
              </w:rPr>
            </w:pPr>
            <w:r>
              <w:rPr>
                <w:rFonts w:ascii="Arial" w:cs="Arial" w:eastAsia="Arial" w:hAnsi="Arial"/>
                <w:sz w:val="14"/>
                <w:szCs w:val="14"/>
                <w:b w:val="1"/>
                <w:bCs w:val="1"/>
                <w:color w:val="auto"/>
                <w:w w:val="92"/>
              </w:rPr>
              <w:t>(Zip code)</w:t>
            </w:r>
          </w:p>
        </w:tc>
      </w:tr>
      <w:tr>
        <w:trPr>
          <w:trHeight w:val="350"/>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03"/>
        </w:trPr>
        <w:tc>
          <w:tcPr>
            <w:tcW w:w="4340" w:type="dxa"/>
            <w:vAlign w:val="bottom"/>
          </w:tcPr>
          <w:p>
            <w:pPr>
              <w:spacing w:after="0"/>
              <w:rPr>
                <w:sz w:val="24"/>
                <w:szCs w:val="24"/>
                <w:color w:val="auto"/>
              </w:rPr>
            </w:pPr>
          </w:p>
        </w:tc>
        <w:tc>
          <w:tcPr>
            <w:tcW w:w="308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9"/>
              </w:rPr>
              <w:t>Senior Debt Securities</w:t>
            </w:r>
          </w:p>
        </w:tc>
        <w:tc>
          <w:tcPr>
            <w:tcW w:w="360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(Title of the indenture securities)</w:t>
            </w:r>
          </w:p>
        </w:tc>
        <w:tc>
          <w:tcPr>
            <w:tcW w:w="3600" w:type="dxa"/>
            <w:vAlign w:val="bottom"/>
          </w:tcPr>
          <w:p>
            <w:pPr>
              <w:spacing w:after="0"/>
              <w:rPr>
                <w:sz w:val="16"/>
                <w:szCs w:val="16"/>
                <w:color w:val="auto"/>
              </w:rPr>
            </w:pPr>
          </w:p>
        </w:tc>
      </w:tr>
      <w:tr>
        <w:trPr>
          <w:trHeight w:val="228"/>
        </w:trPr>
        <w:tc>
          <w:tcPr>
            <w:tcW w:w="43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bl>
    <w:p>
      <w:pPr>
        <w:sectPr>
          <w:pgSz w:w="11900" w:h="16838" w:orient="portrait"/>
          <w:cols w:equalWidth="0" w:num="1">
            <w:col w:w="11024"/>
          </w:cols>
          <w:pgMar w:left="436" w:top="121" w:right="439" w:bottom="1440" w:gutter="0" w:footer="0" w:header="0"/>
        </w:sectPr>
      </w:pPr>
    </w:p>
    <w:bookmarkStart w:id="33" w:name="page34"/>
    <w:bookmarkEnd w:id="33"/>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information. Furnish the following information as to the Trustee:</w:t>
      </w:r>
    </w:p>
    <w:p>
      <w:pPr>
        <w:spacing w:after="0" w:line="131" w:lineRule="exact"/>
        <w:rPr>
          <w:sz w:val="20"/>
          <w:szCs w:val="20"/>
          <w:color w:val="auto"/>
        </w:rPr>
      </w:pPr>
    </w:p>
    <w:p>
      <w:pPr>
        <w:ind w:left="964" w:hanging="532"/>
        <w:spacing w:after="0"/>
        <w:tabs>
          <w:tab w:leader="none" w:pos="96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Address</w:t>
            </w:r>
          </w:p>
        </w:tc>
      </w:tr>
      <w:tr>
        <w:trPr>
          <w:trHeight w:val="195"/>
        </w:trPr>
        <w:tc>
          <w:tcPr>
            <w:tcW w:w="5620" w:type="dxa"/>
            <w:vAlign w:val="bottom"/>
            <w:gridSpan w:val="2"/>
          </w:tcPr>
          <w:p>
            <w:pPr>
              <w:spacing w:after="0" w:line="195" w:lineRule="exact"/>
              <w:rPr>
                <w:sz w:val="20"/>
                <w:szCs w:val="20"/>
                <w:color w:val="auto"/>
              </w:rPr>
            </w:pPr>
            <w:r>
              <w:rPr>
                <w:rFonts w:ascii="Arial" w:cs="Arial" w:eastAsia="Arial" w:hAnsi="Arial"/>
                <w:sz w:val="18"/>
                <w:szCs w:val="18"/>
                <w:color w:val="auto"/>
                <w:w w:val="93"/>
              </w:rPr>
              <w:t>Superintendent of the Department of Financial Services of the State of New</w:t>
            </w:r>
          </w:p>
        </w:tc>
        <w:tc>
          <w:tcPr>
            <w:tcW w:w="1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w w:val="92"/>
              </w:rPr>
              <w:t>One State Street, New York, N.Y. 10004-1417, and Albany, N.Y. 12223</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York</w:t>
            </w: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24"/>
        </w:trPr>
        <w:tc>
          <w:tcPr>
            <w:tcW w:w="5740" w:type="dxa"/>
            <w:vAlign w:val="bottom"/>
            <w:gridSpan w:val="3"/>
          </w:tcPr>
          <w:p>
            <w:pPr>
              <w:spacing w:after="0"/>
              <w:rPr>
                <w:sz w:val="20"/>
                <w:szCs w:val="20"/>
                <w:color w:val="auto"/>
              </w:rPr>
            </w:pPr>
            <w:r>
              <w:rPr>
                <w:rFonts w:ascii="Arial" w:cs="Arial" w:eastAsia="Arial" w:hAnsi="Arial"/>
                <w:sz w:val="18"/>
                <w:szCs w:val="18"/>
                <w:color w:val="auto"/>
              </w:rPr>
              <w:t>Federal Reserve Bank of New York</w:t>
            </w:r>
          </w:p>
        </w:tc>
        <w:tc>
          <w:tcPr>
            <w:tcW w:w="5280" w:type="dxa"/>
            <w:vAlign w:val="bottom"/>
          </w:tcPr>
          <w:p>
            <w:pPr>
              <w:spacing w:after="0"/>
              <w:rPr>
                <w:sz w:val="20"/>
                <w:szCs w:val="20"/>
                <w:color w:val="auto"/>
              </w:rPr>
            </w:pPr>
            <w:r>
              <w:rPr>
                <w:rFonts w:ascii="Arial" w:cs="Arial" w:eastAsia="Arial" w:hAnsi="Arial"/>
                <w:sz w:val="18"/>
                <w:szCs w:val="18"/>
                <w:color w:val="auto"/>
              </w:rPr>
              <w:t>33 Liberty Street, New York, N.Y. 10045</w:t>
            </w:r>
          </w:p>
        </w:tc>
      </w:tr>
      <w:tr>
        <w:trPr>
          <w:trHeight w:val="310"/>
        </w:trPr>
        <w:tc>
          <w:tcPr>
            <w:tcW w:w="5740" w:type="dxa"/>
            <w:vAlign w:val="bottom"/>
            <w:gridSpan w:val="3"/>
          </w:tcPr>
          <w:p>
            <w:pPr>
              <w:spacing w:after="0"/>
              <w:rPr>
                <w:sz w:val="20"/>
                <w:szCs w:val="20"/>
                <w:color w:val="auto"/>
              </w:rPr>
            </w:pPr>
            <w:r>
              <w:rPr>
                <w:rFonts w:ascii="Arial" w:cs="Arial" w:eastAsia="Arial" w:hAnsi="Arial"/>
                <w:sz w:val="18"/>
                <w:szCs w:val="18"/>
                <w:color w:val="auto"/>
              </w:rPr>
              <w:t>Federal Deposit Insurance Corporation</w:t>
            </w:r>
          </w:p>
        </w:tc>
        <w:tc>
          <w:tcPr>
            <w:tcW w:w="5280" w:type="dxa"/>
            <w:vAlign w:val="bottom"/>
          </w:tcPr>
          <w:p>
            <w:pPr>
              <w:spacing w:after="0"/>
              <w:rPr>
                <w:sz w:val="20"/>
                <w:szCs w:val="20"/>
                <w:color w:val="auto"/>
              </w:rPr>
            </w:pPr>
            <w:r>
              <w:rPr>
                <w:rFonts w:ascii="Arial" w:cs="Arial" w:eastAsia="Arial" w:hAnsi="Arial"/>
                <w:sz w:val="18"/>
                <w:szCs w:val="18"/>
                <w:color w:val="auto"/>
              </w:rPr>
              <w:t>550 17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 NW</w:t>
            </w:r>
          </w:p>
        </w:tc>
      </w:tr>
      <w:tr>
        <w:trPr>
          <w:trHeight w:val="230"/>
        </w:trPr>
        <w:tc>
          <w:tcPr>
            <w:tcW w:w="8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Washington, D.C. 20429</w:t>
            </w:r>
          </w:p>
        </w:tc>
      </w:tr>
      <w:tr>
        <w:trPr>
          <w:trHeight w:val="323"/>
        </w:trPr>
        <w:tc>
          <w:tcPr>
            <w:tcW w:w="5740" w:type="dxa"/>
            <w:vAlign w:val="bottom"/>
            <w:gridSpan w:val="3"/>
          </w:tcPr>
          <w:p>
            <w:pPr>
              <w:spacing w:after="0"/>
              <w:rPr>
                <w:sz w:val="20"/>
                <w:szCs w:val="20"/>
                <w:color w:val="auto"/>
              </w:rPr>
            </w:pPr>
            <w:r>
              <w:rPr>
                <w:rFonts w:ascii="Arial" w:cs="Arial" w:eastAsia="Arial" w:hAnsi="Arial"/>
                <w:sz w:val="18"/>
                <w:szCs w:val="18"/>
                <w:color w:val="auto"/>
              </w:rPr>
              <w:t>The Clearing House Association L.L.C.</w:t>
            </w:r>
          </w:p>
        </w:tc>
        <w:tc>
          <w:tcPr>
            <w:tcW w:w="5280" w:type="dxa"/>
            <w:vAlign w:val="bottom"/>
          </w:tcPr>
          <w:p>
            <w:pPr>
              <w:spacing w:after="0"/>
              <w:rPr>
                <w:sz w:val="20"/>
                <w:szCs w:val="20"/>
                <w:color w:val="auto"/>
              </w:rPr>
            </w:pPr>
            <w:r>
              <w:rPr>
                <w:rFonts w:ascii="Arial" w:cs="Arial" w:eastAsia="Arial" w:hAnsi="Arial"/>
                <w:sz w:val="18"/>
                <w:szCs w:val="18"/>
                <w:color w:val="auto"/>
              </w:rPr>
              <w:t>100 Broad Street</w:t>
            </w:r>
          </w:p>
        </w:tc>
      </w:tr>
      <w:tr>
        <w:trPr>
          <w:trHeight w:val="230"/>
        </w:trPr>
        <w:tc>
          <w:tcPr>
            <w:tcW w:w="8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New York, N.Y. 10004</w:t>
            </w:r>
          </w:p>
        </w:tc>
      </w:tr>
      <w:tr>
        <w:trPr>
          <w:trHeight w:val="594"/>
        </w:trPr>
        <w:tc>
          <w:tcPr>
            <w:tcW w:w="860" w:type="dxa"/>
            <w:vAlign w:val="bottom"/>
          </w:tcPr>
          <w:p>
            <w:pPr>
              <w:ind w:left="420"/>
              <w:spacing w:after="0"/>
              <w:rPr>
                <w:sz w:val="20"/>
                <w:szCs w:val="20"/>
                <w:color w:val="auto"/>
              </w:rPr>
            </w:pPr>
            <w:r>
              <w:rPr>
                <w:rFonts w:ascii="Arial" w:cs="Arial" w:eastAsia="Arial" w:hAnsi="Arial"/>
                <w:sz w:val="18"/>
                <w:szCs w:val="18"/>
                <w:b w:val="1"/>
                <w:bCs w:val="1"/>
                <w:color w:val="auto"/>
              </w:rPr>
              <w:t>(b)</w:t>
            </w:r>
          </w:p>
        </w:tc>
        <w:tc>
          <w:tcPr>
            <w:tcW w:w="488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Whether it is authorized to exercise corporate trust powers.</w:t>
            </w:r>
          </w:p>
        </w:tc>
        <w:tc>
          <w:tcPr>
            <w:tcW w:w="5280" w:type="dxa"/>
            <w:vAlign w:val="bottom"/>
          </w:tcPr>
          <w:p>
            <w:pPr>
              <w:spacing w:after="0"/>
              <w:rPr>
                <w:sz w:val="24"/>
                <w:szCs w:val="24"/>
                <w:color w:val="auto"/>
              </w:rPr>
            </w:pPr>
          </w:p>
        </w:tc>
      </w:tr>
      <w:tr>
        <w:trPr>
          <w:trHeight w:val="324"/>
        </w:trPr>
        <w:tc>
          <w:tcPr>
            <w:tcW w:w="860" w:type="dxa"/>
            <w:vAlign w:val="bottom"/>
          </w:tcPr>
          <w:p>
            <w:pPr>
              <w:ind w:left="440"/>
              <w:spacing w:after="0"/>
              <w:rPr>
                <w:sz w:val="20"/>
                <w:szCs w:val="20"/>
                <w:color w:val="auto"/>
              </w:rPr>
            </w:pPr>
            <w:r>
              <w:rPr>
                <w:rFonts w:ascii="Arial" w:cs="Arial" w:eastAsia="Arial" w:hAnsi="Arial"/>
                <w:sz w:val="18"/>
                <w:szCs w:val="18"/>
                <w:color w:val="auto"/>
              </w:rPr>
              <w:t>Yes.</w:t>
            </w: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bl>
    <w:p>
      <w:pPr>
        <w:spacing w:after="0" w:line="346"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44" w:right="5120"/>
        <w:spacing w:after="0" w:line="38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333" w:lineRule="exact"/>
        <w:rPr>
          <w:rFonts w:ascii="Arial" w:cs="Arial" w:eastAsia="Arial" w:hAnsi="Arial"/>
          <w:sz w:val="18"/>
          <w:szCs w:val="18"/>
          <w:b w:val="1"/>
          <w:bCs w:val="1"/>
          <w:color w:val="auto"/>
        </w:rPr>
      </w:pPr>
    </w:p>
    <w:p>
      <w:pPr>
        <w:ind w:left="444" w:right="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w:t>
      </w:r>
    </w:p>
    <w:p>
      <w:pPr>
        <w:spacing w:after="0" w:line="71" w:lineRule="exact"/>
        <w:rPr>
          <w:rFonts w:ascii="Arial" w:cs="Arial" w:eastAsia="Arial" w:hAnsi="Arial"/>
          <w:sz w:val="18"/>
          <w:szCs w:val="18"/>
          <w:b w:val="1"/>
          <w:bCs w:val="1"/>
          <w:color w:val="auto"/>
        </w:rPr>
      </w:pPr>
    </w:p>
    <w:p>
      <w:pPr>
        <w:ind w:left="964" w:right="120" w:hanging="532"/>
        <w:spacing w:after="0" w:line="296" w:lineRule="auto"/>
        <w:tabs>
          <w:tab w:leader="none" w:pos="964" w:val="left"/>
        </w:tabs>
        <w:numPr>
          <w:ilvl w:val="1"/>
          <w:numId w:val="31"/>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93" w:lineRule="exact"/>
        <w:rPr>
          <w:rFonts w:ascii="Arial" w:cs="Arial" w:eastAsia="Arial" w:hAnsi="Arial"/>
          <w:sz w:val="16"/>
          <w:szCs w:val="16"/>
          <w:color w:val="auto"/>
        </w:rPr>
      </w:pPr>
    </w:p>
    <w:p>
      <w:pPr>
        <w:ind w:left="5464" w:hanging="106"/>
        <w:spacing w:after="0"/>
        <w:tabs>
          <w:tab w:leader="none" w:pos="5464" w:val="left"/>
        </w:tabs>
        <w:numPr>
          <w:ilvl w:val="2"/>
          <w:numId w:val="3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24"/>
          </w:cols>
          <w:pgMar w:left="436" w:top="270" w:right="439" w:bottom="1440" w:gutter="0" w:footer="0" w:header="0"/>
        </w:sectPr>
      </w:pPr>
    </w:p>
    <w:bookmarkStart w:id="34" w:name="page35"/>
    <w:bookmarkEnd w:id="34"/>
    <w:p>
      <w:pPr>
        <w:ind w:left="532" w:hanging="532"/>
        <w:spacing w:after="0"/>
        <w:tabs>
          <w:tab w:leader="none" w:pos="532"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the existing By-laws of the Trustee (Exhibit 4 to Form T-1 filed with Registration Statement No. 333-261533).</w:t>
      </w:r>
    </w:p>
    <w:p>
      <w:pPr>
        <w:spacing w:after="0" w:line="131" w:lineRule="exact"/>
        <w:rPr>
          <w:sz w:val="20"/>
          <w:szCs w:val="20"/>
          <w:color w:val="auto"/>
        </w:rPr>
      </w:pPr>
    </w:p>
    <w:p>
      <w:pPr>
        <w:ind w:left="532" w:right="900" w:hanging="532"/>
        <w:spacing w:after="0" w:line="277" w:lineRule="auto"/>
        <w:tabs>
          <w:tab w:leader="none" w:pos="5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 (Exhibit 6 to Form T-1 filed with Registration Statement No. 333-229519).</w:t>
      </w:r>
    </w:p>
    <w:p>
      <w:pPr>
        <w:spacing w:after="0" w:line="75" w:lineRule="exact"/>
        <w:rPr>
          <w:rFonts w:ascii="Arial" w:cs="Arial" w:eastAsia="Arial" w:hAnsi="Arial"/>
          <w:sz w:val="18"/>
          <w:szCs w:val="18"/>
          <w:color w:val="auto"/>
        </w:rPr>
      </w:pPr>
    </w:p>
    <w:p>
      <w:pPr>
        <w:ind w:left="532" w:hanging="532"/>
        <w:spacing w:after="0" w:line="277" w:lineRule="auto"/>
        <w:tabs>
          <w:tab w:leader="none" w:pos="5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pacing w:after="0" w:line="102" w:lineRule="exact"/>
        <w:rPr>
          <w:rFonts w:ascii="Arial" w:cs="Arial" w:eastAsia="Arial" w:hAnsi="Arial"/>
          <w:sz w:val="18"/>
          <w:szCs w:val="18"/>
          <w:color w:val="auto"/>
        </w:rPr>
      </w:pPr>
    </w:p>
    <w:p>
      <w:pPr>
        <w:ind w:left="5032" w:hanging="106"/>
        <w:spacing w:after="0"/>
        <w:tabs>
          <w:tab w:leader="none" w:pos="5032" w:val="left"/>
        </w:tabs>
        <w:numPr>
          <w:ilvl w:val="1"/>
          <w:numId w:val="3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192"/>
          </w:cols>
          <w:pgMar w:left="868" w:top="274" w:right="8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10th day of March, 2023.</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Francine Kincaid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440" w:top="274"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240 Greenwich Street, New York, N.Y. 10286</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And Foreign and Domestic Subsidiaries, a member of the Federal Reserve System, at the close of business December 31, 2022, published in accordance with a call made by the Federal Reserve Bank of this District pursuant to the provisions of the Federal Reserve Act.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720" w:type="dxa"/>
            <w:vAlign w:val="bottom"/>
            <w:gridSpan w:val="2"/>
          </w:tcPr>
          <w:p>
            <w:pPr>
              <w:spacing w:after="0"/>
              <w:rPr>
                <w:sz w:val="20"/>
                <w:szCs w:val="20"/>
                <w:color w:val="auto"/>
              </w:rPr>
            </w:pPr>
            <w:r>
              <w:rPr>
                <w:rFonts w:ascii="Arial" w:cs="Arial" w:eastAsia="Arial" w:hAnsi="Arial"/>
                <w:sz w:val="14"/>
                <w:szCs w:val="14"/>
                <w:color w:val="auto"/>
                <w:w w:val="95"/>
              </w:rPr>
              <w:t>Dollar amounts in thousands</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and balances due from depository institutions:</w:t>
            </w: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Noninterest-bearing balances and currency and coin</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4,164,000</w:t>
            </w: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balances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101,356,000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Securities:</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Held-to-maturity securities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56,192,000</w:t>
            </w: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Available-for-sale debt securities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86,291,000</w:t>
            </w: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securities with readily determinable fair values not held for trading</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funds sold in domestic offices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Securities purchased under agreements to resell</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10,070,000</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Loans and leases held for sale</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and leases held for investment</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31,535,000</w:t>
            </w: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LESS: Allowance for loan and lease losses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154,000</w:t>
            </w: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and leases held for investment, net of allowance</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31,381,000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Trading assets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4,906,000</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2,810,000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1,286,000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6,937,000</w:t>
            </w: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Other assets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19,250,000</w:t>
            </w:r>
          </w:p>
        </w:tc>
        <w:tc>
          <w:tcPr>
            <w:tcW w:w="60" w:type="dxa"/>
            <w:vAlign w:val="bottom"/>
          </w:tcPr>
          <w:p>
            <w:pPr>
              <w:spacing w:after="0"/>
              <w:rPr>
                <w:sz w:val="19"/>
                <w:szCs w:val="19"/>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324,646,000</w:t>
            </w:r>
          </w:p>
        </w:tc>
      </w:tr>
      <w:tr>
        <w:trPr>
          <w:trHeight w:val="20"/>
        </w:trPr>
        <w:tc>
          <w:tcPr>
            <w:tcW w:w="93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Deposits: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 domestic offices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181,486,000</w:t>
            </w: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Noninterest-bearing</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76,243,000</w:t>
            </w: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105,243,000</w:t>
            </w: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In foreign offices, Edge and Agreement subsidiaries, and IBFs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100,047,000</w:t>
            </w: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5,807,000</w:t>
            </w: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Interest-bearing</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94,240,000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ind w:left="360"/>
              <w:spacing w:after="0"/>
              <w:rPr>
                <w:sz w:val="20"/>
                <w:szCs w:val="20"/>
                <w:color w:val="auto"/>
              </w:rPr>
            </w:pPr>
            <w:r>
              <w:rPr>
                <w:rFonts w:ascii="Arial" w:cs="Arial" w:eastAsia="Arial" w:hAnsi="Arial"/>
                <w:sz w:val="18"/>
                <w:szCs w:val="18"/>
                <w:color w:val="auto"/>
              </w:rPr>
              <w:t>Federal funds purchased in domestic offices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sold under agreements to repurchase</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3,887,000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Trading liabilities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2,867,000</w:t>
            </w:r>
          </w:p>
        </w:tc>
      </w:tr>
      <w:tr>
        <w:trPr>
          <w:trHeight w:val="202"/>
        </w:trPr>
        <w:tc>
          <w:tcPr>
            <w:tcW w:w="10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borrowed money:</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0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1,171,000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Not applicable</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8,438,000</w:t>
            </w:r>
          </w:p>
        </w:tc>
      </w:tr>
      <w:tr>
        <w:trPr>
          <w:trHeight w:val="223"/>
        </w:trPr>
        <w:tc>
          <w:tcPr>
            <w:tcW w:w="10000" w:type="dxa"/>
            <w:vAlign w:val="bottom"/>
          </w:tcPr>
          <w:p>
            <w:pPr>
              <w:spacing w:after="0"/>
              <w:rPr>
                <w:sz w:val="20"/>
                <w:szCs w:val="20"/>
                <w:color w:val="auto"/>
              </w:rPr>
            </w:pPr>
            <w:r>
              <w:rPr>
                <w:rFonts w:ascii="Arial" w:cs="Arial" w:eastAsia="Arial" w:hAnsi="Arial"/>
                <w:sz w:val="18"/>
                <w:szCs w:val="18"/>
                <w:color w:val="auto"/>
              </w:rPr>
              <w:t>Total liabilities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297,896,000</w:t>
            </w:r>
          </w:p>
        </w:tc>
        <w:tc>
          <w:tcPr>
            <w:tcW w:w="60" w:type="dxa"/>
            <w:vAlign w:val="bottom"/>
          </w:tcPr>
          <w:p>
            <w:pPr>
              <w:spacing w:after="0"/>
              <w:rPr>
                <w:sz w:val="19"/>
                <w:szCs w:val="19"/>
                <w:color w:val="auto"/>
              </w:rPr>
            </w:pPr>
          </w:p>
        </w:tc>
      </w:tr>
      <w:tr>
        <w:trPr>
          <w:trHeight w:val="20"/>
        </w:trPr>
        <w:tc>
          <w:tcPr>
            <w:tcW w:w="10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CAPITAL</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1,135,000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11,968,000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18,016,000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-4,369,000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Total bank equity capital</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26,750,000</w:t>
            </w: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10000" w:type="dxa"/>
            <w:vAlign w:val="bottom"/>
          </w:tcPr>
          <w:p>
            <w:pPr>
              <w:spacing w:after="0"/>
              <w:rPr>
                <w:sz w:val="20"/>
                <w:szCs w:val="20"/>
                <w:color w:val="auto"/>
              </w:rPr>
            </w:pPr>
            <w:r>
              <w:rPr>
                <w:rFonts w:ascii="Arial" w:cs="Arial" w:eastAsia="Arial" w:hAnsi="Arial"/>
                <w:sz w:val="18"/>
                <w:szCs w:val="18"/>
                <w:color w:val="auto"/>
              </w:rPr>
              <w:t>Total equity capital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26,750,000</w:t>
            </w:r>
          </w:p>
        </w:tc>
        <w:tc>
          <w:tcPr>
            <w:tcW w:w="60" w:type="dxa"/>
            <w:vAlign w:val="bottom"/>
          </w:tcPr>
          <w:p>
            <w:pPr>
              <w:spacing w:after="0"/>
              <w:rPr>
                <w:sz w:val="19"/>
                <w:szCs w:val="19"/>
                <w:color w:val="auto"/>
              </w:rPr>
            </w:pPr>
          </w:p>
        </w:tc>
      </w:tr>
      <w:tr>
        <w:trPr>
          <w:trHeight w:val="216"/>
        </w:trPr>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324,646,000</w:t>
            </w:r>
          </w:p>
        </w:tc>
      </w:tr>
      <w:tr>
        <w:trPr>
          <w:trHeight w:val="20"/>
        </w:trPr>
        <w:tc>
          <w:tcPr>
            <w:tcW w:w="10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38" w:name="page39"/>
    <w:bookmarkEnd w:id="38"/>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Dermot McDonogh, Chief Financial Officer of the above-named bank do hereby declare that this Report of Condition is true and correct to the best of my knowledge and belief.</w:t>
      </w:r>
    </w:p>
    <w:p>
      <w:pPr>
        <w:spacing w:after="0" w:line="170"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Dermot McDonogh</w:t>
      </w:r>
    </w:p>
    <w:p>
      <w:pPr>
        <w:spacing w:after="0" w:line="23"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Robin A. Vince</w:t>
            </w: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Frederick O. Terrell</w:t>
            </w:r>
          </w:p>
        </w:tc>
        <w:tc>
          <w:tcPr>
            <w:tcW w:w="7980" w:type="dxa"/>
            <w:vAlign w:val="bottom"/>
            <w:vMerge w:val="restart"/>
          </w:tcPr>
          <w:p>
            <w:pPr>
              <w:ind w:left="1580"/>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Arial" w:cs="Arial" w:eastAsia="Arial" w:hAnsi="Arial"/>
                <w:sz w:val="18"/>
                <w:szCs w:val="18"/>
                <w:color w:val="auto"/>
              </w:rPr>
              <w:t>Joseph J. Echevarria</w:t>
            </w:r>
          </w:p>
        </w:tc>
        <w:tc>
          <w:tcPr>
            <w:tcW w:w="7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040" w:type="dxa"/>
            <w:vAlign w:val="bottom"/>
            <w:vMerge w:val="continue"/>
          </w:tcPr>
          <w:p>
            <w:pPr>
              <w:spacing w:after="0"/>
              <w:rPr>
                <w:sz w:val="7"/>
                <w:szCs w:val="7"/>
                <w:color w:val="auto"/>
              </w:rPr>
            </w:pPr>
          </w:p>
        </w:tc>
        <w:tc>
          <w:tcPr>
            <w:tcW w:w="7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7"/>
        </w:trPr>
        <w:tc>
          <w:tcPr>
            <w:tcW w:w="30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-753745</wp:posOffset>
            </wp:positionV>
            <wp:extent cx="171450" cy="5829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171450" cy="58293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Northrop Grumman Corporation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Table 1: Newly Registered and Carry Forward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7"/>
              </w:rPr>
              <w:t>Filing Fee</w:t>
            </w: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Previously</w:t>
            </w: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Paid in</w:t>
            </w: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Connection</w:t>
            </w: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20" w:type="dxa"/>
            <w:vAlign w:val="bottom"/>
            <w:vMerge w:val="restart"/>
          </w:tcPr>
          <w:p>
            <w:pPr>
              <w:jc w:val="center"/>
              <w:ind w:left="61"/>
              <w:spacing w:after="0"/>
              <w:rPr>
                <w:sz w:val="20"/>
                <w:szCs w:val="20"/>
                <w:color w:val="auto"/>
              </w:rPr>
            </w:pPr>
            <w:r>
              <w:rPr>
                <w:rFonts w:ascii="Arial" w:cs="Arial" w:eastAsia="Arial" w:hAnsi="Arial"/>
                <w:sz w:val="13"/>
                <w:szCs w:val="13"/>
                <w:color w:val="auto"/>
                <w:w w:val="80"/>
              </w:rPr>
              <w:t>Fee</w:t>
            </w: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with</w:t>
            </w: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82"/>
              </w:rPr>
              <w:t>Proposed</w:t>
            </w:r>
          </w:p>
        </w:tc>
        <w:tc>
          <w:tcPr>
            <w:tcW w:w="76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87"/>
              </w:rPr>
              <w:t>Carry</w:t>
            </w:r>
          </w:p>
        </w:tc>
        <w:tc>
          <w:tcPr>
            <w:tcW w:w="76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3"/>
              </w:rPr>
              <w:t>Unsold</w:t>
            </w: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720" w:type="dxa"/>
            <w:vAlign w:val="bottom"/>
          </w:tcPr>
          <w:p>
            <w:pPr>
              <w:jc w:val="center"/>
              <w:ind w:left="61"/>
              <w:spacing w:after="0" w:line="135" w:lineRule="exact"/>
              <w:rPr>
                <w:sz w:val="20"/>
                <w:szCs w:val="20"/>
                <w:color w:val="auto"/>
              </w:rPr>
            </w:pPr>
            <w:r>
              <w:rPr>
                <w:rFonts w:ascii="Arial" w:cs="Arial" w:eastAsia="Arial" w:hAnsi="Arial"/>
                <w:sz w:val="13"/>
                <w:szCs w:val="13"/>
                <w:color w:val="auto"/>
                <w:w w:val="90"/>
              </w:rPr>
              <w:t>Calculation</w:t>
            </w: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7"/>
              <w:spacing w:after="0" w:line="135" w:lineRule="exact"/>
              <w:rPr>
                <w:sz w:val="20"/>
                <w:szCs w:val="20"/>
                <w:color w:val="auto"/>
              </w:rPr>
            </w:pPr>
            <w:r>
              <w:rPr>
                <w:rFonts w:ascii="Arial" w:cs="Arial" w:eastAsia="Arial" w:hAnsi="Arial"/>
                <w:sz w:val="13"/>
                <w:szCs w:val="13"/>
                <w:color w:val="auto"/>
                <w:w w:val="92"/>
              </w:rPr>
              <w:t>Maximum</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Maximum</w:t>
            </w: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4"/>
              </w:rPr>
              <w:t>Carry</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Carry</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7"/>
              </w:rPr>
              <w:t>Securities</w:t>
            </w: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20" w:type="dxa"/>
            <w:vAlign w:val="bottom"/>
          </w:tcPr>
          <w:p>
            <w:pPr>
              <w:jc w:val="center"/>
              <w:ind w:left="61"/>
              <w:spacing w:after="0" w:line="135" w:lineRule="exact"/>
              <w:rPr>
                <w:sz w:val="20"/>
                <w:szCs w:val="20"/>
                <w:color w:val="auto"/>
              </w:rPr>
            </w:pPr>
            <w:r>
              <w:rPr>
                <w:rFonts w:ascii="Arial" w:cs="Arial" w:eastAsia="Arial" w:hAnsi="Arial"/>
                <w:sz w:val="13"/>
                <w:szCs w:val="13"/>
                <w:color w:val="auto"/>
                <w:w w:val="89"/>
              </w:rPr>
              <w:t>or Carry</w:t>
            </w: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7"/>
              <w:spacing w:after="0" w:line="135" w:lineRule="exact"/>
              <w:rPr>
                <w:sz w:val="20"/>
                <w:szCs w:val="20"/>
                <w:color w:val="auto"/>
              </w:rPr>
            </w:pPr>
            <w:r>
              <w:rPr>
                <w:rFonts w:ascii="Arial" w:cs="Arial" w:eastAsia="Arial" w:hAnsi="Arial"/>
                <w:sz w:val="13"/>
                <w:szCs w:val="13"/>
                <w:color w:val="auto"/>
                <w:w w:val="95"/>
              </w:rPr>
              <w:t>Offering</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w:t>
            </w:r>
          </w:p>
        </w:tc>
        <w:tc>
          <w:tcPr>
            <w:tcW w:w="4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8"/>
              </w:rPr>
              <w:t>Forward</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Forward</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8"/>
              </w:rPr>
              <w:t>Initial</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to Be</w:t>
            </w: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79"/>
              </w:rPr>
              <w:t>Class</w:t>
            </w:r>
          </w:p>
        </w:tc>
        <w:tc>
          <w:tcPr>
            <w:tcW w:w="720" w:type="dxa"/>
            <w:vAlign w:val="bottom"/>
          </w:tcPr>
          <w:p>
            <w:pPr>
              <w:jc w:val="center"/>
              <w:ind w:left="61"/>
              <w:spacing w:after="0" w:line="135" w:lineRule="exact"/>
              <w:rPr>
                <w:sz w:val="20"/>
                <w:szCs w:val="20"/>
                <w:color w:val="auto"/>
              </w:rPr>
            </w:pPr>
            <w:r>
              <w:rPr>
                <w:rFonts w:ascii="Arial" w:cs="Arial" w:eastAsia="Arial" w:hAnsi="Arial"/>
                <w:sz w:val="13"/>
                <w:szCs w:val="13"/>
                <w:color w:val="auto"/>
                <w:w w:val="88"/>
              </w:rPr>
              <w:t>Forward</w:t>
            </w:r>
          </w:p>
        </w:tc>
        <w:tc>
          <w:tcPr>
            <w:tcW w:w="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Amount</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4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Form</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File</w:t>
            </w: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Effective</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Carried</w:t>
            </w:r>
          </w:p>
        </w:tc>
        <w:tc>
          <w:tcPr>
            <w:tcW w:w="0" w:type="dxa"/>
            <w:vAlign w:val="bottom"/>
          </w:tcPr>
          <w:p>
            <w:pPr>
              <w:spacing w:after="0"/>
              <w:rPr>
                <w:sz w:val="1"/>
                <w:szCs w:val="1"/>
                <w:color w:val="auto"/>
              </w:rPr>
            </w:pPr>
          </w:p>
        </w:tc>
      </w:tr>
      <w:tr>
        <w:trPr>
          <w:trHeight w:val="174"/>
        </w:trPr>
        <w:tc>
          <w:tcPr>
            <w:tcW w:w="232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Title</w:t>
            </w:r>
          </w:p>
        </w:tc>
        <w:tc>
          <w:tcPr>
            <w:tcW w:w="720" w:type="dxa"/>
            <w:vAlign w:val="bottom"/>
            <w:tcBorders>
              <w:bottom w:val="single" w:sz="8" w:color="auto"/>
            </w:tcBorders>
          </w:tcPr>
          <w:p>
            <w:pPr>
              <w:jc w:val="center"/>
              <w:ind w:left="41"/>
              <w:spacing w:after="0"/>
              <w:rPr>
                <w:sz w:val="20"/>
                <w:szCs w:val="20"/>
                <w:color w:val="auto"/>
              </w:rPr>
            </w:pPr>
            <w:r>
              <w:rPr>
                <w:rFonts w:ascii="Arial" w:cs="Arial" w:eastAsia="Arial" w:hAnsi="Arial"/>
                <w:sz w:val="13"/>
                <w:szCs w:val="13"/>
                <w:color w:val="auto"/>
                <w:w w:val="89"/>
              </w:rPr>
              <w:t>Rule</w:t>
            </w:r>
          </w:p>
        </w:tc>
        <w:tc>
          <w:tcPr>
            <w:tcW w:w="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Registered</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Unit</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Number</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Forward</w:t>
            </w:r>
          </w:p>
        </w:tc>
        <w:tc>
          <w:tcPr>
            <w:tcW w:w="0" w:type="dxa"/>
            <w:vAlign w:val="bottom"/>
          </w:tcPr>
          <w:p>
            <w:pPr>
              <w:spacing w:after="0"/>
              <w:rPr>
                <w:sz w:val="1"/>
                <w:szCs w:val="1"/>
                <w:color w:val="auto"/>
              </w:rPr>
            </w:pPr>
          </w:p>
        </w:tc>
      </w:tr>
      <w:tr>
        <w:trPr>
          <w:trHeight w:val="231"/>
        </w:trPr>
        <w:tc>
          <w:tcPr>
            <w:tcW w:w="232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center"/>
              <w:ind w:left="121"/>
              <w:spacing w:after="0"/>
              <w:rPr>
                <w:sz w:val="20"/>
                <w:szCs w:val="20"/>
                <w:color w:val="auto"/>
              </w:rPr>
            </w:pPr>
            <w:r>
              <w:rPr>
                <w:rFonts w:ascii="Arial" w:cs="Arial" w:eastAsia="Arial" w:hAnsi="Arial"/>
                <w:sz w:val="18"/>
                <w:szCs w:val="18"/>
                <w:color w:val="auto"/>
                <w:w w:val="90"/>
              </w:rPr>
              <w:t>Newly Registered Securities</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Senior</w:t>
            </w:r>
          </w:p>
        </w:tc>
        <w:tc>
          <w:tcPr>
            <w:tcW w:w="7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7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 Paid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Debt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720" w:type="dxa"/>
            <w:vAlign w:val="bottom"/>
            <w:tcBorders>
              <w:bottom w:val="single" w:sz="8" w:color="auto"/>
            </w:tcBorders>
          </w:tcPr>
          <w:p>
            <w:pPr>
              <w:jc w:val="center"/>
              <w:ind w:left="41"/>
              <w:spacing w:after="0"/>
              <w:rPr>
                <w:sz w:val="20"/>
                <w:szCs w:val="20"/>
                <w:color w:val="auto"/>
              </w:rPr>
            </w:pPr>
            <w:r>
              <w:rPr>
                <w:rFonts w:ascii="Arial" w:cs="Arial" w:eastAsia="Arial" w:hAnsi="Arial"/>
                <w:sz w:val="18"/>
                <w:szCs w:val="18"/>
                <w:color w:val="auto"/>
                <w:w w:val="91"/>
              </w:rPr>
              <w:t>457(r)</w:t>
            </w:r>
          </w:p>
        </w:tc>
        <w:tc>
          <w:tcPr>
            <w:tcW w:w="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6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90"/>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7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par</w:t>
            </w:r>
          </w:p>
        </w:tc>
        <w:tc>
          <w:tcPr>
            <w:tcW w:w="7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value</w:t>
            </w:r>
          </w:p>
        </w:tc>
        <w:tc>
          <w:tcPr>
            <w:tcW w:w="7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$1.00 per</w:t>
            </w:r>
          </w:p>
        </w:tc>
        <w:tc>
          <w:tcPr>
            <w:tcW w:w="7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Fees to Be Paid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720" w:type="dxa"/>
            <w:vAlign w:val="bottom"/>
            <w:tcBorders>
              <w:bottom w:val="single" w:sz="8" w:color="auto"/>
            </w:tcBorders>
          </w:tcPr>
          <w:p>
            <w:pPr>
              <w:jc w:val="center"/>
              <w:ind w:left="41"/>
              <w:spacing w:after="0"/>
              <w:rPr>
                <w:sz w:val="20"/>
                <w:szCs w:val="20"/>
                <w:color w:val="auto"/>
              </w:rPr>
            </w:pPr>
            <w:r>
              <w:rPr>
                <w:rFonts w:ascii="Arial" w:cs="Arial" w:eastAsia="Arial" w:hAnsi="Arial"/>
                <w:sz w:val="18"/>
                <w:szCs w:val="18"/>
                <w:color w:val="auto"/>
                <w:w w:val="91"/>
              </w:rPr>
              <w:t>457(r)</w:t>
            </w:r>
          </w:p>
        </w:tc>
        <w:tc>
          <w:tcPr>
            <w:tcW w:w="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76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90"/>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9"/>
              </w:rPr>
              <w:t>Fees Previously Paid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20" w:type="dxa"/>
            <w:vAlign w:val="bottom"/>
            <w:tcBorders>
              <w:bottom w:val="single" w:sz="8" w:color="auto"/>
            </w:tcBorders>
          </w:tcPr>
          <w:p>
            <w:pPr>
              <w:jc w:val="center"/>
              <w:ind w:left="41"/>
              <w:spacing w:after="0"/>
              <w:rPr>
                <w:sz w:val="20"/>
                <w:szCs w:val="20"/>
                <w:color w:val="auto"/>
              </w:rPr>
            </w:pPr>
            <w:r>
              <w:rPr>
                <w:rFonts w:ascii="Arial" w:cs="Arial" w:eastAsia="Arial" w:hAnsi="Arial"/>
                <w:sz w:val="18"/>
                <w:szCs w:val="18"/>
                <w:color w:val="auto"/>
              </w:rPr>
              <w:t>N/A</w:t>
            </w:r>
          </w:p>
        </w:tc>
        <w:tc>
          <w:tcPr>
            <w:tcW w:w="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center"/>
              <w:ind w:right="419"/>
              <w:spacing w:after="0"/>
              <w:rPr>
                <w:sz w:val="20"/>
                <w:szCs w:val="20"/>
                <w:color w:val="auto"/>
              </w:rPr>
            </w:pPr>
            <w:r>
              <w:rPr>
                <w:rFonts w:ascii="Arial" w:cs="Arial" w:eastAsia="Arial" w:hAnsi="Arial"/>
                <w:sz w:val="18"/>
                <w:szCs w:val="18"/>
                <w:color w:val="auto"/>
                <w:w w:val="91"/>
              </w:rPr>
              <w:t>Carry Forward Securities</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2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1"/>
              </w:rPr>
              <w:t>Carry Forward Securities</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20" w:type="dxa"/>
            <w:vAlign w:val="bottom"/>
            <w:tcBorders>
              <w:bottom w:val="single" w:sz="8" w:color="auto"/>
            </w:tcBorders>
          </w:tcPr>
          <w:p>
            <w:pPr>
              <w:jc w:val="center"/>
              <w:ind w:left="41"/>
              <w:spacing w:after="0"/>
              <w:rPr>
                <w:sz w:val="20"/>
                <w:szCs w:val="20"/>
                <w:color w:val="auto"/>
              </w:rPr>
            </w:pPr>
            <w:r>
              <w:rPr>
                <w:rFonts w:ascii="Arial" w:cs="Arial" w:eastAsia="Arial" w:hAnsi="Arial"/>
                <w:sz w:val="18"/>
                <w:szCs w:val="18"/>
                <w:color w:val="auto"/>
              </w:rPr>
              <w:t>N/A</w:t>
            </w:r>
          </w:p>
        </w:tc>
        <w:tc>
          <w:tcPr>
            <w:tcW w:w="6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4"/>
          </w:tcPr>
          <w:p>
            <w:pPr>
              <w:jc w:val="right"/>
              <w:spacing w:after="0"/>
              <w:rPr>
                <w:sz w:val="20"/>
                <w:szCs w:val="20"/>
                <w:color w:val="auto"/>
              </w:rPr>
            </w:pPr>
            <w:r>
              <w:rPr>
                <w:rFonts w:ascii="Arial" w:cs="Arial" w:eastAsia="Arial" w:hAnsi="Arial"/>
                <w:sz w:val="18"/>
                <w:szCs w:val="18"/>
                <w:color w:val="auto"/>
              </w:rPr>
              <w:t>Total Offering Amounts</w:t>
            </w: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gridSpan w:val="4"/>
          </w:tcPr>
          <w:p>
            <w:pPr>
              <w:jc w:val="right"/>
              <w:spacing w:after="0"/>
              <w:rPr>
                <w:sz w:val="20"/>
                <w:szCs w:val="20"/>
                <w:color w:val="auto"/>
              </w:rPr>
            </w:pPr>
            <w:r>
              <w:rPr>
                <w:rFonts w:ascii="Arial" w:cs="Arial" w:eastAsia="Arial" w:hAnsi="Arial"/>
                <w:sz w:val="18"/>
                <w:szCs w:val="18"/>
                <w:color w:val="auto"/>
              </w:rPr>
              <w:t>Total Fees Previously Paid</w:t>
            </w: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Total Fee Offsets</w:t>
            </w: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color w:val="auto"/>
              </w:rPr>
              <w:t>Net Fee Due</w:t>
            </w:r>
          </w:p>
        </w:tc>
        <w:tc>
          <w:tcPr>
            <w:tcW w:w="7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4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20" w:hanging="424"/>
        <w:spacing w:after="0" w:line="268" w:lineRule="auto"/>
        <w:tabs>
          <w:tab w:leader="none" w:pos="4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or that are represented by depositary shares. Pursuant to Rule 416 under the Securities Act of 1933, as amended (the “Securities Act”), this registration statement also covers any additional securities that may be offered or issued in connection with any stock split, stock dividend or pursuant to the anti-dilution provisions of any of the securities. Separate consideration may or may not be received for securities that are issuable upon conversion, exercise or exchange of other securities.</w:t>
      </w:r>
    </w:p>
    <w:p>
      <w:pPr>
        <w:ind w:left="424" w:right="140" w:hanging="424"/>
        <w:spacing w:after="0" w:line="260"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accordance with Securities Act Rules 456(b) and 457(r), the registrant is deferring payment of all registration fees and will pay the registration fees subsequently in advance or on a “pay-as-you-go” basis.</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lvl w:ilvl="1">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lvl w:ilvl="1">
      <w:lvlJc w:val="left"/>
      <w:lvlText w:val="(%2)"/>
      <w:numFmt w:val="lowerRoman"/>
      <w:start w:val="1"/>
    </w:lvl>
  </w:abstractNum>
  <w:abstractNum w:abstractNumId="17">
    <w:nsid w:val="B03E0C6"/>
    <w:multiLevelType w:val="hybridMultilevel"/>
    <w:lvl w:ilvl="0">
      <w:lvlJc w:val="left"/>
      <w:lvlText w:val="(%1)"/>
      <w:numFmt w:val="lowerRoman"/>
      <w:start w:val="3"/>
    </w:lvl>
  </w:abstractNum>
  <w:abstractNum w:abstractNumId="18">
    <w:nsid w:val="189A769B"/>
    <w:multiLevelType w:val="hybridMultilevel"/>
    <w:lvl w:ilvl="0">
      <w:lvlJc w:val="left"/>
      <w:lvlText w:val="(%1)"/>
      <w:numFmt w:val="decimal"/>
      <w:start w:val="2"/>
    </w:lvl>
    <w:lvl w:ilvl="1">
      <w:lvlJc w:val="left"/>
      <w:lvlText w:val="(%2)"/>
      <w:numFmt w:val="lowerRoman"/>
      <w:start w:val="1"/>
    </w:lvl>
  </w:abstractNum>
  <w:abstractNum w:abstractNumId="19">
    <w:nsid w:val="54E49EB4"/>
    <w:multiLevelType w:val="hybridMultilevel"/>
    <w:lvl w:ilvl="0">
      <w:lvlJc w:val="left"/>
      <w:lvlText w:val="(%1)"/>
      <w:numFmt w:val="decimal"/>
      <w:start w:val="7"/>
    </w:lvl>
    <w:lvl w:ilvl="1">
      <w:lvlJc w:val="left"/>
      <w:lvlText w:val="(%2)"/>
      <w:numFmt w:val="lowerRoman"/>
      <w:start w:val="1"/>
    </w:lvl>
  </w:abstractNum>
  <w:abstractNum w:abstractNumId="20">
    <w:nsid w:val="71F32454"/>
    <w:multiLevelType w:val="hybridMultilevel"/>
    <w:lvl w:ilvl="0">
      <w:lvlJc w:val="left"/>
      <w:lvlText w:val="(%1)"/>
      <w:numFmt w:val="lowerRoman"/>
      <w:start w:val="1"/>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Roman"/>
      <w:start w:val="1"/>
    </w:lvl>
  </w:abstractNum>
  <w:abstractNum w:abstractNumId="23">
    <w:nsid w:val="2901D82"/>
    <w:multiLevelType w:val="hybridMultilevel"/>
    <w:lvl w:ilvl="0">
      <w:lvlJc w:val="left"/>
      <w:lvlText w:val="(%1)"/>
      <w:numFmt w:val="lowerRoman"/>
      <w:start w:val="2"/>
    </w:lvl>
  </w:abstractNum>
  <w:abstractNum w:abstractNumId="24">
    <w:nsid w:val="3A95F874"/>
    <w:multiLevelType w:val="hybridMultilevel"/>
    <w:lvl w:ilvl="0">
      <w:lvlJc w:val="left"/>
      <w:lvlText w:val="%1"/>
      <w:numFmt w:val="lowerRoman"/>
      <w:start w:val="1"/>
    </w:lvl>
    <w:lvl w:ilvl="1">
      <w:lvlJc w:val="left"/>
      <w:lvlText w:val="%2."/>
      <w:numFmt w:val="decimal"/>
      <w:start w:val="1"/>
    </w:lvl>
  </w:abstractNum>
  <w:abstractNum w:abstractNumId="25">
    <w:nsid w:val="8138641"/>
    <w:multiLevelType w:val="hybridMultilevel"/>
    <w:lvl w:ilvl="0">
      <w:lvlJc w:val="left"/>
      <w:lvlText w:val="(%1)"/>
      <w:numFmt w:val="lowerRoman"/>
      <w:start w:val="3"/>
    </w:lvl>
    <w:lvl w:ilvl="1">
      <w:lvlJc w:val="left"/>
      <w:lvlText w:val="%2"/>
      <w:numFmt w:val="decimal"/>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decimal"/>
      <w:start w:val="2"/>
    </w:lvl>
  </w:abstractNum>
  <w:abstractNum w:abstractNumId="30">
    <w:nsid w:val="22221A70"/>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31">
    <w:nsid w:val="4516DDE9"/>
    <w:multiLevelType w:val="hybridMultilevel"/>
    <w:lvl w:ilvl="0">
      <w:lvlJc w:val="left"/>
      <w:lvlText w:val="%1."/>
      <w:numFmt w:val="decimal"/>
      <w:start w:val="4"/>
    </w:lvl>
  </w:abstractNum>
  <w:abstractNum w:abstractNumId="32">
    <w:nsid w:val="3006C83E"/>
    <w:multiLevelType w:val="hybridMultilevel"/>
    <w:lvl w:ilvl="0">
      <w:lvlJc w:val="left"/>
      <w:lvlText w:val="%1."/>
      <w:numFmt w:val="decimal"/>
      <w:start w:val="6"/>
    </w:lvl>
    <w:lvl w:ilvl="1">
      <w:lvlJc w:val="left"/>
      <w:lvlText w:val="-"/>
      <w:numFmt w:val="bullet"/>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jpeg"/><Relationship Id="rId80" Type="http://schemas.openxmlformats.org/officeDocument/2006/relationships/image" Target="media/image52.jpeg"/><Relationship Id="rId81" Type="http://schemas.openxmlformats.org/officeDocument/2006/relationships/image" Target="media/image53.png"/><Relationship Id="rId82" Type="http://schemas.openxmlformats.org/officeDocument/2006/relationships/image" Target="media/image54.jpeg"/><Relationship Id="rId83" Type="http://schemas.openxmlformats.org/officeDocument/2006/relationships/image" Target="media/image55.png"/><Relationship Id="rId84" Type="http://schemas.openxmlformats.org/officeDocument/2006/relationships/image" Target="media/image56.jpeg"/><Relationship Id="rId85" Type="http://schemas.openxmlformats.org/officeDocument/2006/relationships/image" Target="media/image57.png"/><Relationship Id="rId86" Type="http://schemas.openxmlformats.org/officeDocument/2006/relationships/image" Target="media/image58.jpeg"/><Relationship Id="rId87" Type="http://schemas.openxmlformats.org/officeDocument/2006/relationships/image" Target="media/image59.png"/><Relationship Id="rId88" Type="http://schemas.openxmlformats.org/officeDocument/2006/relationships/image" Target="media/image60.jpeg"/><Relationship Id="rId89" Type="http://schemas.openxmlformats.org/officeDocument/2006/relationships/image" Target="media/image61.jpe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jpeg"/><Relationship Id="rId27" Type="http://schemas.openxmlformats.org/officeDocument/2006/relationships/hyperlink" Target="http://www.sec.gov/ix?doc=/Archives/edgar/data/1133421/000113342123000006/noc-20221231.htm" TargetMode="External"/><Relationship Id="rId28" Type="http://schemas.openxmlformats.org/officeDocument/2006/relationships/hyperlink" Target="http://www.sec.gov/Archives/edgar/data/1133421/000113342122000009/a2022proxystatement.htm" TargetMode="External"/><Relationship Id="rId29" Type="http://schemas.openxmlformats.org/officeDocument/2006/relationships/hyperlink" Target="http://www.sec.gov/ix?doc=/Archives/edgar/data/0001133421/000119312523028549/d454340d8k.htm" TargetMode="External"/><Relationship Id="rId30" Type="http://schemas.openxmlformats.org/officeDocument/2006/relationships/hyperlink" Target="http://www.sec.gov/ix?doc=/Archives/edgar/data/0001133421/000113342123000009/noc-20230215.htm" TargetMode="External"/><Relationship Id="rId31" Type="http://schemas.openxmlformats.org/officeDocument/2006/relationships/hyperlink" Target="http://www.sec.gov/Archives/edgar/data/1133421/000089843001001049/0000898430-01-001049-0001.txt" TargetMode="External"/><Relationship Id="rId32" Type="http://schemas.openxmlformats.org/officeDocument/2006/relationships/hyperlink" Target="http://www.sec.gov/Archives/edgar/data/1133421/000113342120000006/noc-12312019xex4ll.htm" TargetMode="External"/><Relationship Id="rId33" Type="http://schemas.openxmlformats.org/officeDocument/2006/relationships/hyperlink" Target="http://www.sec.gov/ix?doc=/Archives/edgar/data/1133421/000113342120000006/noc-12312019x10k.htm" TargetMode="External"/><Relationship Id="rId56" Type="http://schemas.openxmlformats.org/officeDocument/2006/relationships/hyperlink" Target="http://www.sec.gov/Archives/edgar/data/1133421/000113342112000033/noc-6302012xex31.htm" TargetMode="External"/><Relationship Id="rId57" Type="http://schemas.openxmlformats.org/officeDocument/2006/relationships/hyperlink" Target="http://www.sec.gov/Archives/edgar/data/1133421/000113342118000055/form8-k120418xex31bylaws.htm" TargetMode="External"/><Relationship Id="rId58" Type="http://schemas.openxmlformats.org/officeDocument/2006/relationships/hyperlink" Target="http://www.sec.gov/Archives/edgar/data/1133421/000089843001503659/dex41.txt" TargetMode="External"/><Relationship Id="rId59" Type="http://schemas.openxmlformats.org/officeDocument/2006/relationships/hyperlink" Target="http://www.sec.gov/Archives/edgar/data/1133421/000095012309027412/v53270exv4wxay.htm" TargetMode="External"/><Relationship Id="rId60" Type="http://schemas.openxmlformats.org/officeDocument/2006/relationships/hyperlink" Target="http://www.sec.gov/Archives/edgar/data/1133421/000095012310102289/v57777exv4wa.htm" TargetMode="External"/><Relationship Id="rId61" Type="http://schemas.openxmlformats.org/officeDocument/2006/relationships/hyperlink" Target="http://www.sec.gov/Archives/edgar/data/1133421/000095012311039852/v58707exv4w9.htm" TargetMode="External"/><Relationship Id="rId62" Type="http://schemas.openxmlformats.org/officeDocument/2006/relationships/hyperlink" Target="http://www.sec.gov/Archives/edgar/data/1133421/000095012311039852/v58707exv4w10.htm" TargetMode="External"/><Relationship Id="rId63" Type="http://schemas.openxmlformats.org/officeDocument/2006/relationships/hyperlink" Target="http://www.sec.gov/Archives/edgar/data/1133421/000119312513243040/d545882dex4a.htm" TargetMode="External"/><Relationship Id="rId64" Type="http://schemas.openxmlformats.org/officeDocument/2006/relationships/hyperlink" Target="http://www.sec.gov/Archives/edgar/data/1133421/000119312515037499/d865409dex41.htm" TargetMode="External"/><Relationship Id="rId67" Type="http://schemas.openxmlformats.org/officeDocument/2006/relationships/hyperlink" Target="http://www.sec.gov/Archives/edgar/data/1133421/000119312516782630/d301589dex41.htm" TargetMode="External"/><Relationship Id="rId68" Type="http://schemas.openxmlformats.org/officeDocument/2006/relationships/hyperlink" Target="http://www.sec.gov/Archives/edgar/data/1133421/000119312517309965/d463997dex41.htm" TargetMode="External"/><Relationship Id="rId69" Type="http://schemas.openxmlformats.org/officeDocument/2006/relationships/hyperlink" Target="http://www.sec.gov/Archives/edgar/data/1133421/000119312520082921/d895407dex41.htm" TargetMode="External"/><Relationship Id="rId70" Type="http://schemas.openxmlformats.org/officeDocument/2006/relationships/hyperlink" Target="http://www.sec.gov/Archives/edgar/data/1133421/000119312521265095/d216834dex41.htm" TargetMode="External"/><Relationship Id="rId71" Type="http://schemas.openxmlformats.org/officeDocument/2006/relationships/hyperlink" Target="http://www.sec.gov/Archives/edgar/data/0001133421/000119312523028549/d45434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2023-03-13T15:57:25Z</dcterms:created>
  <dcterms:modified xsi:type="dcterms:W3CDTF">2023-03-13T15:57:25Z</dcterms:modified>
</cp:coreProperties>
</file>